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C4C30"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0ED3A974" w14:textId="77777777" w:rsidR="00797624" w:rsidRDefault="00797624" w:rsidP="00105D8B">
      <w:pPr>
        <w:contextualSpacing/>
        <w:rPr>
          <w:rFonts w:cstheme="minorHAnsi"/>
          <w:b/>
          <w:noProof/>
        </w:rPr>
      </w:pPr>
    </w:p>
    <w:p w14:paraId="69187CB6" w14:textId="77777777" w:rsidR="00927027" w:rsidRDefault="00797624" w:rsidP="00A330B8">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F3CE31392837485BA3C9FF7C2F27A702"/>
          </w:placeholder>
        </w:sdtPr>
        <w:sdtEndPr>
          <w:rPr>
            <w:rStyle w:val="DefaultParagraphFont"/>
            <w:rFonts w:cstheme="minorHAnsi"/>
            <w:b/>
            <w:noProof/>
            <w:color w:val="auto"/>
          </w:rPr>
        </w:sdtEndPr>
        <w:sdtContent>
          <w:sdt>
            <w:sdtPr>
              <w:rPr>
                <w:rStyle w:val="Style1"/>
              </w:rPr>
              <w:id w:val="-79916637"/>
              <w:placeholder>
                <w:docPart w:val="6EA5B8C7054947D0B5EA7FBA31F0408B"/>
              </w:placeholder>
            </w:sdtPr>
            <w:sdtEndPr>
              <w:rPr>
                <w:rStyle w:val="DefaultParagraphFont"/>
                <w:rFonts w:cstheme="minorHAnsi"/>
                <w:b/>
                <w:noProof/>
                <w:color w:val="auto"/>
              </w:rPr>
            </w:sdtEndPr>
            <w:sdtContent>
              <w:r w:rsidR="00A330B8" w:rsidRPr="00FA1221">
                <w:rPr>
                  <w:rFonts w:cstheme="majorBidi"/>
                  <w:bCs/>
                  <w:iCs/>
                </w:rPr>
                <w:t>0687</w:t>
              </w:r>
            </w:sdtContent>
          </w:sdt>
        </w:sdtContent>
      </w:sdt>
    </w:p>
    <w:p w14:paraId="6B754D72" w14:textId="77777777" w:rsidR="00105D8B" w:rsidRPr="00A25024" w:rsidRDefault="00105D8B" w:rsidP="00A330B8">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AEE09E1FAFBF4EE685F8E2BD1549B562"/>
          </w:placeholder>
        </w:sdtPr>
        <w:sdtEndPr>
          <w:rPr>
            <w:rStyle w:val="DefaultParagraphFont"/>
            <w:noProof/>
            <w:color w:val="auto"/>
          </w:rPr>
        </w:sdtEndPr>
        <w:sdtContent>
          <w:sdt>
            <w:sdtPr>
              <w:rPr>
                <w:rStyle w:val="Style1"/>
                <w:rFonts w:cstheme="minorHAnsi"/>
              </w:rPr>
              <w:id w:val="-1662156372"/>
              <w:placeholder>
                <w:docPart w:val="58776AD6B1C9491A8954C5EBFD4D5864"/>
              </w:placeholder>
            </w:sdtPr>
            <w:sdtEndPr>
              <w:rPr>
                <w:rStyle w:val="DefaultParagraphFont"/>
                <w:noProof/>
                <w:color w:val="auto"/>
              </w:rPr>
            </w:sdtEndPr>
            <w:sdtContent>
              <w:r w:rsidR="00A330B8" w:rsidRPr="00FA1221">
                <w:rPr>
                  <w:rStyle w:val="Style1"/>
                  <w:rFonts w:cstheme="minorHAnsi"/>
                </w:rPr>
                <w:t>Percent of Residents Who Were Physically Restrained (Long-Stay)</w:t>
              </w:r>
            </w:sdtContent>
          </w:sdt>
        </w:sdtContent>
      </w:sdt>
    </w:p>
    <w:p w14:paraId="0E290DDF"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414780A5EF4749E9B3E7034856012C43"/>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14:paraId="5805D670"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36"/>
        <w:gridCol w:w="4314"/>
      </w:tblGrid>
      <w:tr w:rsidR="00CD364B" w:rsidRPr="00B82A57" w14:paraId="687EB647" w14:textId="77777777" w:rsidTr="003B0D49">
        <w:trPr>
          <w:jc w:val="center"/>
        </w:trPr>
        <w:tc>
          <w:tcPr>
            <w:tcW w:w="2693" w:type="pct"/>
          </w:tcPr>
          <w:p w14:paraId="730069E4" w14:textId="77777777" w:rsidR="00CD364B" w:rsidRPr="00B82A57" w:rsidRDefault="004C7A9C"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307" w:type="pct"/>
          </w:tcPr>
          <w:p w14:paraId="71EB3C8C" w14:textId="77777777" w:rsidR="00CD364B" w:rsidRPr="00B82A57" w:rsidRDefault="004C7A9C"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49DBDB62" w14:textId="77777777" w:rsidTr="003B0D49">
        <w:trPr>
          <w:jc w:val="center"/>
        </w:trPr>
        <w:tc>
          <w:tcPr>
            <w:tcW w:w="2693" w:type="pct"/>
          </w:tcPr>
          <w:p w14:paraId="60239F87" w14:textId="77777777" w:rsidR="00CD364B" w:rsidRPr="00B82A57" w:rsidRDefault="004C7A9C"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307" w:type="pct"/>
          </w:tcPr>
          <w:p w14:paraId="51ABE0CC" w14:textId="77777777" w:rsidR="00CD364B" w:rsidRPr="00B82A57" w:rsidRDefault="004C7A9C"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237F991E" w14:textId="77777777" w:rsidTr="003B0D49">
        <w:trPr>
          <w:jc w:val="center"/>
        </w:trPr>
        <w:tc>
          <w:tcPr>
            <w:tcW w:w="2693" w:type="pct"/>
          </w:tcPr>
          <w:p w14:paraId="127C2050" w14:textId="77777777" w:rsidR="00CD364B" w:rsidRPr="00B82A57" w:rsidRDefault="004C7A9C"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307" w:type="pct"/>
          </w:tcPr>
          <w:p w14:paraId="3EF04B25" w14:textId="77777777" w:rsidR="00CD364B" w:rsidRPr="00B82A57" w:rsidRDefault="004C7A9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7121E318"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04125B1" w14:textId="77777777" w:rsidTr="00145149">
        <w:trPr>
          <w:jc w:val="center"/>
        </w:trPr>
        <w:tc>
          <w:tcPr>
            <w:tcW w:w="9576" w:type="dxa"/>
          </w:tcPr>
          <w:p w14:paraId="3C120FB2" w14:textId="77777777" w:rsidR="00B53E8B" w:rsidRPr="00B53E8B" w:rsidRDefault="00B53E8B" w:rsidP="00B53E8B">
            <w:pPr>
              <w:rPr>
                <w:rFonts w:cstheme="minorHAnsi"/>
                <w:b/>
                <w:noProof/>
              </w:rPr>
            </w:pPr>
            <w:r w:rsidRPr="00B53E8B">
              <w:rPr>
                <w:rFonts w:cstheme="minorHAnsi"/>
                <w:b/>
                <w:noProof/>
              </w:rPr>
              <w:t>Instructions</w:t>
            </w:r>
          </w:p>
          <w:p w14:paraId="1BF102CC"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8050B81"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4496FA9A"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6F18BC43"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22FB39C6"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1AE415E8"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3B2928DE"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3511A058"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tc>
      </w:tr>
    </w:tbl>
    <w:p w14:paraId="5E4FA2FC"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438EC85E" w14:textId="77777777" w:rsidTr="00145149">
        <w:trPr>
          <w:jc w:val="center"/>
        </w:trPr>
        <w:tc>
          <w:tcPr>
            <w:tcW w:w="9576" w:type="dxa"/>
          </w:tcPr>
          <w:p w14:paraId="302C73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345497E1" w14:textId="77777777" w:rsidR="00B53E8B" w:rsidRPr="00A831B4" w:rsidRDefault="00B53E8B" w:rsidP="00702C73">
            <w:pPr>
              <w:rPr>
                <w:rFonts w:cstheme="minorHAnsi"/>
                <w:b/>
                <w:bCs/>
                <w:sz w:val="20"/>
                <w:szCs w:val="20"/>
              </w:rPr>
            </w:pPr>
          </w:p>
          <w:p w14:paraId="2C535B92"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4ECB8CC" w14:textId="77777777" w:rsidR="00145149" w:rsidRPr="000F034A" w:rsidRDefault="00145149" w:rsidP="00145149">
            <w:pPr>
              <w:autoSpaceDE w:val="0"/>
              <w:autoSpaceDN w:val="0"/>
              <w:adjustRightInd w:val="0"/>
              <w:rPr>
                <w:rFonts w:cstheme="minorHAnsi"/>
                <w:b/>
                <w:iCs/>
              </w:rPr>
            </w:pPr>
          </w:p>
          <w:p w14:paraId="587A2BE5"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61F2DC76" w14:textId="77777777" w:rsidR="00145149" w:rsidRPr="000F034A" w:rsidRDefault="00145149" w:rsidP="00145149">
            <w:pPr>
              <w:rPr>
                <w:rFonts w:cstheme="minorHAnsi"/>
              </w:rPr>
            </w:pPr>
            <w:bookmarkStart w:id="0" w:name="_Toc256067249"/>
          </w:p>
          <w:p w14:paraId="3D0086C4"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583ED642" w14:textId="77777777" w:rsidR="00145149" w:rsidRPr="000F034A" w:rsidRDefault="00145149" w:rsidP="00145149">
            <w:pPr>
              <w:rPr>
                <w:rFonts w:cstheme="minorHAnsi"/>
                <w:b/>
              </w:rPr>
            </w:pPr>
            <w:r w:rsidRPr="000F034A">
              <w:rPr>
                <w:rFonts w:cstheme="minorHAnsi"/>
                <w:b/>
              </w:rPr>
              <w:t xml:space="preserve">AND </w:t>
            </w:r>
          </w:p>
          <w:p w14:paraId="7DAE7FA2" w14:textId="6241A0F6" w:rsidR="00145149" w:rsidRPr="000F034A" w:rsidRDefault="00145149" w:rsidP="00145149">
            <w:pPr>
              <w:rPr>
                <w:rFonts w:cstheme="minorHAnsi"/>
              </w:rPr>
            </w:pPr>
            <w:r w:rsidRPr="000F034A">
              <w:rPr>
                <w:rFonts w:cstheme="minorHAnsi"/>
              </w:rPr>
              <w:t>If patient preference (e.g., informed decision</w:t>
            </w:r>
            <w:r w:rsidR="00794F99">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w:t>
            </w:r>
            <w:r w:rsidRPr="000F034A">
              <w:rPr>
                <w:rFonts w:cstheme="minorHAnsi"/>
              </w:rPr>
              <w:lastRenderedPageBreak/>
              <w:t xml:space="preserve">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2A636C01" w14:textId="77777777" w:rsidR="00145149" w:rsidRPr="000F034A" w:rsidRDefault="00145149" w:rsidP="00145149">
            <w:pPr>
              <w:rPr>
                <w:rFonts w:cstheme="minorHAnsi"/>
                <w:b/>
                <w:bCs/>
              </w:rPr>
            </w:pPr>
          </w:p>
          <w:p w14:paraId="4333297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1CCAC8E5" w14:textId="77777777" w:rsidR="00145149" w:rsidRPr="000F034A" w:rsidRDefault="00145149" w:rsidP="003B0D49">
            <w:pPr>
              <w:numPr>
                <w:ilvl w:val="0"/>
                <w:numId w:val="26"/>
              </w:numPr>
              <w:tabs>
                <w:tab w:val="clear" w:pos="216"/>
              </w:tabs>
              <w:ind w:left="517" w:hanging="27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A89CD0A" w14:textId="77777777" w:rsidR="00145149" w:rsidRPr="000F034A" w:rsidRDefault="00145149" w:rsidP="00145149">
            <w:pPr>
              <w:rPr>
                <w:rFonts w:cstheme="minorHAnsi"/>
                <w:b/>
              </w:rPr>
            </w:pPr>
            <w:r w:rsidRPr="000F034A">
              <w:rPr>
                <w:rFonts w:cstheme="minorHAnsi"/>
                <w:b/>
              </w:rPr>
              <w:t>OR</w:t>
            </w:r>
          </w:p>
          <w:p w14:paraId="038BB5EE" w14:textId="77777777" w:rsidR="00145149" w:rsidRPr="000F034A" w:rsidRDefault="00145149" w:rsidP="003B0D49">
            <w:pPr>
              <w:numPr>
                <w:ilvl w:val="0"/>
                <w:numId w:val="26"/>
              </w:numPr>
              <w:tabs>
                <w:tab w:val="clear" w:pos="216"/>
              </w:tabs>
              <w:ind w:left="517" w:hanging="270"/>
              <w:rPr>
                <w:rFonts w:cstheme="minorHAnsi"/>
              </w:rPr>
            </w:pPr>
            <w:r w:rsidRPr="000F034A">
              <w:rPr>
                <w:rFonts w:cstheme="minorHAnsi"/>
              </w:rPr>
              <w:t xml:space="preserve">rationale/data support no risk adjustment/ stratification. </w:t>
            </w:r>
          </w:p>
          <w:p w14:paraId="21CF0EE7" w14:textId="77777777" w:rsidR="00145149" w:rsidRPr="000F034A" w:rsidRDefault="00145149" w:rsidP="00145149">
            <w:pPr>
              <w:rPr>
                <w:rFonts w:cstheme="minorHAnsi"/>
                <w:b/>
                <w:bCs/>
              </w:rPr>
            </w:pPr>
          </w:p>
          <w:bookmarkEnd w:id="1"/>
          <w:p w14:paraId="1F7B8A8A"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17E82B5" w14:textId="77777777" w:rsidR="00145149" w:rsidRPr="000F034A" w:rsidRDefault="00145149" w:rsidP="00145149">
            <w:pPr>
              <w:rPr>
                <w:rFonts w:cstheme="minorHAnsi"/>
              </w:rPr>
            </w:pPr>
            <w:r w:rsidRPr="000F034A">
              <w:rPr>
                <w:rFonts w:cstheme="minorHAnsi"/>
                <w:b/>
              </w:rPr>
              <w:t>OR</w:t>
            </w:r>
          </w:p>
          <w:p w14:paraId="4D694AE5"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5B6B17AB" w14:textId="77777777" w:rsidR="00145149" w:rsidRPr="000F034A" w:rsidRDefault="00145149" w:rsidP="00145149">
            <w:pPr>
              <w:rPr>
                <w:rFonts w:cstheme="minorHAnsi"/>
                <w:b/>
                <w:bCs/>
              </w:rPr>
            </w:pPr>
          </w:p>
          <w:p w14:paraId="3677EB37"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31876CA1" w14:textId="77777777" w:rsidR="00E30584" w:rsidRPr="000F034A" w:rsidRDefault="00E30584" w:rsidP="00145149">
            <w:pPr>
              <w:rPr>
                <w:rFonts w:cstheme="minorHAnsi"/>
              </w:rPr>
            </w:pPr>
          </w:p>
          <w:p w14:paraId="335F398D"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672FA0A0" w14:textId="77777777" w:rsidR="00145149" w:rsidRPr="00A831B4" w:rsidRDefault="00145149" w:rsidP="00145149">
            <w:pPr>
              <w:rPr>
                <w:rFonts w:cstheme="minorHAnsi"/>
                <w:b/>
                <w:bCs/>
                <w:sz w:val="20"/>
                <w:szCs w:val="20"/>
              </w:rPr>
            </w:pPr>
          </w:p>
          <w:p w14:paraId="29320221"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7E8863F5" w14:textId="77777777" w:rsidR="00145149" w:rsidRPr="00B438DE" w:rsidRDefault="00145149" w:rsidP="00145149">
            <w:pPr>
              <w:autoSpaceDE w:val="0"/>
              <w:autoSpaceDN w:val="0"/>
              <w:adjustRightInd w:val="0"/>
              <w:rPr>
                <w:rFonts w:cstheme="minorHAnsi"/>
                <w:color w:val="000000" w:themeColor="text1"/>
                <w:sz w:val="20"/>
                <w:szCs w:val="20"/>
              </w:rPr>
            </w:pPr>
            <w:bookmarkStart w:id="2" w:name="Note8"/>
            <w:bookmarkStart w:id="3" w:name="Note9"/>
            <w:bookmarkStart w:id="4" w:name="Note10"/>
            <w:bookmarkEnd w:id="2"/>
            <w:bookmarkEnd w:id="3"/>
            <w:bookmarkEnd w:id="4"/>
            <w:r w:rsidRPr="00B438DE">
              <w:rPr>
                <w:rFonts w:cstheme="minorHAnsi"/>
                <w:b/>
                <w:color w:val="000000" w:themeColor="text1"/>
                <w:sz w:val="20"/>
                <w:szCs w:val="20"/>
              </w:rPr>
              <w:t>10.</w:t>
            </w:r>
            <w:r w:rsidRPr="00B438DE">
              <w:rPr>
                <w:rFonts w:cstheme="minorHAnsi"/>
                <w:color w:val="000000" w:themeColor="text1"/>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516FA224" w14:textId="77777777" w:rsidR="00145149" w:rsidRPr="00B438DE" w:rsidRDefault="00145149" w:rsidP="00145149">
            <w:pPr>
              <w:rPr>
                <w:rFonts w:cstheme="minorHAnsi"/>
                <w:color w:val="000000" w:themeColor="text1"/>
                <w:sz w:val="20"/>
                <w:szCs w:val="20"/>
              </w:rPr>
            </w:pPr>
            <w:bookmarkStart w:id="5" w:name="Note11"/>
            <w:bookmarkEnd w:id="5"/>
            <w:r w:rsidRPr="00B438DE">
              <w:rPr>
                <w:rFonts w:cstheme="minorHAnsi"/>
                <w:b/>
                <w:color w:val="000000" w:themeColor="text1"/>
                <w:sz w:val="20"/>
                <w:szCs w:val="20"/>
              </w:rPr>
              <w:t>11.</w:t>
            </w:r>
            <w:r w:rsidRPr="00B438DE">
              <w:rPr>
                <w:rFonts w:cstheme="minorHAnsi"/>
                <w:color w:val="000000" w:themeColor="text1"/>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42AC2DE6" w14:textId="77777777" w:rsidR="00145149" w:rsidRPr="00B438DE" w:rsidRDefault="00145149" w:rsidP="00145149">
            <w:pPr>
              <w:pStyle w:val="FootnoteText"/>
              <w:rPr>
                <w:rFonts w:asciiTheme="minorHAnsi" w:hAnsiTheme="minorHAnsi" w:cstheme="minorHAnsi"/>
                <w:color w:val="000000" w:themeColor="text1"/>
              </w:rPr>
            </w:pPr>
            <w:bookmarkStart w:id="6" w:name="Note12"/>
            <w:bookmarkEnd w:id="6"/>
            <w:r w:rsidRPr="00B438DE">
              <w:rPr>
                <w:rFonts w:asciiTheme="minorHAnsi" w:hAnsiTheme="minorHAnsi" w:cstheme="minorHAnsi"/>
                <w:b/>
                <w:color w:val="000000" w:themeColor="text1"/>
              </w:rPr>
              <w:t>12.</w:t>
            </w:r>
            <w:r w:rsidRPr="00B438DE">
              <w:rPr>
                <w:rFonts w:asciiTheme="minorHAnsi" w:hAnsiTheme="minorHAnsi" w:cstheme="minorHAnsi"/>
                <w:color w:val="000000" w:themeColor="text1"/>
              </w:rPr>
              <w:t xml:space="preserve"> Examples of evidence that an exclusion distorts measure results include, but are not limited to: frequency of occurrence, variability of exclusions across providers, and sensitivity analyses with and without the exclusion.  </w:t>
            </w:r>
          </w:p>
          <w:p w14:paraId="62699CD4" w14:textId="77777777" w:rsidR="00145149" w:rsidRPr="00B438DE" w:rsidRDefault="00145149" w:rsidP="00145149">
            <w:pPr>
              <w:autoSpaceDE w:val="0"/>
              <w:autoSpaceDN w:val="0"/>
              <w:adjustRightInd w:val="0"/>
              <w:rPr>
                <w:rFonts w:cstheme="minorHAnsi"/>
                <w:b/>
                <w:color w:val="000000" w:themeColor="text1"/>
                <w:sz w:val="20"/>
                <w:szCs w:val="20"/>
              </w:rPr>
            </w:pPr>
            <w:bookmarkStart w:id="7" w:name="Note13"/>
            <w:bookmarkEnd w:id="7"/>
            <w:r w:rsidRPr="00B438DE">
              <w:rPr>
                <w:rFonts w:cstheme="minorHAnsi"/>
                <w:b/>
                <w:color w:val="000000" w:themeColor="text1"/>
                <w:sz w:val="20"/>
                <w:szCs w:val="20"/>
              </w:rPr>
              <w:t>13.</w:t>
            </w:r>
            <w:r w:rsidRPr="00B438DE">
              <w:rPr>
                <w:rFonts w:cstheme="minorHAnsi"/>
                <w:color w:val="000000" w:themeColor="text1"/>
                <w:sz w:val="20"/>
                <w:szCs w:val="20"/>
              </w:rPr>
              <w:t xml:space="preserve"> Patient preference is not a clinical exception to eligibility and can be influenced by provider interventions.</w:t>
            </w:r>
          </w:p>
          <w:p w14:paraId="08B26DC6" w14:textId="77777777" w:rsidR="00145149" w:rsidRPr="00B438DE" w:rsidRDefault="00145149" w:rsidP="00145149">
            <w:pPr>
              <w:pStyle w:val="FootnoteText"/>
              <w:rPr>
                <w:rFonts w:asciiTheme="minorHAnsi" w:hAnsiTheme="minorHAnsi" w:cstheme="minorHAnsi"/>
                <w:color w:val="000000" w:themeColor="text1"/>
              </w:rPr>
            </w:pPr>
            <w:bookmarkStart w:id="8" w:name="Note14"/>
            <w:bookmarkEnd w:id="8"/>
            <w:r w:rsidRPr="00B438DE">
              <w:rPr>
                <w:rFonts w:asciiTheme="minorHAnsi" w:hAnsiTheme="minorHAnsi" w:cstheme="minorHAnsi"/>
                <w:b/>
                <w:color w:val="000000" w:themeColor="text1"/>
              </w:rPr>
              <w:t xml:space="preserve">14. </w:t>
            </w:r>
            <w:r w:rsidRPr="00B438DE">
              <w:rPr>
                <w:rFonts w:asciiTheme="minorHAnsi" w:hAnsiTheme="minorHAnsi" w:cstheme="minorHAnsi"/>
                <w:color w:val="000000" w:themeColor="text1"/>
              </w:rPr>
              <w:t>Risk factors that influence outcomes should not be specified as exclusions.</w:t>
            </w:r>
          </w:p>
          <w:p w14:paraId="402A08F7" w14:textId="77777777" w:rsidR="00145149" w:rsidRPr="00B438DE" w:rsidRDefault="00145149" w:rsidP="00145149">
            <w:pPr>
              <w:rPr>
                <w:rFonts w:cstheme="minorHAnsi"/>
                <w:b/>
                <w:bCs/>
                <w:color w:val="000000" w:themeColor="text1"/>
                <w:sz w:val="20"/>
                <w:szCs w:val="20"/>
              </w:rPr>
            </w:pPr>
            <w:bookmarkStart w:id="9" w:name="Note15"/>
            <w:bookmarkEnd w:id="9"/>
            <w:r w:rsidRPr="00B438DE">
              <w:rPr>
                <w:rFonts w:cstheme="minorHAnsi"/>
                <w:b/>
                <w:color w:val="000000" w:themeColor="text1"/>
                <w:sz w:val="20"/>
                <w:szCs w:val="20"/>
              </w:rPr>
              <w:t>15.</w:t>
            </w:r>
            <w:r w:rsidRPr="00B438DE">
              <w:rPr>
                <w:rFonts w:cstheme="minorHAnsi"/>
                <w:color w:val="000000" w:themeColor="text1"/>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27A6C2E0" w14:textId="77777777" w:rsidR="00145149" w:rsidRPr="00A831B4" w:rsidRDefault="00145149" w:rsidP="00145149">
            <w:pPr>
              <w:rPr>
                <w:rFonts w:cstheme="minorHAnsi"/>
                <w:noProof/>
                <w:sz w:val="20"/>
                <w:szCs w:val="20"/>
              </w:rPr>
            </w:pPr>
            <w:bookmarkStart w:id="10" w:name="Note16"/>
            <w:bookmarkEnd w:id="10"/>
            <w:r w:rsidRPr="00B438DE">
              <w:rPr>
                <w:rFonts w:cstheme="minorHAnsi"/>
                <w:b/>
                <w:color w:val="000000" w:themeColor="text1"/>
                <w:sz w:val="20"/>
                <w:szCs w:val="20"/>
              </w:rPr>
              <w:t>16.</w:t>
            </w:r>
            <w:r w:rsidRPr="00B438DE">
              <w:rPr>
                <w:rFonts w:cstheme="minorHAnsi"/>
                <w:color w:val="000000" w:themeColor="text1"/>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Pr="00B438DE">
              <w:rPr>
                <w:rFonts w:cstheme="minorHAnsi"/>
                <w:color w:val="000000" w:themeColor="text1"/>
                <w:sz w:val="20"/>
                <w:szCs w:val="20"/>
              </w:rPr>
              <w:lastRenderedPageBreak/>
              <w:t>$5,025) is practically meaningful. Measures with overall less-than-optimal performance may not demonstrate much variability across providers.</w:t>
            </w:r>
          </w:p>
        </w:tc>
      </w:tr>
    </w:tbl>
    <w:p w14:paraId="57A99271" w14:textId="77777777" w:rsidR="00E27240" w:rsidRPr="00A25024" w:rsidRDefault="002B5016" w:rsidP="003B0D49">
      <w:pPr>
        <w:spacing w:before="240"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1F63E028"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559B0F9C" w14:textId="77777777" w:rsidR="00A01494" w:rsidRDefault="00A330B8" w:rsidP="00A330B8">
      <w:pPr>
        <w:autoSpaceDE w:val="0"/>
        <w:autoSpaceDN w:val="0"/>
        <w:adjustRightInd w:val="0"/>
        <w:spacing w:before="240" w:line="240" w:lineRule="auto"/>
        <w:rPr>
          <w:rFonts w:cstheme="minorHAnsi"/>
          <w:bCs/>
        </w:rPr>
      </w:pPr>
      <w:r w:rsidRPr="00FA1221">
        <w:rPr>
          <w:rFonts w:cstheme="minorHAnsi"/>
          <w:b/>
          <w:bCs/>
        </w:rPr>
        <w:t>1.1. What type of data was used for testing</w:t>
      </w:r>
      <w:r w:rsidRPr="00A330B8">
        <w:rPr>
          <w:rFonts w:cstheme="minorHAnsi"/>
          <w:b/>
          <w:bCs/>
        </w:rPr>
        <w:t>?</w:t>
      </w:r>
      <w:r w:rsidRPr="00FA1221">
        <w:rPr>
          <w:rFonts w:cstheme="minorHAnsi"/>
          <w:bCs/>
        </w:rPr>
        <w:t xml:space="preserve"> </w:t>
      </w:r>
      <w:r w:rsidR="004348CC" w:rsidRPr="00A25024">
        <w:rPr>
          <w:rFonts w:cstheme="minorHAnsi"/>
          <w:bCs/>
        </w:rPr>
        <w:t>(</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15"/>
        <w:gridCol w:w="4603"/>
      </w:tblGrid>
      <w:tr w:rsidR="00A01494" w:rsidRPr="00A01494" w14:paraId="0551E487" w14:textId="77777777" w:rsidTr="003B0D49">
        <w:trPr>
          <w:jc w:val="center"/>
        </w:trPr>
        <w:tc>
          <w:tcPr>
            <w:tcW w:w="5215" w:type="dxa"/>
            <w:shd w:val="clear" w:color="auto" w:fill="D9D9D9" w:themeFill="background1" w:themeFillShade="D9"/>
          </w:tcPr>
          <w:p w14:paraId="38B2AC8A"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3991EDF2"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603" w:type="dxa"/>
            <w:shd w:val="clear" w:color="auto" w:fill="D9D9D9" w:themeFill="background1" w:themeFillShade="D9"/>
          </w:tcPr>
          <w:p w14:paraId="2E621F2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2B41A808" w14:textId="77777777" w:rsidTr="003B0D49">
        <w:trPr>
          <w:jc w:val="center"/>
        </w:trPr>
        <w:tc>
          <w:tcPr>
            <w:tcW w:w="5215" w:type="dxa"/>
          </w:tcPr>
          <w:p w14:paraId="31B8BBDA" w14:textId="77777777" w:rsidR="00A01494" w:rsidRPr="00A01494" w:rsidRDefault="004C7A9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603" w:type="dxa"/>
          </w:tcPr>
          <w:p w14:paraId="170B6580" w14:textId="77777777" w:rsidR="00A01494" w:rsidRPr="00A01494" w:rsidRDefault="004C7A9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641A7375" w14:textId="77777777" w:rsidTr="003B0D49">
        <w:trPr>
          <w:jc w:val="center"/>
        </w:trPr>
        <w:tc>
          <w:tcPr>
            <w:tcW w:w="5215" w:type="dxa"/>
          </w:tcPr>
          <w:p w14:paraId="10D80E28" w14:textId="77777777" w:rsidR="00A01494" w:rsidRPr="00A01494" w:rsidRDefault="004C7A9C"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603" w:type="dxa"/>
          </w:tcPr>
          <w:p w14:paraId="4BA3C070" w14:textId="77777777" w:rsidR="00A01494" w:rsidRPr="00A01494" w:rsidRDefault="004C7A9C"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5A4E6E10" w14:textId="77777777" w:rsidTr="003B0D49">
        <w:trPr>
          <w:jc w:val="center"/>
        </w:trPr>
        <w:tc>
          <w:tcPr>
            <w:tcW w:w="5215" w:type="dxa"/>
          </w:tcPr>
          <w:p w14:paraId="65CC497C" w14:textId="77777777" w:rsidR="00A01494" w:rsidRPr="00A01494" w:rsidRDefault="004C7A9C"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603" w:type="dxa"/>
          </w:tcPr>
          <w:p w14:paraId="692C0F28" w14:textId="77777777" w:rsidR="00A01494" w:rsidRPr="00A01494" w:rsidRDefault="004C7A9C"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4EE8FA56" w14:textId="77777777" w:rsidTr="003B0D49">
        <w:trPr>
          <w:jc w:val="center"/>
        </w:trPr>
        <w:tc>
          <w:tcPr>
            <w:tcW w:w="5215" w:type="dxa"/>
          </w:tcPr>
          <w:p w14:paraId="0DE1314F" w14:textId="77777777" w:rsidR="00A01494" w:rsidRPr="00A01494" w:rsidRDefault="004C7A9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603" w:type="dxa"/>
          </w:tcPr>
          <w:p w14:paraId="132D60D8" w14:textId="77777777" w:rsidR="00A01494" w:rsidRPr="00A01494" w:rsidRDefault="004C7A9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11981C0A" w14:textId="77777777" w:rsidTr="003B0D49">
        <w:trPr>
          <w:jc w:val="center"/>
        </w:trPr>
        <w:tc>
          <w:tcPr>
            <w:tcW w:w="5215" w:type="dxa"/>
          </w:tcPr>
          <w:p w14:paraId="5AD8941A" w14:textId="77777777" w:rsidR="00A01494" w:rsidRPr="00A01494" w:rsidRDefault="004C7A9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603" w:type="dxa"/>
          </w:tcPr>
          <w:p w14:paraId="41B681A3" w14:textId="77777777" w:rsidR="00A01494" w:rsidRPr="00A01494" w:rsidRDefault="004C7A9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08F55A2E" w14:textId="77777777" w:rsidTr="003B0D49">
        <w:trPr>
          <w:jc w:val="center"/>
        </w:trPr>
        <w:tc>
          <w:tcPr>
            <w:tcW w:w="5215" w:type="dxa"/>
          </w:tcPr>
          <w:p w14:paraId="13786C99" w14:textId="07DEDF93" w:rsidR="00A01494" w:rsidRPr="00A01494" w:rsidRDefault="004C7A9C" w:rsidP="00794F99">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Fonts w:cstheme="minorHAnsi"/>
                  <w:bCs/>
                  <w:color w:val="0000FF"/>
                </w:rPr>
                <w:id w:val="1834251992"/>
                <w:text/>
              </w:sdtPr>
              <w:sdtEndPr/>
              <w:sdtContent>
                <w:r w:rsidR="00314F84" w:rsidRPr="008474D1">
                  <w:rPr>
                    <w:rFonts w:cstheme="minorHAnsi"/>
                    <w:bCs/>
                    <w:color w:val="0000FF"/>
                  </w:rPr>
                  <w:t>Nursing Home Minimum Data Set (MDS) 3.0</w:t>
                </w:r>
              </w:sdtContent>
            </w:sdt>
          </w:p>
        </w:tc>
        <w:tc>
          <w:tcPr>
            <w:tcW w:w="4603" w:type="dxa"/>
          </w:tcPr>
          <w:p w14:paraId="0DEAEF92" w14:textId="5127B283" w:rsidR="00A01494" w:rsidRPr="00A01494" w:rsidRDefault="004C7A9C" w:rsidP="004C7A9C">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Fonts w:cstheme="minorHAnsi"/>
                  <w:bCs/>
                  <w:color w:val="0000FF"/>
                </w:rPr>
                <w:id w:val="1976178076"/>
                <w:text/>
              </w:sdtPr>
              <w:sdtEndPr/>
              <w:sdtContent>
                <w:r w:rsidR="00314F84" w:rsidRPr="00E05DEF">
                  <w:rPr>
                    <w:rFonts w:cstheme="minorHAnsi"/>
                    <w:bCs/>
                    <w:color w:val="0000FF"/>
                  </w:rPr>
                  <w:t>Nursing Home Minimum Data Set (MDS) 3.0</w:t>
                </w:r>
                <w:r w:rsidR="00314F84" w:rsidRPr="00A330B8" w:rsidDel="008869B3">
                  <w:rPr>
                    <w:rFonts w:cstheme="minorHAnsi"/>
                    <w:bCs/>
                    <w:color w:val="0000FF"/>
                  </w:rPr>
                  <w:t>, CMS Nursing Home Compare</w:t>
                </w:r>
              </w:sdtContent>
            </w:sdt>
          </w:p>
        </w:tc>
      </w:tr>
    </w:tbl>
    <w:p w14:paraId="47915BA5" w14:textId="77777777" w:rsidR="00021170" w:rsidRPr="00A01494" w:rsidRDefault="002B5016" w:rsidP="003B0D49">
      <w:pPr>
        <w:autoSpaceDE w:val="0"/>
        <w:autoSpaceDN w:val="0"/>
        <w:adjustRightInd w:val="0"/>
        <w:spacing w:before="240"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2E75A6FA" w14:textId="5A192A54" w:rsidR="00C355B9" w:rsidRPr="003B0D49" w:rsidRDefault="00A330B8" w:rsidP="003B0D49">
      <w:pPr>
        <w:pStyle w:val="Response"/>
      </w:pPr>
      <w:r w:rsidRPr="00D2529F">
        <w:rPr>
          <w:rFonts w:cstheme="minorBidi"/>
        </w:rPr>
        <w:t>Nursing Home 3.0</w:t>
      </w:r>
    </w:p>
    <w:p w14:paraId="72939D15" w14:textId="77777777" w:rsidR="00A330B8" w:rsidRDefault="002B5016" w:rsidP="00A330B8">
      <w:pPr>
        <w:autoSpaceDE w:val="0"/>
        <w:autoSpaceDN w:val="0"/>
        <w:adjustRightInd w:val="0"/>
        <w:spacing w:line="240" w:lineRule="auto"/>
        <w:rPr>
          <w:rStyle w:val="Style1"/>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sdt>
    </w:p>
    <w:p w14:paraId="3E04AAE8" w14:textId="77777777" w:rsidR="00BE1A05" w:rsidRPr="0015793B" w:rsidRDefault="00BE1A05" w:rsidP="00BE1A05">
      <w:pPr>
        <w:pStyle w:val="Response"/>
        <w:rPr>
          <w:rFonts w:eastAsiaTheme="minorHAnsi"/>
        </w:rPr>
      </w:pPr>
      <w:r>
        <w:rPr>
          <w:rFonts w:eastAsiaTheme="minorHAnsi"/>
        </w:rPr>
        <w:t>Two</w:t>
      </w:r>
      <w:r w:rsidRPr="0015793B">
        <w:rPr>
          <w:rFonts w:eastAsiaTheme="minorHAnsi"/>
        </w:rPr>
        <w:t xml:space="preserve"> studies were used in the testing of this measure; they are described in greater detail below.</w:t>
      </w:r>
    </w:p>
    <w:p w14:paraId="692F34EF" w14:textId="618902AE" w:rsidR="00A330B8" w:rsidRPr="00D2529F" w:rsidRDefault="00BE1A05" w:rsidP="00C916B1">
      <w:pPr>
        <w:pStyle w:val="Response"/>
        <w:ind w:left="360" w:hanging="360"/>
        <w:rPr>
          <w:rFonts w:cstheme="minorBidi"/>
        </w:rPr>
      </w:pPr>
      <w:r>
        <w:rPr>
          <w:rFonts w:cstheme="minorBidi"/>
        </w:rPr>
        <w:t>1</w:t>
      </w:r>
      <w:r w:rsidR="00A330B8" w:rsidRPr="00D2529F">
        <w:rPr>
          <w:rFonts w:cstheme="minorBidi"/>
        </w:rPr>
        <w:t>.</w:t>
      </w:r>
      <w:r w:rsidR="00C916B1">
        <w:rPr>
          <w:rFonts w:cstheme="minorBidi"/>
        </w:rPr>
        <w:tab/>
      </w:r>
      <w:r w:rsidR="0058440A" w:rsidRPr="000F4856">
        <w:rPr>
          <w:rFonts w:eastAsiaTheme="minorHAnsi"/>
        </w:rPr>
        <w:t xml:space="preserve">RAND </w:t>
      </w:r>
      <w:r w:rsidR="0058440A">
        <w:rPr>
          <w:rFonts w:eastAsiaTheme="minorHAnsi"/>
        </w:rPr>
        <w:t>Development and Validation of MDS 3.0</w:t>
      </w:r>
      <w:r w:rsidR="0058440A">
        <w:rPr>
          <w:rStyle w:val="FootnoteReference"/>
          <w:rFonts w:eastAsiaTheme="minorHAnsi"/>
        </w:rPr>
        <w:footnoteReference w:id="1"/>
      </w:r>
      <w:r w:rsidR="0058440A" w:rsidRPr="000F4856">
        <w:rPr>
          <w:rFonts w:eastAsiaTheme="minorHAnsi"/>
        </w:rPr>
        <w:t>:</w:t>
      </w:r>
      <w:r w:rsidR="00A330B8" w:rsidRPr="00D2529F">
        <w:rPr>
          <w:rFonts w:cstheme="minorBidi"/>
        </w:rPr>
        <w:t xml:space="preserve"> August 2006 to February 2007</w:t>
      </w:r>
    </w:p>
    <w:p w14:paraId="530EA883" w14:textId="7D94D408" w:rsidR="0004593A" w:rsidRPr="00C916B1" w:rsidRDefault="00BE1A05" w:rsidP="00CE7918">
      <w:pPr>
        <w:pStyle w:val="Response"/>
        <w:ind w:left="360" w:hanging="360"/>
        <w:rPr>
          <w:rFonts w:cstheme="minorBidi"/>
        </w:rPr>
      </w:pPr>
      <w:r>
        <w:rPr>
          <w:rFonts w:cstheme="minorBidi"/>
        </w:rPr>
        <w:t>2</w:t>
      </w:r>
      <w:r w:rsidR="00A330B8" w:rsidRPr="00D2529F">
        <w:rPr>
          <w:rFonts w:cstheme="minorBidi"/>
        </w:rPr>
        <w:t>.</w:t>
      </w:r>
      <w:r w:rsidR="00C916B1">
        <w:rPr>
          <w:rFonts w:cstheme="minorBidi"/>
        </w:rPr>
        <w:tab/>
      </w:r>
      <w:r w:rsidR="00A330B8" w:rsidRPr="00D2529F">
        <w:rPr>
          <w:rFonts w:cstheme="minorBidi"/>
        </w:rPr>
        <w:t>RTI Analysis</w:t>
      </w:r>
      <w:r w:rsidR="00A330B8">
        <w:rPr>
          <w:rFonts w:cstheme="minorBidi"/>
        </w:rPr>
        <w:t xml:space="preserve"> of MDS 3.0</w:t>
      </w:r>
      <w:r w:rsidR="00A330B8" w:rsidRPr="00D2529F">
        <w:rPr>
          <w:rFonts w:cstheme="minorBidi"/>
        </w:rPr>
        <w:t xml:space="preserve">: Quarter 1 2011 to </w:t>
      </w:r>
      <w:r w:rsidR="00A330B8">
        <w:rPr>
          <w:rFonts w:cstheme="minorBidi"/>
        </w:rPr>
        <w:t>Q</w:t>
      </w:r>
      <w:r w:rsidR="00CE7918">
        <w:rPr>
          <w:rFonts w:cstheme="minorBidi"/>
        </w:rPr>
        <w:t xml:space="preserve">uarter </w:t>
      </w:r>
      <w:r w:rsidR="00A330B8">
        <w:rPr>
          <w:rFonts w:cstheme="minorBidi"/>
        </w:rPr>
        <w:t>2 2014</w:t>
      </w:r>
    </w:p>
    <w:p w14:paraId="746394CF"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283DEE5" w14:textId="77777777" w:rsidTr="000414E8">
        <w:trPr>
          <w:jc w:val="center"/>
        </w:trPr>
        <w:tc>
          <w:tcPr>
            <w:tcW w:w="5027" w:type="dxa"/>
            <w:shd w:val="clear" w:color="auto" w:fill="D9D9D9" w:themeFill="background1" w:themeFillShade="D9"/>
          </w:tcPr>
          <w:p w14:paraId="2B50C6A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54E0EB06"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53A52B88"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7AA3A69" w14:textId="77777777" w:rsidTr="000414E8">
        <w:trPr>
          <w:jc w:val="center"/>
        </w:trPr>
        <w:tc>
          <w:tcPr>
            <w:tcW w:w="5027" w:type="dxa"/>
          </w:tcPr>
          <w:p w14:paraId="180AAC8B" w14:textId="77777777" w:rsidR="000414E8" w:rsidRPr="00A01494" w:rsidRDefault="004C7A9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6C8A108F" w14:textId="77777777" w:rsidR="000414E8" w:rsidRPr="00A01494" w:rsidRDefault="004C7A9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5492AA1D" w14:textId="77777777" w:rsidTr="000414E8">
        <w:trPr>
          <w:jc w:val="center"/>
        </w:trPr>
        <w:tc>
          <w:tcPr>
            <w:tcW w:w="5027" w:type="dxa"/>
          </w:tcPr>
          <w:p w14:paraId="288F7662" w14:textId="77777777" w:rsidR="000414E8" w:rsidRPr="00A01494" w:rsidRDefault="004C7A9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22BD55D6" w14:textId="77777777" w:rsidR="000414E8" w:rsidRPr="00A01494" w:rsidRDefault="004C7A9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5A8E853D" w14:textId="77777777" w:rsidTr="000414E8">
        <w:trPr>
          <w:jc w:val="center"/>
        </w:trPr>
        <w:tc>
          <w:tcPr>
            <w:tcW w:w="5027" w:type="dxa"/>
          </w:tcPr>
          <w:p w14:paraId="1994FD4B" w14:textId="77777777" w:rsidR="000414E8" w:rsidRPr="00A01494" w:rsidRDefault="004C7A9C"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3C5E929" w14:textId="77777777" w:rsidR="000414E8" w:rsidRPr="00A01494" w:rsidRDefault="004C7A9C"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1081CBC0" w14:textId="77777777" w:rsidTr="000414E8">
        <w:trPr>
          <w:jc w:val="center"/>
        </w:trPr>
        <w:tc>
          <w:tcPr>
            <w:tcW w:w="5027" w:type="dxa"/>
          </w:tcPr>
          <w:p w14:paraId="289A499B" w14:textId="77777777" w:rsidR="000414E8" w:rsidRPr="00A01494" w:rsidRDefault="004C7A9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42068DFC" w14:textId="77777777" w:rsidR="000414E8" w:rsidRPr="00A01494" w:rsidRDefault="004C7A9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1B7846BE" w14:textId="77777777" w:rsidTr="000414E8">
        <w:trPr>
          <w:jc w:val="center"/>
        </w:trPr>
        <w:tc>
          <w:tcPr>
            <w:tcW w:w="5027" w:type="dxa"/>
          </w:tcPr>
          <w:p w14:paraId="5E723800" w14:textId="77777777" w:rsidR="000414E8" w:rsidRPr="00A01494" w:rsidRDefault="004C7A9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5EDB3B21" w14:textId="77777777" w:rsidR="000414E8" w:rsidRPr="00A01494" w:rsidRDefault="004C7A9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703EB41F" w14:textId="77777777" w:rsidR="003B0D49" w:rsidRDefault="002B5016" w:rsidP="003B0D49">
      <w:pPr>
        <w:autoSpaceDE w:val="0"/>
        <w:autoSpaceDN w:val="0"/>
        <w:adjustRightInd w:val="0"/>
        <w:spacing w:before="240"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w:t>
      </w:r>
    </w:p>
    <w:p w14:paraId="35E1D805" w14:textId="61FA51B8" w:rsidR="00BE1A05" w:rsidRDefault="00BE1A05" w:rsidP="00794F99">
      <w:pPr>
        <w:pStyle w:val="Response"/>
        <w:numPr>
          <w:ilvl w:val="0"/>
          <w:numId w:val="45"/>
        </w:numPr>
        <w:rPr>
          <w:rFonts w:cstheme="minorBidi"/>
        </w:rPr>
      </w:pPr>
      <w:r w:rsidRPr="004F164A">
        <w:rPr>
          <w:rFonts w:eastAsiaTheme="minorHAnsi"/>
        </w:rPr>
        <w:t>RAND Development and Validation of MDS 3.0</w:t>
      </w:r>
      <w:r>
        <w:rPr>
          <w:rStyle w:val="FootnoteReference"/>
          <w:rFonts w:eastAsiaTheme="minorHAnsi"/>
        </w:rPr>
        <w:footnoteReference w:id="2"/>
      </w:r>
      <w:r w:rsidRPr="00A75B97">
        <w:rPr>
          <w:rFonts w:eastAsiaTheme="minorHAnsi"/>
        </w:rPr>
        <w:t>:</w:t>
      </w:r>
      <w:r w:rsidRPr="0015793B">
        <w:t xml:space="preserve"> </w:t>
      </w:r>
      <w:r w:rsidR="0058440A" w:rsidRPr="0058440A">
        <w:rPr>
          <w:rFonts w:cstheme="minorBidi"/>
        </w:rPr>
        <w:t>This study developed and validated the MDS version 3.0 which aimed to improve the clinical relevance and accuracy of MDS assessments, increase the voice of residents in assessments, improve users’ satisfaction, and increase the efficiency of reports. The study was based on test data collected from a sample. A representative sample of for-profit and not-for-profit facilities and hospital-based and free-standing facilities was recruited for the study, which included 71 community nursing homes in 8 states and 19 VA nursing homes. Sixty three percent of the 71 community facilities were for profit, 35% were not-for-profit, and 1% government owned. Most facilities (90%) were free-standing nursing homes and 10% were hospital-based. Over half of the sample facilities (57%) had 100-199 beds, 22% had over 200 beds, and 4% had fewer than 50. Most nursing homes (78%) were located in urban areas.</w:t>
      </w:r>
    </w:p>
    <w:p w14:paraId="060F3BF5" w14:textId="0A042597" w:rsidR="00CE7918" w:rsidRDefault="00A330B8" w:rsidP="00EC514E">
      <w:pPr>
        <w:pStyle w:val="Response"/>
        <w:numPr>
          <w:ilvl w:val="0"/>
          <w:numId w:val="45"/>
        </w:numPr>
        <w:rPr>
          <w:rFonts w:cstheme="minorBidi"/>
        </w:rPr>
      </w:pPr>
      <w:r w:rsidRPr="00D2529F">
        <w:rPr>
          <w:rFonts w:cstheme="minorBidi"/>
        </w:rPr>
        <w:t xml:space="preserve">RTI Analysis:  </w:t>
      </w:r>
      <w:r w:rsidR="00911C4F">
        <w:t xml:space="preserve">RTI’s ongoing analysis is based on current data collected in all nursing homes nationwide and includes all residents who met the inclusion criteria in nursing homes with sufficient denominator size (N≥ 30) from Quarter 1 2011 to Quarter 2 </w:t>
      </w:r>
      <w:r w:rsidR="00911C4F" w:rsidRPr="00794F99">
        <w:t xml:space="preserve">2014.  </w:t>
      </w:r>
      <w:r w:rsidR="00357C62" w:rsidRPr="00794F99">
        <w:rPr>
          <w:rFonts w:cstheme="minorBidi"/>
        </w:rPr>
        <w:t xml:space="preserve"> The</w:t>
      </w:r>
      <w:r w:rsidR="00CE7918" w:rsidRPr="00794F99">
        <w:rPr>
          <w:rFonts w:cstheme="minorBidi"/>
        </w:rPr>
        <w:t xml:space="preserve"> facility count varies from quarter to quarter</w:t>
      </w:r>
      <w:r w:rsidR="001F6A23">
        <w:rPr>
          <w:rFonts w:cstheme="minorBidi"/>
        </w:rPr>
        <w:t>. There were</w:t>
      </w:r>
      <w:r w:rsidR="00CE7918" w:rsidRPr="00794F99">
        <w:rPr>
          <w:rFonts w:cstheme="minorBidi"/>
        </w:rPr>
        <w:t xml:space="preserve"> </w:t>
      </w:r>
      <w:r w:rsidR="00357C62" w:rsidRPr="00EC514E">
        <w:rPr>
          <w:rFonts w:cstheme="minorBidi"/>
        </w:rPr>
        <w:t>13</w:t>
      </w:r>
      <w:r w:rsidR="00357C62" w:rsidRPr="00794F99">
        <w:rPr>
          <w:rFonts w:cstheme="minorBidi"/>
        </w:rPr>
        <w:t xml:space="preserve">,747 </w:t>
      </w:r>
      <w:r w:rsidR="001F6A23">
        <w:rPr>
          <w:rFonts w:cstheme="minorBidi"/>
        </w:rPr>
        <w:t xml:space="preserve">eligible facilities of sufficient denominator size </w:t>
      </w:r>
      <w:r w:rsidR="00CE7918" w:rsidRPr="00794F99">
        <w:rPr>
          <w:rFonts w:cstheme="minorBidi"/>
        </w:rPr>
        <w:t>in Quarter 2 2014</w:t>
      </w:r>
      <w:r w:rsidR="00911C4F" w:rsidRPr="00794F99">
        <w:rPr>
          <w:rFonts w:cstheme="minorBidi"/>
        </w:rPr>
        <w:t>.</w:t>
      </w:r>
      <w:r w:rsidR="00911C4F" w:rsidRPr="00794F99">
        <w:rPr>
          <w:rStyle w:val="FootnoteReference"/>
        </w:rPr>
        <w:footnoteReference w:id="3"/>
      </w:r>
      <w:r w:rsidRPr="00794F99">
        <w:rPr>
          <w:rFonts w:cstheme="minorBidi"/>
        </w:rPr>
        <w:t xml:space="preserve"> </w:t>
      </w:r>
    </w:p>
    <w:p w14:paraId="2F8D6573" w14:textId="7A530B23" w:rsidR="003B0D49" w:rsidRPr="00C916B1" w:rsidRDefault="001F6A23" w:rsidP="00794F99">
      <w:pPr>
        <w:pStyle w:val="Response"/>
        <w:ind w:left="720"/>
        <w:rPr>
          <w:rFonts w:cstheme="minorBidi"/>
        </w:rPr>
      </w:pPr>
      <w:r>
        <w:t>Among eligible nursing facilities with any long-stay residents</w:t>
      </w:r>
      <w:r w:rsidR="00E24207">
        <w:t xml:space="preserve"> in Quarter 2, 2014</w:t>
      </w:r>
      <w:r>
        <w:t>, t</w:t>
      </w:r>
      <w:r w:rsidR="00BE1A05">
        <w:t>he average bed count was 108. The majority of these nursing facilities were for-profit (70.</w:t>
      </w:r>
      <w:r w:rsidR="009E5609">
        <w:t>34</w:t>
      </w:r>
      <w:r w:rsidR="00BE1A05">
        <w:t>%), 23</w:t>
      </w:r>
      <w:r w:rsidR="00B47B53">
        <w:t>.</w:t>
      </w:r>
      <w:r w:rsidR="00D213EC">
        <w:t>52</w:t>
      </w:r>
      <w:r w:rsidR="00BE1A05">
        <w:t>% were nonprofit, and a small group (6.0</w:t>
      </w:r>
      <w:r w:rsidR="00D213EC">
        <w:t>8</w:t>
      </w:r>
      <w:r w:rsidR="00BE1A05">
        <w:t>%) government-owned. About one third (30.</w:t>
      </w:r>
      <w:r w:rsidR="00D213EC">
        <w:t>86</w:t>
      </w:r>
      <w:r w:rsidR="00BE1A05">
        <w:t>%) of the nursing homes were located in rural areas</w:t>
      </w:r>
      <w:r w:rsidR="00BE1A05">
        <w:rPr>
          <w:rStyle w:val="FootnoteReference"/>
        </w:rPr>
        <w:footnoteReference w:id="4"/>
      </w:r>
      <w:r w:rsidR="00BE1A05">
        <w:t xml:space="preserve">.  </w:t>
      </w:r>
    </w:p>
    <w:p w14:paraId="5E79A965" w14:textId="77777777" w:rsidR="003B0D49" w:rsidRDefault="002B5016" w:rsidP="0059295A">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w:t>
      </w:r>
    </w:p>
    <w:p w14:paraId="31B0D392" w14:textId="7DEFC3B1" w:rsidR="00A330B8" w:rsidRPr="00D2529F" w:rsidRDefault="00CE7918" w:rsidP="0032340D">
      <w:pPr>
        <w:pStyle w:val="Response"/>
        <w:numPr>
          <w:ilvl w:val="0"/>
          <w:numId w:val="38"/>
        </w:numPr>
        <w:rPr>
          <w:rFonts w:cstheme="minorBidi"/>
        </w:rPr>
      </w:pPr>
      <w:r w:rsidRPr="00181CD1">
        <w:rPr>
          <w:rFonts w:eastAsiaTheme="minorHAnsi" w:cstheme="majorBidi"/>
        </w:rPr>
        <w:t>RAND Development and Validation of MDS 3.0</w:t>
      </w:r>
      <w:r w:rsidRPr="0015793B">
        <w:rPr>
          <w:rFonts w:eastAsiaTheme="minorHAnsi" w:cstheme="majorBidi"/>
        </w:rPr>
        <w:t xml:space="preserve">: </w:t>
      </w:r>
      <w:r w:rsidR="00A330B8" w:rsidRPr="00D2529F">
        <w:rPr>
          <w:rFonts w:cstheme="minorBidi"/>
        </w:rPr>
        <w:t>3,822 residents from</w:t>
      </w:r>
      <w:r>
        <w:rPr>
          <w:rFonts w:cstheme="minorBidi"/>
        </w:rPr>
        <w:t xml:space="preserve"> 71</w:t>
      </w:r>
      <w:r w:rsidR="00A330B8" w:rsidRPr="00D2529F">
        <w:rPr>
          <w:rFonts w:cstheme="minorBidi"/>
        </w:rPr>
        <w:t xml:space="preserve"> community nursing homes, and 764 residents from </w:t>
      </w:r>
      <w:r>
        <w:rPr>
          <w:rFonts w:cstheme="minorBidi"/>
        </w:rPr>
        <w:t xml:space="preserve">19 </w:t>
      </w:r>
      <w:r w:rsidR="00A330B8" w:rsidRPr="00D2529F">
        <w:rPr>
          <w:rFonts w:cstheme="minorBidi"/>
        </w:rPr>
        <w:t>VA nursing homes</w:t>
      </w:r>
      <w:r>
        <w:rPr>
          <w:rFonts w:cstheme="minorBidi"/>
        </w:rPr>
        <w:t>.</w:t>
      </w:r>
      <w:r w:rsidR="00200901">
        <w:rPr>
          <w:rStyle w:val="FootnoteReference"/>
        </w:rPr>
        <w:footnoteReference w:id="5"/>
      </w:r>
    </w:p>
    <w:p w14:paraId="4CB90A5D" w14:textId="7983B8E9" w:rsidR="00900660" w:rsidRPr="005024A0" w:rsidRDefault="00A330B8" w:rsidP="00470017">
      <w:pPr>
        <w:pStyle w:val="Response"/>
        <w:numPr>
          <w:ilvl w:val="0"/>
          <w:numId w:val="38"/>
        </w:numPr>
        <w:rPr>
          <w:rFonts w:cstheme="minorBidi"/>
        </w:rPr>
      </w:pPr>
      <w:r w:rsidRPr="00911C4F">
        <w:rPr>
          <w:rFonts w:cstheme="minorBidi"/>
        </w:rPr>
        <w:lastRenderedPageBreak/>
        <w:t xml:space="preserve">RTI Analysis: </w:t>
      </w:r>
      <w:r w:rsidR="003F03B6">
        <w:rPr>
          <w:rFonts w:cstheme="minorBidi"/>
        </w:rPr>
        <w:t>The sample in RTI’s analysis includes a</w:t>
      </w:r>
      <w:r w:rsidR="00911C4F" w:rsidRPr="003E562E">
        <w:t xml:space="preserve">ll </w:t>
      </w:r>
      <w:r w:rsidR="00911C4F">
        <w:t xml:space="preserve">long-stay </w:t>
      </w:r>
      <w:r w:rsidR="00911C4F" w:rsidRPr="003E562E">
        <w:t>residents that meet denominator inclusion criteria receiving services in</w:t>
      </w:r>
      <w:r w:rsidR="00911C4F">
        <w:t xml:space="preserve"> US nursing</w:t>
      </w:r>
      <w:r w:rsidR="00911C4F" w:rsidRPr="003E562E">
        <w:t xml:space="preserve"> facilities with adequate denominator size (N≥ 30) for public reporting on this measure. </w:t>
      </w:r>
      <w:r w:rsidR="0058440A" w:rsidRPr="0058440A">
        <w:t xml:space="preserve">The </w:t>
      </w:r>
      <w:r w:rsidR="0058440A" w:rsidRPr="00470017">
        <w:rPr>
          <w:rFonts w:cstheme="minorBidi"/>
        </w:rPr>
        <w:t>sample</w:t>
      </w:r>
      <w:r w:rsidR="0058440A" w:rsidRPr="0058440A">
        <w:t xml:space="preserve"> size slightly varies from quarter to quarter. A total of 1,159,680 residents were included in Quarter 2 2014. </w:t>
      </w:r>
      <w:r w:rsidR="00592939" w:rsidRPr="00911C4F">
        <w:rPr>
          <w:rFonts w:cstheme="minorBidi"/>
          <w:b/>
          <w:i/>
        </w:rPr>
        <w:t xml:space="preserve">Table </w:t>
      </w:r>
      <w:r w:rsidR="00911C4F">
        <w:rPr>
          <w:rFonts w:cstheme="minorBidi"/>
          <w:b/>
          <w:i/>
        </w:rPr>
        <w:t>1</w:t>
      </w:r>
      <w:r w:rsidR="00592939" w:rsidRPr="00911C4F">
        <w:rPr>
          <w:rFonts w:cstheme="minorBidi"/>
        </w:rPr>
        <w:t xml:space="preserve"> describes the population in terms of sex, race, ethnicity, and diagnoses, detailing the numbers of residents </w:t>
      </w:r>
      <w:r w:rsidR="00C4236D" w:rsidRPr="00911C4F">
        <w:rPr>
          <w:rFonts w:cstheme="minorBidi"/>
        </w:rPr>
        <w:t>of different characteristics and the percent of residents (as a proportion of the number of residents who were assessed on the given characteristic) with different characteristics.</w:t>
      </w:r>
      <w:r w:rsidR="00AC7489" w:rsidRPr="005024A0">
        <w:rPr>
          <w:rFonts w:cstheme="minorBidi"/>
        </w:rPr>
        <w:t xml:space="preserve"> Of all residents counted in the denominat</w:t>
      </w:r>
      <w:r w:rsidR="00AC7489" w:rsidRPr="00911C4F">
        <w:rPr>
          <w:rFonts w:cstheme="minorBidi"/>
        </w:rPr>
        <w:t xml:space="preserve">or, </w:t>
      </w:r>
      <w:r w:rsidR="0085359D" w:rsidRPr="0085359D">
        <w:t>67.15</w:t>
      </w:r>
      <w:r w:rsidR="00C4236D" w:rsidRPr="00911C4F">
        <w:rPr>
          <w:rFonts w:cstheme="minorBidi"/>
        </w:rPr>
        <w:t xml:space="preserve">% of residents </w:t>
      </w:r>
      <w:r w:rsidR="0085359D" w:rsidRPr="00911C4F">
        <w:rPr>
          <w:rFonts w:cstheme="minorBidi"/>
        </w:rPr>
        <w:t>were female, 75.</w:t>
      </w:r>
      <w:r w:rsidR="008D1BD6">
        <w:rPr>
          <w:rFonts w:cstheme="minorBidi"/>
        </w:rPr>
        <w:t>74</w:t>
      </w:r>
      <w:r w:rsidR="00C4236D" w:rsidRPr="00911C4F">
        <w:rPr>
          <w:rFonts w:cstheme="minorBidi"/>
        </w:rPr>
        <w:t xml:space="preserve">% </w:t>
      </w:r>
      <w:r w:rsidR="0085359D" w:rsidRPr="00911C4F">
        <w:rPr>
          <w:rFonts w:cstheme="minorBidi"/>
        </w:rPr>
        <w:t>white, 5.28</w:t>
      </w:r>
      <w:r w:rsidR="00C4236D" w:rsidRPr="00911C4F">
        <w:rPr>
          <w:rFonts w:cstheme="minorBidi"/>
        </w:rPr>
        <w:t xml:space="preserve">% Hispanic, </w:t>
      </w:r>
      <w:r w:rsidR="00C5305C" w:rsidRPr="00911C4F">
        <w:rPr>
          <w:rFonts w:cstheme="minorBidi"/>
        </w:rPr>
        <w:t xml:space="preserve">and </w:t>
      </w:r>
      <w:r w:rsidR="00C4236D" w:rsidRPr="00911C4F">
        <w:rPr>
          <w:rFonts w:cstheme="minorBidi"/>
        </w:rPr>
        <w:t>69.</w:t>
      </w:r>
      <w:r w:rsidR="0085359D" w:rsidRPr="00911C4F">
        <w:rPr>
          <w:rFonts w:cstheme="minorBidi"/>
        </w:rPr>
        <w:t>43</w:t>
      </w:r>
      <w:r w:rsidR="00C4236D" w:rsidRPr="00911C4F">
        <w:rPr>
          <w:rFonts w:cstheme="minorBidi"/>
        </w:rPr>
        <w:t>% were dual-eligible for Medicaid and Medicare</w:t>
      </w:r>
      <w:r w:rsidR="00C5305C" w:rsidRPr="00911C4F">
        <w:rPr>
          <w:rFonts w:cstheme="minorBidi"/>
        </w:rPr>
        <w:t xml:space="preserve">. </w:t>
      </w:r>
      <w:r w:rsidR="00C4236D" w:rsidRPr="00911C4F">
        <w:rPr>
          <w:rFonts w:cstheme="minorBidi"/>
        </w:rPr>
        <w:t>4</w:t>
      </w:r>
      <w:r w:rsidR="0085359D" w:rsidRPr="00911C4F">
        <w:rPr>
          <w:rFonts w:cstheme="minorBidi"/>
        </w:rPr>
        <w:t>3.05</w:t>
      </w:r>
      <w:r w:rsidR="00C4236D" w:rsidRPr="00911C4F">
        <w:rPr>
          <w:rFonts w:cstheme="minorBidi"/>
        </w:rPr>
        <w:t xml:space="preserve">% were over age </w:t>
      </w:r>
      <w:r w:rsidR="00357C62" w:rsidRPr="00911C4F">
        <w:rPr>
          <w:rFonts w:cstheme="minorBidi"/>
        </w:rPr>
        <w:t>85</w:t>
      </w:r>
      <w:r w:rsidR="00311355" w:rsidRPr="00911C4F">
        <w:rPr>
          <w:rFonts w:cstheme="minorBidi"/>
        </w:rPr>
        <w:t>, 64.</w:t>
      </w:r>
      <w:r w:rsidR="008D1BD6">
        <w:rPr>
          <w:rFonts w:cstheme="minorBidi"/>
        </w:rPr>
        <w:t>42</w:t>
      </w:r>
      <w:r w:rsidR="00C4236D" w:rsidRPr="00911C4F">
        <w:rPr>
          <w:rFonts w:cstheme="minorBidi"/>
        </w:rPr>
        <w:t>% had dementia</w:t>
      </w:r>
      <w:r w:rsidR="00E9163B" w:rsidRPr="00911C4F">
        <w:rPr>
          <w:rFonts w:cstheme="minorBidi"/>
        </w:rPr>
        <w:t>, 75.</w:t>
      </w:r>
      <w:r w:rsidR="0085359D" w:rsidRPr="005024A0">
        <w:rPr>
          <w:rFonts w:cstheme="minorBidi"/>
        </w:rPr>
        <w:t>07</w:t>
      </w:r>
      <w:r w:rsidR="00E9163B" w:rsidRPr="005024A0">
        <w:rPr>
          <w:rFonts w:cstheme="minorBidi"/>
        </w:rPr>
        <w:t>% had hypertension, 33.4</w:t>
      </w:r>
      <w:r w:rsidR="005E23F6" w:rsidRPr="005024A0">
        <w:rPr>
          <w:rFonts w:cstheme="minorBidi"/>
        </w:rPr>
        <w:t>5</w:t>
      </w:r>
      <w:r w:rsidR="00E9163B" w:rsidRPr="005024A0">
        <w:rPr>
          <w:rFonts w:cstheme="minorBidi"/>
        </w:rPr>
        <w:t>% had diabetes mellitus, and 52.8</w:t>
      </w:r>
      <w:r w:rsidR="005E23F6" w:rsidRPr="005024A0">
        <w:rPr>
          <w:rFonts w:cstheme="minorBidi"/>
        </w:rPr>
        <w:t>6</w:t>
      </w:r>
      <w:r w:rsidR="00E9163B" w:rsidRPr="005024A0">
        <w:rPr>
          <w:rFonts w:cstheme="minorBidi"/>
        </w:rPr>
        <w:t>% had depression</w:t>
      </w:r>
      <w:r w:rsidR="00C4236D" w:rsidRPr="005024A0">
        <w:rPr>
          <w:rFonts w:cstheme="minorBidi"/>
        </w:rPr>
        <w:t>.</w:t>
      </w:r>
    </w:p>
    <w:p w14:paraId="4C6C2F57" w14:textId="4A8EB0DF" w:rsidR="00900660" w:rsidRPr="00900660" w:rsidRDefault="00900660" w:rsidP="00911C4F">
      <w:pPr>
        <w:pStyle w:val="Response"/>
        <w:spacing w:after="0"/>
        <w:ind w:left="360" w:hanging="360"/>
        <w:jc w:val="center"/>
        <w:rPr>
          <w:rFonts w:cstheme="minorBidi"/>
          <w:b/>
        </w:rPr>
      </w:pPr>
      <w:r w:rsidRPr="00900660">
        <w:rPr>
          <w:rFonts w:cstheme="minorBidi"/>
          <w:b/>
        </w:rPr>
        <w:t xml:space="preserve">Table </w:t>
      </w:r>
      <w:r w:rsidR="00911C4F">
        <w:rPr>
          <w:rFonts w:cstheme="minorBidi"/>
          <w:b/>
        </w:rPr>
        <w:t>1</w:t>
      </w:r>
      <w:r w:rsidRPr="00900660">
        <w:rPr>
          <w:rFonts w:cstheme="minorBidi"/>
          <w:b/>
        </w:rPr>
        <w:t>.</w:t>
      </w:r>
    </w:p>
    <w:p w14:paraId="79963C5B" w14:textId="0C5CB1BD" w:rsidR="00900660" w:rsidRPr="00900660" w:rsidRDefault="005024A0" w:rsidP="00900660">
      <w:pPr>
        <w:pStyle w:val="Response"/>
        <w:spacing w:before="0"/>
        <w:ind w:left="360" w:hanging="360"/>
        <w:jc w:val="center"/>
        <w:rPr>
          <w:rFonts w:cstheme="minorBidi"/>
          <w:b/>
        </w:rPr>
      </w:pPr>
      <w:r>
        <w:rPr>
          <w:b/>
        </w:rPr>
        <w:t xml:space="preserve">Characteristics of Long-Stay </w:t>
      </w:r>
      <w:r w:rsidRPr="003714E7">
        <w:rPr>
          <w:b/>
        </w:rPr>
        <w:t>Resident</w:t>
      </w:r>
      <w:r>
        <w:rPr>
          <w:b/>
        </w:rPr>
        <w:t>s</w:t>
      </w:r>
      <w:r w:rsidRPr="003714E7">
        <w:rPr>
          <w:b/>
        </w:rPr>
        <w:t xml:space="preserve"> </w:t>
      </w:r>
      <w:r>
        <w:rPr>
          <w:b/>
        </w:rPr>
        <w:t>Included in Analyses of NQF #0689 (Quarter 2 2014)</w:t>
      </w:r>
    </w:p>
    <w:tbl>
      <w:tblPr>
        <w:tblW w:w="7530" w:type="dxa"/>
        <w:jc w:val="center"/>
        <w:tblLook w:val="04A0" w:firstRow="1" w:lastRow="0" w:firstColumn="1" w:lastColumn="0" w:noHBand="0" w:noVBand="1"/>
      </w:tblPr>
      <w:tblGrid>
        <w:gridCol w:w="4033"/>
        <w:gridCol w:w="1807"/>
        <w:gridCol w:w="1690"/>
      </w:tblGrid>
      <w:tr w:rsidR="00900660" w:rsidRPr="00911C4F" w14:paraId="4C0F118D" w14:textId="77777777" w:rsidTr="005024A0">
        <w:trPr>
          <w:trHeight w:val="705"/>
          <w:jc w:val="center"/>
        </w:trPr>
        <w:tc>
          <w:tcPr>
            <w:tcW w:w="4033" w:type="dxa"/>
            <w:tcBorders>
              <w:top w:val="single" w:sz="12" w:space="0" w:color="auto"/>
              <w:left w:val="nil"/>
              <w:bottom w:val="single" w:sz="4" w:space="0" w:color="auto"/>
              <w:right w:val="nil"/>
            </w:tcBorders>
            <w:shd w:val="clear" w:color="auto" w:fill="auto"/>
            <w:vAlign w:val="bottom"/>
            <w:hideMark/>
          </w:tcPr>
          <w:p w14:paraId="299B9E5D" w14:textId="77777777" w:rsidR="00651AB7" w:rsidRPr="00911C4F" w:rsidRDefault="00651AB7" w:rsidP="00651AB7">
            <w:pPr>
              <w:spacing w:after="0" w:line="240" w:lineRule="auto"/>
              <w:rPr>
                <w:rFonts w:eastAsia="Times New Roman" w:cs="Times New Roman"/>
                <w:color w:val="0000FF"/>
              </w:rPr>
            </w:pPr>
            <w:r w:rsidRPr="00911C4F">
              <w:rPr>
                <w:rFonts w:eastAsia="Times New Roman" w:cs="Times New Roman"/>
                <w:color w:val="0000FF"/>
              </w:rPr>
              <w:t>Characteristic</w:t>
            </w:r>
          </w:p>
        </w:tc>
        <w:tc>
          <w:tcPr>
            <w:tcW w:w="1807" w:type="dxa"/>
            <w:tcBorders>
              <w:top w:val="single" w:sz="12" w:space="0" w:color="auto"/>
              <w:left w:val="nil"/>
              <w:bottom w:val="single" w:sz="4" w:space="0" w:color="auto"/>
              <w:right w:val="nil"/>
            </w:tcBorders>
            <w:shd w:val="clear" w:color="auto" w:fill="auto"/>
            <w:vAlign w:val="bottom"/>
            <w:hideMark/>
          </w:tcPr>
          <w:p w14:paraId="52171F24" w14:textId="5B1B633F" w:rsidR="00651AB7" w:rsidRPr="00911C4F" w:rsidRDefault="00651AB7" w:rsidP="005024A0">
            <w:pPr>
              <w:spacing w:after="0" w:line="240" w:lineRule="auto"/>
              <w:jc w:val="center"/>
              <w:rPr>
                <w:rFonts w:eastAsia="Times New Roman" w:cs="Times New Roman"/>
                <w:color w:val="0000FF"/>
              </w:rPr>
            </w:pPr>
            <w:r w:rsidRPr="00911C4F">
              <w:rPr>
                <w:rFonts w:eastAsia="Times New Roman" w:cs="Times New Roman"/>
                <w:color w:val="0000FF"/>
              </w:rPr>
              <w:t xml:space="preserve">Number </w:t>
            </w:r>
          </w:p>
        </w:tc>
        <w:tc>
          <w:tcPr>
            <w:tcW w:w="1690" w:type="dxa"/>
            <w:tcBorders>
              <w:top w:val="single" w:sz="12" w:space="0" w:color="auto"/>
              <w:left w:val="nil"/>
              <w:bottom w:val="single" w:sz="4" w:space="0" w:color="auto"/>
              <w:right w:val="nil"/>
            </w:tcBorders>
            <w:shd w:val="clear" w:color="auto" w:fill="auto"/>
            <w:vAlign w:val="bottom"/>
            <w:hideMark/>
          </w:tcPr>
          <w:p w14:paraId="5C127B3F" w14:textId="44BB3B95" w:rsidR="00651AB7" w:rsidRPr="00911C4F" w:rsidRDefault="00651AB7" w:rsidP="005024A0">
            <w:pPr>
              <w:spacing w:after="0" w:line="240" w:lineRule="auto"/>
              <w:jc w:val="center"/>
              <w:rPr>
                <w:rFonts w:eastAsia="Times New Roman" w:cs="Times New Roman"/>
                <w:color w:val="0000FF"/>
              </w:rPr>
            </w:pPr>
            <w:r w:rsidRPr="00911C4F">
              <w:rPr>
                <w:rFonts w:eastAsia="Times New Roman" w:cs="Times New Roman"/>
                <w:color w:val="0000FF"/>
              </w:rPr>
              <w:t>Percent</w:t>
            </w:r>
            <w:r w:rsidRPr="00911C4F">
              <w:rPr>
                <w:rFonts w:eastAsia="Times New Roman" w:cs="Times New Roman"/>
                <w:color w:val="0000FF"/>
                <w:vertAlign w:val="superscript"/>
              </w:rPr>
              <w:t>1</w:t>
            </w:r>
          </w:p>
        </w:tc>
      </w:tr>
      <w:tr w:rsidR="00900660" w:rsidRPr="00911C4F" w14:paraId="7F166CC2" w14:textId="77777777" w:rsidTr="005024A0">
        <w:trPr>
          <w:trHeight w:val="315"/>
          <w:jc w:val="center"/>
        </w:trPr>
        <w:tc>
          <w:tcPr>
            <w:tcW w:w="4033" w:type="dxa"/>
            <w:tcBorders>
              <w:top w:val="nil"/>
              <w:left w:val="nil"/>
              <w:bottom w:val="nil"/>
              <w:right w:val="nil"/>
            </w:tcBorders>
            <w:shd w:val="clear" w:color="auto" w:fill="auto"/>
            <w:hideMark/>
          </w:tcPr>
          <w:p w14:paraId="79213D1D" w14:textId="77777777" w:rsidR="00651AB7" w:rsidRPr="00911C4F" w:rsidRDefault="00651AB7" w:rsidP="00651AB7">
            <w:pPr>
              <w:spacing w:after="0" w:line="240" w:lineRule="auto"/>
              <w:rPr>
                <w:rFonts w:eastAsia="Times New Roman" w:cs="Times New Roman"/>
                <w:color w:val="0000FF"/>
              </w:rPr>
            </w:pPr>
            <w:r w:rsidRPr="00911C4F">
              <w:rPr>
                <w:rFonts w:eastAsia="Times New Roman" w:cs="Times New Roman"/>
                <w:color w:val="0000FF"/>
              </w:rPr>
              <w:t>Sex</w:t>
            </w:r>
          </w:p>
        </w:tc>
        <w:tc>
          <w:tcPr>
            <w:tcW w:w="1807" w:type="dxa"/>
            <w:tcBorders>
              <w:top w:val="nil"/>
              <w:left w:val="nil"/>
              <w:bottom w:val="nil"/>
              <w:right w:val="nil"/>
            </w:tcBorders>
            <w:shd w:val="clear" w:color="auto" w:fill="auto"/>
            <w:hideMark/>
          </w:tcPr>
          <w:p w14:paraId="0B327B26" w14:textId="77777777" w:rsidR="00651AB7" w:rsidRPr="00911C4F" w:rsidRDefault="00651AB7" w:rsidP="00651AB7">
            <w:pPr>
              <w:spacing w:after="0" w:line="240" w:lineRule="auto"/>
              <w:rPr>
                <w:rFonts w:eastAsia="Times New Roman" w:cs="Times New Roman"/>
                <w:color w:val="0000FF"/>
              </w:rPr>
            </w:pPr>
          </w:p>
        </w:tc>
        <w:tc>
          <w:tcPr>
            <w:tcW w:w="1690" w:type="dxa"/>
            <w:tcBorders>
              <w:top w:val="nil"/>
              <w:left w:val="nil"/>
              <w:bottom w:val="nil"/>
              <w:right w:val="nil"/>
            </w:tcBorders>
            <w:shd w:val="clear" w:color="auto" w:fill="auto"/>
            <w:noWrap/>
            <w:hideMark/>
          </w:tcPr>
          <w:p w14:paraId="2AAB0CCA" w14:textId="77777777" w:rsidR="00651AB7" w:rsidRPr="00911C4F" w:rsidRDefault="00651AB7" w:rsidP="00651AB7">
            <w:pPr>
              <w:spacing w:after="0" w:line="240" w:lineRule="auto"/>
              <w:jc w:val="right"/>
              <w:rPr>
                <w:rFonts w:eastAsia="Times New Roman" w:cs="Times New Roman"/>
                <w:color w:val="0000FF"/>
              </w:rPr>
            </w:pPr>
          </w:p>
        </w:tc>
      </w:tr>
      <w:tr w:rsidR="00601987" w:rsidRPr="00911C4F" w14:paraId="37E6E2E9" w14:textId="77777777" w:rsidTr="005024A0">
        <w:trPr>
          <w:trHeight w:val="315"/>
          <w:jc w:val="center"/>
        </w:trPr>
        <w:tc>
          <w:tcPr>
            <w:tcW w:w="4033" w:type="dxa"/>
            <w:tcBorders>
              <w:top w:val="nil"/>
              <w:left w:val="nil"/>
              <w:bottom w:val="nil"/>
              <w:right w:val="nil"/>
            </w:tcBorders>
            <w:shd w:val="clear" w:color="auto" w:fill="auto"/>
            <w:hideMark/>
          </w:tcPr>
          <w:p w14:paraId="1A574457" w14:textId="77777777" w:rsidR="00601987" w:rsidRPr="00911C4F" w:rsidRDefault="00601987" w:rsidP="00601987">
            <w:pPr>
              <w:spacing w:after="0" w:line="240" w:lineRule="auto"/>
              <w:ind w:firstLineChars="100" w:firstLine="220"/>
              <w:rPr>
                <w:rFonts w:eastAsia="Times New Roman" w:cs="Times New Roman"/>
                <w:color w:val="0000FF"/>
              </w:rPr>
            </w:pPr>
            <w:r w:rsidRPr="00911C4F">
              <w:rPr>
                <w:rFonts w:eastAsia="Times New Roman" w:cs="Times New Roman"/>
                <w:color w:val="0000FF"/>
              </w:rPr>
              <w:t>Female</w:t>
            </w:r>
          </w:p>
        </w:tc>
        <w:tc>
          <w:tcPr>
            <w:tcW w:w="1807" w:type="dxa"/>
            <w:tcBorders>
              <w:top w:val="nil"/>
              <w:left w:val="nil"/>
              <w:bottom w:val="nil"/>
              <w:right w:val="nil"/>
            </w:tcBorders>
            <w:shd w:val="clear" w:color="auto" w:fill="auto"/>
            <w:hideMark/>
          </w:tcPr>
          <w:p w14:paraId="20E58CCF" w14:textId="51F4CA93" w:rsidR="00601987" w:rsidRPr="00911C4F" w:rsidRDefault="00601987" w:rsidP="00601987">
            <w:pPr>
              <w:spacing w:after="0" w:line="240" w:lineRule="auto"/>
              <w:jc w:val="right"/>
              <w:rPr>
                <w:rFonts w:eastAsia="Times New Roman" w:cs="Times New Roman"/>
                <w:color w:val="0000FF"/>
              </w:rPr>
            </w:pPr>
            <w:r w:rsidRPr="00911C4F">
              <w:rPr>
                <w:rFonts w:eastAsia="Times New Roman" w:cs="Times New Roman"/>
                <w:color w:val="0000FF"/>
              </w:rPr>
              <w:t>778,699</w:t>
            </w:r>
          </w:p>
        </w:tc>
        <w:tc>
          <w:tcPr>
            <w:tcW w:w="1690" w:type="dxa"/>
            <w:tcBorders>
              <w:top w:val="nil"/>
              <w:left w:val="nil"/>
              <w:bottom w:val="nil"/>
              <w:right w:val="nil"/>
            </w:tcBorders>
            <w:shd w:val="clear" w:color="auto" w:fill="auto"/>
            <w:noWrap/>
            <w:hideMark/>
          </w:tcPr>
          <w:p w14:paraId="21579474" w14:textId="6B4EA0C6" w:rsidR="00601987" w:rsidRPr="00911C4F" w:rsidRDefault="00601987" w:rsidP="00601987">
            <w:pPr>
              <w:spacing w:after="0" w:line="240" w:lineRule="auto"/>
              <w:jc w:val="right"/>
              <w:rPr>
                <w:rFonts w:eastAsia="Times New Roman" w:cs="Times New Roman"/>
                <w:color w:val="0000FF"/>
              </w:rPr>
            </w:pPr>
            <w:r w:rsidRPr="00911C4F">
              <w:rPr>
                <w:rFonts w:eastAsia="Times New Roman" w:cs="Times New Roman"/>
                <w:color w:val="0000FF"/>
              </w:rPr>
              <w:t>67.15</w:t>
            </w:r>
          </w:p>
        </w:tc>
      </w:tr>
      <w:tr w:rsidR="00601987" w:rsidRPr="00911C4F" w14:paraId="2E02DC72" w14:textId="77777777" w:rsidTr="005024A0">
        <w:trPr>
          <w:trHeight w:val="315"/>
          <w:jc w:val="center"/>
        </w:trPr>
        <w:tc>
          <w:tcPr>
            <w:tcW w:w="4033" w:type="dxa"/>
            <w:tcBorders>
              <w:top w:val="nil"/>
              <w:left w:val="nil"/>
              <w:bottom w:val="nil"/>
              <w:right w:val="nil"/>
            </w:tcBorders>
            <w:shd w:val="clear" w:color="auto" w:fill="auto"/>
            <w:hideMark/>
          </w:tcPr>
          <w:p w14:paraId="2F9BC409" w14:textId="77777777" w:rsidR="00601987" w:rsidRPr="00911C4F" w:rsidRDefault="00601987" w:rsidP="00601987">
            <w:pPr>
              <w:spacing w:after="0" w:line="240" w:lineRule="auto"/>
              <w:ind w:firstLineChars="100" w:firstLine="220"/>
              <w:rPr>
                <w:rFonts w:eastAsia="Times New Roman" w:cs="Times New Roman"/>
                <w:color w:val="0000FF"/>
              </w:rPr>
            </w:pPr>
            <w:r w:rsidRPr="00911C4F">
              <w:rPr>
                <w:rFonts w:eastAsia="Times New Roman" w:cs="Times New Roman"/>
                <w:color w:val="0000FF"/>
              </w:rPr>
              <w:t>Male</w:t>
            </w:r>
          </w:p>
        </w:tc>
        <w:tc>
          <w:tcPr>
            <w:tcW w:w="1807" w:type="dxa"/>
            <w:tcBorders>
              <w:top w:val="nil"/>
              <w:left w:val="nil"/>
              <w:bottom w:val="nil"/>
              <w:right w:val="nil"/>
            </w:tcBorders>
            <w:shd w:val="clear" w:color="auto" w:fill="auto"/>
            <w:hideMark/>
          </w:tcPr>
          <w:p w14:paraId="05BC5A60" w14:textId="77C01684" w:rsidR="00601987" w:rsidRPr="00911C4F" w:rsidRDefault="00601987" w:rsidP="00601987">
            <w:pPr>
              <w:spacing w:after="0" w:line="240" w:lineRule="auto"/>
              <w:jc w:val="right"/>
              <w:rPr>
                <w:rFonts w:eastAsia="Times New Roman" w:cs="Times New Roman"/>
                <w:color w:val="0000FF"/>
              </w:rPr>
            </w:pPr>
            <w:r w:rsidRPr="00911C4F">
              <w:rPr>
                <w:rFonts w:eastAsia="Times New Roman" w:cs="Times New Roman"/>
                <w:color w:val="0000FF"/>
              </w:rPr>
              <w:t>380,981</w:t>
            </w:r>
          </w:p>
        </w:tc>
        <w:tc>
          <w:tcPr>
            <w:tcW w:w="1690" w:type="dxa"/>
            <w:tcBorders>
              <w:top w:val="nil"/>
              <w:left w:val="nil"/>
              <w:bottom w:val="nil"/>
              <w:right w:val="nil"/>
            </w:tcBorders>
            <w:shd w:val="clear" w:color="auto" w:fill="auto"/>
            <w:noWrap/>
            <w:hideMark/>
          </w:tcPr>
          <w:p w14:paraId="25E3C4D5" w14:textId="154A4C61" w:rsidR="00601987" w:rsidRPr="00911C4F" w:rsidRDefault="00601987" w:rsidP="00601987">
            <w:pPr>
              <w:spacing w:after="0" w:line="240" w:lineRule="auto"/>
              <w:jc w:val="right"/>
              <w:rPr>
                <w:rFonts w:eastAsia="Times New Roman" w:cs="Times New Roman"/>
                <w:color w:val="0000FF"/>
              </w:rPr>
            </w:pPr>
            <w:r w:rsidRPr="00911C4F">
              <w:rPr>
                <w:rFonts w:eastAsia="Times New Roman" w:cs="Times New Roman"/>
                <w:color w:val="0000FF"/>
              </w:rPr>
              <w:t>32.85</w:t>
            </w:r>
          </w:p>
        </w:tc>
      </w:tr>
      <w:tr w:rsidR="00900660" w:rsidRPr="00911C4F" w14:paraId="74C43FB8" w14:textId="77777777" w:rsidTr="005024A0">
        <w:trPr>
          <w:trHeight w:val="315"/>
          <w:jc w:val="center"/>
        </w:trPr>
        <w:tc>
          <w:tcPr>
            <w:tcW w:w="4033" w:type="dxa"/>
            <w:tcBorders>
              <w:top w:val="nil"/>
              <w:left w:val="nil"/>
              <w:bottom w:val="nil"/>
              <w:right w:val="nil"/>
            </w:tcBorders>
            <w:shd w:val="clear" w:color="auto" w:fill="auto"/>
            <w:hideMark/>
          </w:tcPr>
          <w:p w14:paraId="3ECFDCAD" w14:textId="77777777" w:rsidR="00651AB7" w:rsidRPr="00911C4F" w:rsidRDefault="00651AB7" w:rsidP="00651AB7">
            <w:pPr>
              <w:spacing w:after="0" w:line="240" w:lineRule="auto"/>
              <w:rPr>
                <w:rFonts w:eastAsia="Times New Roman" w:cs="Times New Roman"/>
                <w:color w:val="0000FF"/>
              </w:rPr>
            </w:pPr>
            <w:r w:rsidRPr="00911C4F">
              <w:rPr>
                <w:rFonts w:eastAsia="Times New Roman" w:cs="Times New Roman"/>
                <w:color w:val="0000FF"/>
              </w:rPr>
              <w:t>Race</w:t>
            </w:r>
          </w:p>
        </w:tc>
        <w:tc>
          <w:tcPr>
            <w:tcW w:w="1807" w:type="dxa"/>
            <w:tcBorders>
              <w:top w:val="nil"/>
              <w:left w:val="nil"/>
              <w:bottom w:val="nil"/>
              <w:right w:val="nil"/>
            </w:tcBorders>
            <w:shd w:val="clear" w:color="auto" w:fill="auto"/>
            <w:hideMark/>
          </w:tcPr>
          <w:p w14:paraId="4751BBD4" w14:textId="77777777" w:rsidR="00651AB7" w:rsidRPr="00911C4F" w:rsidRDefault="00651AB7" w:rsidP="005E23F6">
            <w:pPr>
              <w:spacing w:after="0" w:line="240" w:lineRule="auto"/>
              <w:jc w:val="right"/>
              <w:rPr>
                <w:rFonts w:eastAsia="Times New Roman" w:cs="Times New Roman"/>
                <w:color w:val="0000FF"/>
              </w:rPr>
            </w:pPr>
          </w:p>
        </w:tc>
        <w:tc>
          <w:tcPr>
            <w:tcW w:w="1690" w:type="dxa"/>
            <w:tcBorders>
              <w:top w:val="nil"/>
              <w:left w:val="nil"/>
              <w:bottom w:val="nil"/>
              <w:right w:val="nil"/>
            </w:tcBorders>
            <w:shd w:val="clear" w:color="auto" w:fill="auto"/>
            <w:noWrap/>
            <w:hideMark/>
          </w:tcPr>
          <w:p w14:paraId="259F8BD5" w14:textId="77777777" w:rsidR="00651AB7" w:rsidRPr="00911C4F" w:rsidRDefault="00651AB7" w:rsidP="005E23F6">
            <w:pPr>
              <w:spacing w:after="0" w:line="240" w:lineRule="auto"/>
              <w:jc w:val="right"/>
              <w:rPr>
                <w:rFonts w:eastAsia="Times New Roman" w:cs="Times New Roman"/>
                <w:color w:val="0000FF"/>
              </w:rPr>
            </w:pPr>
          </w:p>
        </w:tc>
      </w:tr>
      <w:tr w:rsidR="00900660" w:rsidRPr="00911C4F" w14:paraId="1DDCE210" w14:textId="77777777" w:rsidTr="005024A0">
        <w:trPr>
          <w:trHeight w:val="315"/>
          <w:jc w:val="center"/>
        </w:trPr>
        <w:tc>
          <w:tcPr>
            <w:tcW w:w="4033" w:type="dxa"/>
            <w:tcBorders>
              <w:top w:val="nil"/>
              <w:left w:val="nil"/>
              <w:bottom w:val="nil"/>
              <w:right w:val="nil"/>
            </w:tcBorders>
            <w:shd w:val="clear" w:color="auto" w:fill="auto"/>
            <w:hideMark/>
          </w:tcPr>
          <w:p w14:paraId="27CD71C7" w14:textId="6772FC7D" w:rsidR="00651AB7" w:rsidRPr="00911C4F" w:rsidRDefault="00651AB7" w:rsidP="00FE56BD">
            <w:pPr>
              <w:spacing w:after="0" w:line="240" w:lineRule="auto"/>
              <w:ind w:firstLineChars="100" w:firstLine="220"/>
              <w:rPr>
                <w:rFonts w:eastAsia="Times New Roman" w:cs="Times New Roman"/>
                <w:color w:val="0000FF"/>
              </w:rPr>
            </w:pPr>
            <w:r w:rsidRPr="00911C4F">
              <w:rPr>
                <w:rFonts w:eastAsia="Times New Roman" w:cs="Times New Roman"/>
                <w:color w:val="0000FF"/>
              </w:rPr>
              <w:t xml:space="preserve">White </w:t>
            </w:r>
          </w:p>
        </w:tc>
        <w:tc>
          <w:tcPr>
            <w:tcW w:w="1807" w:type="dxa"/>
            <w:tcBorders>
              <w:top w:val="nil"/>
              <w:left w:val="nil"/>
              <w:bottom w:val="nil"/>
              <w:right w:val="nil"/>
            </w:tcBorders>
            <w:shd w:val="clear" w:color="auto" w:fill="auto"/>
            <w:hideMark/>
          </w:tcPr>
          <w:p w14:paraId="0F92A38E" w14:textId="77777777" w:rsidR="00651AB7" w:rsidRPr="00911C4F" w:rsidRDefault="00651AB7" w:rsidP="00651AB7">
            <w:pPr>
              <w:spacing w:after="0" w:line="240" w:lineRule="auto"/>
              <w:jc w:val="right"/>
              <w:rPr>
                <w:rFonts w:eastAsia="Times New Roman" w:cs="Times New Roman"/>
                <w:color w:val="0000FF"/>
              </w:rPr>
            </w:pPr>
            <w:r w:rsidRPr="00911C4F">
              <w:rPr>
                <w:rFonts w:eastAsia="Times New Roman" w:cs="Times New Roman"/>
                <w:color w:val="0000FF"/>
              </w:rPr>
              <w:t>882,139</w:t>
            </w:r>
          </w:p>
        </w:tc>
        <w:tc>
          <w:tcPr>
            <w:tcW w:w="1690" w:type="dxa"/>
            <w:tcBorders>
              <w:top w:val="nil"/>
              <w:left w:val="nil"/>
              <w:bottom w:val="nil"/>
              <w:right w:val="nil"/>
            </w:tcBorders>
            <w:shd w:val="clear" w:color="auto" w:fill="auto"/>
            <w:noWrap/>
            <w:hideMark/>
          </w:tcPr>
          <w:p w14:paraId="07994446" w14:textId="77777777" w:rsidR="00651AB7" w:rsidRPr="00911C4F" w:rsidRDefault="00651AB7" w:rsidP="00651AB7">
            <w:pPr>
              <w:spacing w:after="0" w:line="240" w:lineRule="auto"/>
              <w:jc w:val="right"/>
              <w:rPr>
                <w:rFonts w:eastAsia="Times New Roman" w:cs="Times New Roman"/>
                <w:color w:val="0000FF"/>
              </w:rPr>
            </w:pPr>
            <w:r w:rsidRPr="00911C4F">
              <w:rPr>
                <w:rFonts w:eastAsia="Times New Roman" w:cs="Times New Roman"/>
                <w:color w:val="0000FF"/>
              </w:rPr>
              <w:t>75.74</w:t>
            </w:r>
          </w:p>
        </w:tc>
      </w:tr>
      <w:tr w:rsidR="0085359D" w:rsidRPr="00911C4F" w14:paraId="36E49015" w14:textId="77777777" w:rsidTr="005024A0">
        <w:trPr>
          <w:trHeight w:val="315"/>
          <w:jc w:val="center"/>
        </w:trPr>
        <w:tc>
          <w:tcPr>
            <w:tcW w:w="4033" w:type="dxa"/>
            <w:tcBorders>
              <w:top w:val="nil"/>
              <w:left w:val="nil"/>
              <w:bottom w:val="nil"/>
              <w:right w:val="nil"/>
            </w:tcBorders>
            <w:shd w:val="clear" w:color="auto" w:fill="auto"/>
            <w:hideMark/>
          </w:tcPr>
          <w:p w14:paraId="3DD92EDE" w14:textId="414D425E"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Non-white</w:t>
            </w:r>
          </w:p>
        </w:tc>
        <w:tc>
          <w:tcPr>
            <w:tcW w:w="1807" w:type="dxa"/>
            <w:tcBorders>
              <w:top w:val="nil"/>
              <w:left w:val="nil"/>
              <w:bottom w:val="nil"/>
              <w:right w:val="nil"/>
            </w:tcBorders>
            <w:shd w:val="clear" w:color="auto" w:fill="auto"/>
            <w:vAlign w:val="bottom"/>
            <w:hideMark/>
          </w:tcPr>
          <w:p w14:paraId="4FE7D72F" w14:textId="7784F9D3"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278,492</w:t>
            </w:r>
          </w:p>
        </w:tc>
        <w:tc>
          <w:tcPr>
            <w:tcW w:w="1690" w:type="dxa"/>
            <w:tcBorders>
              <w:top w:val="nil"/>
              <w:left w:val="nil"/>
              <w:bottom w:val="nil"/>
              <w:right w:val="nil"/>
            </w:tcBorders>
            <w:shd w:val="clear" w:color="auto" w:fill="auto"/>
            <w:noWrap/>
            <w:vAlign w:val="bottom"/>
            <w:hideMark/>
          </w:tcPr>
          <w:p w14:paraId="0C370C6E" w14:textId="62925BA2"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24.01</w:t>
            </w:r>
          </w:p>
        </w:tc>
      </w:tr>
      <w:tr w:rsidR="0085359D" w:rsidRPr="00911C4F" w14:paraId="08DB80A5" w14:textId="77777777" w:rsidTr="005024A0">
        <w:trPr>
          <w:trHeight w:val="315"/>
          <w:jc w:val="center"/>
        </w:trPr>
        <w:tc>
          <w:tcPr>
            <w:tcW w:w="4033" w:type="dxa"/>
            <w:tcBorders>
              <w:top w:val="nil"/>
              <w:left w:val="nil"/>
              <w:bottom w:val="nil"/>
              <w:right w:val="nil"/>
            </w:tcBorders>
            <w:shd w:val="clear" w:color="auto" w:fill="auto"/>
            <w:hideMark/>
          </w:tcPr>
          <w:p w14:paraId="3281E9EF"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Missing</w:t>
            </w:r>
          </w:p>
        </w:tc>
        <w:tc>
          <w:tcPr>
            <w:tcW w:w="1807" w:type="dxa"/>
            <w:tcBorders>
              <w:top w:val="nil"/>
              <w:left w:val="nil"/>
              <w:bottom w:val="nil"/>
              <w:right w:val="nil"/>
            </w:tcBorders>
            <w:shd w:val="clear" w:color="auto" w:fill="auto"/>
            <w:hideMark/>
          </w:tcPr>
          <w:p w14:paraId="3CF83FB4" w14:textId="372A4912"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623</w:t>
            </w:r>
          </w:p>
        </w:tc>
        <w:tc>
          <w:tcPr>
            <w:tcW w:w="1690" w:type="dxa"/>
            <w:tcBorders>
              <w:top w:val="nil"/>
              <w:left w:val="nil"/>
              <w:bottom w:val="nil"/>
              <w:right w:val="nil"/>
            </w:tcBorders>
            <w:shd w:val="clear" w:color="auto" w:fill="auto"/>
            <w:noWrap/>
            <w:hideMark/>
          </w:tcPr>
          <w:p w14:paraId="1AB0B9FB" w14:textId="3A7F8BFE"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0.05</w:t>
            </w:r>
          </w:p>
        </w:tc>
      </w:tr>
      <w:tr w:rsidR="00900660" w:rsidRPr="00911C4F" w14:paraId="53DB0EF2" w14:textId="77777777" w:rsidTr="005024A0">
        <w:trPr>
          <w:trHeight w:val="315"/>
          <w:jc w:val="center"/>
        </w:trPr>
        <w:tc>
          <w:tcPr>
            <w:tcW w:w="4033" w:type="dxa"/>
            <w:tcBorders>
              <w:top w:val="nil"/>
              <w:left w:val="nil"/>
              <w:bottom w:val="nil"/>
              <w:right w:val="nil"/>
            </w:tcBorders>
            <w:shd w:val="clear" w:color="auto" w:fill="auto"/>
            <w:hideMark/>
          </w:tcPr>
          <w:p w14:paraId="67E2DEBB" w14:textId="77777777" w:rsidR="00651AB7" w:rsidRPr="00911C4F" w:rsidRDefault="00651AB7" w:rsidP="00651AB7">
            <w:pPr>
              <w:spacing w:after="0" w:line="240" w:lineRule="auto"/>
              <w:rPr>
                <w:rFonts w:eastAsia="Times New Roman" w:cs="Times New Roman"/>
                <w:color w:val="0000FF"/>
              </w:rPr>
            </w:pPr>
            <w:r w:rsidRPr="00911C4F">
              <w:rPr>
                <w:rFonts w:eastAsia="Times New Roman" w:cs="Times New Roman"/>
                <w:color w:val="0000FF"/>
              </w:rPr>
              <w:t>Ethnicity</w:t>
            </w:r>
          </w:p>
        </w:tc>
        <w:tc>
          <w:tcPr>
            <w:tcW w:w="1807" w:type="dxa"/>
            <w:tcBorders>
              <w:top w:val="nil"/>
              <w:left w:val="nil"/>
              <w:bottom w:val="nil"/>
              <w:right w:val="nil"/>
            </w:tcBorders>
            <w:shd w:val="clear" w:color="auto" w:fill="auto"/>
            <w:hideMark/>
          </w:tcPr>
          <w:p w14:paraId="05878CE5" w14:textId="77777777" w:rsidR="00651AB7" w:rsidRPr="00911C4F" w:rsidRDefault="00651AB7" w:rsidP="005E23F6">
            <w:pPr>
              <w:spacing w:after="0" w:line="240" w:lineRule="auto"/>
              <w:jc w:val="right"/>
              <w:rPr>
                <w:rFonts w:eastAsia="Times New Roman" w:cs="Times New Roman"/>
                <w:color w:val="0000FF"/>
              </w:rPr>
            </w:pPr>
          </w:p>
        </w:tc>
        <w:tc>
          <w:tcPr>
            <w:tcW w:w="1690" w:type="dxa"/>
            <w:tcBorders>
              <w:top w:val="nil"/>
              <w:left w:val="nil"/>
              <w:bottom w:val="nil"/>
              <w:right w:val="nil"/>
            </w:tcBorders>
            <w:shd w:val="clear" w:color="auto" w:fill="auto"/>
            <w:noWrap/>
            <w:hideMark/>
          </w:tcPr>
          <w:p w14:paraId="3C34E251" w14:textId="77777777" w:rsidR="00651AB7" w:rsidRPr="00911C4F" w:rsidRDefault="00651AB7" w:rsidP="005E23F6">
            <w:pPr>
              <w:spacing w:after="0" w:line="240" w:lineRule="auto"/>
              <w:jc w:val="right"/>
              <w:rPr>
                <w:rFonts w:eastAsia="Times New Roman" w:cs="Times New Roman"/>
                <w:color w:val="0000FF"/>
              </w:rPr>
            </w:pPr>
          </w:p>
        </w:tc>
      </w:tr>
      <w:tr w:rsidR="0085359D" w:rsidRPr="00911C4F" w14:paraId="47514741" w14:textId="77777777" w:rsidTr="005024A0">
        <w:trPr>
          <w:trHeight w:val="315"/>
          <w:jc w:val="center"/>
        </w:trPr>
        <w:tc>
          <w:tcPr>
            <w:tcW w:w="4033" w:type="dxa"/>
            <w:tcBorders>
              <w:top w:val="nil"/>
              <w:left w:val="nil"/>
              <w:bottom w:val="nil"/>
              <w:right w:val="nil"/>
            </w:tcBorders>
            <w:shd w:val="clear" w:color="auto" w:fill="auto"/>
            <w:hideMark/>
          </w:tcPr>
          <w:p w14:paraId="15D94BBC"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Hispanic</w:t>
            </w:r>
          </w:p>
        </w:tc>
        <w:tc>
          <w:tcPr>
            <w:tcW w:w="1807" w:type="dxa"/>
            <w:tcBorders>
              <w:top w:val="nil"/>
              <w:left w:val="nil"/>
              <w:bottom w:val="nil"/>
              <w:right w:val="nil"/>
            </w:tcBorders>
            <w:shd w:val="clear" w:color="auto" w:fill="auto"/>
            <w:hideMark/>
          </w:tcPr>
          <w:p w14:paraId="4C3B1B67" w14:textId="5E9D0286"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61,211</w:t>
            </w:r>
          </w:p>
        </w:tc>
        <w:tc>
          <w:tcPr>
            <w:tcW w:w="1690" w:type="dxa"/>
            <w:tcBorders>
              <w:top w:val="nil"/>
              <w:left w:val="nil"/>
              <w:bottom w:val="nil"/>
              <w:right w:val="nil"/>
            </w:tcBorders>
            <w:shd w:val="clear" w:color="auto" w:fill="auto"/>
            <w:noWrap/>
            <w:hideMark/>
          </w:tcPr>
          <w:p w14:paraId="1297096D" w14:textId="0D9B8BEE"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5.28</w:t>
            </w:r>
          </w:p>
        </w:tc>
      </w:tr>
      <w:tr w:rsidR="0085359D" w:rsidRPr="00911C4F" w14:paraId="48D222A1" w14:textId="77777777" w:rsidTr="005024A0">
        <w:trPr>
          <w:trHeight w:val="315"/>
          <w:jc w:val="center"/>
        </w:trPr>
        <w:tc>
          <w:tcPr>
            <w:tcW w:w="4033" w:type="dxa"/>
            <w:tcBorders>
              <w:top w:val="nil"/>
              <w:left w:val="nil"/>
              <w:bottom w:val="nil"/>
              <w:right w:val="nil"/>
            </w:tcBorders>
            <w:shd w:val="clear" w:color="auto" w:fill="auto"/>
            <w:hideMark/>
          </w:tcPr>
          <w:p w14:paraId="14276C59" w14:textId="05DFE97B"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Non-Hispanic</w:t>
            </w:r>
          </w:p>
        </w:tc>
        <w:tc>
          <w:tcPr>
            <w:tcW w:w="1807" w:type="dxa"/>
            <w:tcBorders>
              <w:top w:val="nil"/>
              <w:left w:val="nil"/>
              <w:bottom w:val="nil"/>
              <w:right w:val="nil"/>
            </w:tcBorders>
            <w:shd w:val="clear" w:color="auto" w:fill="auto"/>
            <w:hideMark/>
          </w:tcPr>
          <w:p w14:paraId="47743CBE" w14:textId="61756A32"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1,097,846</w:t>
            </w:r>
          </w:p>
        </w:tc>
        <w:tc>
          <w:tcPr>
            <w:tcW w:w="1690" w:type="dxa"/>
            <w:tcBorders>
              <w:top w:val="nil"/>
              <w:left w:val="nil"/>
              <w:bottom w:val="nil"/>
              <w:right w:val="nil"/>
            </w:tcBorders>
            <w:shd w:val="clear" w:color="auto" w:fill="auto"/>
            <w:noWrap/>
            <w:hideMark/>
          </w:tcPr>
          <w:p w14:paraId="514B1785" w14:textId="450C5AD5"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94.67</w:t>
            </w:r>
          </w:p>
        </w:tc>
      </w:tr>
      <w:tr w:rsidR="0085359D" w:rsidRPr="00911C4F" w14:paraId="2AA236C6" w14:textId="77777777" w:rsidTr="005024A0">
        <w:trPr>
          <w:trHeight w:val="315"/>
          <w:jc w:val="center"/>
        </w:trPr>
        <w:tc>
          <w:tcPr>
            <w:tcW w:w="4033" w:type="dxa"/>
            <w:tcBorders>
              <w:top w:val="nil"/>
              <w:left w:val="nil"/>
              <w:bottom w:val="nil"/>
              <w:right w:val="nil"/>
            </w:tcBorders>
            <w:shd w:val="clear" w:color="auto" w:fill="auto"/>
            <w:hideMark/>
          </w:tcPr>
          <w:p w14:paraId="4087681C"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Missing</w:t>
            </w:r>
          </w:p>
        </w:tc>
        <w:tc>
          <w:tcPr>
            <w:tcW w:w="1807" w:type="dxa"/>
            <w:tcBorders>
              <w:top w:val="nil"/>
              <w:left w:val="nil"/>
              <w:bottom w:val="nil"/>
              <w:right w:val="nil"/>
            </w:tcBorders>
            <w:shd w:val="clear" w:color="auto" w:fill="auto"/>
            <w:hideMark/>
          </w:tcPr>
          <w:p w14:paraId="25B1CA0C" w14:textId="19797F81"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623</w:t>
            </w:r>
          </w:p>
        </w:tc>
        <w:tc>
          <w:tcPr>
            <w:tcW w:w="1690" w:type="dxa"/>
            <w:tcBorders>
              <w:top w:val="nil"/>
              <w:left w:val="nil"/>
              <w:bottom w:val="nil"/>
              <w:right w:val="nil"/>
            </w:tcBorders>
            <w:shd w:val="clear" w:color="auto" w:fill="auto"/>
            <w:noWrap/>
            <w:hideMark/>
          </w:tcPr>
          <w:p w14:paraId="30A0F9F7" w14:textId="2B3138FC"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0.05</w:t>
            </w:r>
          </w:p>
        </w:tc>
      </w:tr>
      <w:tr w:rsidR="00900660" w:rsidRPr="00911C4F" w14:paraId="6E3A57FE" w14:textId="77777777" w:rsidTr="0032340D">
        <w:trPr>
          <w:trHeight w:val="315"/>
          <w:jc w:val="center"/>
        </w:trPr>
        <w:tc>
          <w:tcPr>
            <w:tcW w:w="4033" w:type="dxa"/>
            <w:tcBorders>
              <w:top w:val="nil"/>
              <w:left w:val="nil"/>
              <w:bottom w:val="nil"/>
              <w:right w:val="nil"/>
            </w:tcBorders>
            <w:shd w:val="clear" w:color="auto" w:fill="auto"/>
            <w:hideMark/>
          </w:tcPr>
          <w:p w14:paraId="2C1C0CB1" w14:textId="77777777" w:rsidR="00651AB7" w:rsidRPr="00911C4F" w:rsidRDefault="00651AB7" w:rsidP="00651AB7">
            <w:pPr>
              <w:spacing w:after="0" w:line="240" w:lineRule="auto"/>
              <w:rPr>
                <w:rFonts w:eastAsia="Times New Roman" w:cs="Times New Roman"/>
                <w:color w:val="0000FF"/>
              </w:rPr>
            </w:pPr>
            <w:r w:rsidRPr="00911C4F">
              <w:rPr>
                <w:rFonts w:eastAsia="Times New Roman" w:cs="Times New Roman"/>
                <w:color w:val="0000FF"/>
              </w:rPr>
              <w:t>Medicare-Medicaid dual eligibility</w:t>
            </w:r>
          </w:p>
        </w:tc>
        <w:tc>
          <w:tcPr>
            <w:tcW w:w="1807" w:type="dxa"/>
            <w:tcBorders>
              <w:top w:val="nil"/>
              <w:left w:val="nil"/>
              <w:bottom w:val="nil"/>
              <w:right w:val="nil"/>
            </w:tcBorders>
            <w:shd w:val="clear" w:color="auto" w:fill="auto"/>
            <w:hideMark/>
          </w:tcPr>
          <w:p w14:paraId="4B1FB612" w14:textId="77777777" w:rsidR="00651AB7" w:rsidRPr="00911C4F" w:rsidRDefault="00651AB7" w:rsidP="005E23F6">
            <w:pPr>
              <w:spacing w:after="0" w:line="240" w:lineRule="auto"/>
              <w:jc w:val="right"/>
              <w:rPr>
                <w:rFonts w:eastAsia="Times New Roman" w:cs="Times New Roman"/>
                <w:color w:val="0000FF"/>
              </w:rPr>
            </w:pPr>
          </w:p>
        </w:tc>
        <w:tc>
          <w:tcPr>
            <w:tcW w:w="1690" w:type="dxa"/>
            <w:tcBorders>
              <w:top w:val="nil"/>
              <w:left w:val="nil"/>
              <w:bottom w:val="nil"/>
              <w:right w:val="nil"/>
            </w:tcBorders>
            <w:shd w:val="clear" w:color="auto" w:fill="auto"/>
            <w:noWrap/>
            <w:hideMark/>
          </w:tcPr>
          <w:p w14:paraId="1A98AD3A" w14:textId="77777777" w:rsidR="00651AB7" w:rsidRPr="00911C4F" w:rsidRDefault="00651AB7" w:rsidP="005E23F6">
            <w:pPr>
              <w:spacing w:after="0" w:line="240" w:lineRule="auto"/>
              <w:jc w:val="right"/>
              <w:rPr>
                <w:rFonts w:eastAsia="Times New Roman" w:cs="Times New Roman"/>
                <w:color w:val="0000FF"/>
              </w:rPr>
            </w:pPr>
          </w:p>
        </w:tc>
      </w:tr>
      <w:tr w:rsidR="0085359D" w:rsidRPr="00911C4F" w14:paraId="36334524" w14:textId="77777777" w:rsidTr="005024A0">
        <w:trPr>
          <w:trHeight w:val="315"/>
          <w:jc w:val="center"/>
        </w:trPr>
        <w:tc>
          <w:tcPr>
            <w:tcW w:w="4033" w:type="dxa"/>
            <w:tcBorders>
              <w:top w:val="nil"/>
              <w:left w:val="nil"/>
              <w:bottom w:val="nil"/>
              <w:right w:val="nil"/>
            </w:tcBorders>
            <w:shd w:val="clear" w:color="auto" w:fill="auto"/>
            <w:hideMark/>
          </w:tcPr>
          <w:p w14:paraId="4F4EA7E1"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Dual-eligible</w:t>
            </w:r>
          </w:p>
        </w:tc>
        <w:tc>
          <w:tcPr>
            <w:tcW w:w="1807" w:type="dxa"/>
            <w:tcBorders>
              <w:top w:val="nil"/>
              <w:left w:val="nil"/>
              <w:bottom w:val="nil"/>
              <w:right w:val="nil"/>
            </w:tcBorders>
            <w:shd w:val="clear" w:color="auto" w:fill="auto"/>
            <w:hideMark/>
          </w:tcPr>
          <w:p w14:paraId="178B3F47" w14:textId="1A06D29A"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805,114</w:t>
            </w:r>
          </w:p>
        </w:tc>
        <w:tc>
          <w:tcPr>
            <w:tcW w:w="1690" w:type="dxa"/>
            <w:tcBorders>
              <w:top w:val="nil"/>
              <w:left w:val="nil"/>
              <w:bottom w:val="nil"/>
              <w:right w:val="nil"/>
            </w:tcBorders>
            <w:shd w:val="clear" w:color="auto" w:fill="auto"/>
            <w:noWrap/>
            <w:hideMark/>
          </w:tcPr>
          <w:p w14:paraId="540746C8" w14:textId="6D6729C4"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69.43</w:t>
            </w:r>
          </w:p>
        </w:tc>
      </w:tr>
      <w:tr w:rsidR="0085359D" w:rsidRPr="00911C4F" w14:paraId="51733842" w14:textId="77777777" w:rsidTr="005024A0">
        <w:trPr>
          <w:trHeight w:val="315"/>
          <w:jc w:val="center"/>
        </w:trPr>
        <w:tc>
          <w:tcPr>
            <w:tcW w:w="4033" w:type="dxa"/>
            <w:tcBorders>
              <w:top w:val="nil"/>
              <w:left w:val="nil"/>
              <w:bottom w:val="nil"/>
              <w:right w:val="nil"/>
            </w:tcBorders>
            <w:shd w:val="clear" w:color="auto" w:fill="auto"/>
            <w:hideMark/>
          </w:tcPr>
          <w:p w14:paraId="67F051CA"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Non-dual</w:t>
            </w:r>
          </w:p>
        </w:tc>
        <w:tc>
          <w:tcPr>
            <w:tcW w:w="1807" w:type="dxa"/>
            <w:tcBorders>
              <w:top w:val="nil"/>
              <w:left w:val="nil"/>
              <w:bottom w:val="nil"/>
              <w:right w:val="nil"/>
            </w:tcBorders>
            <w:shd w:val="clear" w:color="auto" w:fill="auto"/>
            <w:hideMark/>
          </w:tcPr>
          <w:p w14:paraId="097E98D0" w14:textId="6749F945"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274,825</w:t>
            </w:r>
          </w:p>
        </w:tc>
        <w:tc>
          <w:tcPr>
            <w:tcW w:w="1690" w:type="dxa"/>
            <w:tcBorders>
              <w:top w:val="nil"/>
              <w:left w:val="nil"/>
              <w:bottom w:val="nil"/>
              <w:right w:val="nil"/>
            </w:tcBorders>
            <w:shd w:val="clear" w:color="auto" w:fill="auto"/>
            <w:noWrap/>
            <w:hideMark/>
          </w:tcPr>
          <w:p w14:paraId="58B922A7" w14:textId="65B02CE2"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23.70</w:t>
            </w:r>
          </w:p>
        </w:tc>
      </w:tr>
      <w:tr w:rsidR="0085359D" w:rsidRPr="00911C4F" w14:paraId="765823C2" w14:textId="77777777" w:rsidTr="0032340D">
        <w:trPr>
          <w:trHeight w:val="80"/>
          <w:jc w:val="center"/>
        </w:trPr>
        <w:tc>
          <w:tcPr>
            <w:tcW w:w="4033" w:type="dxa"/>
            <w:tcBorders>
              <w:top w:val="nil"/>
              <w:left w:val="nil"/>
              <w:bottom w:val="nil"/>
              <w:right w:val="nil"/>
            </w:tcBorders>
            <w:shd w:val="clear" w:color="auto" w:fill="auto"/>
            <w:hideMark/>
          </w:tcPr>
          <w:p w14:paraId="4C4222C7"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Missing</w:t>
            </w:r>
          </w:p>
        </w:tc>
        <w:tc>
          <w:tcPr>
            <w:tcW w:w="1807" w:type="dxa"/>
            <w:tcBorders>
              <w:top w:val="nil"/>
              <w:left w:val="nil"/>
              <w:bottom w:val="nil"/>
              <w:right w:val="nil"/>
            </w:tcBorders>
            <w:shd w:val="clear" w:color="auto" w:fill="auto"/>
            <w:hideMark/>
          </w:tcPr>
          <w:p w14:paraId="203D0E3A" w14:textId="2A7A642D"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79,741</w:t>
            </w:r>
          </w:p>
        </w:tc>
        <w:tc>
          <w:tcPr>
            <w:tcW w:w="1690" w:type="dxa"/>
            <w:tcBorders>
              <w:top w:val="nil"/>
              <w:left w:val="nil"/>
              <w:bottom w:val="nil"/>
              <w:right w:val="nil"/>
            </w:tcBorders>
            <w:shd w:val="clear" w:color="auto" w:fill="auto"/>
            <w:noWrap/>
            <w:hideMark/>
          </w:tcPr>
          <w:p w14:paraId="61578A0E" w14:textId="285345C8"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6.88</w:t>
            </w:r>
          </w:p>
        </w:tc>
      </w:tr>
      <w:tr w:rsidR="00900660" w:rsidRPr="00911C4F" w14:paraId="1B2F5240" w14:textId="77777777" w:rsidTr="005024A0">
        <w:trPr>
          <w:trHeight w:val="315"/>
          <w:jc w:val="center"/>
        </w:trPr>
        <w:tc>
          <w:tcPr>
            <w:tcW w:w="4033" w:type="dxa"/>
            <w:tcBorders>
              <w:top w:val="nil"/>
              <w:left w:val="nil"/>
              <w:bottom w:val="nil"/>
              <w:right w:val="nil"/>
            </w:tcBorders>
            <w:shd w:val="clear" w:color="auto" w:fill="auto"/>
            <w:hideMark/>
          </w:tcPr>
          <w:p w14:paraId="2E60C02A" w14:textId="77777777" w:rsidR="00651AB7" w:rsidRPr="00911C4F" w:rsidRDefault="00651AB7" w:rsidP="00651AB7">
            <w:pPr>
              <w:spacing w:after="0" w:line="240" w:lineRule="auto"/>
              <w:rPr>
                <w:rFonts w:eastAsia="Times New Roman" w:cs="Times New Roman"/>
                <w:color w:val="0000FF"/>
              </w:rPr>
            </w:pPr>
            <w:r w:rsidRPr="00911C4F">
              <w:rPr>
                <w:rFonts w:eastAsia="Times New Roman" w:cs="Times New Roman"/>
                <w:color w:val="0000FF"/>
              </w:rPr>
              <w:t>Age</w:t>
            </w:r>
          </w:p>
        </w:tc>
        <w:tc>
          <w:tcPr>
            <w:tcW w:w="1807" w:type="dxa"/>
            <w:tcBorders>
              <w:top w:val="nil"/>
              <w:left w:val="nil"/>
              <w:bottom w:val="nil"/>
              <w:right w:val="nil"/>
            </w:tcBorders>
            <w:shd w:val="clear" w:color="auto" w:fill="auto"/>
            <w:hideMark/>
          </w:tcPr>
          <w:p w14:paraId="50B8DA4E" w14:textId="77777777" w:rsidR="00651AB7" w:rsidRPr="00911C4F" w:rsidRDefault="00651AB7" w:rsidP="005E23F6">
            <w:pPr>
              <w:spacing w:after="0" w:line="240" w:lineRule="auto"/>
              <w:jc w:val="right"/>
              <w:rPr>
                <w:rFonts w:eastAsia="Times New Roman" w:cs="Times New Roman"/>
                <w:color w:val="0000FF"/>
              </w:rPr>
            </w:pPr>
          </w:p>
        </w:tc>
        <w:tc>
          <w:tcPr>
            <w:tcW w:w="1690" w:type="dxa"/>
            <w:tcBorders>
              <w:top w:val="nil"/>
              <w:left w:val="nil"/>
              <w:bottom w:val="nil"/>
              <w:right w:val="nil"/>
            </w:tcBorders>
            <w:shd w:val="clear" w:color="auto" w:fill="auto"/>
            <w:noWrap/>
            <w:hideMark/>
          </w:tcPr>
          <w:p w14:paraId="5E9BD460" w14:textId="77777777" w:rsidR="00651AB7" w:rsidRPr="00911C4F" w:rsidRDefault="00651AB7" w:rsidP="005E23F6">
            <w:pPr>
              <w:spacing w:after="0" w:line="240" w:lineRule="auto"/>
              <w:jc w:val="right"/>
              <w:rPr>
                <w:rFonts w:eastAsia="Times New Roman" w:cs="Times New Roman"/>
                <w:color w:val="0000FF"/>
              </w:rPr>
            </w:pPr>
          </w:p>
        </w:tc>
      </w:tr>
      <w:tr w:rsidR="0085359D" w:rsidRPr="00911C4F" w14:paraId="7E56ACE8" w14:textId="77777777" w:rsidTr="005024A0">
        <w:trPr>
          <w:trHeight w:val="315"/>
          <w:jc w:val="center"/>
        </w:trPr>
        <w:tc>
          <w:tcPr>
            <w:tcW w:w="4033" w:type="dxa"/>
            <w:tcBorders>
              <w:top w:val="nil"/>
              <w:left w:val="nil"/>
              <w:bottom w:val="nil"/>
              <w:right w:val="nil"/>
            </w:tcBorders>
            <w:shd w:val="clear" w:color="auto" w:fill="auto"/>
            <w:hideMark/>
          </w:tcPr>
          <w:p w14:paraId="01731FE5"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&lt;65</w:t>
            </w:r>
          </w:p>
        </w:tc>
        <w:tc>
          <w:tcPr>
            <w:tcW w:w="1807" w:type="dxa"/>
            <w:tcBorders>
              <w:top w:val="nil"/>
              <w:left w:val="nil"/>
              <w:bottom w:val="nil"/>
              <w:right w:val="nil"/>
            </w:tcBorders>
            <w:shd w:val="clear" w:color="auto" w:fill="auto"/>
            <w:hideMark/>
          </w:tcPr>
          <w:p w14:paraId="389B41F9" w14:textId="5203AD0A"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179,810</w:t>
            </w:r>
          </w:p>
        </w:tc>
        <w:tc>
          <w:tcPr>
            <w:tcW w:w="1690" w:type="dxa"/>
            <w:tcBorders>
              <w:top w:val="nil"/>
              <w:left w:val="nil"/>
              <w:bottom w:val="nil"/>
              <w:right w:val="nil"/>
            </w:tcBorders>
            <w:shd w:val="clear" w:color="auto" w:fill="auto"/>
            <w:noWrap/>
            <w:hideMark/>
          </w:tcPr>
          <w:p w14:paraId="373EC6A0" w14:textId="425778E7"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15.51</w:t>
            </w:r>
          </w:p>
        </w:tc>
      </w:tr>
      <w:tr w:rsidR="0085359D" w:rsidRPr="00911C4F" w14:paraId="374D0D8E" w14:textId="77777777" w:rsidTr="005024A0">
        <w:trPr>
          <w:trHeight w:val="315"/>
          <w:jc w:val="center"/>
        </w:trPr>
        <w:tc>
          <w:tcPr>
            <w:tcW w:w="4033" w:type="dxa"/>
            <w:tcBorders>
              <w:top w:val="nil"/>
              <w:left w:val="nil"/>
              <w:bottom w:val="nil"/>
              <w:right w:val="nil"/>
            </w:tcBorders>
            <w:shd w:val="clear" w:color="auto" w:fill="auto"/>
            <w:hideMark/>
          </w:tcPr>
          <w:p w14:paraId="5E3436BE"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65-74</w:t>
            </w:r>
          </w:p>
        </w:tc>
        <w:tc>
          <w:tcPr>
            <w:tcW w:w="1807" w:type="dxa"/>
            <w:tcBorders>
              <w:top w:val="nil"/>
              <w:left w:val="nil"/>
              <w:bottom w:val="nil"/>
              <w:right w:val="nil"/>
            </w:tcBorders>
            <w:shd w:val="clear" w:color="auto" w:fill="auto"/>
            <w:hideMark/>
          </w:tcPr>
          <w:p w14:paraId="1424F79C" w14:textId="3660794B"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178,059</w:t>
            </w:r>
          </w:p>
        </w:tc>
        <w:tc>
          <w:tcPr>
            <w:tcW w:w="1690" w:type="dxa"/>
            <w:tcBorders>
              <w:top w:val="nil"/>
              <w:left w:val="nil"/>
              <w:bottom w:val="nil"/>
              <w:right w:val="nil"/>
            </w:tcBorders>
            <w:shd w:val="clear" w:color="auto" w:fill="auto"/>
            <w:noWrap/>
            <w:hideMark/>
          </w:tcPr>
          <w:p w14:paraId="693BD451" w14:textId="348E64DC"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15.35</w:t>
            </w:r>
          </w:p>
        </w:tc>
      </w:tr>
      <w:tr w:rsidR="0085359D" w:rsidRPr="00911C4F" w14:paraId="2B3EABBB" w14:textId="77777777" w:rsidTr="005024A0">
        <w:trPr>
          <w:trHeight w:val="315"/>
          <w:jc w:val="center"/>
        </w:trPr>
        <w:tc>
          <w:tcPr>
            <w:tcW w:w="4033" w:type="dxa"/>
            <w:tcBorders>
              <w:top w:val="nil"/>
              <w:left w:val="nil"/>
              <w:bottom w:val="nil"/>
              <w:right w:val="nil"/>
            </w:tcBorders>
            <w:shd w:val="clear" w:color="auto" w:fill="auto"/>
            <w:hideMark/>
          </w:tcPr>
          <w:p w14:paraId="220DCA2B"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75-84</w:t>
            </w:r>
          </w:p>
        </w:tc>
        <w:tc>
          <w:tcPr>
            <w:tcW w:w="1807" w:type="dxa"/>
            <w:tcBorders>
              <w:top w:val="nil"/>
              <w:left w:val="nil"/>
              <w:bottom w:val="nil"/>
              <w:right w:val="nil"/>
            </w:tcBorders>
            <w:shd w:val="clear" w:color="auto" w:fill="auto"/>
            <w:hideMark/>
          </w:tcPr>
          <w:p w14:paraId="06119556" w14:textId="46B2044E"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302,544</w:t>
            </w:r>
          </w:p>
        </w:tc>
        <w:tc>
          <w:tcPr>
            <w:tcW w:w="1690" w:type="dxa"/>
            <w:tcBorders>
              <w:top w:val="nil"/>
              <w:left w:val="nil"/>
              <w:bottom w:val="nil"/>
              <w:right w:val="nil"/>
            </w:tcBorders>
            <w:shd w:val="clear" w:color="auto" w:fill="auto"/>
            <w:noWrap/>
            <w:hideMark/>
          </w:tcPr>
          <w:p w14:paraId="6B9AC32E" w14:textId="03E202A0"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26.09</w:t>
            </w:r>
          </w:p>
        </w:tc>
      </w:tr>
      <w:tr w:rsidR="0085359D" w:rsidRPr="00911C4F" w14:paraId="79FD773C" w14:textId="77777777" w:rsidTr="005024A0">
        <w:trPr>
          <w:trHeight w:val="315"/>
          <w:jc w:val="center"/>
        </w:trPr>
        <w:tc>
          <w:tcPr>
            <w:tcW w:w="4033" w:type="dxa"/>
            <w:tcBorders>
              <w:top w:val="nil"/>
              <w:left w:val="nil"/>
              <w:bottom w:val="nil"/>
              <w:right w:val="nil"/>
            </w:tcBorders>
            <w:shd w:val="clear" w:color="auto" w:fill="auto"/>
            <w:hideMark/>
          </w:tcPr>
          <w:p w14:paraId="1E4EEDB1"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85+</w:t>
            </w:r>
          </w:p>
        </w:tc>
        <w:tc>
          <w:tcPr>
            <w:tcW w:w="1807" w:type="dxa"/>
            <w:tcBorders>
              <w:top w:val="nil"/>
              <w:left w:val="nil"/>
              <w:bottom w:val="nil"/>
              <w:right w:val="nil"/>
            </w:tcBorders>
            <w:shd w:val="clear" w:color="auto" w:fill="auto"/>
            <w:hideMark/>
          </w:tcPr>
          <w:p w14:paraId="55016116" w14:textId="4E5A58E5"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499,267</w:t>
            </w:r>
          </w:p>
        </w:tc>
        <w:tc>
          <w:tcPr>
            <w:tcW w:w="1690" w:type="dxa"/>
            <w:tcBorders>
              <w:top w:val="nil"/>
              <w:left w:val="nil"/>
              <w:bottom w:val="nil"/>
              <w:right w:val="nil"/>
            </w:tcBorders>
            <w:shd w:val="clear" w:color="auto" w:fill="auto"/>
            <w:noWrap/>
            <w:hideMark/>
          </w:tcPr>
          <w:p w14:paraId="30F67544" w14:textId="5AB084A1"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43.05</w:t>
            </w:r>
          </w:p>
        </w:tc>
      </w:tr>
      <w:tr w:rsidR="00900660" w:rsidRPr="00911C4F" w14:paraId="1D4D62CA" w14:textId="77777777" w:rsidTr="005024A0">
        <w:trPr>
          <w:trHeight w:val="315"/>
          <w:jc w:val="center"/>
        </w:trPr>
        <w:tc>
          <w:tcPr>
            <w:tcW w:w="4033" w:type="dxa"/>
            <w:tcBorders>
              <w:top w:val="nil"/>
              <w:left w:val="nil"/>
              <w:bottom w:val="nil"/>
              <w:right w:val="nil"/>
            </w:tcBorders>
            <w:shd w:val="clear" w:color="auto" w:fill="auto"/>
            <w:hideMark/>
          </w:tcPr>
          <w:p w14:paraId="0215B540" w14:textId="77777777" w:rsidR="00651AB7" w:rsidRPr="00911C4F" w:rsidRDefault="00651AB7" w:rsidP="00651AB7">
            <w:pPr>
              <w:spacing w:after="0" w:line="240" w:lineRule="auto"/>
              <w:rPr>
                <w:rFonts w:eastAsia="Times New Roman" w:cs="Times New Roman"/>
                <w:color w:val="0000FF"/>
              </w:rPr>
            </w:pPr>
            <w:r w:rsidRPr="00911C4F">
              <w:rPr>
                <w:rFonts w:eastAsia="Times New Roman" w:cs="Times New Roman"/>
                <w:color w:val="0000FF"/>
              </w:rPr>
              <w:t>Diagnoses</w:t>
            </w:r>
          </w:p>
        </w:tc>
        <w:tc>
          <w:tcPr>
            <w:tcW w:w="1807" w:type="dxa"/>
            <w:tcBorders>
              <w:top w:val="nil"/>
              <w:left w:val="nil"/>
              <w:bottom w:val="nil"/>
              <w:right w:val="nil"/>
            </w:tcBorders>
            <w:shd w:val="clear" w:color="auto" w:fill="auto"/>
            <w:hideMark/>
          </w:tcPr>
          <w:p w14:paraId="15D70655" w14:textId="77777777" w:rsidR="00651AB7" w:rsidRPr="00911C4F" w:rsidRDefault="00651AB7" w:rsidP="005E23F6">
            <w:pPr>
              <w:spacing w:after="0" w:line="240" w:lineRule="auto"/>
              <w:jc w:val="right"/>
              <w:rPr>
                <w:rFonts w:eastAsia="Times New Roman" w:cs="Times New Roman"/>
                <w:color w:val="0000FF"/>
              </w:rPr>
            </w:pPr>
          </w:p>
        </w:tc>
        <w:tc>
          <w:tcPr>
            <w:tcW w:w="1690" w:type="dxa"/>
            <w:tcBorders>
              <w:top w:val="nil"/>
              <w:left w:val="nil"/>
              <w:bottom w:val="nil"/>
              <w:right w:val="nil"/>
            </w:tcBorders>
            <w:shd w:val="clear" w:color="auto" w:fill="auto"/>
            <w:noWrap/>
            <w:hideMark/>
          </w:tcPr>
          <w:p w14:paraId="751AB98E" w14:textId="77777777" w:rsidR="00651AB7" w:rsidRPr="00911C4F" w:rsidRDefault="00651AB7" w:rsidP="005E23F6">
            <w:pPr>
              <w:spacing w:after="0" w:line="240" w:lineRule="auto"/>
              <w:jc w:val="right"/>
              <w:rPr>
                <w:rFonts w:eastAsia="Times New Roman" w:cs="Times New Roman"/>
                <w:color w:val="0000FF"/>
              </w:rPr>
            </w:pPr>
          </w:p>
        </w:tc>
      </w:tr>
      <w:tr w:rsidR="0085359D" w:rsidRPr="00911C4F" w14:paraId="2C088892" w14:textId="77777777" w:rsidTr="005024A0">
        <w:trPr>
          <w:trHeight w:val="315"/>
          <w:jc w:val="center"/>
        </w:trPr>
        <w:tc>
          <w:tcPr>
            <w:tcW w:w="4033" w:type="dxa"/>
            <w:tcBorders>
              <w:top w:val="nil"/>
              <w:left w:val="nil"/>
              <w:bottom w:val="nil"/>
              <w:right w:val="nil"/>
            </w:tcBorders>
            <w:shd w:val="clear" w:color="auto" w:fill="auto"/>
            <w:hideMark/>
          </w:tcPr>
          <w:p w14:paraId="3CD3AFEE"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Arthritis</w:t>
            </w:r>
          </w:p>
        </w:tc>
        <w:tc>
          <w:tcPr>
            <w:tcW w:w="1807" w:type="dxa"/>
            <w:tcBorders>
              <w:top w:val="nil"/>
              <w:left w:val="nil"/>
              <w:bottom w:val="nil"/>
              <w:right w:val="nil"/>
            </w:tcBorders>
            <w:shd w:val="clear" w:color="auto" w:fill="auto"/>
            <w:hideMark/>
          </w:tcPr>
          <w:p w14:paraId="2011216B" w14:textId="3C9BD60D"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352,113</w:t>
            </w:r>
          </w:p>
        </w:tc>
        <w:tc>
          <w:tcPr>
            <w:tcW w:w="1690" w:type="dxa"/>
            <w:tcBorders>
              <w:top w:val="nil"/>
              <w:left w:val="nil"/>
              <w:bottom w:val="nil"/>
              <w:right w:val="nil"/>
            </w:tcBorders>
            <w:shd w:val="clear" w:color="auto" w:fill="auto"/>
            <w:noWrap/>
            <w:hideMark/>
          </w:tcPr>
          <w:p w14:paraId="4C3BC52F" w14:textId="70CFD4B6"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30.52</w:t>
            </w:r>
          </w:p>
        </w:tc>
      </w:tr>
      <w:tr w:rsidR="0085359D" w:rsidRPr="00911C4F" w14:paraId="0F5F33B2" w14:textId="77777777" w:rsidTr="005024A0">
        <w:trPr>
          <w:trHeight w:val="315"/>
          <w:jc w:val="center"/>
        </w:trPr>
        <w:tc>
          <w:tcPr>
            <w:tcW w:w="4033" w:type="dxa"/>
            <w:tcBorders>
              <w:top w:val="nil"/>
              <w:left w:val="nil"/>
              <w:bottom w:val="nil"/>
              <w:right w:val="nil"/>
            </w:tcBorders>
            <w:shd w:val="clear" w:color="auto" w:fill="auto"/>
            <w:hideMark/>
          </w:tcPr>
          <w:p w14:paraId="5E6C237A"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Osteoporosis</w:t>
            </w:r>
          </w:p>
        </w:tc>
        <w:tc>
          <w:tcPr>
            <w:tcW w:w="1807" w:type="dxa"/>
            <w:tcBorders>
              <w:top w:val="nil"/>
              <w:left w:val="nil"/>
              <w:bottom w:val="nil"/>
              <w:right w:val="nil"/>
            </w:tcBorders>
            <w:shd w:val="clear" w:color="auto" w:fill="auto"/>
            <w:hideMark/>
          </w:tcPr>
          <w:p w14:paraId="7599E25F" w14:textId="21B61EC7"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197,471</w:t>
            </w:r>
          </w:p>
        </w:tc>
        <w:tc>
          <w:tcPr>
            <w:tcW w:w="1690" w:type="dxa"/>
            <w:tcBorders>
              <w:top w:val="nil"/>
              <w:left w:val="nil"/>
              <w:bottom w:val="nil"/>
              <w:right w:val="nil"/>
            </w:tcBorders>
            <w:shd w:val="clear" w:color="auto" w:fill="auto"/>
            <w:noWrap/>
            <w:hideMark/>
          </w:tcPr>
          <w:p w14:paraId="2B8E5BA9" w14:textId="1955A108"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17.12</w:t>
            </w:r>
          </w:p>
        </w:tc>
      </w:tr>
      <w:tr w:rsidR="0085359D" w:rsidRPr="00911C4F" w14:paraId="5030B79E" w14:textId="77777777" w:rsidTr="005024A0">
        <w:trPr>
          <w:trHeight w:val="315"/>
          <w:jc w:val="center"/>
        </w:trPr>
        <w:tc>
          <w:tcPr>
            <w:tcW w:w="4033" w:type="dxa"/>
            <w:tcBorders>
              <w:top w:val="nil"/>
              <w:left w:val="nil"/>
              <w:bottom w:val="nil"/>
              <w:right w:val="nil"/>
            </w:tcBorders>
            <w:shd w:val="clear" w:color="auto" w:fill="auto"/>
            <w:hideMark/>
          </w:tcPr>
          <w:p w14:paraId="524EEA36" w14:textId="77777777" w:rsidR="0085359D" w:rsidRPr="00911C4F" w:rsidRDefault="0085359D" w:rsidP="0085359D">
            <w:pPr>
              <w:spacing w:after="0" w:line="240" w:lineRule="auto"/>
              <w:ind w:firstLineChars="100" w:firstLine="220"/>
              <w:rPr>
                <w:rFonts w:eastAsia="Times New Roman" w:cs="Times New Roman"/>
                <w:color w:val="0000FF"/>
              </w:rPr>
            </w:pPr>
            <w:r w:rsidRPr="00911C4F">
              <w:rPr>
                <w:rFonts w:eastAsia="Times New Roman" w:cs="Times New Roman"/>
                <w:color w:val="0000FF"/>
              </w:rPr>
              <w:t>Hip Fracture</w:t>
            </w:r>
          </w:p>
        </w:tc>
        <w:tc>
          <w:tcPr>
            <w:tcW w:w="1807" w:type="dxa"/>
            <w:tcBorders>
              <w:top w:val="nil"/>
              <w:left w:val="nil"/>
              <w:bottom w:val="nil"/>
              <w:right w:val="nil"/>
            </w:tcBorders>
            <w:shd w:val="clear" w:color="auto" w:fill="auto"/>
            <w:hideMark/>
          </w:tcPr>
          <w:p w14:paraId="387BFC73" w14:textId="3C869FB4"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17,847</w:t>
            </w:r>
          </w:p>
        </w:tc>
        <w:tc>
          <w:tcPr>
            <w:tcW w:w="1690" w:type="dxa"/>
            <w:tcBorders>
              <w:top w:val="nil"/>
              <w:left w:val="nil"/>
              <w:bottom w:val="nil"/>
              <w:right w:val="nil"/>
            </w:tcBorders>
            <w:shd w:val="clear" w:color="auto" w:fill="auto"/>
            <w:noWrap/>
            <w:hideMark/>
          </w:tcPr>
          <w:p w14:paraId="079091A9" w14:textId="6988430A"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1.69</w:t>
            </w:r>
          </w:p>
        </w:tc>
      </w:tr>
      <w:tr w:rsidR="0085359D" w:rsidRPr="00911C4F" w14:paraId="4F42D114" w14:textId="77777777" w:rsidTr="0032340D">
        <w:trPr>
          <w:trHeight w:val="315"/>
          <w:jc w:val="center"/>
        </w:trPr>
        <w:tc>
          <w:tcPr>
            <w:tcW w:w="4033" w:type="dxa"/>
            <w:tcBorders>
              <w:top w:val="nil"/>
              <w:left w:val="nil"/>
              <w:bottom w:val="nil"/>
              <w:right w:val="nil"/>
            </w:tcBorders>
            <w:shd w:val="clear" w:color="auto" w:fill="auto"/>
            <w:hideMark/>
          </w:tcPr>
          <w:p w14:paraId="7800FD37"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Other Fracture</w:t>
            </w:r>
          </w:p>
        </w:tc>
        <w:tc>
          <w:tcPr>
            <w:tcW w:w="1807" w:type="dxa"/>
            <w:tcBorders>
              <w:top w:val="nil"/>
              <w:left w:val="nil"/>
              <w:bottom w:val="nil"/>
              <w:right w:val="nil"/>
            </w:tcBorders>
            <w:shd w:val="clear" w:color="auto" w:fill="auto"/>
            <w:hideMark/>
          </w:tcPr>
          <w:p w14:paraId="58FF187F" w14:textId="041896F5"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29,191</w:t>
            </w:r>
          </w:p>
        </w:tc>
        <w:tc>
          <w:tcPr>
            <w:tcW w:w="1690" w:type="dxa"/>
            <w:tcBorders>
              <w:top w:val="nil"/>
              <w:left w:val="nil"/>
              <w:bottom w:val="nil"/>
              <w:right w:val="nil"/>
            </w:tcBorders>
            <w:shd w:val="clear" w:color="auto" w:fill="auto"/>
            <w:noWrap/>
            <w:hideMark/>
          </w:tcPr>
          <w:p w14:paraId="4D5BA12B" w14:textId="1C80E9D6"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2.76</w:t>
            </w:r>
          </w:p>
        </w:tc>
      </w:tr>
      <w:tr w:rsidR="0085359D" w:rsidRPr="00911C4F" w14:paraId="08823079" w14:textId="77777777" w:rsidTr="005024A0">
        <w:trPr>
          <w:trHeight w:val="315"/>
          <w:jc w:val="center"/>
        </w:trPr>
        <w:tc>
          <w:tcPr>
            <w:tcW w:w="4033" w:type="dxa"/>
            <w:tcBorders>
              <w:top w:val="nil"/>
              <w:left w:val="nil"/>
              <w:bottom w:val="nil"/>
              <w:right w:val="nil"/>
            </w:tcBorders>
            <w:shd w:val="clear" w:color="auto" w:fill="auto"/>
            <w:hideMark/>
          </w:tcPr>
          <w:p w14:paraId="515BB9AA"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Depression</w:t>
            </w:r>
          </w:p>
        </w:tc>
        <w:tc>
          <w:tcPr>
            <w:tcW w:w="1807" w:type="dxa"/>
            <w:tcBorders>
              <w:top w:val="nil"/>
              <w:left w:val="nil"/>
              <w:bottom w:val="nil"/>
              <w:right w:val="nil"/>
            </w:tcBorders>
            <w:shd w:val="clear" w:color="auto" w:fill="auto"/>
            <w:hideMark/>
          </w:tcPr>
          <w:p w14:paraId="46EEA0F3" w14:textId="6A6525EA"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559,434</w:t>
            </w:r>
          </w:p>
        </w:tc>
        <w:tc>
          <w:tcPr>
            <w:tcW w:w="1690" w:type="dxa"/>
            <w:tcBorders>
              <w:top w:val="nil"/>
              <w:left w:val="nil"/>
              <w:bottom w:val="nil"/>
              <w:right w:val="nil"/>
            </w:tcBorders>
            <w:shd w:val="clear" w:color="auto" w:fill="auto"/>
            <w:noWrap/>
            <w:hideMark/>
          </w:tcPr>
          <w:p w14:paraId="4BA15D39" w14:textId="6C67DED5"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52.86</w:t>
            </w:r>
          </w:p>
        </w:tc>
      </w:tr>
      <w:tr w:rsidR="0085359D" w:rsidRPr="00911C4F" w14:paraId="0CEFA164" w14:textId="77777777" w:rsidTr="0032340D">
        <w:trPr>
          <w:trHeight w:val="585"/>
          <w:jc w:val="center"/>
        </w:trPr>
        <w:tc>
          <w:tcPr>
            <w:tcW w:w="4033" w:type="dxa"/>
            <w:tcBorders>
              <w:top w:val="nil"/>
              <w:left w:val="nil"/>
              <w:bottom w:val="nil"/>
              <w:right w:val="nil"/>
            </w:tcBorders>
            <w:shd w:val="clear" w:color="auto" w:fill="auto"/>
            <w:hideMark/>
          </w:tcPr>
          <w:p w14:paraId="058A407E"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lastRenderedPageBreak/>
              <w:t>Cerebrovascular Accident (CVA), Transient Ischemic Attack (TIA), or Stroke.</w:t>
            </w:r>
          </w:p>
        </w:tc>
        <w:tc>
          <w:tcPr>
            <w:tcW w:w="1807" w:type="dxa"/>
            <w:tcBorders>
              <w:top w:val="nil"/>
              <w:left w:val="nil"/>
              <w:bottom w:val="nil"/>
              <w:right w:val="nil"/>
            </w:tcBorders>
            <w:shd w:val="clear" w:color="auto" w:fill="auto"/>
            <w:hideMark/>
          </w:tcPr>
          <w:p w14:paraId="23D8CD89" w14:textId="13093B78"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191,131</w:t>
            </w:r>
          </w:p>
        </w:tc>
        <w:tc>
          <w:tcPr>
            <w:tcW w:w="1690" w:type="dxa"/>
            <w:tcBorders>
              <w:top w:val="nil"/>
              <w:left w:val="nil"/>
              <w:bottom w:val="nil"/>
              <w:right w:val="nil"/>
            </w:tcBorders>
            <w:shd w:val="clear" w:color="auto" w:fill="auto"/>
            <w:noWrap/>
            <w:hideMark/>
          </w:tcPr>
          <w:p w14:paraId="4F51B73E" w14:textId="4C0E7DED"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18.06</w:t>
            </w:r>
          </w:p>
        </w:tc>
      </w:tr>
      <w:tr w:rsidR="0085359D" w:rsidRPr="00911C4F" w14:paraId="1E2A8B97" w14:textId="77777777" w:rsidTr="0032340D">
        <w:trPr>
          <w:trHeight w:val="360"/>
          <w:jc w:val="center"/>
        </w:trPr>
        <w:tc>
          <w:tcPr>
            <w:tcW w:w="4033" w:type="dxa"/>
            <w:tcBorders>
              <w:top w:val="nil"/>
              <w:left w:val="nil"/>
              <w:bottom w:val="nil"/>
              <w:right w:val="nil"/>
            </w:tcBorders>
            <w:shd w:val="clear" w:color="auto" w:fill="auto"/>
            <w:hideMark/>
          </w:tcPr>
          <w:p w14:paraId="600F20F7"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Alzheimer's Disease</w:t>
            </w:r>
          </w:p>
        </w:tc>
        <w:tc>
          <w:tcPr>
            <w:tcW w:w="1807" w:type="dxa"/>
            <w:tcBorders>
              <w:top w:val="nil"/>
              <w:left w:val="nil"/>
              <w:bottom w:val="nil"/>
              <w:right w:val="nil"/>
            </w:tcBorders>
            <w:shd w:val="clear" w:color="auto" w:fill="auto"/>
            <w:hideMark/>
          </w:tcPr>
          <w:p w14:paraId="3F7080F1" w14:textId="54FAA537"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178,512</w:t>
            </w:r>
          </w:p>
        </w:tc>
        <w:tc>
          <w:tcPr>
            <w:tcW w:w="1690" w:type="dxa"/>
            <w:tcBorders>
              <w:top w:val="nil"/>
              <w:left w:val="nil"/>
              <w:bottom w:val="nil"/>
              <w:right w:val="nil"/>
            </w:tcBorders>
            <w:shd w:val="clear" w:color="auto" w:fill="auto"/>
            <w:noWrap/>
            <w:hideMark/>
          </w:tcPr>
          <w:p w14:paraId="5A0F75E4" w14:textId="725AD7C7"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16.86</w:t>
            </w:r>
          </w:p>
        </w:tc>
      </w:tr>
      <w:tr w:rsidR="0085359D" w:rsidRPr="00911C4F" w14:paraId="7B55B274" w14:textId="77777777" w:rsidTr="0032340D">
        <w:trPr>
          <w:trHeight w:val="360"/>
          <w:jc w:val="center"/>
        </w:trPr>
        <w:tc>
          <w:tcPr>
            <w:tcW w:w="4033" w:type="dxa"/>
            <w:tcBorders>
              <w:top w:val="nil"/>
              <w:left w:val="nil"/>
              <w:bottom w:val="nil"/>
              <w:right w:val="nil"/>
            </w:tcBorders>
            <w:shd w:val="clear" w:color="auto" w:fill="auto"/>
            <w:hideMark/>
          </w:tcPr>
          <w:p w14:paraId="6139D893"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Non-Alzheimer's Dementia</w:t>
            </w:r>
          </w:p>
        </w:tc>
        <w:tc>
          <w:tcPr>
            <w:tcW w:w="1807" w:type="dxa"/>
            <w:tcBorders>
              <w:top w:val="nil"/>
              <w:left w:val="nil"/>
              <w:bottom w:val="nil"/>
              <w:right w:val="nil"/>
            </w:tcBorders>
            <w:shd w:val="clear" w:color="auto" w:fill="auto"/>
            <w:hideMark/>
          </w:tcPr>
          <w:p w14:paraId="03366C81" w14:textId="16E25E94"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503,393</w:t>
            </w:r>
          </w:p>
        </w:tc>
        <w:tc>
          <w:tcPr>
            <w:tcW w:w="1690" w:type="dxa"/>
            <w:tcBorders>
              <w:top w:val="nil"/>
              <w:left w:val="nil"/>
              <w:bottom w:val="nil"/>
              <w:right w:val="nil"/>
            </w:tcBorders>
            <w:shd w:val="clear" w:color="auto" w:fill="auto"/>
            <w:noWrap/>
            <w:hideMark/>
          </w:tcPr>
          <w:p w14:paraId="59ED2FF5" w14:textId="61AD94A1"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47.56</w:t>
            </w:r>
          </w:p>
        </w:tc>
      </w:tr>
      <w:tr w:rsidR="0085359D" w:rsidRPr="00911C4F" w14:paraId="6E33353E" w14:textId="77777777" w:rsidTr="0032340D">
        <w:trPr>
          <w:trHeight w:val="540"/>
          <w:jc w:val="center"/>
        </w:trPr>
        <w:tc>
          <w:tcPr>
            <w:tcW w:w="4033" w:type="dxa"/>
            <w:tcBorders>
              <w:top w:val="nil"/>
              <w:left w:val="nil"/>
              <w:bottom w:val="nil"/>
              <w:right w:val="nil"/>
            </w:tcBorders>
            <w:shd w:val="clear" w:color="auto" w:fill="auto"/>
            <w:hideMark/>
          </w:tcPr>
          <w:p w14:paraId="21AC04ED"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Malnutrition (protein or calorie) or at risk for malnutrition</w:t>
            </w:r>
          </w:p>
        </w:tc>
        <w:tc>
          <w:tcPr>
            <w:tcW w:w="1807" w:type="dxa"/>
            <w:tcBorders>
              <w:top w:val="nil"/>
              <w:left w:val="nil"/>
              <w:bottom w:val="nil"/>
              <w:right w:val="nil"/>
            </w:tcBorders>
            <w:shd w:val="clear" w:color="auto" w:fill="auto"/>
            <w:hideMark/>
          </w:tcPr>
          <w:p w14:paraId="5F45CA71" w14:textId="381D4F18"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34,685</w:t>
            </w:r>
          </w:p>
        </w:tc>
        <w:tc>
          <w:tcPr>
            <w:tcW w:w="1690" w:type="dxa"/>
            <w:tcBorders>
              <w:top w:val="nil"/>
              <w:left w:val="nil"/>
              <w:bottom w:val="nil"/>
              <w:right w:val="nil"/>
            </w:tcBorders>
            <w:shd w:val="clear" w:color="auto" w:fill="auto"/>
            <w:noWrap/>
            <w:hideMark/>
          </w:tcPr>
          <w:p w14:paraId="137442CC" w14:textId="02DF61D3"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2.99</w:t>
            </w:r>
          </w:p>
        </w:tc>
      </w:tr>
      <w:tr w:rsidR="0085359D" w:rsidRPr="00911C4F" w14:paraId="71CC793C" w14:textId="77777777" w:rsidTr="005024A0">
        <w:trPr>
          <w:trHeight w:val="315"/>
          <w:jc w:val="center"/>
        </w:trPr>
        <w:tc>
          <w:tcPr>
            <w:tcW w:w="4033" w:type="dxa"/>
            <w:tcBorders>
              <w:top w:val="nil"/>
              <w:left w:val="nil"/>
              <w:bottom w:val="nil"/>
              <w:right w:val="nil"/>
            </w:tcBorders>
            <w:shd w:val="clear" w:color="auto" w:fill="auto"/>
            <w:hideMark/>
          </w:tcPr>
          <w:p w14:paraId="3D8E8103"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Cancer</w:t>
            </w:r>
          </w:p>
        </w:tc>
        <w:tc>
          <w:tcPr>
            <w:tcW w:w="1807" w:type="dxa"/>
            <w:tcBorders>
              <w:top w:val="nil"/>
              <w:left w:val="nil"/>
              <w:bottom w:val="nil"/>
              <w:right w:val="nil"/>
            </w:tcBorders>
            <w:shd w:val="clear" w:color="auto" w:fill="auto"/>
            <w:hideMark/>
          </w:tcPr>
          <w:p w14:paraId="1EF822BD" w14:textId="1AED046E"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63,563</w:t>
            </w:r>
          </w:p>
        </w:tc>
        <w:tc>
          <w:tcPr>
            <w:tcW w:w="1690" w:type="dxa"/>
            <w:tcBorders>
              <w:top w:val="nil"/>
              <w:left w:val="nil"/>
              <w:bottom w:val="nil"/>
              <w:right w:val="nil"/>
            </w:tcBorders>
            <w:shd w:val="clear" w:color="auto" w:fill="auto"/>
            <w:noWrap/>
            <w:hideMark/>
          </w:tcPr>
          <w:p w14:paraId="30596D8D" w14:textId="68477421"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5.51</w:t>
            </w:r>
          </w:p>
        </w:tc>
      </w:tr>
      <w:tr w:rsidR="0085359D" w:rsidRPr="00911C4F" w14:paraId="1CFE71AA" w14:textId="77777777" w:rsidTr="005024A0">
        <w:trPr>
          <w:trHeight w:val="315"/>
          <w:jc w:val="center"/>
        </w:trPr>
        <w:tc>
          <w:tcPr>
            <w:tcW w:w="4033" w:type="dxa"/>
            <w:tcBorders>
              <w:top w:val="nil"/>
              <w:left w:val="nil"/>
              <w:bottom w:val="nil"/>
              <w:right w:val="nil"/>
            </w:tcBorders>
            <w:shd w:val="clear" w:color="auto" w:fill="auto"/>
            <w:hideMark/>
          </w:tcPr>
          <w:p w14:paraId="4C53E9C8"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Anemia</w:t>
            </w:r>
          </w:p>
        </w:tc>
        <w:tc>
          <w:tcPr>
            <w:tcW w:w="1807" w:type="dxa"/>
            <w:tcBorders>
              <w:top w:val="nil"/>
              <w:left w:val="nil"/>
              <w:bottom w:val="nil"/>
              <w:right w:val="nil"/>
            </w:tcBorders>
            <w:shd w:val="clear" w:color="auto" w:fill="auto"/>
            <w:hideMark/>
          </w:tcPr>
          <w:p w14:paraId="4A3C8894" w14:textId="4599BA9D"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319,053</w:t>
            </w:r>
          </w:p>
        </w:tc>
        <w:tc>
          <w:tcPr>
            <w:tcW w:w="1690" w:type="dxa"/>
            <w:tcBorders>
              <w:top w:val="nil"/>
              <w:left w:val="nil"/>
              <w:bottom w:val="nil"/>
              <w:right w:val="nil"/>
            </w:tcBorders>
            <w:shd w:val="clear" w:color="auto" w:fill="auto"/>
            <w:noWrap/>
            <w:hideMark/>
          </w:tcPr>
          <w:p w14:paraId="0F507753" w14:textId="4703948C"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30.15</w:t>
            </w:r>
          </w:p>
        </w:tc>
      </w:tr>
      <w:tr w:rsidR="0085359D" w:rsidRPr="00911C4F" w14:paraId="744806DC" w14:textId="77777777" w:rsidTr="005024A0">
        <w:trPr>
          <w:trHeight w:val="315"/>
          <w:jc w:val="center"/>
        </w:trPr>
        <w:tc>
          <w:tcPr>
            <w:tcW w:w="4033" w:type="dxa"/>
            <w:tcBorders>
              <w:top w:val="nil"/>
              <w:left w:val="nil"/>
              <w:bottom w:val="nil"/>
              <w:right w:val="nil"/>
            </w:tcBorders>
            <w:shd w:val="clear" w:color="auto" w:fill="auto"/>
            <w:hideMark/>
          </w:tcPr>
          <w:p w14:paraId="685B374F"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Heart Failure</w:t>
            </w:r>
          </w:p>
        </w:tc>
        <w:tc>
          <w:tcPr>
            <w:tcW w:w="1807" w:type="dxa"/>
            <w:tcBorders>
              <w:top w:val="nil"/>
              <w:left w:val="nil"/>
              <w:bottom w:val="nil"/>
              <w:right w:val="nil"/>
            </w:tcBorders>
            <w:shd w:val="clear" w:color="auto" w:fill="auto"/>
            <w:hideMark/>
          </w:tcPr>
          <w:p w14:paraId="0E65C684" w14:textId="4F3ECE37"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214,174</w:t>
            </w:r>
          </w:p>
        </w:tc>
        <w:tc>
          <w:tcPr>
            <w:tcW w:w="1690" w:type="dxa"/>
            <w:tcBorders>
              <w:top w:val="nil"/>
              <w:left w:val="nil"/>
              <w:bottom w:val="nil"/>
              <w:right w:val="nil"/>
            </w:tcBorders>
            <w:shd w:val="clear" w:color="auto" w:fill="auto"/>
            <w:noWrap/>
            <w:hideMark/>
          </w:tcPr>
          <w:p w14:paraId="717D703F" w14:textId="5B6BE58C"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20.23</w:t>
            </w:r>
          </w:p>
        </w:tc>
      </w:tr>
      <w:tr w:rsidR="0085359D" w:rsidRPr="00911C4F" w14:paraId="4C93DA6B" w14:textId="77777777" w:rsidTr="005024A0">
        <w:trPr>
          <w:trHeight w:val="315"/>
          <w:jc w:val="center"/>
        </w:trPr>
        <w:tc>
          <w:tcPr>
            <w:tcW w:w="4033" w:type="dxa"/>
            <w:tcBorders>
              <w:top w:val="nil"/>
              <w:left w:val="nil"/>
              <w:bottom w:val="nil"/>
              <w:right w:val="nil"/>
            </w:tcBorders>
            <w:shd w:val="clear" w:color="auto" w:fill="auto"/>
            <w:hideMark/>
          </w:tcPr>
          <w:p w14:paraId="0A3C2E5F"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Hypertension</w:t>
            </w:r>
          </w:p>
        </w:tc>
        <w:tc>
          <w:tcPr>
            <w:tcW w:w="1807" w:type="dxa"/>
            <w:tcBorders>
              <w:top w:val="nil"/>
              <w:left w:val="nil"/>
              <w:bottom w:val="nil"/>
              <w:right w:val="nil"/>
            </w:tcBorders>
            <w:shd w:val="clear" w:color="auto" w:fill="auto"/>
            <w:hideMark/>
          </w:tcPr>
          <w:p w14:paraId="41CB9D25" w14:textId="477AACA5"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794,565</w:t>
            </w:r>
          </w:p>
        </w:tc>
        <w:tc>
          <w:tcPr>
            <w:tcW w:w="1690" w:type="dxa"/>
            <w:tcBorders>
              <w:top w:val="nil"/>
              <w:left w:val="nil"/>
              <w:bottom w:val="nil"/>
              <w:right w:val="nil"/>
            </w:tcBorders>
            <w:shd w:val="clear" w:color="auto" w:fill="auto"/>
            <w:noWrap/>
            <w:hideMark/>
          </w:tcPr>
          <w:p w14:paraId="3B587BD8" w14:textId="12A21E4B"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75.07</w:t>
            </w:r>
          </w:p>
        </w:tc>
      </w:tr>
      <w:tr w:rsidR="0085359D" w:rsidRPr="00911C4F" w14:paraId="2C743BBA" w14:textId="77777777" w:rsidTr="0032340D">
        <w:trPr>
          <w:trHeight w:val="360"/>
          <w:jc w:val="center"/>
        </w:trPr>
        <w:tc>
          <w:tcPr>
            <w:tcW w:w="4033" w:type="dxa"/>
            <w:tcBorders>
              <w:top w:val="nil"/>
              <w:left w:val="nil"/>
              <w:bottom w:val="nil"/>
              <w:right w:val="nil"/>
            </w:tcBorders>
            <w:shd w:val="clear" w:color="auto" w:fill="auto"/>
            <w:hideMark/>
          </w:tcPr>
          <w:p w14:paraId="5F2F299D"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Diabetes Mellitus (DM)</w:t>
            </w:r>
          </w:p>
        </w:tc>
        <w:tc>
          <w:tcPr>
            <w:tcW w:w="1807" w:type="dxa"/>
            <w:tcBorders>
              <w:top w:val="nil"/>
              <w:left w:val="nil"/>
              <w:bottom w:val="nil"/>
              <w:right w:val="nil"/>
            </w:tcBorders>
            <w:shd w:val="clear" w:color="auto" w:fill="auto"/>
            <w:hideMark/>
          </w:tcPr>
          <w:p w14:paraId="2F5C57B5" w14:textId="351AFB2C"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387,797</w:t>
            </w:r>
          </w:p>
        </w:tc>
        <w:tc>
          <w:tcPr>
            <w:tcW w:w="1690" w:type="dxa"/>
            <w:tcBorders>
              <w:top w:val="nil"/>
              <w:left w:val="nil"/>
              <w:bottom w:val="nil"/>
              <w:right w:val="nil"/>
            </w:tcBorders>
            <w:shd w:val="clear" w:color="auto" w:fill="auto"/>
            <w:noWrap/>
            <w:hideMark/>
          </w:tcPr>
          <w:p w14:paraId="049D9545" w14:textId="34362AB5"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33.45</w:t>
            </w:r>
          </w:p>
        </w:tc>
      </w:tr>
      <w:tr w:rsidR="0085359D" w:rsidRPr="00911C4F" w14:paraId="7F4696E1" w14:textId="77777777" w:rsidTr="0032340D">
        <w:trPr>
          <w:trHeight w:val="360"/>
          <w:jc w:val="center"/>
        </w:trPr>
        <w:tc>
          <w:tcPr>
            <w:tcW w:w="4033" w:type="dxa"/>
            <w:tcBorders>
              <w:top w:val="nil"/>
              <w:left w:val="nil"/>
              <w:bottom w:val="nil"/>
              <w:right w:val="nil"/>
            </w:tcBorders>
            <w:shd w:val="clear" w:color="auto" w:fill="auto"/>
            <w:hideMark/>
          </w:tcPr>
          <w:p w14:paraId="0224293D"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Anxiety Disorder</w:t>
            </w:r>
          </w:p>
        </w:tc>
        <w:tc>
          <w:tcPr>
            <w:tcW w:w="1807" w:type="dxa"/>
            <w:tcBorders>
              <w:top w:val="nil"/>
              <w:left w:val="nil"/>
              <w:bottom w:val="nil"/>
              <w:right w:val="nil"/>
            </w:tcBorders>
            <w:shd w:val="clear" w:color="auto" w:fill="auto"/>
            <w:hideMark/>
          </w:tcPr>
          <w:p w14:paraId="404EB465" w14:textId="38984E5C"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338,821</w:t>
            </w:r>
          </w:p>
        </w:tc>
        <w:tc>
          <w:tcPr>
            <w:tcW w:w="1690" w:type="dxa"/>
            <w:tcBorders>
              <w:top w:val="nil"/>
              <w:left w:val="nil"/>
              <w:bottom w:val="nil"/>
              <w:right w:val="nil"/>
            </w:tcBorders>
            <w:shd w:val="clear" w:color="auto" w:fill="auto"/>
            <w:noWrap/>
            <w:hideMark/>
          </w:tcPr>
          <w:p w14:paraId="266B591E" w14:textId="77727B6D"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29.23</w:t>
            </w:r>
          </w:p>
        </w:tc>
      </w:tr>
      <w:tr w:rsidR="0085359D" w:rsidRPr="00911C4F" w14:paraId="4FB50358" w14:textId="77777777" w:rsidTr="0032340D">
        <w:trPr>
          <w:trHeight w:val="80"/>
          <w:jc w:val="center"/>
        </w:trPr>
        <w:tc>
          <w:tcPr>
            <w:tcW w:w="4033" w:type="dxa"/>
            <w:tcBorders>
              <w:top w:val="nil"/>
              <w:left w:val="nil"/>
              <w:bottom w:val="single" w:sz="4" w:space="0" w:color="auto"/>
              <w:right w:val="nil"/>
            </w:tcBorders>
            <w:shd w:val="clear" w:color="auto" w:fill="auto"/>
            <w:hideMark/>
          </w:tcPr>
          <w:p w14:paraId="521744C7" w14:textId="77777777" w:rsidR="0085359D" w:rsidRPr="00911C4F" w:rsidRDefault="0085359D" w:rsidP="00682A1A">
            <w:pPr>
              <w:spacing w:after="0" w:line="240" w:lineRule="auto"/>
              <w:ind w:left="252"/>
              <w:rPr>
                <w:rFonts w:eastAsia="Times New Roman" w:cs="Times New Roman"/>
                <w:color w:val="0000FF"/>
              </w:rPr>
            </w:pPr>
            <w:r w:rsidRPr="00911C4F">
              <w:rPr>
                <w:rFonts w:eastAsia="Times New Roman" w:cs="Times New Roman"/>
                <w:color w:val="0000FF"/>
              </w:rPr>
              <w:t>Asthma, Chronic Obstructive Pulmonary Disease (COPD), or Chronic Lung Disease</w:t>
            </w:r>
          </w:p>
        </w:tc>
        <w:tc>
          <w:tcPr>
            <w:tcW w:w="1807" w:type="dxa"/>
            <w:tcBorders>
              <w:top w:val="nil"/>
              <w:left w:val="nil"/>
              <w:bottom w:val="single" w:sz="4" w:space="0" w:color="auto"/>
              <w:right w:val="nil"/>
            </w:tcBorders>
            <w:shd w:val="clear" w:color="auto" w:fill="auto"/>
            <w:hideMark/>
          </w:tcPr>
          <w:p w14:paraId="61B656B0" w14:textId="5134B0E3"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221,662</w:t>
            </w:r>
          </w:p>
        </w:tc>
        <w:tc>
          <w:tcPr>
            <w:tcW w:w="1690" w:type="dxa"/>
            <w:tcBorders>
              <w:top w:val="nil"/>
              <w:left w:val="nil"/>
              <w:bottom w:val="nil"/>
              <w:right w:val="nil"/>
            </w:tcBorders>
            <w:shd w:val="clear" w:color="auto" w:fill="auto"/>
            <w:noWrap/>
            <w:hideMark/>
          </w:tcPr>
          <w:p w14:paraId="2B289A52" w14:textId="6B63B559"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20.94</w:t>
            </w:r>
          </w:p>
        </w:tc>
      </w:tr>
      <w:tr w:rsidR="00900660" w:rsidRPr="00911C4F" w14:paraId="5A3457F9" w14:textId="77777777" w:rsidTr="0032340D">
        <w:trPr>
          <w:trHeight w:val="710"/>
          <w:jc w:val="center"/>
        </w:trPr>
        <w:tc>
          <w:tcPr>
            <w:tcW w:w="4033" w:type="dxa"/>
            <w:tcBorders>
              <w:top w:val="nil"/>
              <w:left w:val="nil"/>
              <w:bottom w:val="single" w:sz="12" w:space="0" w:color="auto"/>
              <w:right w:val="nil"/>
            </w:tcBorders>
            <w:shd w:val="clear" w:color="auto" w:fill="auto"/>
            <w:hideMark/>
          </w:tcPr>
          <w:p w14:paraId="6E4E32B7" w14:textId="5DE998D8" w:rsidR="00651AB7" w:rsidRPr="00911C4F" w:rsidRDefault="005024A0" w:rsidP="00651AB7">
            <w:pPr>
              <w:spacing w:after="0" w:line="240" w:lineRule="auto"/>
              <w:rPr>
                <w:rFonts w:eastAsia="Times New Roman" w:cs="Times New Roman"/>
                <w:color w:val="0000FF"/>
              </w:rPr>
            </w:pPr>
            <w:r>
              <w:rPr>
                <w:rFonts w:eastAsia="Times New Roman" w:cs="Times New Roman"/>
                <w:color w:val="0000FF"/>
              </w:rPr>
              <w:t>Total</w:t>
            </w:r>
          </w:p>
        </w:tc>
        <w:tc>
          <w:tcPr>
            <w:tcW w:w="1807" w:type="dxa"/>
            <w:tcBorders>
              <w:top w:val="nil"/>
              <w:left w:val="nil"/>
              <w:bottom w:val="single" w:sz="12" w:space="0" w:color="auto"/>
              <w:right w:val="nil"/>
            </w:tcBorders>
            <w:shd w:val="clear" w:color="auto" w:fill="auto"/>
            <w:hideMark/>
          </w:tcPr>
          <w:p w14:paraId="2BC006F3" w14:textId="77777777" w:rsidR="0085359D" w:rsidRPr="00911C4F" w:rsidRDefault="0085359D" w:rsidP="0085359D">
            <w:pPr>
              <w:spacing w:after="0" w:line="240" w:lineRule="auto"/>
              <w:jc w:val="right"/>
              <w:rPr>
                <w:rFonts w:eastAsia="Times New Roman" w:cs="Times New Roman"/>
                <w:color w:val="0000FF"/>
              </w:rPr>
            </w:pPr>
            <w:r w:rsidRPr="00911C4F">
              <w:rPr>
                <w:rFonts w:eastAsia="Times New Roman" w:cs="Times New Roman"/>
                <w:color w:val="0000FF"/>
              </w:rPr>
              <w:t>1,159,680</w:t>
            </w:r>
          </w:p>
          <w:p w14:paraId="48FC77F6" w14:textId="2339CD15" w:rsidR="00651AB7" w:rsidRPr="00911C4F" w:rsidRDefault="00651AB7" w:rsidP="00651AB7">
            <w:pPr>
              <w:spacing w:after="0" w:line="240" w:lineRule="auto"/>
              <w:jc w:val="right"/>
              <w:rPr>
                <w:rFonts w:eastAsia="Times New Roman" w:cs="Times New Roman"/>
                <w:color w:val="0000FF"/>
              </w:rPr>
            </w:pPr>
          </w:p>
        </w:tc>
        <w:tc>
          <w:tcPr>
            <w:tcW w:w="1690" w:type="dxa"/>
            <w:tcBorders>
              <w:top w:val="single" w:sz="4" w:space="0" w:color="auto"/>
              <w:left w:val="nil"/>
              <w:bottom w:val="single" w:sz="12" w:space="0" w:color="auto"/>
              <w:right w:val="nil"/>
            </w:tcBorders>
            <w:shd w:val="clear" w:color="auto" w:fill="auto"/>
            <w:noWrap/>
            <w:hideMark/>
          </w:tcPr>
          <w:p w14:paraId="1892FE59" w14:textId="77777777" w:rsidR="00651AB7" w:rsidRPr="00911C4F" w:rsidRDefault="00651AB7" w:rsidP="00651AB7">
            <w:pPr>
              <w:spacing w:after="0" w:line="240" w:lineRule="auto"/>
              <w:rPr>
                <w:rFonts w:eastAsia="Times New Roman" w:cs="Times New Roman"/>
                <w:color w:val="0000FF"/>
              </w:rPr>
            </w:pPr>
            <w:r w:rsidRPr="00911C4F">
              <w:rPr>
                <w:rFonts w:eastAsia="Times New Roman" w:cs="Times New Roman"/>
                <w:color w:val="0000FF"/>
              </w:rPr>
              <w:t> </w:t>
            </w:r>
          </w:p>
        </w:tc>
      </w:tr>
    </w:tbl>
    <w:p w14:paraId="1742E331" w14:textId="1EED2A56" w:rsidR="00651AB7" w:rsidRDefault="00651AB7" w:rsidP="00C916B1">
      <w:pPr>
        <w:pStyle w:val="Response"/>
        <w:ind w:left="360" w:hanging="360"/>
        <w:rPr>
          <w:rFonts w:cstheme="minorBidi"/>
          <w:sz w:val="20"/>
          <w:szCs w:val="20"/>
        </w:rPr>
      </w:pPr>
      <w:r w:rsidRPr="00900660">
        <w:rPr>
          <w:rFonts w:cstheme="minorBidi"/>
          <w:sz w:val="20"/>
          <w:szCs w:val="20"/>
          <w:vertAlign w:val="superscript"/>
        </w:rPr>
        <w:t>1</w:t>
      </w:r>
      <w:r w:rsidRPr="00900660">
        <w:rPr>
          <w:rFonts w:cstheme="minorBidi"/>
          <w:sz w:val="20"/>
          <w:szCs w:val="20"/>
        </w:rPr>
        <w:t>Percent of target assessments with values for the given item, specific to each item.</w:t>
      </w:r>
    </w:p>
    <w:p w14:paraId="7D6A1662" w14:textId="32B95793" w:rsidR="00020F3F" w:rsidRPr="00900660" w:rsidRDefault="00020F3F" w:rsidP="00C916B1">
      <w:pPr>
        <w:pStyle w:val="Response"/>
        <w:ind w:left="360" w:hanging="360"/>
        <w:rPr>
          <w:rFonts w:cstheme="minorBidi"/>
          <w:sz w:val="20"/>
          <w:szCs w:val="20"/>
        </w:rPr>
      </w:pPr>
      <w:r>
        <w:rPr>
          <w:rFonts w:cstheme="minorBidi"/>
          <w:sz w:val="20"/>
          <w:szCs w:val="20"/>
        </w:rPr>
        <w:t>SOURCE: RTI Analysis of Q</w:t>
      </w:r>
      <w:r w:rsidR="00511D4A">
        <w:rPr>
          <w:rFonts w:cstheme="minorBidi"/>
          <w:sz w:val="20"/>
          <w:szCs w:val="20"/>
        </w:rPr>
        <w:t>2</w:t>
      </w:r>
      <w:r>
        <w:rPr>
          <w:rFonts w:cstheme="minorBidi"/>
          <w:sz w:val="20"/>
          <w:szCs w:val="20"/>
        </w:rPr>
        <w:t xml:space="preserve"> 2014 MDS 3.0 data</w:t>
      </w:r>
      <w:r w:rsidR="00E9163B">
        <w:rPr>
          <w:rFonts w:cstheme="minorBidi"/>
          <w:sz w:val="20"/>
          <w:szCs w:val="20"/>
        </w:rPr>
        <w:t xml:space="preserve"> (RTI programming reference: nb00</w:t>
      </w:r>
      <w:r w:rsidR="0059295A">
        <w:rPr>
          <w:rFonts w:cstheme="minorBidi"/>
          <w:sz w:val="20"/>
          <w:szCs w:val="20"/>
        </w:rPr>
        <w:t>8</w:t>
      </w:r>
      <w:r w:rsidR="00511D4A">
        <w:rPr>
          <w:rFonts w:cstheme="minorBidi"/>
          <w:sz w:val="20"/>
          <w:szCs w:val="20"/>
        </w:rPr>
        <w:t>_14_15</w:t>
      </w:r>
      <w:r w:rsidR="00E9163B">
        <w:rPr>
          <w:rFonts w:cstheme="minorBidi"/>
          <w:sz w:val="20"/>
          <w:szCs w:val="20"/>
        </w:rPr>
        <w:t>)</w:t>
      </w:r>
      <w:r>
        <w:rPr>
          <w:rFonts w:cstheme="minorBidi"/>
          <w:sz w:val="20"/>
          <w:szCs w:val="20"/>
        </w:rPr>
        <w:t>.</w:t>
      </w:r>
    </w:p>
    <w:p w14:paraId="1D60E812" w14:textId="77777777" w:rsidR="00651AB7" w:rsidRPr="00C916B1" w:rsidRDefault="00651AB7" w:rsidP="00C916B1">
      <w:pPr>
        <w:pStyle w:val="Response"/>
        <w:ind w:left="360" w:hanging="360"/>
        <w:rPr>
          <w:rFonts w:cstheme="minorBidi"/>
        </w:rPr>
      </w:pPr>
    </w:p>
    <w:p w14:paraId="1A63CDA8" w14:textId="77777777" w:rsidR="00E37E1B" w:rsidRDefault="00A330B8" w:rsidP="00E37E1B">
      <w:pPr>
        <w:autoSpaceDE w:val="0"/>
        <w:autoSpaceDN w:val="0"/>
        <w:adjustRightInd w:val="0"/>
        <w:spacing w:after="0" w:line="240" w:lineRule="auto"/>
        <w:rPr>
          <w:rFonts w:cstheme="minorHAnsi"/>
          <w:bCs/>
        </w:rPr>
      </w:pPr>
      <w:r w:rsidRPr="00FA1221">
        <w:rPr>
          <w:rFonts w:cstheme="minorHAnsi"/>
          <w:b/>
          <w:bCs/>
        </w:rPr>
        <w:t xml:space="preserve">1.7.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1D559A9" w14:textId="08AF0C26" w:rsidR="00A330B8" w:rsidRPr="00C916B1" w:rsidRDefault="00A330B8" w:rsidP="00C916B1">
      <w:pPr>
        <w:pStyle w:val="Response"/>
        <w:rPr>
          <w:b/>
          <w:bCs w:val="0"/>
        </w:rPr>
      </w:pPr>
      <w:r w:rsidRPr="00C916B1">
        <w:rPr>
          <w:b/>
          <w:bCs w:val="0"/>
        </w:rPr>
        <w:t xml:space="preserve">Data Sample for Reliability Testing </w:t>
      </w:r>
    </w:p>
    <w:p w14:paraId="31AA6D95" w14:textId="65998EE0" w:rsidR="00C914C1" w:rsidRDefault="00C914C1" w:rsidP="0032340D">
      <w:pPr>
        <w:pStyle w:val="Response"/>
        <w:numPr>
          <w:ilvl w:val="0"/>
          <w:numId w:val="39"/>
        </w:numPr>
      </w:pPr>
      <w:r>
        <w:t>Critical Data Element – RAND reliability analysis of data elements used the same sample as described in sections 1.5 and 1.6.</w:t>
      </w:r>
    </w:p>
    <w:p w14:paraId="7B697EE2" w14:textId="628F93F8" w:rsidR="00F36506" w:rsidRDefault="00C914C1" w:rsidP="0032340D">
      <w:pPr>
        <w:pStyle w:val="Response"/>
        <w:numPr>
          <w:ilvl w:val="0"/>
          <w:numId w:val="39"/>
        </w:numPr>
      </w:pPr>
      <w:r>
        <w:t>Performance Measure Score</w:t>
      </w:r>
      <w:r w:rsidR="00F049BB">
        <w:t xml:space="preserve"> –</w:t>
      </w:r>
      <w:r>
        <w:t xml:space="preserve"> </w:t>
      </w:r>
      <w:r w:rsidRPr="00C914C1">
        <w:t>RTI examined change</w:t>
      </w:r>
      <w:r w:rsidR="00A226C2">
        <w:t xml:space="preserve"> in facility ranks and scores</w:t>
      </w:r>
      <w:r w:rsidRPr="00C914C1">
        <w:t xml:space="preserve"> on this quality measure from quarter to quarter from Quarter 1 to Quarter 2, 2014</w:t>
      </w:r>
      <w:r w:rsidR="00A226C2">
        <w:t xml:space="preserve">. </w:t>
      </w:r>
      <w:r w:rsidR="00A226C2" w:rsidRPr="009968BC">
        <w:t xml:space="preserve">All nursing homes that were eligible for public reporting in both quarters </w:t>
      </w:r>
      <w:r w:rsidR="00D1370C">
        <w:t>(N=13,747)</w:t>
      </w:r>
      <w:r w:rsidR="00A226C2" w:rsidRPr="00A226C2">
        <w:t xml:space="preserve"> </w:t>
      </w:r>
      <w:r w:rsidR="00A226C2" w:rsidRPr="009968BC">
        <w:t>were included in the analyses</w:t>
      </w:r>
      <w:r w:rsidRPr="00C914C1">
        <w:t>.</w:t>
      </w:r>
    </w:p>
    <w:p w14:paraId="78B4ADFA" w14:textId="77777777" w:rsidR="00A330B8" w:rsidRPr="00C916B1" w:rsidRDefault="00A330B8" w:rsidP="00C916B1">
      <w:pPr>
        <w:pStyle w:val="Response"/>
        <w:rPr>
          <w:b/>
          <w:bCs w:val="0"/>
        </w:rPr>
      </w:pPr>
      <w:r w:rsidRPr="00C916B1">
        <w:rPr>
          <w:b/>
          <w:bCs w:val="0"/>
        </w:rPr>
        <w:t xml:space="preserve">Data Sample for Validity Testing </w:t>
      </w:r>
    </w:p>
    <w:p w14:paraId="6508DF21" w14:textId="392C6F21" w:rsidR="00C914C1" w:rsidRPr="0032340D" w:rsidRDefault="00C914C1" w:rsidP="0032340D">
      <w:pPr>
        <w:pStyle w:val="Response"/>
        <w:numPr>
          <w:ilvl w:val="0"/>
          <w:numId w:val="40"/>
        </w:numPr>
      </w:pPr>
      <w:r w:rsidRPr="0032340D">
        <w:t>Critical Data Element – RAND analysis of data element used the same sample as described in sections 1.5 and 1.6.</w:t>
      </w:r>
    </w:p>
    <w:p w14:paraId="67860EEB" w14:textId="78B01D40" w:rsidR="00A226C2" w:rsidRDefault="00C914C1" w:rsidP="00A226C2">
      <w:pPr>
        <w:pStyle w:val="Response"/>
        <w:numPr>
          <w:ilvl w:val="0"/>
          <w:numId w:val="40"/>
        </w:numPr>
      </w:pPr>
      <w:r w:rsidRPr="0032340D">
        <w:t>Performance Measure Score – RTI analyses used the same data as described in sections 1.5 and 1.6.</w:t>
      </w:r>
    </w:p>
    <w:p w14:paraId="6E6BF429" w14:textId="77777777" w:rsidR="005A0BA9" w:rsidRDefault="005A0BA9" w:rsidP="005A0BA9">
      <w:pPr>
        <w:autoSpaceDE w:val="0"/>
        <w:autoSpaceDN w:val="0"/>
        <w:adjustRightInd w:val="0"/>
        <w:spacing w:after="0" w:line="240" w:lineRule="auto"/>
        <w:rPr>
          <w:rFonts w:cstheme="minorHAnsi"/>
          <w:b/>
          <w:bCs/>
        </w:rPr>
      </w:pPr>
    </w:p>
    <w:p w14:paraId="59CC70A0" w14:textId="77777777" w:rsidR="005A0BA9" w:rsidRPr="00BF01F8" w:rsidRDefault="005A0BA9" w:rsidP="005A0BA9">
      <w:pPr>
        <w:autoSpaceDE w:val="0"/>
        <w:autoSpaceDN w:val="0"/>
        <w:adjustRightInd w:val="0"/>
        <w:spacing w:after="0" w:line="240" w:lineRule="auto"/>
        <w:rPr>
          <w:rFonts w:cstheme="minorHAnsi"/>
          <w:b/>
          <w:bCs/>
        </w:rPr>
      </w:pPr>
      <w:r w:rsidRPr="00BF01F8">
        <w:rPr>
          <w:rFonts w:cstheme="minorHAnsi"/>
          <w:b/>
          <w:bCs/>
        </w:rPr>
        <w:t xml:space="preserve">1.8 What were the patient-level sociodemographic (SDS) variables that were available and analyzed in the data or sample used? For example, patient-reported data </w:t>
      </w:r>
      <w:r w:rsidRPr="00BF01F8">
        <w:rPr>
          <w:rFonts w:cstheme="minorHAnsi"/>
          <w:i/>
          <w:iCs/>
        </w:rPr>
        <w:t>(e.g., income, education, language)</w:t>
      </w:r>
      <w:r w:rsidRPr="00BF01F8">
        <w:rPr>
          <w:rFonts w:cstheme="minorHAnsi"/>
          <w:b/>
          <w:bCs/>
        </w:rPr>
        <w:t xml:space="preserve">, proxy variables when SDS data are not collected from each patient </w:t>
      </w:r>
      <w:r w:rsidRPr="00BF01F8">
        <w:rPr>
          <w:rFonts w:cstheme="minorHAnsi"/>
          <w:i/>
          <w:iCs/>
        </w:rPr>
        <w:t>(e.g. census tract)</w:t>
      </w:r>
      <w:r w:rsidRPr="00BF01F8">
        <w:rPr>
          <w:rFonts w:cstheme="minorHAnsi"/>
          <w:b/>
          <w:bCs/>
        </w:rPr>
        <w:t xml:space="preserve">, or patient community characteristics </w:t>
      </w:r>
      <w:r w:rsidRPr="00BF01F8">
        <w:rPr>
          <w:rFonts w:cstheme="minorHAnsi"/>
          <w:i/>
          <w:iCs/>
        </w:rPr>
        <w:t>(e.g. percent vacant housing, crime rate)</w:t>
      </w:r>
      <w:r w:rsidRPr="00BF01F8">
        <w:rPr>
          <w:rFonts w:cstheme="minorHAnsi"/>
          <w:b/>
          <w:bCs/>
        </w:rPr>
        <w:t>.</w:t>
      </w:r>
    </w:p>
    <w:p w14:paraId="13097F79" w14:textId="77777777" w:rsidR="005A0BA9" w:rsidRDefault="005A0BA9" w:rsidP="005A0BA9">
      <w:pPr>
        <w:pStyle w:val="Response"/>
      </w:pPr>
      <w:r>
        <w:t>RTI analysis used MDS 3.0. Resident sex, race, ethnicity, Medicare-Medicaid dual eligibility, and age are all available on MDS. We have reported descriptive statistics on all these characteristics in response to NQF prompting for sample resident characteristics in Table 1 under item 1.6. Additionally, we have reported analyses of race and dual eligibility in item 1b.4 in the Measure Submission Form.</w:t>
      </w:r>
    </w:p>
    <w:p w14:paraId="77BCB078" w14:textId="1CF73DB1" w:rsidR="004348CC" w:rsidRPr="00A226C2" w:rsidRDefault="00483E94" w:rsidP="00C916B1">
      <w:pPr>
        <w:keepNext/>
        <w:autoSpaceDE w:val="0"/>
        <w:autoSpaceDN w:val="0"/>
        <w:adjustRightInd w:val="0"/>
        <w:spacing w:after="0" w:line="240" w:lineRule="auto"/>
        <w:rPr>
          <w:rFonts w:cstheme="minorHAnsi"/>
          <w:bCs/>
        </w:rPr>
      </w:pPr>
      <w:r w:rsidRPr="00A226C2">
        <w:rPr>
          <w:rFonts w:cstheme="minorHAnsi"/>
          <w:noProof/>
        </w:rPr>
        <w:t>________</w:t>
      </w:r>
      <w:r w:rsidR="00E37E1B" w:rsidRPr="00A226C2">
        <w:rPr>
          <w:rFonts w:cstheme="minorHAnsi"/>
          <w:noProof/>
        </w:rPr>
        <w:t>_______________</w:t>
      </w:r>
      <w:r w:rsidR="003755CB" w:rsidRPr="00A226C2">
        <w:rPr>
          <w:rFonts w:cstheme="minorHAnsi"/>
          <w:noProof/>
        </w:rPr>
        <w:t>_________</w:t>
      </w:r>
    </w:p>
    <w:p w14:paraId="1CCAE8BB" w14:textId="77777777" w:rsidR="008A403A" w:rsidRPr="00A25024" w:rsidRDefault="00021170" w:rsidP="00C916B1">
      <w:pPr>
        <w:keepNext/>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2F4EFF2A"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49FAEB3" w14:textId="77777777" w:rsidR="003B0D49" w:rsidRDefault="00092566" w:rsidP="003B0D49">
      <w:pPr>
        <w:autoSpaceDE w:val="0"/>
        <w:autoSpaceDN w:val="0"/>
        <w:adjustRightInd w:val="0"/>
        <w:spacing w:before="240"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p>
    <w:p w14:paraId="7CFDC498" w14:textId="77777777" w:rsidR="001969C5" w:rsidRPr="00A25024" w:rsidRDefault="001F7A20" w:rsidP="003B0D49">
      <w:pPr>
        <w:autoSpaceDE w:val="0"/>
        <w:autoSpaceDN w:val="0"/>
        <w:adjustRightInd w:val="0"/>
        <w:spacing w:before="240" w:after="0" w:line="240" w:lineRule="auto"/>
        <w:rPr>
          <w:rFonts w:cstheme="minorHAnsi"/>
          <w:bCs/>
        </w:rPr>
      </w:pP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2E6BE492" w14:textId="36C1EA58" w:rsidR="00A330B8" w:rsidRPr="00C916B1" w:rsidRDefault="00A330B8" w:rsidP="00C916B1">
      <w:pPr>
        <w:pStyle w:val="Response"/>
        <w:rPr>
          <w:b/>
          <w:bCs w:val="0"/>
        </w:rPr>
      </w:pPr>
      <w:r w:rsidRPr="00C916B1">
        <w:rPr>
          <w:b/>
          <w:bCs w:val="0"/>
        </w:rPr>
        <w:t>Data Element Reliability</w:t>
      </w:r>
    </w:p>
    <w:p w14:paraId="0D9FDB6E" w14:textId="4E7F1C54" w:rsidR="008B5850" w:rsidRDefault="008B5850" w:rsidP="008B5850">
      <w:pPr>
        <w:pStyle w:val="Response"/>
      </w:pPr>
      <w:r w:rsidRPr="00D2529F">
        <w:t>The national test of MDS 3.0 items by Saliba et al.</w:t>
      </w:r>
      <w:r>
        <w:rPr>
          <w:rStyle w:val="FootnoteReference"/>
        </w:rPr>
        <w:footnoteReference w:id="6"/>
      </w:r>
      <w:r w:rsidRPr="002713E6">
        <w:t xml:space="preserve"> examined </w:t>
      </w:r>
      <w:r>
        <w:t xml:space="preserve">the </w:t>
      </w:r>
      <w:r w:rsidRPr="002713E6">
        <w:t>agreement between assessors (reliability).</w:t>
      </w:r>
      <w:r>
        <w:t xml:space="preserve"> </w:t>
      </w:r>
      <w:r w:rsidRPr="00E548EC">
        <w:t xml:space="preserve">Inter-rater reliability measures the extent to which two data collectors achieve the same results when assessing the same resident within the same time frame. </w:t>
      </w:r>
      <w:r>
        <w:t xml:space="preserve">Two types of reliability were tested: gold-standard nurse to gold-standard nurse, and gold-standard nurse to facility-nurse. </w:t>
      </w:r>
      <w:r w:rsidRPr="00E605B6">
        <w:t>The gold-standard nurses were trained in the MDS 3.0 instrument and, in turn, trained a facility nurse from each participating nursing home in their home states.</w:t>
      </w:r>
      <w:r>
        <w:t xml:space="preserve"> The gold-standard to gold-standard comparisons provided information on instrument performance with highly trained nurses using research protocols. The gold-standard to facility-nurse comparisons measured item performance in a more operational environment in which one assessor had ongoing facility responsibilities. </w:t>
      </w:r>
      <w:r w:rsidRPr="00D337B8">
        <w:t>Residents participating in the test were selected to capture a representative sample of short- and long-stay residents. Kappa</w:t>
      </w:r>
      <w:r>
        <w:t xml:space="preserve"> statistics</w:t>
      </w:r>
      <w:r w:rsidRPr="00D337B8">
        <w:t xml:space="preserve"> were calculated to assess item reliability.  Kappa is a statistical measure of inter-rater agreement for qualitative data, ranging from 0.0 to 1.0.  A rating of 0.70 is considered substantial agreement.</w:t>
      </w:r>
      <w:r>
        <w:rPr>
          <w:rStyle w:val="FootnoteReference"/>
        </w:rPr>
        <w:footnoteReference w:id="7"/>
      </w:r>
    </w:p>
    <w:p w14:paraId="1B57D40C" w14:textId="77777777" w:rsidR="00A330B8" w:rsidRPr="00C916B1" w:rsidRDefault="00A330B8" w:rsidP="00C916B1">
      <w:pPr>
        <w:pStyle w:val="Response"/>
        <w:rPr>
          <w:b/>
          <w:bCs w:val="0"/>
        </w:rPr>
      </w:pPr>
      <w:r w:rsidRPr="00C916B1">
        <w:rPr>
          <w:b/>
          <w:bCs w:val="0"/>
        </w:rPr>
        <w:t>Performance Measure Score Reliability</w:t>
      </w:r>
    </w:p>
    <w:p w14:paraId="249C58C1" w14:textId="6031354C" w:rsidR="001E71E7" w:rsidRDefault="00EC514E" w:rsidP="00EC514E">
      <w:pPr>
        <w:pStyle w:val="Response"/>
        <w:ind w:left="720" w:hanging="360"/>
      </w:pPr>
      <w:r>
        <w:rPr>
          <w:rFonts w:cstheme="minorBidi"/>
        </w:rPr>
        <w:lastRenderedPageBreak/>
        <w:t xml:space="preserve">1. </w:t>
      </w:r>
      <w:r>
        <w:rPr>
          <w:rFonts w:cstheme="minorBidi"/>
        </w:rPr>
        <w:tab/>
      </w:r>
      <w:r w:rsidR="001E71E7" w:rsidRPr="00EC514E">
        <w:rPr>
          <w:rFonts w:cstheme="minorBidi"/>
        </w:rPr>
        <w:t>Stability</w:t>
      </w:r>
      <w:r w:rsidR="001E71E7" w:rsidRPr="005B5027">
        <w:t xml:space="preserve"> analysis</w:t>
      </w:r>
      <w:r w:rsidR="001E71E7">
        <w:t>:</w:t>
      </w:r>
      <w:r w:rsidR="001E71E7" w:rsidRPr="005B5027">
        <w:t xml:space="preserve"> </w:t>
      </w:r>
      <w:r w:rsidR="001E71E7" w:rsidRPr="009D776D">
        <w:t xml:space="preserve">We examined the extent to which relative facility rank changed on this quality measure from Quarter </w:t>
      </w:r>
      <w:r w:rsidR="001E71E7">
        <w:t>3</w:t>
      </w:r>
      <w:r w:rsidR="001E71E7" w:rsidRPr="009D776D">
        <w:t xml:space="preserve"> 2013 to Quarter 2 2014.</w:t>
      </w:r>
      <w:r w:rsidR="001E71E7" w:rsidRPr="005B5027">
        <w:t xml:space="preserve">  We also examined the change in facility scores from Quarter 1 </w:t>
      </w:r>
      <w:r w:rsidR="001E71E7">
        <w:t xml:space="preserve">2014 </w:t>
      </w:r>
      <w:r w:rsidR="001E71E7" w:rsidRPr="005B5027">
        <w:t>to Quarter 2 2014. Dramatic changes in the QM score or facility rank based on the score across time may indicate measure instability, rather than true changes in quality.</w:t>
      </w:r>
    </w:p>
    <w:p w14:paraId="58E11AAB" w14:textId="71845608" w:rsidR="003B0D49" w:rsidRPr="00794F99" w:rsidRDefault="00EC514E" w:rsidP="00EC514E">
      <w:pPr>
        <w:pStyle w:val="Response"/>
        <w:ind w:left="720" w:hanging="360"/>
      </w:pPr>
      <w:r>
        <w:t xml:space="preserve">2. </w:t>
      </w:r>
      <w:r>
        <w:tab/>
      </w:r>
      <w:r w:rsidR="004A1720" w:rsidRPr="0032340D">
        <w:t>Confidence</w:t>
      </w:r>
      <w:r w:rsidR="004A1720" w:rsidRPr="00794F99">
        <w:t xml:space="preserve"> Interval Analysis: We examined proportions of facilities with scores for this measure that are significantly different from national facility-level mean, stratified by facility denominator size.  A reliable measure should have a high proportion of facilities with scores significantly different than the mean. For this analysis, statistical significance was determined using 95% confidence intervals: a facility’s QM score was significantly different from the national mean if the national mean was not included within the facility’s 95% confidence interval. High-</w:t>
      </w:r>
      <w:bookmarkStart w:id="11" w:name="_GoBack"/>
      <w:bookmarkEnd w:id="11"/>
      <w:r w:rsidR="004A1720" w:rsidRPr="00794F99">
        <w:t>performing facilities should have scores that are significantly above-average, and low-performing facilities should be significantly below-average. We stratified the analysis by facility denominator size to examine whether this feature of the measure varies by size.</w:t>
      </w:r>
    </w:p>
    <w:p w14:paraId="591EDA18" w14:textId="09FA47DF" w:rsidR="001E71E7" w:rsidRPr="00794F99" w:rsidRDefault="00EC514E" w:rsidP="00EC514E">
      <w:pPr>
        <w:pStyle w:val="Response"/>
        <w:ind w:left="720" w:hanging="360"/>
      </w:pPr>
      <w:r>
        <w:t xml:space="preserve">3. </w:t>
      </w:r>
      <w:r>
        <w:tab/>
      </w:r>
      <w:r w:rsidR="001E71E7" w:rsidRPr="00794F99">
        <w:t xml:space="preserve">Signal to noise analysis: </w:t>
      </w:r>
      <w:r w:rsidR="001E71E7" w:rsidRPr="005B5027">
        <w:t xml:space="preserve">If a measure is reliable, then </w:t>
      </w:r>
      <w:r w:rsidR="001E71E7">
        <w:t>true differences in provider performance</w:t>
      </w:r>
      <w:r w:rsidR="001E71E7" w:rsidRPr="005B5027">
        <w:t xml:space="preserve"> should explain a substantial proportion of the variance in quality measure scores. A signal-to-noise analysis </w:t>
      </w:r>
      <w:r w:rsidR="001E71E7">
        <w:t xml:space="preserve">was performed to determine what proportion of total variance in the measure is attributable to differences among providers. </w:t>
      </w:r>
      <w:r w:rsidR="001E71E7" w:rsidRPr="005B5027">
        <w:t xml:space="preserve">This analysis used logistic regression of facility scores </w:t>
      </w:r>
      <w:r w:rsidR="001E71E7">
        <w:t>for</w:t>
      </w:r>
      <w:r w:rsidR="001E71E7" w:rsidRPr="005B5027">
        <w:t xml:space="preserve"> </w:t>
      </w:r>
      <w:r w:rsidR="001E71E7">
        <w:t>Q2 2014</w:t>
      </w:r>
      <w:r w:rsidR="001E71E7" w:rsidRPr="005B5027">
        <w:t>.</w:t>
      </w:r>
    </w:p>
    <w:p w14:paraId="4EC8E750" w14:textId="77777777" w:rsidR="003B0D49"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0C5ED610" w14:textId="4847F5C7" w:rsidR="00A330B8" w:rsidRPr="00C916B1" w:rsidRDefault="00A330B8" w:rsidP="00C916B1">
      <w:pPr>
        <w:pStyle w:val="Response"/>
        <w:rPr>
          <w:b/>
          <w:bCs w:val="0"/>
        </w:rPr>
      </w:pPr>
      <w:r w:rsidRPr="00C916B1">
        <w:rPr>
          <w:b/>
          <w:bCs w:val="0"/>
        </w:rPr>
        <w:t>Data Element Reliability</w:t>
      </w:r>
    </w:p>
    <w:p w14:paraId="0133BCFE" w14:textId="4678B5A5" w:rsidR="00682A1A" w:rsidRPr="009D7EC9" w:rsidRDefault="00682A1A" w:rsidP="00B65B0A">
      <w:pPr>
        <w:pStyle w:val="Response"/>
        <w:keepNext/>
        <w:keepLines/>
      </w:pPr>
      <w:r>
        <w:t>T</w:t>
      </w:r>
      <w:r w:rsidRPr="009D7EC9">
        <w:t>he restraint item</w:t>
      </w:r>
      <w:r>
        <w:t>s included in this measure had</w:t>
      </w:r>
      <w:r w:rsidRPr="009D7EC9">
        <w:t xml:space="preserve"> kappa </w:t>
      </w:r>
      <w:r>
        <w:t xml:space="preserve">statistics </w:t>
      </w:r>
      <w:r w:rsidRPr="009D7EC9">
        <w:t xml:space="preserve">for gold-standard nurse to facility </w:t>
      </w:r>
      <w:r>
        <w:t>nurse agreement ranging from 0.746</w:t>
      </w:r>
      <w:r w:rsidRPr="009D7EC9">
        <w:t xml:space="preserve"> to </w:t>
      </w:r>
      <w:r>
        <w:t>0</w:t>
      </w:r>
      <w:r w:rsidRPr="009D7EC9">
        <w:t>.8</w:t>
      </w:r>
      <w:r>
        <w:t xml:space="preserve">44. Limb restraint in bed and limb restraint in chair or out of bed both had perfect agreement. The </w:t>
      </w:r>
      <w:r w:rsidRPr="00D2529F">
        <w:t xml:space="preserve">gold-standard nurse to gold-standard nurse </w:t>
      </w:r>
      <w:r>
        <w:t xml:space="preserve">ratings had perfect </w:t>
      </w:r>
      <w:r w:rsidRPr="00D2529F">
        <w:t xml:space="preserve">agreement </w:t>
      </w:r>
      <w:r>
        <w:t xml:space="preserve">for all items included in the measure except for chair prevents rising which had a kappa of </w:t>
      </w:r>
      <w:r w:rsidR="00B65B0A">
        <w:t>0.887.</w:t>
      </w:r>
      <w:r w:rsidR="00B65B0A" w:rsidRPr="00B65B0A">
        <w:rPr>
          <w:rStyle w:val="FootnoteReference"/>
        </w:rPr>
        <w:t xml:space="preserve"> </w:t>
      </w:r>
      <w:r w:rsidR="00B65B0A">
        <w:rPr>
          <w:rStyle w:val="FootnoteReference"/>
        </w:rPr>
        <w:footnoteReference w:id="8"/>
      </w:r>
    </w:p>
    <w:p w14:paraId="0470915B" w14:textId="77777777" w:rsidR="00A330B8" w:rsidRPr="00C916B1" w:rsidRDefault="00A330B8" w:rsidP="00C916B1">
      <w:pPr>
        <w:pStyle w:val="Response"/>
        <w:rPr>
          <w:b/>
          <w:bCs w:val="0"/>
        </w:rPr>
      </w:pPr>
      <w:r w:rsidRPr="00C916B1">
        <w:rPr>
          <w:b/>
          <w:bCs w:val="0"/>
        </w:rPr>
        <w:t>Performance Measure Score Reliability</w:t>
      </w:r>
    </w:p>
    <w:p w14:paraId="252FD610" w14:textId="47D9EAB4" w:rsidR="00A330B8" w:rsidRPr="00D2529F" w:rsidRDefault="005E0189" w:rsidP="00794F99">
      <w:pPr>
        <w:pStyle w:val="Response"/>
        <w:numPr>
          <w:ilvl w:val="0"/>
          <w:numId w:val="42"/>
        </w:numPr>
      </w:pPr>
      <w:r>
        <w:t>Stability analysis:</w:t>
      </w:r>
      <w:r w:rsidR="002271D7" w:rsidRPr="0032340D">
        <w:t xml:space="preserve"> </w:t>
      </w:r>
      <w:r w:rsidR="00A330B8" w:rsidRPr="00F1059F">
        <w:t>RTI examined the extent to which relative facility rank</w:t>
      </w:r>
      <w:r w:rsidR="00DC3207">
        <w:t xml:space="preserve"> and facility score</w:t>
      </w:r>
      <w:r w:rsidR="00A330B8" w:rsidRPr="00F1059F">
        <w:t xml:space="preserve"> changed on this quality measure from quarter to quarter from Quarter 1 to Quarter 2, 2014</w:t>
      </w:r>
      <w:r w:rsidR="00A330B8">
        <w:t xml:space="preserve"> using MDS 3.0 data</w:t>
      </w:r>
      <w:r w:rsidR="00A330B8" w:rsidRPr="00F1059F">
        <w:t xml:space="preserve"> (Figure 1).</w:t>
      </w:r>
      <w:r w:rsidR="00A330B8">
        <w:t xml:space="preserve"> </w:t>
      </w:r>
      <w:r w:rsidR="00A330B8" w:rsidRPr="00D2529F">
        <w:t>Facility ranks</w:t>
      </w:r>
      <w:r w:rsidR="00DC3207">
        <w:t xml:space="preserve"> and scores</w:t>
      </w:r>
      <w:r w:rsidR="00A330B8" w:rsidRPr="00D2529F">
        <w:t xml:space="preserve"> on this measure were especially stable: this is likely due to </w:t>
      </w:r>
      <w:r w:rsidR="00DC3207">
        <w:t>the lack of</w:t>
      </w:r>
      <w:r w:rsidR="00A330B8" w:rsidRPr="00D2529F">
        <w:t xml:space="preserve"> physical restraint </w:t>
      </w:r>
      <w:r w:rsidR="00DC3207">
        <w:t xml:space="preserve">use </w:t>
      </w:r>
      <w:r w:rsidR="00A330B8" w:rsidRPr="00D2529F">
        <w:t xml:space="preserve">in most facilities (e.g., for Quarter </w:t>
      </w:r>
      <w:r w:rsidR="00A330B8">
        <w:t>2</w:t>
      </w:r>
      <w:r w:rsidR="00A330B8" w:rsidRPr="00D2529F">
        <w:t xml:space="preserve"> of 201</w:t>
      </w:r>
      <w:r w:rsidR="00A330B8">
        <w:t>4</w:t>
      </w:r>
      <w:r w:rsidR="00A330B8" w:rsidRPr="00D2529F">
        <w:t xml:space="preserve">, nearly two thirds of the facilities were tied for first with scores of 0). </w:t>
      </w:r>
      <w:r w:rsidR="00A330B8">
        <w:t>89.8</w:t>
      </w:r>
      <w:r w:rsidR="00A330B8" w:rsidRPr="00D2529F">
        <w:t xml:space="preserve">% of facilities maintained </w:t>
      </w:r>
      <w:r w:rsidR="008158C0">
        <w:t>a</w:t>
      </w:r>
      <w:r w:rsidR="00A330B8" w:rsidRPr="00D2529F">
        <w:t xml:space="preserve"> rank within 1 decile</w:t>
      </w:r>
      <w:r w:rsidR="008158C0">
        <w:t>, (</w:t>
      </w:r>
      <w:r w:rsidR="008158C0" w:rsidRPr="00D620D4">
        <w:rPr>
          <w:b/>
          <w:i/>
        </w:rPr>
        <w:t>Figure 1</w:t>
      </w:r>
      <w:r w:rsidR="008158C0">
        <w:t>)</w:t>
      </w:r>
      <w:r w:rsidR="00A330B8" w:rsidRPr="00D2529F">
        <w:t xml:space="preserve">.  </w:t>
      </w:r>
      <w:r w:rsidR="00294920">
        <w:t xml:space="preserve">Similarly, </w:t>
      </w:r>
      <w:r w:rsidR="0049663A">
        <w:t xml:space="preserve">the </w:t>
      </w:r>
      <w:r w:rsidR="00294920">
        <w:t>scores of 85.1% of facilities</w:t>
      </w:r>
      <w:r w:rsidR="0049663A">
        <w:t xml:space="preserve"> </w:t>
      </w:r>
      <w:r w:rsidR="00794F99">
        <w:t>stayed</w:t>
      </w:r>
      <w:r w:rsidR="0049663A">
        <w:t xml:space="preserve"> within one standard deviation </w:t>
      </w:r>
      <w:r w:rsidR="00767A22">
        <w:t>from Quarter 1 2014 to</w:t>
      </w:r>
      <w:r w:rsidR="0049663A">
        <w:t xml:space="preserve"> Quarter 2 2014</w:t>
      </w:r>
      <w:r w:rsidR="008158C0">
        <w:t xml:space="preserve"> (</w:t>
      </w:r>
      <w:r w:rsidR="008158C0" w:rsidRPr="00D620D4">
        <w:rPr>
          <w:b/>
          <w:i/>
        </w:rPr>
        <w:t>Figure 2</w:t>
      </w:r>
      <w:r w:rsidR="008158C0">
        <w:t>)</w:t>
      </w:r>
      <w:r w:rsidR="0049663A">
        <w:t xml:space="preserve">. </w:t>
      </w:r>
      <w:r w:rsidR="00794F99">
        <w:t>F</w:t>
      </w:r>
      <w:r w:rsidR="00794F99" w:rsidRPr="00D2529F">
        <w:t xml:space="preserve">rom Quarter </w:t>
      </w:r>
      <w:r w:rsidR="00794F99">
        <w:t>1</w:t>
      </w:r>
      <w:r w:rsidR="00794F99" w:rsidRPr="00D2529F">
        <w:t xml:space="preserve"> to Quarter </w:t>
      </w:r>
      <w:r w:rsidR="00794F99">
        <w:t>2</w:t>
      </w:r>
      <w:r w:rsidR="00794F99" w:rsidRPr="00D2529F">
        <w:t xml:space="preserve"> 201</w:t>
      </w:r>
      <w:r w:rsidR="00794F99">
        <w:t xml:space="preserve">4, </w:t>
      </w:r>
      <w:r w:rsidR="00A330B8">
        <w:t>9.3</w:t>
      </w:r>
      <w:r w:rsidR="00A330B8" w:rsidRPr="00D2529F">
        <w:t xml:space="preserve">% of facilities changed rank by more than three deciles. </w:t>
      </w:r>
      <w:r w:rsidR="00794F99">
        <w:t xml:space="preserve">In the same time period, </w:t>
      </w:r>
      <w:r w:rsidR="0049663A">
        <w:t xml:space="preserve">2.2% of facilities’ scores changed 3 or more standard deviations. </w:t>
      </w:r>
    </w:p>
    <w:p w14:paraId="3733DA49" w14:textId="3933662E" w:rsidR="00A330B8" w:rsidRPr="00C916B1" w:rsidRDefault="00A330B8" w:rsidP="00534BB3">
      <w:pPr>
        <w:pStyle w:val="FigureCaption"/>
        <w:ind w:left="0" w:firstLine="0"/>
        <w:jc w:val="center"/>
        <w:rPr>
          <w:rFonts w:asciiTheme="minorHAnsi" w:eastAsia="Calibri" w:hAnsiTheme="minorHAnsi"/>
          <w:b/>
          <w:bCs w:val="0"/>
          <w:color w:val="0000FF"/>
          <w:sz w:val="22"/>
          <w:szCs w:val="22"/>
        </w:rPr>
      </w:pPr>
      <w:r w:rsidRPr="00C916B1">
        <w:rPr>
          <w:rFonts w:asciiTheme="minorHAnsi" w:eastAsia="Calibri" w:hAnsiTheme="minorHAnsi"/>
          <w:b/>
          <w:bCs w:val="0"/>
          <w:color w:val="0000FF"/>
          <w:sz w:val="22"/>
          <w:szCs w:val="22"/>
        </w:rPr>
        <w:lastRenderedPageBreak/>
        <w:t>Figure 1.</w:t>
      </w:r>
      <w:r w:rsidR="00C916B1" w:rsidRPr="00C916B1">
        <w:rPr>
          <w:rFonts w:asciiTheme="minorHAnsi" w:eastAsia="Calibri" w:hAnsiTheme="minorHAnsi"/>
          <w:b/>
          <w:bCs w:val="0"/>
          <w:color w:val="0000FF"/>
          <w:sz w:val="22"/>
          <w:szCs w:val="22"/>
        </w:rPr>
        <w:br/>
      </w:r>
      <w:r w:rsidRPr="00C916B1">
        <w:rPr>
          <w:rFonts w:asciiTheme="minorHAnsi" w:eastAsia="Calibri" w:hAnsiTheme="minorHAnsi"/>
          <w:b/>
          <w:bCs w:val="0"/>
          <w:color w:val="0000FF"/>
          <w:sz w:val="22"/>
          <w:szCs w:val="22"/>
        </w:rPr>
        <w:t xml:space="preserve">Decile Change in QM </w:t>
      </w:r>
      <w:r w:rsidR="002271D7">
        <w:rPr>
          <w:rFonts w:asciiTheme="minorHAnsi" w:eastAsia="Calibri" w:hAnsiTheme="minorHAnsi"/>
          <w:b/>
          <w:bCs w:val="0"/>
          <w:color w:val="0000FF"/>
          <w:sz w:val="22"/>
          <w:szCs w:val="22"/>
        </w:rPr>
        <w:t>Ranks</w:t>
      </w:r>
      <w:r w:rsidR="002271D7" w:rsidRPr="00C916B1">
        <w:rPr>
          <w:rFonts w:asciiTheme="minorHAnsi" w:eastAsia="Calibri" w:hAnsiTheme="minorHAnsi"/>
          <w:b/>
          <w:bCs w:val="0"/>
          <w:color w:val="0000FF"/>
          <w:sz w:val="22"/>
          <w:szCs w:val="22"/>
        </w:rPr>
        <w:t xml:space="preserve"> </w:t>
      </w:r>
      <w:r w:rsidRPr="00C916B1">
        <w:rPr>
          <w:rFonts w:asciiTheme="minorHAnsi" w:eastAsia="Calibri" w:hAnsiTheme="minorHAnsi"/>
          <w:b/>
          <w:bCs w:val="0"/>
          <w:color w:val="0000FF"/>
          <w:sz w:val="22"/>
          <w:szCs w:val="22"/>
        </w:rPr>
        <w:t xml:space="preserve">from </w:t>
      </w:r>
      <w:r w:rsidR="00534BB3">
        <w:rPr>
          <w:rFonts w:asciiTheme="minorHAnsi" w:eastAsia="Calibri" w:hAnsiTheme="minorHAnsi"/>
          <w:b/>
          <w:bCs w:val="0"/>
          <w:color w:val="0000FF"/>
          <w:sz w:val="22"/>
          <w:szCs w:val="22"/>
        </w:rPr>
        <w:t>Quarter 1 to Quarter 2 2014</w:t>
      </w:r>
      <w:r w:rsidRPr="00C916B1">
        <w:rPr>
          <w:rFonts w:asciiTheme="minorHAnsi" w:eastAsia="Calibri" w:hAnsiTheme="minorHAnsi"/>
          <w:b/>
          <w:bCs w:val="0"/>
          <w:color w:val="0000FF"/>
          <w:sz w:val="22"/>
          <w:szCs w:val="22"/>
        </w:rPr>
        <w:t>, QM #0687 Percent of Residents Who Were Physically Restrained (long stay)</w:t>
      </w:r>
    </w:p>
    <w:p w14:paraId="5B49FE61" w14:textId="77777777" w:rsidR="00A330B8" w:rsidRPr="00F91D30" w:rsidRDefault="00A330B8" w:rsidP="00A330B8">
      <w:pPr>
        <w:pStyle w:val="FigureNoBox"/>
        <w:rPr>
          <w:noProof/>
        </w:rPr>
      </w:pPr>
      <w:r w:rsidRPr="0021316C">
        <w:rPr>
          <w:noProof/>
          <w:sz w:val="20"/>
          <w:szCs w:val="20"/>
        </w:rPr>
        <w:drawing>
          <wp:inline distT="0" distB="0" distL="0" distR="0" wp14:anchorId="247D36EB" wp14:editId="72B09429">
            <wp:extent cx="46863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2743200"/>
                    </a:xfrm>
                    <a:prstGeom prst="rect">
                      <a:avLst/>
                    </a:prstGeom>
                    <a:noFill/>
                    <a:ln>
                      <a:noFill/>
                    </a:ln>
                  </pic:spPr>
                </pic:pic>
              </a:graphicData>
            </a:graphic>
          </wp:inline>
        </w:drawing>
      </w:r>
    </w:p>
    <w:p w14:paraId="082A186B" w14:textId="0E726688" w:rsidR="00B65B0A" w:rsidRDefault="00A330B8" w:rsidP="004C7A9C">
      <w:pPr>
        <w:pStyle w:val="Response"/>
        <w:rPr>
          <w:rFonts w:eastAsia="Calibri" w:cs="Times New Roman"/>
          <w:b/>
        </w:rPr>
      </w:pPr>
      <w:r w:rsidRPr="009D7EC9">
        <w:t xml:space="preserve">SOURCE: </w:t>
      </w:r>
      <w:r w:rsidRPr="00AB4E85">
        <w:t xml:space="preserve">RTI analysis of </w:t>
      </w:r>
      <w:r>
        <w:t xml:space="preserve">Q1 and </w:t>
      </w:r>
      <w:r w:rsidRPr="00AB4E85">
        <w:t>Q2 2014 MDS 3.0 data (programming reference: quarter_14_15\db357)</w:t>
      </w:r>
    </w:p>
    <w:p w14:paraId="0E07E7E5" w14:textId="54F4715A" w:rsidR="0049663A" w:rsidRPr="0049663A" w:rsidRDefault="0049663A" w:rsidP="00534BB3">
      <w:pPr>
        <w:pStyle w:val="FigureTitle"/>
        <w:rPr>
          <w:rFonts w:asciiTheme="minorHAnsi" w:eastAsia="Calibri" w:hAnsiTheme="minorHAnsi" w:cs="Times New Roman"/>
          <w:bCs w:val="0"/>
          <w:color w:val="0000FF"/>
          <w:sz w:val="22"/>
        </w:rPr>
      </w:pPr>
      <w:r w:rsidRPr="0049663A">
        <w:rPr>
          <w:rFonts w:asciiTheme="minorHAnsi" w:eastAsia="Calibri" w:hAnsiTheme="minorHAnsi" w:cs="Times New Roman"/>
          <w:bCs w:val="0"/>
          <w:color w:val="0000FF"/>
          <w:sz w:val="22"/>
        </w:rPr>
        <w:t xml:space="preserve">Figure </w:t>
      </w:r>
      <w:r w:rsidR="008158C0">
        <w:rPr>
          <w:rFonts w:asciiTheme="minorHAnsi" w:eastAsia="Calibri" w:hAnsiTheme="minorHAnsi" w:cs="Times New Roman"/>
          <w:bCs w:val="0"/>
          <w:color w:val="0000FF"/>
          <w:sz w:val="22"/>
        </w:rPr>
        <w:t>2</w:t>
      </w:r>
      <w:r w:rsidRPr="0049663A">
        <w:rPr>
          <w:rFonts w:asciiTheme="minorHAnsi" w:eastAsia="Calibri" w:hAnsiTheme="minorHAnsi" w:cs="Times New Roman"/>
          <w:bCs w:val="0"/>
          <w:color w:val="0000FF"/>
          <w:sz w:val="22"/>
        </w:rPr>
        <w:br/>
        <w:t xml:space="preserve">Standardized Score Change in QM Score From </w:t>
      </w:r>
      <w:r w:rsidR="00534BB3" w:rsidRPr="00534BB3">
        <w:rPr>
          <w:rFonts w:asciiTheme="minorHAnsi" w:eastAsia="Calibri" w:hAnsiTheme="minorHAnsi"/>
          <w:color w:val="0000FF"/>
          <w:sz w:val="22"/>
        </w:rPr>
        <w:t>Quarter 1 to Quarter 2 2014</w:t>
      </w:r>
      <w:r w:rsidRPr="0049663A">
        <w:rPr>
          <w:rFonts w:asciiTheme="minorHAnsi" w:eastAsia="Calibri" w:hAnsiTheme="minorHAnsi" w:cs="Times New Roman"/>
          <w:bCs w:val="0"/>
          <w:color w:val="0000FF"/>
          <w:sz w:val="22"/>
        </w:rPr>
        <w:t>, QM #0687 Percent of Residents Who Were Physically Restrained (long stay)</w:t>
      </w:r>
    </w:p>
    <w:p w14:paraId="6057F669" w14:textId="77777777" w:rsidR="0049663A" w:rsidRPr="00802FD2" w:rsidRDefault="0049663A" w:rsidP="0049663A">
      <w:pPr>
        <w:pStyle w:val="SourceFigure"/>
      </w:pPr>
      <w:r w:rsidRPr="005351C6">
        <w:rPr>
          <w:noProof/>
        </w:rPr>
        <w:drawing>
          <wp:inline distT="0" distB="0" distL="0" distR="0" wp14:anchorId="5327334B" wp14:editId="21E7B431">
            <wp:extent cx="4686300" cy="274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6300" cy="2743200"/>
                    </a:xfrm>
                    <a:prstGeom prst="rect">
                      <a:avLst/>
                    </a:prstGeom>
                    <a:noFill/>
                    <a:ln>
                      <a:noFill/>
                    </a:ln>
                  </pic:spPr>
                </pic:pic>
              </a:graphicData>
            </a:graphic>
          </wp:inline>
        </w:drawing>
      </w:r>
    </w:p>
    <w:p w14:paraId="2994F928" w14:textId="77777777" w:rsidR="0049663A" w:rsidRPr="00D620D4" w:rsidRDefault="0049663A" w:rsidP="0049663A">
      <w:pPr>
        <w:pStyle w:val="SourceFigure"/>
        <w:rPr>
          <w:rFonts w:asciiTheme="minorHAnsi" w:eastAsiaTheme="minorEastAsia" w:hAnsiTheme="minorHAnsi" w:cstheme="minorHAnsi"/>
          <w:bCs/>
          <w:color w:val="0000FF"/>
          <w:sz w:val="22"/>
          <w:szCs w:val="22"/>
        </w:rPr>
      </w:pPr>
      <w:r w:rsidRPr="00D620D4">
        <w:rPr>
          <w:rFonts w:asciiTheme="minorHAnsi" w:eastAsiaTheme="minorEastAsia" w:hAnsiTheme="minorHAnsi" w:cstheme="minorHAnsi"/>
          <w:bCs/>
          <w:color w:val="0000FF"/>
          <w:sz w:val="22"/>
          <w:szCs w:val="22"/>
        </w:rPr>
        <w:t>SOURCE: RTI analysis of Q2 2014 MDS 3.0 data (programming reference: quarter_14_15\db357)</w:t>
      </w:r>
    </w:p>
    <w:p w14:paraId="70DDB797" w14:textId="1969324E" w:rsidR="00AD506E" w:rsidRDefault="008869B3" w:rsidP="00445725">
      <w:pPr>
        <w:pStyle w:val="Response"/>
        <w:numPr>
          <w:ilvl w:val="0"/>
          <w:numId w:val="42"/>
        </w:numPr>
      </w:pPr>
      <w:r>
        <w:t xml:space="preserve">Confidence interval analysis: </w:t>
      </w:r>
      <w:r w:rsidR="00A330B8" w:rsidRPr="009D7EC9">
        <w:t xml:space="preserve">RTI also ran summary statistics </w:t>
      </w:r>
      <w:r w:rsidR="00A330B8">
        <w:t>on Q1 2014-Q</w:t>
      </w:r>
      <w:r w:rsidR="004C5E57">
        <w:t>3</w:t>
      </w:r>
      <w:r w:rsidR="00A330B8">
        <w:t xml:space="preserve"> 2014 MDS 3.0 data </w:t>
      </w:r>
      <w:r w:rsidR="00A330B8" w:rsidRPr="009D7EC9">
        <w:t xml:space="preserve">to show how many facilities and what proportions of the facilities differ from the national mean facility score, by facility size. A little </w:t>
      </w:r>
      <w:r w:rsidR="004C5E57">
        <w:t>less</w:t>
      </w:r>
      <w:r w:rsidR="004C5E57" w:rsidRPr="009D7EC9">
        <w:t xml:space="preserve"> </w:t>
      </w:r>
      <w:r w:rsidR="00A330B8" w:rsidRPr="009D7EC9">
        <w:t>than two thirds (</w:t>
      </w:r>
      <w:r w:rsidR="004C5E57">
        <w:t>66.4</w:t>
      </w:r>
      <w:r w:rsidR="00A330B8" w:rsidRPr="009D7EC9">
        <w:t xml:space="preserve">%) of facilities had a mean score </w:t>
      </w:r>
      <w:r w:rsidR="00A330B8" w:rsidRPr="009D7EC9">
        <w:lastRenderedPageBreak/>
        <w:t>for which the 95% confidence intervals did not overlap with the national mean. This suggests that there is sufficient variance in facility scores to differentiate facilities using the score. Furthermore,  the results suggest that smaller facilities had confidence intervals around their individual facility means lower than the national mean and larger facilities had confidence intervals among their individual facility means higher than the national mean, both suggesting better facility performance with regard to use of physical restraints in smaller facilities</w:t>
      </w:r>
      <w:r w:rsidR="00767A22">
        <w:t xml:space="preserve"> (see </w:t>
      </w:r>
      <w:r w:rsidR="00767A22">
        <w:rPr>
          <w:b/>
          <w:i/>
        </w:rPr>
        <w:t xml:space="preserve">Table </w:t>
      </w:r>
      <w:r w:rsidR="00445725">
        <w:rPr>
          <w:b/>
          <w:i/>
        </w:rPr>
        <w:t xml:space="preserve">2 </w:t>
      </w:r>
      <w:r w:rsidR="00445725">
        <w:rPr>
          <w:bCs w:val="0"/>
          <w:i/>
        </w:rPr>
        <w:t>in section 2b5</w:t>
      </w:r>
      <w:r w:rsidR="00767A22">
        <w:t>)</w:t>
      </w:r>
      <w:r w:rsidR="00A330B8" w:rsidRPr="009D7EC9">
        <w:t>.</w:t>
      </w:r>
      <w:r w:rsidR="00F36506">
        <w:rPr>
          <w:rStyle w:val="FootnoteReference"/>
        </w:rPr>
        <w:footnoteReference w:id="9"/>
      </w:r>
    </w:p>
    <w:p w14:paraId="78BB10C4" w14:textId="7ED463DE" w:rsidR="00A330B8" w:rsidRDefault="008869B3" w:rsidP="005209A2">
      <w:pPr>
        <w:pStyle w:val="Response"/>
        <w:numPr>
          <w:ilvl w:val="0"/>
          <w:numId w:val="42"/>
        </w:numPr>
      </w:pPr>
      <w:r>
        <w:t xml:space="preserve">Signal-to-noise analysis: </w:t>
      </w:r>
      <w:r w:rsidR="00AD506E">
        <w:t>RTI determined the signal-to-noise ratio</w:t>
      </w:r>
      <w:r w:rsidR="00511D4A">
        <w:t xml:space="preserve"> of this quality measure during Q2 2014</w:t>
      </w:r>
      <w:r w:rsidR="00AD506E">
        <w:t xml:space="preserve"> to be </w:t>
      </w:r>
      <w:r w:rsidR="009D40F2">
        <w:t>0.8435</w:t>
      </w:r>
      <w:r w:rsidR="00794F99">
        <w:t xml:space="preserve"> suggesting that just under </w:t>
      </w:r>
      <w:r w:rsidR="009D40F2">
        <w:t xml:space="preserve">85% </w:t>
      </w:r>
      <w:r w:rsidR="00794F99">
        <w:t>of the variance in this measure is determined by true differences among facilities.</w:t>
      </w:r>
      <w:r w:rsidR="005629EB">
        <w:rPr>
          <w:rStyle w:val="FootnoteReference"/>
        </w:rPr>
        <w:footnoteReference w:id="10"/>
      </w:r>
      <w:r w:rsidR="00794F99">
        <w:t xml:space="preserve"> </w:t>
      </w:r>
    </w:p>
    <w:p w14:paraId="248EC0B8" w14:textId="77777777" w:rsidR="00A964A9" w:rsidRPr="00A964A9" w:rsidRDefault="00092566" w:rsidP="00A964A9">
      <w:pPr>
        <w:autoSpaceDE w:val="0"/>
        <w:autoSpaceDN w:val="0"/>
        <w:adjustRightInd w:val="0"/>
        <w:spacing w:after="0" w:line="240" w:lineRule="auto"/>
        <w:rPr>
          <w:rFonts w:cstheme="minorHAnsi"/>
          <w:b/>
          <w:bCs/>
        </w:rPr>
      </w:pPr>
      <w:r w:rsidRPr="00A964A9">
        <w:rPr>
          <w:rFonts w:cstheme="minorHAnsi"/>
          <w:b/>
          <w:bCs/>
        </w:rPr>
        <w:t xml:space="preserve">2a2.4 </w:t>
      </w:r>
      <w:r w:rsidR="007422FD" w:rsidRPr="00A964A9">
        <w:rPr>
          <w:rFonts w:cstheme="minorHAnsi"/>
          <w:b/>
          <w:bCs/>
        </w:rPr>
        <w:t xml:space="preserve">What </w:t>
      </w:r>
      <w:r w:rsidR="000B2DF7" w:rsidRPr="00A964A9">
        <w:rPr>
          <w:rFonts w:cstheme="minorHAnsi"/>
          <w:b/>
          <w:bCs/>
        </w:rPr>
        <w:t>is your interpretation of the results in terms of</w:t>
      </w:r>
      <w:r w:rsidR="007422FD" w:rsidRPr="00A964A9">
        <w:rPr>
          <w:rFonts w:cstheme="minorHAnsi"/>
          <w:b/>
          <w:bCs/>
        </w:rPr>
        <w:t xml:space="preserve"> demonstrating reliability? </w:t>
      </w:r>
      <w:r w:rsidR="000B2DF7" w:rsidRPr="00A964A9">
        <w:rPr>
          <w:rFonts w:cstheme="minorHAnsi"/>
          <w:i/>
          <w:iCs/>
        </w:rPr>
        <w:t>(i.e., what do the results mean and what are the norms for the test conducted</w:t>
      </w:r>
      <w:r w:rsidR="007757CE" w:rsidRPr="00A964A9">
        <w:rPr>
          <w:rFonts w:cstheme="minorHAnsi"/>
          <w:i/>
          <w:iCs/>
        </w:rPr>
        <w:t>?</w:t>
      </w:r>
      <w:r w:rsidR="000B2DF7" w:rsidRPr="00A964A9">
        <w:rPr>
          <w:rFonts w:cstheme="minorHAnsi"/>
          <w:i/>
          <w:iCs/>
        </w:rPr>
        <w:t>)</w:t>
      </w:r>
    </w:p>
    <w:p w14:paraId="13840EA4" w14:textId="0D2CE1A7" w:rsidR="003B0D49" w:rsidRPr="003B0D49" w:rsidRDefault="00A330B8" w:rsidP="003B0D49">
      <w:pPr>
        <w:pStyle w:val="Response"/>
      </w:pPr>
      <w:r w:rsidRPr="009D7EC9">
        <w:rPr>
          <w:rFonts w:cstheme="minorBidi"/>
        </w:rPr>
        <w:t>Overall, the studies show the measure and its items are reliable</w:t>
      </w:r>
      <w:r w:rsidR="008401CF">
        <w:rPr>
          <w:rFonts w:cstheme="minorBidi"/>
        </w:rPr>
        <w:t>. Item-level testing shows that scoring is consistent between raters. Facility-level testing shows that facility scores are consistent from quarter to quarter, in keeping with the expectation that facility quality does not change dramatically over two quarters, and scores for this quality measure vary enough to differentiate between facilities</w:t>
      </w:r>
      <w:r w:rsidRPr="009D7EC9">
        <w:rPr>
          <w:rFonts w:cstheme="minorBidi"/>
        </w:rPr>
        <w:t>.</w:t>
      </w:r>
    </w:p>
    <w:p w14:paraId="4C32669B"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44973345"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7796AFE3"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6AE67ECA" w14:textId="77777777" w:rsidR="00696262" w:rsidRPr="00A25024" w:rsidRDefault="004C7A9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279AF7CE" w14:textId="77777777" w:rsidR="000574AB" w:rsidRPr="00A25024" w:rsidRDefault="004C7A9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7F216D61" w14:textId="77777777" w:rsidR="00833325" w:rsidRDefault="00092566" w:rsidP="003B0D49">
      <w:pPr>
        <w:autoSpaceDE w:val="0"/>
        <w:autoSpaceDN w:val="0"/>
        <w:adjustRightInd w:val="0"/>
        <w:spacing w:before="240"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406E1062" w14:textId="6BD99FC8" w:rsidR="00A330B8" w:rsidRPr="00C916B1" w:rsidRDefault="00A330B8" w:rsidP="00C916B1">
      <w:pPr>
        <w:pStyle w:val="Response"/>
        <w:rPr>
          <w:b/>
          <w:bCs w:val="0"/>
        </w:rPr>
      </w:pPr>
      <w:r w:rsidRPr="00C916B1">
        <w:rPr>
          <w:b/>
          <w:bCs w:val="0"/>
        </w:rPr>
        <w:t>Critical Data Elements</w:t>
      </w:r>
    </w:p>
    <w:p w14:paraId="52C614B0" w14:textId="2BD11077" w:rsidR="00A330B8" w:rsidRPr="009D7EC9" w:rsidRDefault="00A330B8" w:rsidP="00C916B1">
      <w:pPr>
        <w:pStyle w:val="Response"/>
      </w:pPr>
      <w:r w:rsidRPr="0032340D">
        <w:t>RAND</w:t>
      </w:r>
      <w:r w:rsidR="009D3E5D" w:rsidRPr="008869B3">
        <w:t xml:space="preserve"> </w:t>
      </w:r>
      <w:r w:rsidR="009D3E5D" w:rsidRPr="0032340D">
        <w:t xml:space="preserve">Development and Validation of MDS 3.0: </w:t>
      </w:r>
      <w:r w:rsidR="009D3E5D" w:rsidRPr="009D3E5D">
        <w:t xml:space="preserve">The </w:t>
      </w:r>
      <w:r w:rsidR="009D3E5D">
        <w:t>RAND</w:t>
      </w:r>
      <w:r w:rsidR="009D3E5D" w:rsidRPr="009D3E5D">
        <w:t xml:space="preserve"> validation of MDS 3.0 tested the criterion validity of the items by </w:t>
      </w:r>
      <w:r w:rsidR="0083391A">
        <w:t>comparing how different nurses assessed the same residents using MDS 3.0. They compared gold-standard research nurses to gold-standard nurses, and they compare gold-standard nurses to staff nurses trained by the gold-standard nurses</w:t>
      </w:r>
      <w:r w:rsidR="0083391A" w:rsidRPr="00D2529F">
        <w:t>.</w:t>
      </w:r>
      <w:r w:rsidR="009D3E5D" w:rsidRPr="009D3E5D">
        <w:t xml:space="preserve"> Kappa statistic was calculated.</w:t>
      </w:r>
    </w:p>
    <w:p w14:paraId="141482BA" w14:textId="77777777" w:rsidR="00A330B8" w:rsidRPr="00C916B1" w:rsidRDefault="00A330B8" w:rsidP="00C916B1">
      <w:pPr>
        <w:pStyle w:val="Response"/>
        <w:rPr>
          <w:b/>
          <w:bCs w:val="0"/>
        </w:rPr>
      </w:pPr>
      <w:r w:rsidRPr="00C916B1">
        <w:rPr>
          <w:b/>
          <w:bCs w:val="0"/>
        </w:rPr>
        <w:t>Performance Measure Score</w:t>
      </w:r>
    </w:p>
    <w:p w14:paraId="769227D8" w14:textId="77777777" w:rsidR="001A6579" w:rsidRDefault="001A6579" w:rsidP="001A6579">
      <w:pPr>
        <w:pStyle w:val="Response"/>
        <w:numPr>
          <w:ilvl w:val="0"/>
          <w:numId w:val="43"/>
        </w:numPr>
      </w:pPr>
      <w:r>
        <w:lastRenderedPageBreak/>
        <w:t>Correlation with other measures of nursing facility quality</w:t>
      </w:r>
      <w:r>
        <w:rPr>
          <w:rStyle w:val="FootnoteReference"/>
        </w:rPr>
        <w:footnoteReference w:id="11"/>
      </w:r>
      <w:r>
        <w:t>. Nursing Home Compare uses a five-star rating system to rate facilities based on health inspections, staffing, registered nurse (RN) staffing, and quality measures, and also provides an overall rating. We performed a nonparametric correlational analysis to see if facility scores for this measure were related to facility five-star ratings.</w:t>
      </w:r>
    </w:p>
    <w:p w14:paraId="2B5A4E00" w14:textId="06352286" w:rsidR="00200901" w:rsidRPr="00794F99" w:rsidRDefault="001A6579" w:rsidP="00794F99">
      <w:pPr>
        <w:pStyle w:val="Response"/>
        <w:numPr>
          <w:ilvl w:val="0"/>
          <w:numId w:val="43"/>
        </w:numPr>
        <w:rPr>
          <w:bCs w:val="0"/>
        </w:rPr>
      </w:pPr>
      <w:r w:rsidRPr="00794F99">
        <w:rPr>
          <w:bCs w:val="0"/>
        </w:rPr>
        <w:t>Seasonal variation</w:t>
      </w:r>
      <w:r>
        <w:rPr>
          <w:rStyle w:val="FootnoteReference"/>
        </w:rPr>
        <w:footnoteReference w:id="12"/>
      </w:r>
      <w:r w:rsidRPr="002713E6">
        <w:t xml:space="preserve">. </w:t>
      </w:r>
      <w:r w:rsidRPr="00794F99">
        <w:rPr>
          <w:bCs w:val="0"/>
        </w:rPr>
        <w:t xml:space="preserve">Another potential threat to the validity of a QM is seasonal variation.  If a QM score varies substantially from quarter to quarter in a consistent pattern over time corresponding to changes in seasons, it is possible that the validity of the measure is being compromised due to influences not within a nursing home’s control.  To address whether seasonal variation might play a role, we examined the trend in the national mean and median for this QM score between Quarter 1, 2011 and Quarter 2, 2014.  </w:t>
      </w:r>
    </w:p>
    <w:p w14:paraId="730DDB13" w14:textId="77777777" w:rsidR="003B0D49" w:rsidRDefault="00092566" w:rsidP="00C916B1">
      <w:pPr>
        <w:keepNext/>
        <w:keepLines/>
        <w:autoSpaceDE w:val="0"/>
        <w:autoSpaceDN w:val="0"/>
        <w:adjustRightInd w:val="0"/>
        <w:spacing w:after="0" w:line="240" w:lineRule="auto"/>
        <w:rPr>
          <w:rFonts w:cstheme="minorHAnsi"/>
          <w:bCs/>
        </w:rPr>
      </w:pPr>
      <w:r w:rsidRPr="00794F99">
        <w:rPr>
          <w:rFonts w:cstheme="minorHAnsi"/>
          <w:b/>
          <w:bCs/>
        </w:rPr>
        <w:t>2</w:t>
      </w:r>
      <w:r>
        <w:rPr>
          <w:rFonts w:cstheme="minorHAnsi"/>
          <w:b/>
          <w:bCs/>
        </w:rPr>
        <w:t>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759A5405" w14:textId="16D3B2CC" w:rsidR="00A330B8" w:rsidRPr="00C916B1" w:rsidRDefault="00A330B8" w:rsidP="00C916B1">
      <w:pPr>
        <w:pStyle w:val="Response"/>
        <w:keepNext/>
        <w:keepLines/>
        <w:rPr>
          <w:b/>
          <w:bCs w:val="0"/>
        </w:rPr>
      </w:pPr>
      <w:r w:rsidRPr="00C916B1">
        <w:rPr>
          <w:b/>
          <w:bCs w:val="0"/>
        </w:rPr>
        <w:t>Critical Data Elements</w:t>
      </w:r>
    </w:p>
    <w:p w14:paraId="6C5D3E52" w14:textId="2C4269B4" w:rsidR="00A330B8" w:rsidRPr="009D7EC9" w:rsidRDefault="00221224" w:rsidP="00221224">
      <w:pPr>
        <w:pStyle w:val="Response"/>
        <w:keepNext/>
        <w:keepLines/>
      </w:pPr>
      <w:r>
        <w:t>T</w:t>
      </w:r>
      <w:r w:rsidR="00A330B8" w:rsidRPr="009D7EC9">
        <w:t>he restraint item</w:t>
      </w:r>
      <w:r w:rsidR="009D3E5D">
        <w:t>s</w:t>
      </w:r>
      <w:r>
        <w:t xml:space="preserve"> included in this measure had</w:t>
      </w:r>
      <w:r w:rsidR="00A330B8" w:rsidRPr="009D7EC9">
        <w:t xml:space="preserve"> </w:t>
      </w:r>
      <w:r w:rsidR="009D3E5D" w:rsidRPr="009D7EC9">
        <w:t>kappa</w:t>
      </w:r>
      <w:r w:rsidR="00A330B8" w:rsidRPr="009D7EC9">
        <w:t xml:space="preserve"> </w:t>
      </w:r>
      <w:r w:rsidR="009D3E5D">
        <w:t xml:space="preserve">statistics </w:t>
      </w:r>
      <w:r w:rsidR="00A330B8" w:rsidRPr="009D7EC9">
        <w:t xml:space="preserve">for gold-standard nurse to facility </w:t>
      </w:r>
      <w:r>
        <w:t>nurse agreement ranging from 0.746</w:t>
      </w:r>
      <w:r w:rsidR="00A330B8" w:rsidRPr="009D7EC9">
        <w:t xml:space="preserve"> to </w:t>
      </w:r>
      <w:r>
        <w:t>0</w:t>
      </w:r>
      <w:r w:rsidR="00A330B8" w:rsidRPr="009D7EC9">
        <w:t>.8</w:t>
      </w:r>
      <w:r>
        <w:t>44</w:t>
      </w:r>
      <w:r w:rsidR="00A218FF">
        <w:t>.</w:t>
      </w:r>
      <w:r>
        <w:t xml:space="preserve"> Limb restraint in bed and limb restraint in chair or out of bed both had perfect agreement.</w:t>
      </w:r>
      <w:r>
        <w:rPr>
          <w:rStyle w:val="FootnoteReference"/>
        </w:rPr>
        <w:footnoteReference w:id="13"/>
      </w:r>
      <w:r>
        <w:t xml:space="preserve"> </w:t>
      </w:r>
    </w:p>
    <w:p w14:paraId="502CAF8C" w14:textId="77777777" w:rsidR="00A330B8" w:rsidRDefault="00A330B8" w:rsidP="00C916B1">
      <w:pPr>
        <w:pStyle w:val="Response"/>
        <w:rPr>
          <w:b/>
          <w:bCs w:val="0"/>
        </w:rPr>
      </w:pPr>
      <w:r w:rsidRPr="00C916B1">
        <w:rPr>
          <w:b/>
          <w:bCs w:val="0"/>
        </w:rPr>
        <w:t>Performance Measure Score</w:t>
      </w:r>
    </w:p>
    <w:p w14:paraId="38F7B215" w14:textId="27380F53" w:rsidR="004962CF" w:rsidRDefault="004962CF" w:rsidP="004C7A9C">
      <w:pPr>
        <w:pStyle w:val="Response"/>
        <w:numPr>
          <w:ilvl w:val="0"/>
          <w:numId w:val="37"/>
        </w:numPr>
        <w:ind w:left="270" w:hanging="270"/>
      </w:pPr>
      <w:r>
        <w:t xml:space="preserve">Correlation with other quality measures of nursing home care: </w:t>
      </w:r>
      <w:r w:rsidRPr="009D7EC9">
        <w:t xml:space="preserve">RTI </w:t>
      </w:r>
      <w:r>
        <w:t xml:space="preserve">examined the </w:t>
      </w:r>
      <w:r w:rsidRPr="009D7EC9">
        <w:t>relation</w:t>
      </w:r>
      <w:r>
        <w:t>ship</w:t>
      </w:r>
      <w:r w:rsidRPr="009D7EC9">
        <w:t xml:space="preserve"> between this measure</w:t>
      </w:r>
      <w:r>
        <w:t xml:space="preserve"> and</w:t>
      </w:r>
      <w:r w:rsidRPr="009D7EC9">
        <w:t xml:space="preserve"> </w:t>
      </w:r>
      <w:r>
        <w:t>two measures of</w:t>
      </w:r>
      <w:r w:rsidRPr="009D7EC9">
        <w:t xml:space="preserve"> falls</w:t>
      </w:r>
      <w:r w:rsidR="004C7A9C">
        <w:t xml:space="preserve"> (NQF #</w:t>
      </w:r>
      <w:r w:rsidR="004C7A9C" w:rsidRPr="009D7EC9">
        <w:t>0674, Percent of Residents Experiencing One or More Falls with Major Injury</w:t>
      </w:r>
      <w:r w:rsidR="004C7A9C">
        <w:t>, and a calculation of the incidence of any fall)</w:t>
      </w:r>
      <w:r w:rsidRPr="009D7EC9">
        <w:t xml:space="preserve">, </w:t>
      </w:r>
      <w:r>
        <w:t>based on the hypothesis that restraints might be used by staff to prevent falls</w:t>
      </w:r>
      <w:r w:rsidRPr="009D7EC9">
        <w:t>. The correlation between this measure and NQF measure # 0674, Percent of Residents Experiencing One or More Falls with Major Injury, in Quarter 3 2013</w:t>
      </w:r>
      <w:r>
        <w:t xml:space="preserve"> was weak and not significant (</w:t>
      </w:r>
      <w:r w:rsidR="004C7A9C">
        <w:t>r</w:t>
      </w:r>
      <w:r>
        <w:t xml:space="preserve"> = -0.0145</w:t>
      </w:r>
      <w:r w:rsidRPr="009D7EC9">
        <w:t xml:space="preserve"> (p-value = </w:t>
      </w:r>
      <w:r w:rsidRPr="00915D53">
        <w:t>0.0901</w:t>
      </w:r>
      <w:r w:rsidRPr="009D7EC9">
        <w:t>)</w:t>
      </w:r>
      <w:r>
        <w:t>.</w:t>
      </w:r>
      <w:r w:rsidRPr="009D7EC9">
        <w:t xml:space="preserve"> </w:t>
      </w:r>
      <w:r>
        <w:t>T</w:t>
      </w:r>
      <w:r w:rsidRPr="009D7EC9">
        <w:t xml:space="preserve">he correlation between the physical restraint score and the incidence of any fall </w:t>
      </w:r>
      <w:r>
        <w:t xml:space="preserve">(regardless of whether injury occurred) </w:t>
      </w:r>
      <w:r w:rsidRPr="009D7EC9">
        <w:t xml:space="preserve">in each facility was negative and statistically significant, consistent with the motivating theory (ρ= </w:t>
      </w:r>
      <w:r>
        <w:t>-0.0362</w:t>
      </w:r>
      <w:r w:rsidRPr="009D7EC9">
        <w:t xml:space="preserve">, p-value </w:t>
      </w:r>
      <w:r>
        <w:t xml:space="preserve">&lt; 0.0001,); however, the coefficient is very close to zero. </w:t>
      </w:r>
      <w:r w:rsidRPr="009D7EC9">
        <w:t xml:space="preserve">The </w:t>
      </w:r>
      <w:r>
        <w:t xml:space="preserve">lack of evidence for a </w:t>
      </w:r>
      <w:r w:rsidRPr="009D7EC9">
        <w:t>relationship</w:t>
      </w:r>
      <w:r>
        <w:t xml:space="preserve"> between restraints and falls</w:t>
      </w:r>
      <w:r w:rsidRPr="009D7EC9">
        <w:t xml:space="preserve"> is possibly because the prevalence of physical </w:t>
      </w:r>
      <w:r w:rsidRPr="009D7EC9">
        <w:lastRenderedPageBreak/>
        <w:t>restraint use and incidence of falls with major injury are both very low (</w:t>
      </w:r>
      <w:r>
        <w:t>1.2</w:t>
      </w:r>
      <w:r w:rsidR="004C7A9C">
        <w:t>% and 1.6%, respectively).</w:t>
      </w:r>
      <w:r>
        <w:rPr>
          <w:rStyle w:val="FootnoteReference"/>
        </w:rPr>
        <w:footnoteReference w:id="14"/>
      </w:r>
    </w:p>
    <w:p w14:paraId="11779BFC" w14:textId="2530F55C" w:rsidR="004962CF" w:rsidRDefault="004962CF" w:rsidP="00794F99">
      <w:pPr>
        <w:pStyle w:val="Response"/>
        <w:ind w:left="270"/>
      </w:pPr>
      <w:r w:rsidRPr="007A4883">
        <w:t>RTI analysis did not find a relationship between the restraints measure and staffing. RTI looked at the</w:t>
      </w:r>
      <w:r w:rsidRPr="009D7EC9">
        <w:t xml:space="preserve"> relationship between staffing variables (adjusted registered nurse hours per resident per day (HPRD), adjusted total nursing HPRD, adjusted licensed practical nurse HPRD) and physical restraints use. Cross-tabulation and Pearson correlation analysis showed no correlations between any of the staffing variables and the facility’s long-stay physical restraints score, possibly because the use of physical restraints is overall very rare in nursing homes and thus unlikely to be </w:t>
      </w:r>
      <w:r>
        <w:t>influenced by availability of staffing.</w:t>
      </w:r>
      <w:r>
        <w:rPr>
          <w:rStyle w:val="FootnoteReference"/>
        </w:rPr>
        <w:footnoteReference w:id="15"/>
      </w:r>
    </w:p>
    <w:p w14:paraId="263C52CA" w14:textId="3A089C62" w:rsidR="004962CF" w:rsidRPr="007A4883" w:rsidRDefault="007A4883" w:rsidP="007A4883">
      <w:pPr>
        <w:pStyle w:val="Response"/>
        <w:numPr>
          <w:ilvl w:val="0"/>
          <w:numId w:val="37"/>
        </w:numPr>
        <w:ind w:left="270" w:hanging="270"/>
      </w:pPr>
      <w:r w:rsidRPr="007A4883">
        <w:t xml:space="preserve">Seasonal variation: RTI did not find seasonal variation for this measure.  Rather, the use of restraints in nursing facilities appears to be steadily declining. The national-level means show a monotonic decrease across the period being measured, from 2.6% </w:t>
      </w:r>
      <w:r w:rsidR="004160F0">
        <w:t>in Q</w:t>
      </w:r>
      <w:r w:rsidRPr="007A4883">
        <w:t xml:space="preserve">uarter 1 of 2011 to 1.2% in Quarter 2 2014.  The national-level median scores decreased from Quarter 1 2011 (0.9%) until hitting 0 in Quarter 4 of 2011, where they have remained (see Figure 3). </w:t>
      </w:r>
      <w:r w:rsidR="004962CF" w:rsidRPr="007A4883">
        <w:t xml:space="preserve"> </w:t>
      </w:r>
    </w:p>
    <w:p w14:paraId="63F2DB2D" w14:textId="7FFEAA47" w:rsidR="00D620D4" w:rsidRDefault="00D620D4" w:rsidP="00D620D4">
      <w:pPr>
        <w:pStyle w:val="FigureTitle"/>
        <w:ind w:left="360"/>
      </w:pPr>
    </w:p>
    <w:p w14:paraId="70494FA8" w14:textId="4B6870DE" w:rsidR="00F97574" w:rsidRPr="00D620D4" w:rsidRDefault="00F97574" w:rsidP="004962CF">
      <w:pPr>
        <w:pStyle w:val="FigureTitle"/>
        <w:ind w:left="360"/>
        <w:rPr>
          <w:rFonts w:asciiTheme="minorHAnsi" w:eastAsia="Calibri" w:hAnsiTheme="minorHAnsi" w:cs="Times New Roman"/>
          <w:bCs w:val="0"/>
          <w:color w:val="0000FF"/>
          <w:sz w:val="22"/>
        </w:rPr>
      </w:pPr>
      <w:r w:rsidRPr="00F97574">
        <w:rPr>
          <w:rFonts w:asciiTheme="minorHAnsi" w:eastAsia="Calibri" w:hAnsiTheme="minorHAnsi" w:cs="Times New Roman"/>
          <w:bCs w:val="0"/>
          <w:color w:val="0000FF"/>
          <w:sz w:val="22"/>
        </w:rPr>
        <w:t>Figure 3</w:t>
      </w:r>
      <w:r w:rsidRPr="00D620D4">
        <w:rPr>
          <w:rFonts w:asciiTheme="minorHAnsi" w:eastAsia="Calibri" w:hAnsiTheme="minorHAnsi" w:cs="Times New Roman"/>
          <w:bCs w:val="0"/>
          <w:color w:val="0000FF"/>
          <w:sz w:val="22"/>
        </w:rPr>
        <w:br/>
      </w:r>
      <w:r w:rsidR="004962CF">
        <w:rPr>
          <w:rFonts w:asciiTheme="minorHAnsi" w:eastAsia="Calibri" w:hAnsiTheme="minorHAnsi" w:cs="Times New Roman"/>
          <w:bCs w:val="0"/>
          <w:color w:val="0000FF"/>
          <w:sz w:val="22"/>
        </w:rPr>
        <w:t>Trends over time for</w:t>
      </w:r>
      <w:r w:rsidRPr="00D620D4">
        <w:rPr>
          <w:rFonts w:asciiTheme="minorHAnsi" w:eastAsia="Calibri" w:hAnsiTheme="minorHAnsi" w:cs="Times New Roman"/>
          <w:bCs w:val="0"/>
          <w:color w:val="0000FF"/>
          <w:sz w:val="22"/>
        </w:rPr>
        <w:t xml:space="preserve"> QM #0687 Percent of Residents Who Were Physically Restrained (long stay)</w:t>
      </w:r>
    </w:p>
    <w:p w14:paraId="4781E507" w14:textId="77777777" w:rsidR="00F97574" w:rsidRDefault="00F97574" w:rsidP="00D620D4">
      <w:pPr>
        <w:pStyle w:val="SourceFigure"/>
        <w:ind w:left="360"/>
        <w:rPr>
          <w:sz w:val="18"/>
          <w:szCs w:val="18"/>
        </w:rPr>
      </w:pPr>
      <w:r w:rsidRPr="005351C6">
        <w:rPr>
          <w:noProof/>
        </w:rPr>
        <w:drawing>
          <wp:inline distT="0" distB="0" distL="0" distR="0" wp14:anchorId="67BB40DB" wp14:editId="15B3F3A5">
            <wp:extent cx="4581525" cy="2743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81525" cy="2743200"/>
                    </a:xfrm>
                    <a:prstGeom prst="rect">
                      <a:avLst/>
                    </a:prstGeom>
                    <a:noFill/>
                    <a:ln>
                      <a:noFill/>
                    </a:ln>
                  </pic:spPr>
                </pic:pic>
              </a:graphicData>
            </a:graphic>
          </wp:inline>
        </w:drawing>
      </w:r>
    </w:p>
    <w:p w14:paraId="7FBA1070" w14:textId="5D3C2744" w:rsidR="00F97574" w:rsidRPr="009D7EC9" w:rsidRDefault="00F97574" w:rsidP="00D620D4">
      <w:pPr>
        <w:pStyle w:val="Response"/>
        <w:ind w:left="360"/>
      </w:pPr>
      <w:r w:rsidRPr="00802FD2">
        <w:rPr>
          <w:sz w:val="18"/>
          <w:szCs w:val="18"/>
        </w:rPr>
        <w:t xml:space="preserve">SOURCE: </w:t>
      </w:r>
      <w:r w:rsidRPr="0094355D">
        <w:rPr>
          <w:sz w:val="18"/>
          <w:szCs w:val="18"/>
        </w:rPr>
        <w:t>RTI analysis of MDS 3.0 episode fi</w:t>
      </w:r>
      <w:r>
        <w:rPr>
          <w:sz w:val="18"/>
          <w:szCs w:val="18"/>
        </w:rPr>
        <w:t>les for Quarter 1 2011–Quarter 2, 2014</w:t>
      </w:r>
      <w:r w:rsidRPr="0094355D">
        <w:rPr>
          <w:sz w:val="18"/>
          <w:szCs w:val="18"/>
        </w:rPr>
        <w:t xml:space="preserve"> (\qm_quarter_1_2\complete\nh</w:t>
      </w:r>
      <w:r>
        <w:rPr>
          <w:sz w:val="18"/>
          <w:szCs w:val="18"/>
        </w:rPr>
        <w:t>_021</w:t>
      </w:r>
      <w:r w:rsidRPr="0094355D">
        <w:rPr>
          <w:sz w:val="18"/>
          <w:szCs w:val="18"/>
        </w:rPr>
        <w:t>_10.log, \qm_quarter_2_3\complete\nh</w:t>
      </w:r>
      <w:r>
        <w:rPr>
          <w:sz w:val="18"/>
          <w:szCs w:val="18"/>
        </w:rPr>
        <w:t>_021</w:t>
      </w:r>
      <w:r w:rsidRPr="0094355D">
        <w:rPr>
          <w:sz w:val="18"/>
          <w:szCs w:val="18"/>
        </w:rPr>
        <w:t>_10.log \qm_quarter_3_4\complete\nh</w:t>
      </w:r>
      <w:r>
        <w:rPr>
          <w:sz w:val="18"/>
          <w:szCs w:val="18"/>
        </w:rPr>
        <w:t>_021</w:t>
      </w:r>
      <w:r w:rsidRPr="0094355D">
        <w:rPr>
          <w:sz w:val="18"/>
          <w:szCs w:val="18"/>
        </w:rPr>
        <w:t>_10.log, \qm_quarter_4_5\complete\nh</w:t>
      </w:r>
      <w:r>
        <w:rPr>
          <w:sz w:val="18"/>
          <w:szCs w:val="18"/>
        </w:rPr>
        <w:t>_021</w:t>
      </w:r>
      <w:r w:rsidRPr="0094355D">
        <w:rPr>
          <w:sz w:val="18"/>
          <w:szCs w:val="18"/>
        </w:rPr>
        <w:t>_10.log, \qm_quarter_5_6\complete\nh</w:t>
      </w:r>
      <w:r>
        <w:rPr>
          <w:sz w:val="18"/>
          <w:szCs w:val="18"/>
        </w:rPr>
        <w:t>_021</w:t>
      </w:r>
      <w:r w:rsidRPr="0094355D">
        <w:rPr>
          <w:sz w:val="18"/>
          <w:szCs w:val="18"/>
        </w:rPr>
        <w:t>_10.log, \qm_quarter_6_7\complete\nh</w:t>
      </w:r>
      <w:r>
        <w:rPr>
          <w:sz w:val="18"/>
          <w:szCs w:val="18"/>
        </w:rPr>
        <w:t>_021</w:t>
      </w:r>
      <w:r w:rsidRPr="0094355D">
        <w:rPr>
          <w:sz w:val="18"/>
          <w:szCs w:val="18"/>
        </w:rPr>
        <w:t>_10.log, \qm_quarter_7_8\complete\nh</w:t>
      </w:r>
      <w:r>
        <w:rPr>
          <w:sz w:val="18"/>
          <w:szCs w:val="18"/>
        </w:rPr>
        <w:t>_021</w:t>
      </w:r>
      <w:r w:rsidRPr="0094355D">
        <w:rPr>
          <w:sz w:val="18"/>
          <w:szCs w:val="18"/>
        </w:rPr>
        <w:t>_10.log, \qm_quarter_8_9\complete\nh</w:t>
      </w:r>
      <w:r>
        <w:rPr>
          <w:sz w:val="18"/>
          <w:szCs w:val="18"/>
        </w:rPr>
        <w:t>_021</w:t>
      </w:r>
      <w:r w:rsidRPr="0094355D">
        <w:rPr>
          <w:sz w:val="18"/>
          <w:szCs w:val="18"/>
        </w:rPr>
        <w:t>_10.log, \qm_quarter_9_10\complete\nh</w:t>
      </w:r>
      <w:r>
        <w:rPr>
          <w:sz w:val="18"/>
          <w:szCs w:val="18"/>
        </w:rPr>
        <w:t>_021</w:t>
      </w:r>
      <w:r w:rsidRPr="0094355D">
        <w:rPr>
          <w:sz w:val="18"/>
          <w:szCs w:val="18"/>
        </w:rPr>
        <w:t>_10.log, \qm_quarter_10_11\complete\nh</w:t>
      </w:r>
      <w:r>
        <w:rPr>
          <w:sz w:val="18"/>
          <w:szCs w:val="18"/>
        </w:rPr>
        <w:t>_021</w:t>
      </w:r>
      <w:r w:rsidRPr="0094355D">
        <w:rPr>
          <w:sz w:val="18"/>
          <w:szCs w:val="18"/>
        </w:rPr>
        <w:t xml:space="preserve">_10.log, </w:t>
      </w:r>
      <w:r w:rsidRPr="0094355D">
        <w:rPr>
          <w:sz w:val="18"/>
          <w:szCs w:val="18"/>
        </w:rPr>
        <w:lastRenderedPageBreak/>
        <w:t>\qm_quarter_11_12\complete\nh</w:t>
      </w:r>
      <w:r>
        <w:rPr>
          <w:sz w:val="18"/>
          <w:szCs w:val="18"/>
        </w:rPr>
        <w:t>_021</w:t>
      </w:r>
      <w:r w:rsidRPr="0094355D">
        <w:rPr>
          <w:sz w:val="18"/>
          <w:szCs w:val="18"/>
        </w:rPr>
        <w:t>_10.log), \qm_quarter_12_13\complete\nh</w:t>
      </w:r>
      <w:r>
        <w:rPr>
          <w:sz w:val="18"/>
          <w:szCs w:val="18"/>
        </w:rPr>
        <w:t>_021</w:t>
      </w:r>
      <w:r w:rsidRPr="0094355D">
        <w:rPr>
          <w:sz w:val="18"/>
          <w:szCs w:val="18"/>
        </w:rPr>
        <w:t>_10.log), \qm_quarter_13_14\nh</w:t>
      </w:r>
      <w:r>
        <w:rPr>
          <w:sz w:val="18"/>
          <w:szCs w:val="18"/>
        </w:rPr>
        <w:t>_021</w:t>
      </w:r>
      <w:r w:rsidRPr="0094355D">
        <w:rPr>
          <w:sz w:val="18"/>
          <w:szCs w:val="18"/>
        </w:rPr>
        <w:t>_10.log), \qm_quarter_14_15\nh</w:t>
      </w:r>
      <w:r>
        <w:rPr>
          <w:sz w:val="18"/>
          <w:szCs w:val="18"/>
        </w:rPr>
        <w:t>_021</w:t>
      </w:r>
      <w:r w:rsidRPr="0094355D">
        <w:rPr>
          <w:sz w:val="18"/>
          <w:szCs w:val="18"/>
        </w:rPr>
        <w:t>_10.log)</w:t>
      </w:r>
    </w:p>
    <w:p w14:paraId="5B114021" w14:textId="77777777" w:rsidR="00426842" w:rsidRPr="003B0D49" w:rsidRDefault="00426842" w:rsidP="00C916B1">
      <w:pPr>
        <w:pStyle w:val="Response"/>
      </w:pPr>
    </w:p>
    <w:p w14:paraId="22A845CB" w14:textId="77777777" w:rsidR="003B0D49"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4B907796" w14:textId="1895CD9F" w:rsidR="00757F5D" w:rsidRDefault="00757F5D" w:rsidP="004962CF">
      <w:pPr>
        <w:pStyle w:val="Response"/>
        <w:rPr>
          <w:rFonts w:cstheme="minorBidi"/>
        </w:rPr>
      </w:pPr>
      <w:r>
        <w:rPr>
          <w:rFonts w:cstheme="minorBidi"/>
        </w:rPr>
        <w:t>Measure t</w:t>
      </w:r>
      <w:r w:rsidR="00A330B8" w:rsidRPr="009D7EC9">
        <w:rPr>
          <w:rFonts w:cstheme="minorBidi"/>
        </w:rPr>
        <w:t xml:space="preserve">esting shows that the measure’s validity is not threatened by seasonality, but there is little empirical evidence of a relationship between the measure and other </w:t>
      </w:r>
      <w:r w:rsidR="004962CF">
        <w:rPr>
          <w:rFonts w:cstheme="minorBidi"/>
        </w:rPr>
        <w:t xml:space="preserve">quality </w:t>
      </w:r>
      <w:r w:rsidR="00A330B8" w:rsidRPr="009D7EC9">
        <w:rPr>
          <w:rFonts w:cstheme="minorBidi"/>
        </w:rPr>
        <w:t>measures</w:t>
      </w:r>
      <w:r w:rsidR="004962CF">
        <w:rPr>
          <w:rFonts w:cstheme="minorBidi"/>
        </w:rPr>
        <w:t xml:space="preserve"> hypothesized to capture related domains</w:t>
      </w:r>
      <w:r w:rsidR="00A330B8" w:rsidRPr="009D7EC9">
        <w:rPr>
          <w:rFonts w:cstheme="minorBidi"/>
        </w:rPr>
        <w:t xml:space="preserve">. </w:t>
      </w:r>
      <w:r w:rsidR="004962CF">
        <w:rPr>
          <w:rFonts w:cstheme="minorBidi"/>
        </w:rPr>
        <w:t xml:space="preserve">It is likely </w:t>
      </w:r>
      <w:r w:rsidR="00A330B8" w:rsidRPr="009D7EC9">
        <w:rPr>
          <w:rFonts w:cstheme="minorBidi"/>
        </w:rPr>
        <w:t xml:space="preserve">the low prevalence of </w:t>
      </w:r>
      <w:r w:rsidR="004962CF">
        <w:rPr>
          <w:rFonts w:cstheme="minorBidi"/>
        </w:rPr>
        <w:t>restraints use that is influencing the lack of</w:t>
      </w:r>
      <w:r w:rsidR="00A330B8" w:rsidRPr="009D7EC9">
        <w:rPr>
          <w:rFonts w:cstheme="minorBidi"/>
        </w:rPr>
        <w:t xml:space="preserve"> statistical relationships between the measure and other quantities.</w:t>
      </w:r>
    </w:p>
    <w:p w14:paraId="004880B9" w14:textId="7BA0E49D" w:rsidR="00757F5D" w:rsidRPr="003B0D49" w:rsidRDefault="00757F5D" w:rsidP="003B0D49">
      <w:pPr>
        <w:pStyle w:val="Response"/>
      </w:pPr>
      <w:r>
        <w:rPr>
          <w:rFonts w:cstheme="minorBidi"/>
        </w:rPr>
        <w:t>Item-level testing suggested the measure’s items have good inter-rater reliability</w:t>
      </w:r>
      <w:r w:rsidR="004962CF">
        <w:rPr>
          <w:rFonts w:cstheme="minorBidi"/>
        </w:rPr>
        <w:t xml:space="preserve"> and item level validity (based on the gold-standard - staff nurse analysis)</w:t>
      </w:r>
      <w:r>
        <w:rPr>
          <w:rFonts w:cstheme="minorBidi"/>
        </w:rPr>
        <w:t>.</w:t>
      </w:r>
    </w:p>
    <w:p w14:paraId="51879168"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58E21CC5"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7576912C"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60AC3C7E" w14:textId="77777777" w:rsidR="003B0D49" w:rsidRDefault="00092566" w:rsidP="003B0D49">
      <w:pPr>
        <w:autoSpaceDE w:val="0"/>
        <w:autoSpaceDN w:val="0"/>
        <w:adjustRightInd w:val="0"/>
        <w:spacing w:before="240"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4A99A330" w14:textId="72AB197C" w:rsidR="003B0D49" w:rsidRPr="003B0D49" w:rsidRDefault="000719E4" w:rsidP="000719E4">
      <w:pPr>
        <w:pStyle w:val="Response"/>
      </w:pPr>
      <w:r>
        <w:rPr>
          <w:rFonts w:cstheme="minorBidi"/>
        </w:rPr>
        <w:t xml:space="preserve">Please see section </w:t>
      </w:r>
      <w:r w:rsidRPr="000719E4">
        <w:rPr>
          <w:rFonts w:cstheme="minorBidi"/>
        </w:rPr>
        <w:t xml:space="preserve">2b7. </w:t>
      </w:r>
      <w:r>
        <w:rPr>
          <w:rFonts w:cstheme="minorBidi"/>
        </w:rPr>
        <w:t xml:space="preserve">Missing data analysis and minimizing bias for analysis of this measure’s exclusions, which are only for missing data. </w:t>
      </w:r>
    </w:p>
    <w:p w14:paraId="0316341E" w14:textId="77777777" w:rsidR="003B0D49"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1250F742" w14:textId="77777777" w:rsidR="000719E4" w:rsidRPr="003B0D49" w:rsidRDefault="000719E4" w:rsidP="000719E4">
      <w:pPr>
        <w:pStyle w:val="Response"/>
      </w:pPr>
      <w:r>
        <w:rPr>
          <w:rFonts w:cstheme="minorBidi"/>
        </w:rPr>
        <w:t xml:space="preserve">Please see section </w:t>
      </w:r>
      <w:r w:rsidRPr="000719E4">
        <w:rPr>
          <w:rFonts w:cstheme="minorBidi"/>
        </w:rPr>
        <w:t xml:space="preserve">2b7. </w:t>
      </w:r>
      <w:r>
        <w:rPr>
          <w:rFonts w:cstheme="minorBidi"/>
        </w:rPr>
        <w:t xml:space="preserve">Missing data analysis and minimizing bias for analysis of this measure’s exclusions, which are only for missing data. </w:t>
      </w:r>
    </w:p>
    <w:p w14:paraId="1D39D44A" w14:textId="77777777" w:rsidR="003B0D49"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3FA00C3B" w14:textId="77777777" w:rsidR="000719E4" w:rsidRPr="003B0D49" w:rsidRDefault="000719E4" w:rsidP="000719E4">
      <w:pPr>
        <w:pStyle w:val="Response"/>
      </w:pPr>
      <w:r>
        <w:rPr>
          <w:rFonts w:cstheme="minorBidi"/>
        </w:rPr>
        <w:t xml:space="preserve">Please see section </w:t>
      </w:r>
      <w:r w:rsidRPr="000719E4">
        <w:rPr>
          <w:rFonts w:cstheme="minorBidi"/>
        </w:rPr>
        <w:t xml:space="preserve">2b7. </w:t>
      </w:r>
      <w:r>
        <w:rPr>
          <w:rFonts w:cstheme="minorBidi"/>
        </w:rPr>
        <w:t xml:space="preserve">Missing data analysis and minimizing bias for analysis of this measure’s exclusions, which are only for missing data. </w:t>
      </w:r>
    </w:p>
    <w:p w14:paraId="620E9A8F"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654C5582"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3C795C34" w14:textId="77777777" w:rsidR="00743E46" w:rsidRDefault="00092566" w:rsidP="003B0D49">
      <w:pPr>
        <w:autoSpaceDE w:val="0"/>
        <w:autoSpaceDN w:val="0"/>
        <w:adjustRightInd w:val="0"/>
        <w:spacing w:before="240"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16D31A06" w14:textId="77777777" w:rsidR="00033038" w:rsidRPr="005232D6" w:rsidRDefault="004C7A9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330B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3B9A1792" w14:textId="77777777" w:rsidR="00743E46" w:rsidRPr="005232D6" w:rsidRDefault="004C7A9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21870924" w14:textId="77777777" w:rsidR="00743E46" w:rsidRPr="005232D6" w:rsidRDefault="004C7A9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54768065" w14:textId="77777777" w:rsidR="00743E46" w:rsidRDefault="004C7A9C" w:rsidP="003B0D49">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6128861F" w14:textId="77777777" w:rsidR="003B0D49" w:rsidRDefault="00743E46" w:rsidP="003B0D49">
      <w:pPr>
        <w:autoSpaceDE w:val="0"/>
        <w:autoSpaceDN w:val="0"/>
        <w:adjustRightInd w:val="0"/>
        <w:spacing w:before="240"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w:t>
      </w:r>
    </w:p>
    <w:p w14:paraId="373BADA9" w14:textId="0853F5FB" w:rsidR="003B0D49" w:rsidRPr="00C916B1" w:rsidRDefault="00A330B8" w:rsidP="00C916B1">
      <w:pPr>
        <w:pStyle w:val="Response"/>
      </w:pPr>
      <w:r w:rsidRPr="009D7EC9">
        <w:t>This is a process measure</w:t>
      </w:r>
      <w:r w:rsidR="001E747F">
        <w:t xml:space="preserve">, thus risk adjustment is not recommended. </w:t>
      </w:r>
    </w:p>
    <w:p w14:paraId="07820437" w14:textId="1EF49B04" w:rsidR="003B0D49" w:rsidRDefault="00092566" w:rsidP="001E7588">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1E7588" w:rsidRPr="00AF3C6C">
        <w:rPr>
          <w:rFonts w:cs="Times"/>
          <w:b/>
        </w:rPr>
        <w:t>(clinical factors or sociodemographic factors)</w:t>
      </w:r>
      <w:r w:rsidR="001E7588" w:rsidRPr="00AF3C6C">
        <w:rPr>
          <w:rFonts w:ascii="Times" w:hAnsi="Times" w:cs="Times"/>
          <w:b/>
          <w:sz w:val="24"/>
        </w:rPr>
        <w:t xml:space="preserve">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p>
    <w:p w14:paraId="6ADC92EF" w14:textId="123CAAB4" w:rsidR="003B0D49" w:rsidRPr="003B0D49" w:rsidRDefault="00A330B8" w:rsidP="00C916B1">
      <w:pPr>
        <w:pStyle w:val="Response"/>
      </w:pPr>
      <w:r w:rsidRPr="009D7EC9">
        <w:t>This is not applicable.</w:t>
      </w:r>
    </w:p>
    <w:p w14:paraId="2AFDC54D" w14:textId="311136A7" w:rsidR="003B0D49" w:rsidRDefault="00092566" w:rsidP="00001D73">
      <w:pPr>
        <w:autoSpaceDE w:val="0"/>
        <w:autoSpaceDN w:val="0"/>
        <w:adjustRightInd w:val="0"/>
        <w:spacing w:after="0" w:line="240" w:lineRule="auto"/>
        <w:rPr>
          <w:rFonts w:cstheme="minorHAnsi"/>
          <w:b/>
          <w:bCs/>
        </w:rPr>
      </w:pPr>
      <w:r>
        <w:rPr>
          <w:rFonts w:cstheme="minorHAnsi"/>
          <w:b/>
          <w:bCs/>
        </w:rPr>
        <w:t>2b4.4</w:t>
      </w:r>
      <w:r w:rsidR="00285580">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p>
    <w:p w14:paraId="23519BF3" w14:textId="3C6D71F0" w:rsidR="003B0D49" w:rsidRPr="00C916B1" w:rsidRDefault="00A330B8" w:rsidP="00C916B1">
      <w:pPr>
        <w:pStyle w:val="Response"/>
      </w:pPr>
      <w:r w:rsidRPr="009D7EC9">
        <w:t>This is not applicable.</w:t>
      </w:r>
    </w:p>
    <w:p w14:paraId="6EC0061E" w14:textId="77777777" w:rsidR="00285580" w:rsidRPr="003C7BC5" w:rsidRDefault="00285580" w:rsidP="00285580">
      <w:pPr>
        <w:autoSpaceDE w:val="0"/>
        <w:autoSpaceDN w:val="0"/>
        <w:adjustRightInd w:val="0"/>
        <w:spacing w:after="0" w:line="240" w:lineRule="auto"/>
        <w:rPr>
          <w:rFonts w:cstheme="minorHAnsi"/>
          <w:i/>
          <w:iCs/>
        </w:rPr>
      </w:pPr>
      <w:r w:rsidRPr="003C7BC5">
        <w:rPr>
          <w:rFonts w:cstheme="minorHAnsi"/>
          <w:b/>
          <w:bCs/>
        </w:rPr>
        <w:t xml:space="preserve">2b4.4b. Describe the analyses and interpretation resulting in the decision to select SDS factors </w:t>
      </w:r>
      <w:r w:rsidRPr="003C7BC5">
        <w:rPr>
          <w:rFonts w:cstheme="minorHAnsi"/>
          <w:i/>
          <w:iCs/>
        </w:rPr>
        <w:t>(e.g. prevalence of the factor across measured entities, empirical association with the outcome, contribution of unique variation in the outcome, assessment of between-unit effects and within-unit effects)</w:t>
      </w:r>
    </w:p>
    <w:p w14:paraId="57B7ACE0" w14:textId="5DFF855B" w:rsidR="00285580" w:rsidRDefault="00285580" w:rsidP="0088304B">
      <w:pPr>
        <w:pStyle w:val="Response"/>
        <w:rPr>
          <w:b/>
          <w:bCs w:val="0"/>
        </w:rPr>
      </w:pPr>
      <w:r w:rsidRPr="009D7EC9">
        <w:t>This is not applicable.</w:t>
      </w:r>
    </w:p>
    <w:p w14:paraId="0CD889D4" w14:textId="77777777" w:rsidR="003B0D49"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3FC3EAFD" w14:textId="33DCD5CC" w:rsidR="003B0D49" w:rsidRPr="00C916B1" w:rsidRDefault="00A330B8" w:rsidP="00C916B1">
      <w:pPr>
        <w:pStyle w:val="Response"/>
      </w:pPr>
      <w:r w:rsidRPr="009D7EC9">
        <w:t>This is not applicable.</w:t>
      </w:r>
    </w:p>
    <w:p w14:paraId="4D2D2A6F" w14:textId="48398184" w:rsidR="003B0D49" w:rsidRPr="00C916B1" w:rsidRDefault="00001D73" w:rsidP="00C916B1">
      <w:pPr>
        <w:autoSpaceDE w:val="0"/>
        <w:autoSpaceDN w:val="0"/>
        <w:adjustRightInd w:val="0"/>
        <w:spacing w:after="0" w:line="240" w:lineRule="auto"/>
        <w:rPr>
          <w:rFonts w:cstheme="minorHAnsi"/>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p>
    <w:p w14:paraId="58C1C761" w14:textId="77777777" w:rsidR="00E1508F" w:rsidRDefault="001F7A20" w:rsidP="00092566">
      <w:pPr>
        <w:autoSpaceDE w:val="0"/>
        <w:autoSpaceDN w:val="0"/>
        <w:adjustRightInd w:val="0"/>
        <w:spacing w:after="0" w:line="240" w:lineRule="auto"/>
        <w:rPr>
          <w:rFonts w:cstheme="minorHAnsi"/>
          <w:b/>
          <w:bCs/>
        </w:rPr>
      </w:pPr>
      <w:r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1D0AB306" w14:textId="77777777" w:rsidR="003B0D49" w:rsidRDefault="00743E46" w:rsidP="003B0D49">
      <w:pPr>
        <w:autoSpaceDE w:val="0"/>
        <w:autoSpaceDN w:val="0"/>
        <w:adjustRightInd w:val="0"/>
        <w:spacing w:before="240"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p>
    <w:p w14:paraId="38CF4B5D" w14:textId="063D6F68" w:rsidR="003B0D49" w:rsidRPr="003B0D49" w:rsidRDefault="00A330B8" w:rsidP="00C916B1">
      <w:pPr>
        <w:pStyle w:val="Response"/>
      </w:pPr>
      <w:r w:rsidRPr="009D7EC9">
        <w:t>This is not applicable.</w:t>
      </w:r>
    </w:p>
    <w:p w14:paraId="038AEF61" w14:textId="77777777" w:rsidR="003B0D49" w:rsidRDefault="00743E46" w:rsidP="00092566">
      <w:pPr>
        <w:autoSpaceDE w:val="0"/>
        <w:autoSpaceDN w:val="0"/>
        <w:adjustRightInd w:val="0"/>
        <w:spacing w:after="0" w:line="240" w:lineRule="auto"/>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p>
    <w:p w14:paraId="280B0D59" w14:textId="7DE7A1A6" w:rsidR="003B0D49" w:rsidRPr="00C916B1" w:rsidRDefault="00A330B8" w:rsidP="00C916B1">
      <w:pPr>
        <w:pStyle w:val="Response"/>
      </w:pPr>
      <w:r w:rsidRPr="009D7EC9">
        <w:t>This is not applicable.</w:t>
      </w:r>
    </w:p>
    <w:p w14:paraId="4B0BD264" w14:textId="77777777" w:rsidR="003B0D49" w:rsidRDefault="00743E46" w:rsidP="00092566">
      <w:pPr>
        <w:autoSpaceDE w:val="0"/>
        <w:autoSpaceDN w:val="0"/>
        <w:adjustRightInd w:val="0"/>
        <w:spacing w:after="0" w:line="240" w:lineRule="auto"/>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6D8A5DA8" w14:textId="5DBF87C6" w:rsidR="003B0D49" w:rsidRPr="00C916B1" w:rsidRDefault="00A330B8" w:rsidP="00C916B1">
      <w:pPr>
        <w:pStyle w:val="Response"/>
      </w:pPr>
      <w:r w:rsidRPr="009D7EC9">
        <w:t>This is not applicable.</w:t>
      </w:r>
    </w:p>
    <w:p w14:paraId="7037EBD1" w14:textId="77777777" w:rsidR="00092566"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4517AF42" w14:textId="064FDBF3" w:rsidR="003B0D49" w:rsidRPr="00C916B1" w:rsidRDefault="00A330B8" w:rsidP="00C916B1">
      <w:pPr>
        <w:pStyle w:val="Response"/>
      </w:pPr>
      <w:r w:rsidRPr="009D7EC9">
        <w:lastRenderedPageBreak/>
        <w:t>This is not applicable.</w:t>
      </w:r>
    </w:p>
    <w:p w14:paraId="38AB3E75" w14:textId="77777777" w:rsidR="003B0D49" w:rsidRDefault="00743E46" w:rsidP="003B0D49">
      <w:pPr>
        <w:keepNext/>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p>
    <w:p w14:paraId="268CF6C3" w14:textId="0B84B1C0" w:rsidR="003B0D49" w:rsidRPr="00C916B1" w:rsidRDefault="00A330B8" w:rsidP="00C916B1">
      <w:pPr>
        <w:pStyle w:val="Response"/>
      </w:pPr>
      <w:r w:rsidRPr="009D7EC9">
        <w:t>This is not applicable.</w:t>
      </w:r>
    </w:p>
    <w:p w14:paraId="146742ED" w14:textId="2371642F" w:rsidR="00B438DE" w:rsidRPr="00C916B1" w:rsidRDefault="009B1A15" w:rsidP="00C916B1">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587F3A6A"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23F0D6D1"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696DCF63" w14:textId="77777777" w:rsidR="00B438DE" w:rsidRDefault="00D61410" w:rsidP="00D61410">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w:t>
      </w:r>
    </w:p>
    <w:p w14:paraId="5F213240" w14:textId="5FAE1CFD" w:rsidR="00B438DE" w:rsidRPr="003B0D49" w:rsidRDefault="00A330B8" w:rsidP="007B6E4E">
      <w:pPr>
        <w:pStyle w:val="Response"/>
      </w:pPr>
      <w:r>
        <w:t>RTI</w:t>
      </w:r>
      <w:r w:rsidRPr="00492FA3">
        <w:t xml:space="preserve"> examined proportions of facilities with scores for this measure that are significantly different from national facility-level mean, stratified by facility denominator size. </w:t>
      </w:r>
      <w:r w:rsidRPr="00492FA3">
        <w:rPr>
          <w:rFonts w:eastAsia="Calibri" w:cs="Times New Roman"/>
        </w:rPr>
        <w:t xml:space="preserve">For this analysis, statistical significance was determined using 95% confidence intervals: a facility’s QM score was significantly different from the national mean if the national mean was not included within the facility’s 95% confidence interval. </w:t>
      </w:r>
      <w:r w:rsidRPr="00492FA3">
        <w:t xml:space="preserve">High-performing facilities should have scores that are significantly </w:t>
      </w:r>
      <w:r w:rsidR="007B6E4E">
        <w:t xml:space="preserve">better than </w:t>
      </w:r>
      <w:r w:rsidRPr="00492FA3">
        <w:t>average</w:t>
      </w:r>
      <w:r w:rsidR="00A4380F">
        <w:t xml:space="preserve"> (i.e. lower rate of physical restraints use than national average)</w:t>
      </w:r>
      <w:r w:rsidRPr="00492FA3">
        <w:t xml:space="preserve">, and low-performing facilities should be significantly </w:t>
      </w:r>
      <w:r w:rsidR="007B6E4E">
        <w:t xml:space="preserve">worse than </w:t>
      </w:r>
      <w:r w:rsidRPr="00492FA3">
        <w:t>average</w:t>
      </w:r>
      <w:r w:rsidR="00A4380F">
        <w:t xml:space="preserve"> (i.e. higher rate of physical restraints use than national average)</w:t>
      </w:r>
      <w:r w:rsidRPr="00492FA3">
        <w:t>. We stratified the analysis by facility denominator size to examine whether this feature of the measure varies by size.</w:t>
      </w:r>
    </w:p>
    <w:p w14:paraId="1791A50F" w14:textId="77777777" w:rsidR="00B438DE"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p>
    <w:p w14:paraId="4A655064" w14:textId="5EE38571" w:rsidR="00A330B8" w:rsidRPr="00C916B1" w:rsidRDefault="00A330B8" w:rsidP="004C7A9C">
      <w:pPr>
        <w:pStyle w:val="Response"/>
        <w:rPr>
          <w:rFonts w:ascii="Times New Roman" w:eastAsia="Times New Roman" w:hAnsi="Times New Roman" w:cs="Arial"/>
          <w:b/>
        </w:rPr>
      </w:pPr>
      <w:r w:rsidRPr="00C916B1">
        <w:rPr>
          <w:b/>
          <w:i/>
        </w:rPr>
        <w:t xml:space="preserve">Table </w:t>
      </w:r>
      <w:r w:rsidR="004C7A9C">
        <w:rPr>
          <w:b/>
          <w:i/>
        </w:rPr>
        <w:t>2</w:t>
      </w:r>
      <w:r w:rsidR="00E327B9" w:rsidRPr="00C916B1">
        <w:t xml:space="preserve"> </w:t>
      </w:r>
      <w:r w:rsidRPr="00C916B1">
        <w:t>shows that a little less than two thirds (6</w:t>
      </w:r>
      <w:r w:rsidR="006051AC">
        <w:t>6</w:t>
      </w:r>
      <w:r w:rsidRPr="00C916B1">
        <w:t>.</w:t>
      </w:r>
      <w:r w:rsidR="006051AC">
        <w:t>4</w:t>
      </w:r>
      <w:r w:rsidRPr="00C916B1">
        <w:t xml:space="preserve">%) of facilities were significantly different from the national mean, indicating that there are meaningful differences in facility-level scores for this measure. </w:t>
      </w:r>
    </w:p>
    <w:p w14:paraId="2BC9E605" w14:textId="7B850337" w:rsidR="00A330B8" w:rsidRPr="00C916B1" w:rsidRDefault="00900660" w:rsidP="007B6E4E">
      <w:pPr>
        <w:keepNext/>
        <w:keepLines/>
        <w:spacing w:before="240" w:after="240" w:line="240" w:lineRule="auto"/>
        <w:jc w:val="center"/>
        <w:rPr>
          <w:rFonts w:eastAsia="Times New Roman" w:cs="Arial"/>
          <w:b/>
          <w:bCs/>
          <w:color w:val="0000FF"/>
        </w:rPr>
      </w:pPr>
      <w:r>
        <w:rPr>
          <w:rFonts w:eastAsia="Times New Roman" w:cs="Arial"/>
          <w:b/>
          <w:bCs/>
          <w:color w:val="0000FF"/>
        </w:rPr>
        <w:lastRenderedPageBreak/>
        <w:t xml:space="preserve">Table </w:t>
      </w:r>
      <w:r w:rsidR="007B6E4E">
        <w:rPr>
          <w:rFonts w:eastAsia="Times New Roman" w:cs="Arial"/>
          <w:b/>
          <w:bCs/>
          <w:color w:val="0000FF"/>
        </w:rPr>
        <w:t>2</w:t>
      </w:r>
      <w:r w:rsidR="00A330B8" w:rsidRPr="00C916B1">
        <w:rPr>
          <w:rFonts w:eastAsia="Times New Roman" w:cs="Arial"/>
          <w:b/>
          <w:bCs/>
          <w:color w:val="0000FF"/>
        </w:rPr>
        <w:t>.</w:t>
      </w:r>
      <w:r w:rsidR="00A330B8" w:rsidRPr="00C916B1">
        <w:rPr>
          <w:rFonts w:eastAsia="Times New Roman" w:cs="Arial"/>
          <w:b/>
          <w:bCs/>
          <w:color w:val="0000FF"/>
        </w:rPr>
        <w:br/>
        <w:t>Proportions of facilities with scores for QM #0687 Percent of Residents Who Were Physically Restrained (long stay) that are Significantly Different From the National Mean, Stratified by Denominator Size</w:t>
      </w:r>
    </w:p>
    <w:tbl>
      <w:tblPr>
        <w:tblW w:w="9450" w:type="dxa"/>
        <w:tblBorders>
          <w:top w:val="single" w:sz="12" w:space="0" w:color="auto"/>
          <w:bottom w:val="single" w:sz="12" w:space="0" w:color="auto"/>
          <w:insideH w:val="single" w:sz="6" w:space="0" w:color="auto"/>
        </w:tblBorders>
        <w:tblLook w:val="00A0" w:firstRow="1" w:lastRow="0" w:firstColumn="1" w:lastColumn="0" w:noHBand="0" w:noVBand="0"/>
      </w:tblPr>
      <w:tblGrid>
        <w:gridCol w:w="2700"/>
        <w:gridCol w:w="1080"/>
        <w:gridCol w:w="1890"/>
        <w:gridCol w:w="1890"/>
        <w:gridCol w:w="1890"/>
      </w:tblGrid>
      <w:tr w:rsidR="00C916B1" w:rsidRPr="0032340D" w14:paraId="514DAC61" w14:textId="77777777" w:rsidTr="00900660">
        <w:trPr>
          <w:cantSplit/>
          <w:tblHeader/>
        </w:trPr>
        <w:tc>
          <w:tcPr>
            <w:tcW w:w="2700" w:type="dxa"/>
            <w:vAlign w:val="bottom"/>
          </w:tcPr>
          <w:p w14:paraId="7B8A118C" w14:textId="77777777" w:rsidR="00A330B8" w:rsidRPr="00285580" w:rsidRDefault="00A330B8" w:rsidP="00900660">
            <w:pPr>
              <w:keepNext/>
              <w:spacing w:before="80" w:after="80" w:line="240" w:lineRule="auto"/>
              <w:jc w:val="center"/>
              <w:rPr>
                <w:rFonts w:eastAsia="Times New Roman" w:cs="Times New Roman"/>
                <w:snapToGrid w:val="0"/>
                <w:color w:val="0000FF"/>
              </w:rPr>
            </w:pPr>
            <w:r w:rsidRPr="00285580">
              <w:rPr>
                <w:rFonts w:eastAsia="Times New Roman" w:cs="Times New Roman"/>
                <w:snapToGrid w:val="0"/>
                <w:color w:val="0000FF"/>
              </w:rPr>
              <w:t>Decile of denominator size</w:t>
            </w:r>
          </w:p>
        </w:tc>
        <w:tc>
          <w:tcPr>
            <w:tcW w:w="1080" w:type="dxa"/>
            <w:vAlign w:val="bottom"/>
          </w:tcPr>
          <w:p w14:paraId="7AD02FDA" w14:textId="77777777" w:rsidR="00A330B8" w:rsidRPr="00285580" w:rsidRDefault="00A330B8" w:rsidP="00900660">
            <w:pPr>
              <w:keepNext/>
              <w:spacing w:before="80" w:after="80" w:line="240" w:lineRule="auto"/>
              <w:jc w:val="center"/>
              <w:rPr>
                <w:rFonts w:eastAsia="Times New Roman" w:cs="Times New Roman"/>
                <w:snapToGrid w:val="0"/>
                <w:color w:val="0000FF"/>
              </w:rPr>
            </w:pPr>
            <w:r w:rsidRPr="00285580">
              <w:rPr>
                <w:rFonts w:eastAsia="Times New Roman" w:cs="Times New Roman"/>
                <w:i/>
                <w:iCs/>
                <w:snapToGrid w:val="0"/>
                <w:color w:val="0000FF"/>
              </w:rPr>
              <w:t>N</w:t>
            </w:r>
          </w:p>
        </w:tc>
        <w:tc>
          <w:tcPr>
            <w:tcW w:w="1890" w:type="dxa"/>
            <w:vAlign w:val="bottom"/>
          </w:tcPr>
          <w:p w14:paraId="1FC8B21D" w14:textId="77777777" w:rsidR="00A330B8" w:rsidRPr="00285580" w:rsidRDefault="00A330B8" w:rsidP="00900660">
            <w:pPr>
              <w:keepNext/>
              <w:spacing w:before="80" w:after="80" w:line="240" w:lineRule="auto"/>
              <w:jc w:val="center"/>
              <w:rPr>
                <w:rFonts w:eastAsia="Times New Roman" w:cs="Times New Roman"/>
                <w:snapToGrid w:val="0"/>
                <w:color w:val="0000FF"/>
              </w:rPr>
            </w:pPr>
            <w:r w:rsidRPr="00285580">
              <w:rPr>
                <w:rFonts w:eastAsia="Times New Roman" w:cs="Times New Roman"/>
                <w:snapToGrid w:val="0"/>
                <w:color w:val="0000FF"/>
              </w:rPr>
              <w:t>Number of facilities with 95% confidence interval lower than national mean (%)</w:t>
            </w:r>
          </w:p>
        </w:tc>
        <w:tc>
          <w:tcPr>
            <w:tcW w:w="1890" w:type="dxa"/>
            <w:vAlign w:val="bottom"/>
          </w:tcPr>
          <w:p w14:paraId="7165B602" w14:textId="77777777" w:rsidR="00A330B8" w:rsidRPr="00285580" w:rsidRDefault="00A330B8" w:rsidP="00900660">
            <w:pPr>
              <w:keepNext/>
              <w:spacing w:before="80" w:after="80" w:line="240" w:lineRule="auto"/>
              <w:jc w:val="center"/>
              <w:rPr>
                <w:rFonts w:eastAsia="Times New Roman" w:cs="Times New Roman"/>
                <w:snapToGrid w:val="0"/>
                <w:color w:val="0000FF"/>
              </w:rPr>
            </w:pPr>
            <w:r w:rsidRPr="00285580">
              <w:rPr>
                <w:rFonts w:eastAsia="Times New Roman" w:cs="Times New Roman"/>
                <w:snapToGrid w:val="0"/>
                <w:color w:val="0000FF"/>
              </w:rPr>
              <w:t>Number of facilities with 95% confidence interval higher than national mean (%)</w:t>
            </w:r>
          </w:p>
        </w:tc>
        <w:tc>
          <w:tcPr>
            <w:tcW w:w="1890" w:type="dxa"/>
            <w:vAlign w:val="bottom"/>
          </w:tcPr>
          <w:p w14:paraId="660462C2" w14:textId="77777777" w:rsidR="00A330B8" w:rsidRPr="00285580" w:rsidRDefault="00A330B8" w:rsidP="00900660">
            <w:pPr>
              <w:keepNext/>
              <w:spacing w:before="80" w:after="80" w:line="240" w:lineRule="auto"/>
              <w:jc w:val="center"/>
              <w:rPr>
                <w:rFonts w:eastAsia="Times New Roman" w:cs="Times New Roman"/>
                <w:snapToGrid w:val="0"/>
                <w:color w:val="0000FF"/>
              </w:rPr>
            </w:pPr>
            <w:r w:rsidRPr="00285580">
              <w:rPr>
                <w:rFonts w:eastAsia="Times New Roman" w:cs="Times New Roman"/>
                <w:snapToGrid w:val="0"/>
                <w:color w:val="0000FF"/>
              </w:rPr>
              <w:t>Total number of facilities with scores significantly different from mean (%)</w:t>
            </w:r>
          </w:p>
        </w:tc>
      </w:tr>
      <w:tr w:rsidR="00B35175" w:rsidRPr="0032340D" w14:paraId="2AC9449F" w14:textId="77777777" w:rsidTr="00900660">
        <w:trPr>
          <w:cantSplit/>
        </w:trPr>
        <w:tc>
          <w:tcPr>
            <w:tcW w:w="2700" w:type="dxa"/>
            <w:vAlign w:val="bottom"/>
          </w:tcPr>
          <w:p w14:paraId="2BDAE167" w14:textId="77777777" w:rsidR="00B35175" w:rsidRPr="00285580" w:rsidRDefault="00B35175" w:rsidP="00B35175">
            <w:pPr>
              <w:spacing w:before="40" w:after="40" w:line="240" w:lineRule="auto"/>
              <w:rPr>
                <w:rFonts w:eastAsia="Times New Roman" w:cs="Times New Roman"/>
                <w:color w:val="0000FF"/>
              </w:rPr>
            </w:pPr>
            <w:r w:rsidRPr="00285580">
              <w:rPr>
                <w:rFonts w:eastAsia="Times New Roman" w:cs="Times New Roman"/>
                <w:color w:val="0000FF"/>
              </w:rPr>
              <w:t>1</w:t>
            </w:r>
            <w:r w:rsidRPr="00285580">
              <w:rPr>
                <w:rFonts w:eastAsia="Times New Roman" w:cs="Times New Roman"/>
                <w:color w:val="0000FF"/>
                <w:vertAlign w:val="superscript"/>
              </w:rPr>
              <w:t>st</w:t>
            </w:r>
            <w:r w:rsidRPr="00285580">
              <w:rPr>
                <w:rFonts w:eastAsia="Times New Roman" w:cs="Times New Roman"/>
                <w:color w:val="0000FF"/>
              </w:rPr>
              <w:t xml:space="preserve"> Decile (</w:t>
            </w:r>
            <w:r w:rsidRPr="00285580">
              <w:rPr>
                <w:rFonts w:eastAsia="Times New Roman" w:cs="Times New Roman"/>
                <w:i/>
                <w:iCs/>
                <w:color w:val="0000FF"/>
              </w:rPr>
              <w:t>k</w:t>
            </w:r>
            <w:r w:rsidRPr="00285580">
              <w:rPr>
                <w:rFonts w:eastAsia="Times New Roman" w:cs="Times New Roman"/>
                <w:color w:val="0000FF"/>
              </w:rPr>
              <w:t xml:space="preserve"> = 30 to 39 residents) </w:t>
            </w:r>
          </w:p>
        </w:tc>
        <w:tc>
          <w:tcPr>
            <w:tcW w:w="1080" w:type="dxa"/>
          </w:tcPr>
          <w:p w14:paraId="0705EFEF" w14:textId="34AC1F6D" w:rsidR="00B35175" w:rsidRPr="00285580" w:rsidRDefault="00B35175" w:rsidP="00B35175">
            <w:pPr>
              <w:spacing w:before="40" w:after="40" w:line="240" w:lineRule="auto"/>
              <w:ind w:left="-648" w:right="162"/>
              <w:jc w:val="right"/>
              <w:rPr>
                <w:rFonts w:eastAsia="Times New Roman" w:cs="Times New Roman"/>
                <w:color w:val="0000FF"/>
              </w:rPr>
            </w:pPr>
            <w:r w:rsidRPr="00285580">
              <w:rPr>
                <w:rFonts w:eastAsia="Times New Roman" w:cs="Times New Roman"/>
                <w:color w:val="0000FF"/>
              </w:rPr>
              <w:t>1,393</w:t>
            </w:r>
          </w:p>
        </w:tc>
        <w:tc>
          <w:tcPr>
            <w:tcW w:w="1890" w:type="dxa"/>
          </w:tcPr>
          <w:p w14:paraId="09D24A31" w14:textId="10E2CA4C"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1,071 (76.9%)</w:t>
            </w:r>
          </w:p>
        </w:tc>
        <w:tc>
          <w:tcPr>
            <w:tcW w:w="1890" w:type="dxa"/>
          </w:tcPr>
          <w:p w14:paraId="6374ED46" w14:textId="7FBD8B3E" w:rsidR="00B35175" w:rsidRPr="00285580" w:rsidRDefault="00B35175" w:rsidP="00B35175">
            <w:pPr>
              <w:spacing w:before="40" w:after="40" w:line="240" w:lineRule="auto"/>
              <w:ind w:right="342"/>
              <w:jc w:val="right"/>
              <w:rPr>
                <w:rFonts w:eastAsia="Times New Roman" w:cs="Times New Roman"/>
                <w:color w:val="0000FF"/>
              </w:rPr>
            </w:pPr>
            <w:r w:rsidRPr="00285580">
              <w:rPr>
                <w:rFonts w:eastAsia="Times New Roman" w:cs="Times New Roman"/>
                <w:color w:val="0000FF"/>
              </w:rPr>
              <w:t>29 (2.1%)</w:t>
            </w:r>
          </w:p>
        </w:tc>
        <w:tc>
          <w:tcPr>
            <w:tcW w:w="1890" w:type="dxa"/>
          </w:tcPr>
          <w:p w14:paraId="17BF8E78" w14:textId="258321A6"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1</w:t>
            </w:r>
            <w:r w:rsidR="008D1BD6">
              <w:rPr>
                <w:rFonts w:eastAsia="Times New Roman" w:cs="Times New Roman"/>
                <w:color w:val="0000FF"/>
              </w:rPr>
              <w:t>,</w:t>
            </w:r>
            <w:r w:rsidRPr="00285580">
              <w:rPr>
                <w:rFonts w:eastAsia="Times New Roman" w:cs="Times New Roman"/>
                <w:color w:val="0000FF"/>
              </w:rPr>
              <w:t>100 (79%)</w:t>
            </w:r>
          </w:p>
        </w:tc>
      </w:tr>
      <w:tr w:rsidR="00B35175" w:rsidRPr="0032340D" w14:paraId="3976E614" w14:textId="77777777" w:rsidTr="00900660">
        <w:trPr>
          <w:cantSplit/>
        </w:trPr>
        <w:tc>
          <w:tcPr>
            <w:tcW w:w="2700" w:type="dxa"/>
            <w:vAlign w:val="bottom"/>
          </w:tcPr>
          <w:p w14:paraId="065A55FE" w14:textId="77777777" w:rsidR="00B35175" w:rsidRPr="00285580" w:rsidRDefault="00B35175" w:rsidP="00B35175">
            <w:pPr>
              <w:spacing w:before="40" w:after="40" w:line="240" w:lineRule="auto"/>
              <w:rPr>
                <w:rFonts w:eastAsia="Times New Roman" w:cs="Times New Roman"/>
                <w:color w:val="0000FF"/>
              </w:rPr>
            </w:pPr>
            <w:r w:rsidRPr="00285580">
              <w:rPr>
                <w:rFonts w:eastAsia="Times New Roman" w:cs="Times New Roman"/>
                <w:color w:val="0000FF"/>
              </w:rPr>
              <w:t>2</w:t>
            </w:r>
            <w:r w:rsidRPr="00285580">
              <w:rPr>
                <w:rFonts w:eastAsia="Times New Roman" w:cs="Times New Roman"/>
                <w:color w:val="0000FF"/>
                <w:vertAlign w:val="superscript"/>
              </w:rPr>
              <w:t>nd</w:t>
            </w:r>
            <w:r w:rsidRPr="00285580">
              <w:rPr>
                <w:rFonts w:eastAsia="Times New Roman" w:cs="Times New Roman"/>
                <w:color w:val="0000FF"/>
              </w:rPr>
              <w:t xml:space="preserve"> Decile (</w:t>
            </w:r>
            <w:r w:rsidRPr="00285580">
              <w:rPr>
                <w:rFonts w:eastAsia="Times New Roman" w:cs="Times New Roman"/>
                <w:i/>
                <w:iCs/>
                <w:color w:val="0000FF"/>
              </w:rPr>
              <w:t xml:space="preserve">k </w:t>
            </w:r>
            <w:r w:rsidRPr="00285580">
              <w:rPr>
                <w:rFonts w:eastAsia="Times New Roman" w:cs="Times New Roman"/>
                <w:color w:val="0000FF"/>
              </w:rPr>
              <w:t>= 40 to</w:t>
            </w:r>
            <w:r w:rsidRPr="00285580">
              <w:rPr>
                <w:rFonts w:eastAsia="Times New Roman" w:cs="Times New Roman"/>
                <w:i/>
                <w:iCs/>
                <w:color w:val="0000FF"/>
              </w:rPr>
              <w:t xml:space="preserve"> </w:t>
            </w:r>
            <w:r w:rsidRPr="00285580">
              <w:rPr>
                <w:rFonts w:eastAsia="Times New Roman" w:cs="Times New Roman"/>
                <w:color w:val="0000FF"/>
              </w:rPr>
              <w:t>47)</w:t>
            </w:r>
          </w:p>
        </w:tc>
        <w:tc>
          <w:tcPr>
            <w:tcW w:w="1080" w:type="dxa"/>
          </w:tcPr>
          <w:p w14:paraId="52A196A9" w14:textId="4A3E6A92" w:rsidR="00B35175" w:rsidRPr="00285580" w:rsidRDefault="00B35175" w:rsidP="00B35175">
            <w:pPr>
              <w:spacing w:before="40" w:after="40" w:line="240" w:lineRule="auto"/>
              <w:ind w:left="-648" w:right="162"/>
              <w:jc w:val="right"/>
              <w:rPr>
                <w:rFonts w:eastAsia="Times New Roman" w:cs="Times New Roman"/>
                <w:color w:val="0000FF"/>
              </w:rPr>
            </w:pPr>
            <w:r w:rsidRPr="00285580">
              <w:rPr>
                <w:rFonts w:eastAsia="Times New Roman" w:cs="Times New Roman"/>
                <w:color w:val="0000FF"/>
              </w:rPr>
              <w:t>1,500</w:t>
            </w:r>
          </w:p>
        </w:tc>
        <w:tc>
          <w:tcPr>
            <w:tcW w:w="1890" w:type="dxa"/>
          </w:tcPr>
          <w:p w14:paraId="1C1DC3BD" w14:textId="67777FAD"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1,033 (68.9%)</w:t>
            </w:r>
          </w:p>
        </w:tc>
        <w:tc>
          <w:tcPr>
            <w:tcW w:w="1890" w:type="dxa"/>
          </w:tcPr>
          <w:p w14:paraId="3CEAE42E" w14:textId="2593C23C" w:rsidR="00B35175" w:rsidRPr="00285580" w:rsidRDefault="00B35175" w:rsidP="00B35175">
            <w:pPr>
              <w:spacing w:before="40" w:after="40" w:line="240" w:lineRule="auto"/>
              <w:ind w:right="342"/>
              <w:jc w:val="right"/>
              <w:rPr>
                <w:rFonts w:eastAsia="Times New Roman" w:cs="Times New Roman"/>
                <w:color w:val="0000FF"/>
              </w:rPr>
            </w:pPr>
            <w:r w:rsidRPr="00285580">
              <w:rPr>
                <w:rFonts w:eastAsia="Times New Roman" w:cs="Times New Roman"/>
                <w:color w:val="0000FF"/>
              </w:rPr>
              <w:t>52 (3.5%)</w:t>
            </w:r>
          </w:p>
        </w:tc>
        <w:tc>
          <w:tcPr>
            <w:tcW w:w="1890" w:type="dxa"/>
          </w:tcPr>
          <w:p w14:paraId="1A408D3C" w14:textId="3A7B4141"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1</w:t>
            </w:r>
            <w:r w:rsidR="008D1BD6">
              <w:rPr>
                <w:rFonts w:eastAsia="Times New Roman" w:cs="Times New Roman"/>
                <w:color w:val="0000FF"/>
              </w:rPr>
              <w:t>,</w:t>
            </w:r>
            <w:r w:rsidRPr="00285580">
              <w:rPr>
                <w:rFonts w:eastAsia="Times New Roman" w:cs="Times New Roman"/>
                <w:color w:val="0000FF"/>
              </w:rPr>
              <w:t>085 (72.3%)</w:t>
            </w:r>
          </w:p>
        </w:tc>
      </w:tr>
      <w:tr w:rsidR="00B35175" w:rsidRPr="0032340D" w14:paraId="789CC094" w14:textId="77777777" w:rsidTr="00900660">
        <w:trPr>
          <w:cantSplit/>
        </w:trPr>
        <w:tc>
          <w:tcPr>
            <w:tcW w:w="2700" w:type="dxa"/>
            <w:vAlign w:val="bottom"/>
          </w:tcPr>
          <w:p w14:paraId="21655859" w14:textId="77777777" w:rsidR="00B35175" w:rsidRPr="00285580" w:rsidRDefault="00B35175" w:rsidP="00B35175">
            <w:pPr>
              <w:spacing w:before="40" w:after="40" w:line="240" w:lineRule="auto"/>
              <w:rPr>
                <w:rFonts w:eastAsia="Times New Roman" w:cs="Times New Roman"/>
                <w:color w:val="0000FF"/>
              </w:rPr>
            </w:pPr>
            <w:r w:rsidRPr="00285580">
              <w:rPr>
                <w:rFonts w:eastAsia="Times New Roman" w:cs="Times New Roman"/>
                <w:color w:val="0000FF"/>
              </w:rPr>
              <w:t>3</w:t>
            </w:r>
            <w:r w:rsidRPr="00285580">
              <w:rPr>
                <w:rFonts w:eastAsia="Times New Roman" w:cs="Times New Roman"/>
                <w:color w:val="0000FF"/>
                <w:vertAlign w:val="superscript"/>
              </w:rPr>
              <w:t>rd</w:t>
            </w:r>
            <w:r w:rsidRPr="00285580">
              <w:rPr>
                <w:rFonts w:eastAsia="Times New Roman" w:cs="Times New Roman"/>
                <w:color w:val="0000FF"/>
              </w:rPr>
              <w:t xml:space="preserve"> Decile (</w:t>
            </w:r>
            <w:r w:rsidRPr="00285580">
              <w:rPr>
                <w:rFonts w:eastAsia="Times New Roman" w:cs="Times New Roman"/>
                <w:i/>
                <w:iCs/>
                <w:color w:val="0000FF"/>
              </w:rPr>
              <w:t xml:space="preserve">k </w:t>
            </w:r>
            <w:r w:rsidRPr="00285580">
              <w:rPr>
                <w:rFonts w:eastAsia="Times New Roman" w:cs="Times New Roman"/>
                <w:color w:val="0000FF"/>
              </w:rPr>
              <w:t>= 48 to 56)</w:t>
            </w:r>
          </w:p>
        </w:tc>
        <w:tc>
          <w:tcPr>
            <w:tcW w:w="1080" w:type="dxa"/>
          </w:tcPr>
          <w:p w14:paraId="47FB01F5" w14:textId="578B31F0" w:rsidR="00B35175" w:rsidRPr="00285580" w:rsidRDefault="00B35175" w:rsidP="00B35175">
            <w:pPr>
              <w:spacing w:before="40" w:after="40" w:line="240" w:lineRule="auto"/>
              <w:ind w:left="-648" w:right="162"/>
              <w:jc w:val="right"/>
              <w:rPr>
                <w:rFonts w:eastAsia="Times New Roman" w:cs="Times New Roman"/>
                <w:color w:val="0000FF"/>
              </w:rPr>
            </w:pPr>
            <w:r w:rsidRPr="00285580">
              <w:rPr>
                <w:rFonts w:eastAsia="Times New Roman" w:cs="Times New Roman"/>
                <w:color w:val="0000FF"/>
              </w:rPr>
              <w:t>1,336</w:t>
            </w:r>
          </w:p>
        </w:tc>
        <w:tc>
          <w:tcPr>
            <w:tcW w:w="1890" w:type="dxa"/>
          </w:tcPr>
          <w:p w14:paraId="0386F39E" w14:textId="461BD073"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883 (66.1%)</w:t>
            </w:r>
          </w:p>
        </w:tc>
        <w:tc>
          <w:tcPr>
            <w:tcW w:w="1890" w:type="dxa"/>
          </w:tcPr>
          <w:p w14:paraId="6B3C9F2E" w14:textId="308F4340" w:rsidR="00B35175" w:rsidRPr="00285580" w:rsidRDefault="00B35175" w:rsidP="00B35175">
            <w:pPr>
              <w:spacing w:before="40" w:after="40" w:line="240" w:lineRule="auto"/>
              <w:ind w:right="342"/>
              <w:jc w:val="right"/>
              <w:rPr>
                <w:rFonts w:eastAsia="Times New Roman" w:cs="Times New Roman"/>
                <w:color w:val="0000FF"/>
              </w:rPr>
            </w:pPr>
            <w:r w:rsidRPr="00285580">
              <w:rPr>
                <w:rFonts w:eastAsia="Times New Roman" w:cs="Times New Roman"/>
                <w:color w:val="0000FF"/>
              </w:rPr>
              <w:t>46 (3.4%)</w:t>
            </w:r>
          </w:p>
        </w:tc>
        <w:tc>
          <w:tcPr>
            <w:tcW w:w="1890" w:type="dxa"/>
          </w:tcPr>
          <w:p w14:paraId="0FB39D0D" w14:textId="4EA3CD08"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929 (69.5%)</w:t>
            </w:r>
          </w:p>
        </w:tc>
      </w:tr>
      <w:tr w:rsidR="00B35175" w:rsidRPr="0032340D" w14:paraId="030866CD" w14:textId="77777777" w:rsidTr="00900660">
        <w:trPr>
          <w:cantSplit/>
        </w:trPr>
        <w:tc>
          <w:tcPr>
            <w:tcW w:w="2700" w:type="dxa"/>
            <w:vAlign w:val="bottom"/>
          </w:tcPr>
          <w:p w14:paraId="3094EB32" w14:textId="77777777" w:rsidR="00B35175" w:rsidRPr="00285580" w:rsidRDefault="00B35175" w:rsidP="00B35175">
            <w:pPr>
              <w:spacing w:before="40" w:after="40" w:line="240" w:lineRule="auto"/>
              <w:rPr>
                <w:rFonts w:eastAsia="Times New Roman" w:cs="Times New Roman"/>
                <w:color w:val="0000FF"/>
              </w:rPr>
            </w:pPr>
            <w:r w:rsidRPr="00285580">
              <w:rPr>
                <w:rFonts w:eastAsia="Times New Roman" w:cs="Times New Roman"/>
                <w:color w:val="0000FF"/>
              </w:rPr>
              <w:t>4</w:t>
            </w:r>
            <w:r w:rsidRPr="00285580">
              <w:rPr>
                <w:rFonts w:eastAsia="Times New Roman" w:cs="Times New Roman"/>
                <w:color w:val="0000FF"/>
                <w:vertAlign w:val="superscript"/>
              </w:rPr>
              <w:t>th</w:t>
            </w:r>
            <w:r w:rsidRPr="00285580">
              <w:rPr>
                <w:rFonts w:eastAsia="Times New Roman" w:cs="Times New Roman"/>
                <w:color w:val="0000FF"/>
              </w:rPr>
              <w:t xml:space="preserve"> Decile (</w:t>
            </w:r>
            <w:r w:rsidRPr="00285580">
              <w:rPr>
                <w:rFonts w:eastAsia="Times New Roman" w:cs="Times New Roman"/>
                <w:i/>
                <w:iCs/>
                <w:color w:val="0000FF"/>
              </w:rPr>
              <w:t>k</w:t>
            </w:r>
            <w:r w:rsidRPr="00285580">
              <w:rPr>
                <w:rFonts w:eastAsia="Times New Roman" w:cs="Times New Roman"/>
                <w:color w:val="0000FF"/>
              </w:rPr>
              <w:t xml:space="preserve"> = 57 to 64)</w:t>
            </w:r>
          </w:p>
        </w:tc>
        <w:tc>
          <w:tcPr>
            <w:tcW w:w="1080" w:type="dxa"/>
          </w:tcPr>
          <w:p w14:paraId="5C0FB9B3" w14:textId="1207A84B" w:rsidR="00B35175" w:rsidRPr="00285580" w:rsidRDefault="00B35175" w:rsidP="00B35175">
            <w:pPr>
              <w:spacing w:before="40" w:after="40" w:line="240" w:lineRule="auto"/>
              <w:ind w:left="-648" w:right="162"/>
              <w:jc w:val="right"/>
              <w:rPr>
                <w:rFonts w:eastAsia="Times New Roman" w:cs="Times New Roman"/>
                <w:color w:val="0000FF"/>
              </w:rPr>
            </w:pPr>
            <w:r w:rsidRPr="00285580">
              <w:rPr>
                <w:rFonts w:eastAsia="Times New Roman" w:cs="Times New Roman"/>
                <w:color w:val="0000FF"/>
              </w:rPr>
              <w:t>1,441</w:t>
            </w:r>
          </w:p>
        </w:tc>
        <w:tc>
          <w:tcPr>
            <w:tcW w:w="1890" w:type="dxa"/>
          </w:tcPr>
          <w:p w14:paraId="6253EE61" w14:textId="3418B068"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914 (63.4%)</w:t>
            </w:r>
          </w:p>
        </w:tc>
        <w:tc>
          <w:tcPr>
            <w:tcW w:w="1890" w:type="dxa"/>
          </w:tcPr>
          <w:p w14:paraId="48ECDDB9" w14:textId="0313C4B9" w:rsidR="00B35175" w:rsidRPr="00285580" w:rsidRDefault="00B35175" w:rsidP="00B35175">
            <w:pPr>
              <w:spacing w:before="40" w:after="40" w:line="240" w:lineRule="auto"/>
              <w:ind w:right="342"/>
              <w:jc w:val="right"/>
              <w:rPr>
                <w:rFonts w:eastAsia="Times New Roman" w:cs="Times New Roman"/>
                <w:color w:val="0000FF"/>
              </w:rPr>
            </w:pPr>
            <w:r w:rsidRPr="00285580">
              <w:rPr>
                <w:rFonts w:eastAsia="Times New Roman" w:cs="Times New Roman"/>
                <w:color w:val="0000FF"/>
              </w:rPr>
              <w:t>63 (4.4%)</w:t>
            </w:r>
          </w:p>
        </w:tc>
        <w:tc>
          <w:tcPr>
            <w:tcW w:w="1890" w:type="dxa"/>
          </w:tcPr>
          <w:p w14:paraId="4202DDEB" w14:textId="7CFD7A94"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977 (67.8%)</w:t>
            </w:r>
          </w:p>
        </w:tc>
      </w:tr>
      <w:tr w:rsidR="00B35175" w:rsidRPr="0032340D" w14:paraId="6125BF75" w14:textId="77777777" w:rsidTr="00900660">
        <w:trPr>
          <w:cantSplit/>
        </w:trPr>
        <w:tc>
          <w:tcPr>
            <w:tcW w:w="2700" w:type="dxa"/>
            <w:vAlign w:val="bottom"/>
          </w:tcPr>
          <w:p w14:paraId="745C858F" w14:textId="77777777" w:rsidR="00B35175" w:rsidRPr="00285580" w:rsidRDefault="00B35175" w:rsidP="00B35175">
            <w:pPr>
              <w:spacing w:before="40" w:after="40" w:line="240" w:lineRule="auto"/>
              <w:rPr>
                <w:rFonts w:eastAsia="Times New Roman" w:cs="Times New Roman"/>
                <w:color w:val="0000FF"/>
              </w:rPr>
            </w:pPr>
            <w:r w:rsidRPr="00285580">
              <w:rPr>
                <w:rFonts w:eastAsia="Times New Roman" w:cs="Times New Roman"/>
                <w:color w:val="0000FF"/>
              </w:rPr>
              <w:t>5</w:t>
            </w:r>
            <w:r w:rsidRPr="00285580">
              <w:rPr>
                <w:rFonts w:eastAsia="Times New Roman" w:cs="Times New Roman"/>
                <w:color w:val="0000FF"/>
                <w:vertAlign w:val="superscript"/>
              </w:rPr>
              <w:t>th</w:t>
            </w:r>
            <w:r w:rsidRPr="00285580">
              <w:rPr>
                <w:rFonts w:eastAsia="Times New Roman" w:cs="Times New Roman"/>
                <w:color w:val="0000FF"/>
              </w:rPr>
              <w:t xml:space="preserve"> Decile (</w:t>
            </w:r>
            <w:r w:rsidRPr="00285580">
              <w:rPr>
                <w:rFonts w:eastAsia="Times New Roman" w:cs="Times New Roman"/>
                <w:i/>
                <w:iCs/>
                <w:color w:val="0000FF"/>
              </w:rPr>
              <w:t>k</w:t>
            </w:r>
            <w:r w:rsidRPr="00285580">
              <w:rPr>
                <w:rFonts w:eastAsia="Times New Roman" w:cs="Times New Roman"/>
                <w:color w:val="0000FF"/>
              </w:rPr>
              <w:t xml:space="preserve"> = 65 to 73)</w:t>
            </w:r>
          </w:p>
        </w:tc>
        <w:tc>
          <w:tcPr>
            <w:tcW w:w="1080" w:type="dxa"/>
          </w:tcPr>
          <w:p w14:paraId="1C7CBCE9" w14:textId="4AD0127F" w:rsidR="00B35175" w:rsidRPr="00285580" w:rsidRDefault="00B35175" w:rsidP="00B35175">
            <w:pPr>
              <w:spacing w:before="40" w:after="40" w:line="240" w:lineRule="auto"/>
              <w:ind w:left="-648" w:right="162"/>
              <w:jc w:val="right"/>
              <w:rPr>
                <w:rFonts w:eastAsia="Times New Roman" w:cs="Times New Roman"/>
                <w:color w:val="0000FF"/>
              </w:rPr>
            </w:pPr>
            <w:r w:rsidRPr="00285580">
              <w:rPr>
                <w:rFonts w:eastAsia="Times New Roman" w:cs="Times New Roman"/>
                <w:color w:val="0000FF"/>
              </w:rPr>
              <w:t>1,261</w:t>
            </w:r>
          </w:p>
        </w:tc>
        <w:tc>
          <w:tcPr>
            <w:tcW w:w="1890" w:type="dxa"/>
          </w:tcPr>
          <w:p w14:paraId="7867E7B8" w14:textId="32345D73"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786 (62.3%)</w:t>
            </w:r>
          </w:p>
        </w:tc>
        <w:tc>
          <w:tcPr>
            <w:tcW w:w="1890" w:type="dxa"/>
          </w:tcPr>
          <w:p w14:paraId="45317D12" w14:textId="286E91D9" w:rsidR="00B35175" w:rsidRPr="00285580" w:rsidRDefault="00B35175" w:rsidP="00B35175">
            <w:pPr>
              <w:spacing w:before="40" w:after="40" w:line="240" w:lineRule="auto"/>
              <w:ind w:right="342"/>
              <w:jc w:val="right"/>
              <w:rPr>
                <w:rFonts w:eastAsia="Times New Roman" w:cs="Times New Roman"/>
                <w:color w:val="0000FF"/>
              </w:rPr>
            </w:pPr>
            <w:r w:rsidRPr="00285580">
              <w:rPr>
                <w:rFonts w:eastAsia="Times New Roman" w:cs="Times New Roman"/>
                <w:color w:val="0000FF"/>
              </w:rPr>
              <w:t>58 (4.6%)</w:t>
            </w:r>
          </w:p>
        </w:tc>
        <w:tc>
          <w:tcPr>
            <w:tcW w:w="1890" w:type="dxa"/>
          </w:tcPr>
          <w:p w14:paraId="169805DD" w14:textId="23547555"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844 (66.9%)</w:t>
            </w:r>
          </w:p>
        </w:tc>
      </w:tr>
      <w:tr w:rsidR="00B35175" w:rsidRPr="0032340D" w14:paraId="08E84375" w14:textId="77777777" w:rsidTr="00900660">
        <w:trPr>
          <w:cantSplit/>
        </w:trPr>
        <w:tc>
          <w:tcPr>
            <w:tcW w:w="2700" w:type="dxa"/>
            <w:vAlign w:val="bottom"/>
          </w:tcPr>
          <w:p w14:paraId="002ED2FC" w14:textId="77777777" w:rsidR="00B35175" w:rsidRPr="00285580" w:rsidRDefault="00B35175" w:rsidP="00B35175">
            <w:pPr>
              <w:spacing w:before="40" w:after="40" w:line="240" w:lineRule="auto"/>
              <w:rPr>
                <w:rFonts w:eastAsia="Times New Roman" w:cs="Times New Roman"/>
                <w:color w:val="0000FF"/>
              </w:rPr>
            </w:pPr>
            <w:r w:rsidRPr="00285580">
              <w:rPr>
                <w:rFonts w:eastAsia="Times New Roman" w:cs="Times New Roman"/>
                <w:color w:val="0000FF"/>
              </w:rPr>
              <w:t>6</w:t>
            </w:r>
            <w:r w:rsidRPr="00285580">
              <w:rPr>
                <w:rFonts w:eastAsia="Times New Roman" w:cs="Times New Roman"/>
                <w:color w:val="0000FF"/>
                <w:vertAlign w:val="superscript"/>
              </w:rPr>
              <w:t>th</w:t>
            </w:r>
            <w:r w:rsidRPr="00285580">
              <w:rPr>
                <w:rFonts w:eastAsia="Times New Roman" w:cs="Times New Roman"/>
                <w:color w:val="0000FF"/>
              </w:rPr>
              <w:t xml:space="preserve"> Decile (</w:t>
            </w:r>
            <w:r w:rsidRPr="00285580">
              <w:rPr>
                <w:rFonts w:eastAsia="Times New Roman" w:cs="Times New Roman"/>
                <w:i/>
                <w:iCs/>
                <w:color w:val="0000FF"/>
              </w:rPr>
              <w:t>k</w:t>
            </w:r>
            <w:r w:rsidRPr="00285580">
              <w:rPr>
                <w:rFonts w:eastAsia="Times New Roman" w:cs="Times New Roman"/>
                <w:color w:val="0000FF"/>
              </w:rPr>
              <w:t xml:space="preserve"> = 74 to 82)</w:t>
            </w:r>
          </w:p>
        </w:tc>
        <w:tc>
          <w:tcPr>
            <w:tcW w:w="1080" w:type="dxa"/>
          </w:tcPr>
          <w:p w14:paraId="1F60BB1B" w14:textId="2B627664" w:rsidR="00B35175" w:rsidRPr="00285580" w:rsidRDefault="00B35175" w:rsidP="00B35175">
            <w:pPr>
              <w:spacing w:before="40" w:after="40" w:line="240" w:lineRule="auto"/>
              <w:ind w:left="-648" w:right="162"/>
              <w:jc w:val="right"/>
              <w:rPr>
                <w:rFonts w:eastAsia="Times New Roman" w:cs="Times New Roman"/>
                <w:color w:val="0000FF"/>
              </w:rPr>
            </w:pPr>
            <w:r w:rsidRPr="00285580">
              <w:rPr>
                <w:rFonts w:eastAsia="Times New Roman" w:cs="Times New Roman"/>
                <w:color w:val="0000FF"/>
              </w:rPr>
              <w:t>1,396</w:t>
            </w:r>
          </w:p>
        </w:tc>
        <w:tc>
          <w:tcPr>
            <w:tcW w:w="1890" w:type="dxa"/>
          </w:tcPr>
          <w:p w14:paraId="5CF6BF11" w14:textId="1DF1CC30"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774 (55.4%)</w:t>
            </w:r>
          </w:p>
        </w:tc>
        <w:tc>
          <w:tcPr>
            <w:tcW w:w="1890" w:type="dxa"/>
          </w:tcPr>
          <w:p w14:paraId="010CE99D" w14:textId="34DE04DB" w:rsidR="00B35175" w:rsidRPr="00285580" w:rsidRDefault="00B35175" w:rsidP="00B35175">
            <w:pPr>
              <w:spacing w:before="40" w:after="40" w:line="240" w:lineRule="auto"/>
              <w:ind w:right="342"/>
              <w:jc w:val="right"/>
              <w:rPr>
                <w:rFonts w:eastAsia="Times New Roman" w:cs="Times New Roman"/>
                <w:color w:val="0000FF"/>
              </w:rPr>
            </w:pPr>
            <w:r w:rsidRPr="00285580">
              <w:rPr>
                <w:rFonts w:eastAsia="Times New Roman" w:cs="Times New Roman"/>
                <w:color w:val="0000FF"/>
              </w:rPr>
              <w:t>82 (5.9%)</w:t>
            </w:r>
          </w:p>
        </w:tc>
        <w:tc>
          <w:tcPr>
            <w:tcW w:w="1890" w:type="dxa"/>
          </w:tcPr>
          <w:p w14:paraId="676AD7DE" w14:textId="7A25F134"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856 (61.3%)</w:t>
            </w:r>
          </w:p>
        </w:tc>
      </w:tr>
      <w:tr w:rsidR="00B35175" w:rsidRPr="0032340D" w14:paraId="6A0D06AE" w14:textId="77777777" w:rsidTr="00900660">
        <w:trPr>
          <w:cantSplit/>
        </w:trPr>
        <w:tc>
          <w:tcPr>
            <w:tcW w:w="2700" w:type="dxa"/>
            <w:vAlign w:val="bottom"/>
          </w:tcPr>
          <w:p w14:paraId="51709C58" w14:textId="77777777" w:rsidR="00B35175" w:rsidRPr="00285580" w:rsidRDefault="00B35175" w:rsidP="00B35175">
            <w:pPr>
              <w:spacing w:before="40" w:after="40" w:line="240" w:lineRule="auto"/>
              <w:rPr>
                <w:rFonts w:eastAsia="Times New Roman" w:cs="Times New Roman"/>
                <w:color w:val="0000FF"/>
              </w:rPr>
            </w:pPr>
            <w:r w:rsidRPr="00285580">
              <w:rPr>
                <w:rFonts w:eastAsia="Times New Roman" w:cs="Times New Roman"/>
                <w:color w:val="0000FF"/>
              </w:rPr>
              <w:t>7</w:t>
            </w:r>
            <w:r w:rsidRPr="00285580">
              <w:rPr>
                <w:rFonts w:eastAsia="Times New Roman" w:cs="Times New Roman"/>
                <w:color w:val="0000FF"/>
                <w:vertAlign w:val="superscript"/>
              </w:rPr>
              <w:t>th</w:t>
            </w:r>
            <w:r w:rsidRPr="00285580">
              <w:rPr>
                <w:rFonts w:eastAsia="Times New Roman" w:cs="Times New Roman"/>
                <w:color w:val="0000FF"/>
              </w:rPr>
              <w:t xml:space="preserve"> Decile (</w:t>
            </w:r>
            <w:r w:rsidRPr="00285580">
              <w:rPr>
                <w:rFonts w:eastAsia="Times New Roman" w:cs="Times New Roman"/>
                <w:i/>
                <w:iCs/>
                <w:color w:val="0000FF"/>
              </w:rPr>
              <w:t>k</w:t>
            </w:r>
            <w:r w:rsidRPr="00285580">
              <w:rPr>
                <w:rFonts w:eastAsia="Times New Roman" w:cs="Times New Roman"/>
                <w:color w:val="0000FF"/>
              </w:rPr>
              <w:t xml:space="preserve"> = 83 to 92)</w:t>
            </w:r>
          </w:p>
        </w:tc>
        <w:tc>
          <w:tcPr>
            <w:tcW w:w="1080" w:type="dxa"/>
          </w:tcPr>
          <w:p w14:paraId="682AC8B0" w14:textId="7B64B583" w:rsidR="00B35175" w:rsidRPr="00285580" w:rsidRDefault="00B35175" w:rsidP="00B35175">
            <w:pPr>
              <w:spacing w:before="40" w:after="40" w:line="240" w:lineRule="auto"/>
              <w:ind w:left="-648" w:right="162"/>
              <w:jc w:val="right"/>
              <w:rPr>
                <w:rFonts w:eastAsia="Times New Roman" w:cs="Times New Roman"/>
                <w:color w:val="0000FF"/>
              </w:rPr>
            </w:pPr>
            <w:r w:rsidRPr="00285580">
              <w:rPr>
                <w:rFonts w:eastAsia="Times New Roman" w:cs="Times New Roman"/>
                <w:color w:val="0000FF"/>
              </w:rPr>
              <w:t>1,398</w:t>
            </w:r>
          </w:p>
        </w:tc>
        <w:tc>
          <w:tcPr>
            <w:tcW w:w="1890" w:type="dxa"/>
          </w:tcPr>
          <w:p w14:paraId="4C61F748" w14:textId="1A5F2651"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783 (56</w:t>
            </w:r>
            <w:r w:rsidR="006051AC" w:rsidRPr="00285580">
              <w:rPr>
                <w:rFonts w:eastAsia="Times New Roman" w:cs="Times New Roman"/>
                <w:color w:val="0000FF"/>
              </w:rPr>
              <w:t>.0</w:t>
            </w:r>
            <w:r w:rsidRPr="00285580">
              <w:rPr>
                <w:rFonts w:eastAsia="Times New Roman" w:cs="Times New Roman"/>
                <w:color w:val="0000FF"/>
              </w:rPr>
              <w:t>%)</w:t>
            </w:r>
          </w:p>
        </w:tc>
        <w:tc>
          <w:tcPr>
            <w:tcW w:w="1890" w:type="dxa"/>
          </w:tcPr>
          <w:p w14:paraId="65585BD9" w14:textId="446D19EE" w:rsidR="00B35175" w:rsidRPr="00285580" w:rsidRDefault="00B35175" w:rsidP="00B35175">
            <w:pPr>
              <w:spacing w:before="40" w:after="40" w:line="240" w:lineRule="auto"/>
              <w:ind w:right="342"/>
              <w:jc w:val="right"/>
              <w:rPr>
                <w:rFonts w:eastAsia="Times New Roman" w:cs="Times New Roman"/>
                <w:color w:val="0000FF"/>
              </w:rPr>
            </w:pPr>
            <w:r w:rsidRPr="00285580">
              <w:rPr>
                <w:rFonts w:eastAsia="Times New Roman" w:cs="Times New Roman"/>
                <w:color w:val="0000FF"/>
              </w:rPr>
              <w:t>81 (5.8%)</w:t>
            </w:r>
          </w:p>
        </w:tc>
        <w:tc>
          <w:tcPr>
            <w:tcW w:w="1890" w:type="dxa"/>
          </w:tcPr>
          <w:p w14:paraId="09C873BE" w14:textId="1CA341FE"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864 (61.8%)</w:t>
            </w:r>
          </w:p>
        </w:tc>
      </w:tr>
      <w:tr w:rsidR="00B35175" w:rsidRPr="0032340D" w14:paraId="232EF74A" w14:textId="77777777" w:rsidTr="00900660">
        <w:trPr>
          <w:cantSplit/>
        </w:trPr>
        <w:tc>
          <w:tcPr>
            <w:tcW w:w="2700" w:type="dxa"/>
            <w:vAlign w:val="bottom"/>
          </w:tcPr>
          <w:p w14:paraId="10C62611" w14:textId="77777777" w:rsidR="00B35175" w:rsidRPr="00285580" w:rsidRDefault="00B35175" w:rsidP="00B35175">
            <w:pPr>
              <w:spacing w:before="40" w:after="40" w:line="240" w:lineRule="auto"/>
              <w:rPr>
                <w:rFonts w:eastAsia="Times New Roman" w:cs="Times New Roman"/>
                <w:color w:val="0000FF"/>
              </w:rPr>
            </w:pPr>
            <w:r w:rsidRPr="00285580">
              <w:rPr>
                <w:rFonts w:eastAsia="Times New Roman" w:cs="Times New Roman"/>
                <w:color w:val="0000FF"/>
              </w:rPr>
              <w:t>8</w:t>
            </w:r>
            <w:r w:rsidRPr="00285580">
              <w:rPr>
                <w:rFonts w:eastAsia="Times New Roman" w:cs="Times New Roman"/>
                <w:color w:val="0000FF"/>
                <w:vertAlign w:val="superscript"/>
              </w:rPr>
              <w:t>th</w:t>
            </w:r>
            <w:r w:rsidRPr="00285580">
              <w:rPr>
                <w:rFonts w:eastAsia="Times New Roman" w:cs="Times New Roman"/>
                <w:color w:val="0000FF"/>
              </w:rPr>
              <w:t xml:space="preserve"> Decile (</w:t>
            </w:r>
            <w:r w:rsidRPr="00285580">
              <w:rPr>
                <w:rFonts w:eastAsia="Times New Roman" w:cs="Times New Roman"/>
                <w:i/>
                <w:iCs/>
                <w:color w:val="0000FF"/>
              </w:rPr>
              <w:t>k</w:t>
            </w:r>
            <w:r w:rsidRPr="00285580">
              <w:rPr>
                <w:rFonts w:eastAsia="Times New Roman" w:cs="Times New Roman"/>
                <w:color w:val="0000FF"/>
              </w:rPr>
              <w:t xml:space="preserve"> = 93 to 106)</w:t>
            </w:r>
          </w:p>
        </w:tc>
        <w:tc>
          <w:tcPr>
            <w:tcW w:w="1080" w:type="dxa"/>
          </w:tcPr>
          <w:p w14:paraId="1CAF2063" w14:textId="619464F7" w:rsidR="00B35175" w:rsidRPr="00285580" w:rsidRDefault="00B35175" w:rsidP="00B35175">
            <w:pPr>
              <w:spacing w:before="40" w:after="40" w:line="240" w:lineRule="auto"/>
              <w:ind w:left="-648" w:right="162"/>
              <w:jc w:val="right"/>
              <w:rPr>
                <w:rFonts w:eastAsia="Times New Roman" w:cs="Times New Roman"/>
                <w:color w:val="0000FF"/>
              </w:rPr>
            </w:pPr>
            <w:r w:rsidRPr="00285580">
              <w:rPr>
                <w:rFonts w:eastAsia="Times New Roman" w:cs="Times New Roman"/>
                <w:color w:val="0000FF"/>
              </w:rPr>
              <w:t>1,343</w:t>
            </w:r>
          </w:p>
        </w:tc>
        <w:tc>
          <w:tcPr>
            <w:tcW w:w="1890" w:type="dxa"/>
          </w:tcPr>
          <w:p w14:paraId="057A3103" w14:textId="204F3BD4"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732 (54.5%)</w:t>
            </w:r>
          </w:p>
        </w:tc>
        <w:tc>
          <w:tcPr>
            <w:tcW w:w="1890" w:type="dxa"/>
          </w:tcPr>
          <w:p w14:paraId="3BB6F8A9" w14:textId="2888872B" w:rsidR="00B35175" w:rsidRPr="00285580" w:rsidRDefault="00B35175" w:rsidP="00B35175">
            <w:pPr>
              <w:spacing w:before="40" w:after="40" w:line="240" w:lineRule="auto"/>
              <w:ind w:right="342"/>
              <w:jc w:val="right"/>
              <w:rPr>
                <w:rFonts w:eastAsia="Times New Roman" w:cs="Times New Roman"/>
                <w:color w:val="0000FF"/>
              </w:rPr>
            </w:pPr>
            <w:r w:rsidRPr="00285580">
              <w:rPr>
                <w:rFonts w:eastAsia="Times New Roman" w:cs="Times New Roman"/>
                <w:color w:val="0000FF"/>
              </w:rPr>
              <w:t>96 (7.1%)</w:t>
            </w:r>
          </w:p>
        </w:tc>
        <w:tc>
          <w:tcPr>
            <w:tcW w:w="1890" w:type="dxa"/>
          </w:tcPr>
          <w:p w14:paraId="756E4A8D" w14:textId="3E27688B"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828 (61.7%)</w:t>
            </w:r>
          </w:p>
        </w:tc>
      </w:tr>
      <w:tr w:rsidR="00B35175" w:rsidRPr="0032340D" w14:paraId="571897D9" w14:textId="77777777" w:rsidTr="00900660">
        <w:trPr>
          <w:cantSplit/>
        </w:trPr>
        <w:tc>
          <w:tcPr>
            <w:tcW w:w="2700" w:type="dxa"/>
            <w:vAlign w:val="bottom"/>
          </w:tcPr>
          <w:p w14:paraId="5BD1934B" w14:textId="77777777" w:rsidR="00B35175" w:rsidRPr="00285580" w:rsidRDefault="00B35175" w:rsidP="00B35175">
            <w:pPr>
              <w:spacing w:before="40" w:after="40" w:line="240" w:lineRule="auto"/>
              <w:rPr>
                <w:rFonts w:eastAsia="Times New Roman" w:cs="Times New Roman"/>
                <w:color w:val="0000FF"/>
              </w:rPr>
            </w:pPr>
            <w:r w:rsidRPr="00285580">
              <w:rPr>
                <w:rFonts w:eastAsia="Times New Roman" w:cs="Times New Roman"/>
                <w:color w:val="0000FF"/>
              </w:rPr>
              <w:t>9</w:t>
            </w:r>
            <w:r w:rsidRPr="00285580">
              <w:rPr>
                <w:rFonts w:eastAsia="Times New Roman" w:cs="Times New Roman"/>
                <w:color w:val="0000FF"/>
                <w:vertAlign w:val="superscript"/>
              </w:rPr>
              <w:t>th</w:t>
            </w:r>
            <w:r w:rsidRPr="00285580">
              <w:rPr>
                <w:rFonts w:eastAsia="Times New Roman" w:cs="Times New Roman"/>
                <w:color w:val="0000FF"/>
              </w:rPr>
              <w:t xml:space="preserve"> Decile (</w:t>
            </w:r>
            <w:r w:rsidRPr="00285580">
              <w:rPr>
                <w:rFonts w:eastAsia="Times New Roman" w:cs="Times New Roman"/>
                <w:i/>
                <w:iCs/>
                <w:color w:val="0000FF"/>
              </w:rPr>
              <w:t>k</w:t>
            </w:r>
            <w:r w:rsidRPr="00285580">
              <w:rPr>
                <w:rFonts w:eastAsia="Times New Roman" w:cs="Times New Roman"/>
                <w:color w:val="0000FF"/>
              </w:rPr>
              <w:t xml:space="preserve"> = 107 to 132)</w:t>
            </w:r>
          </w:p>
        </w:tc>
        <w:tc>
          <w:tcPr>
            <w:tcW w:w="1080" w:type="dxa"/>
          </w:tcPr>
          <w:p w14:paraId="120C940B" w14:textId="14F233AC" w:rsidR="00B35175" w:rsidRPr="00285580" w:rsidRDefault="00B35175" w:rsidP="00B35175">
            <w:pPr>
              <w:spacing w:before="40" w:after="40" w:line="240" w:lineRule="auto"/>
              <w:ind w:left="-648" w:right="162"/>
              <w:jc w:val="right"/>
              <w:rPr>
                <w:rFonts w:eastAsia="Times New Roman" w:cs="Times New Roman"/>
                <w:color w:val="0000FF"/>
              </w:rPr>
            </w:pPr>
            <w:r w:rsidRPr="00285580">
              <w:rPr>
                <w:rFonts w:eastAsia="Times New Roman" w:cs="Times New Roman"/>
                <w:color w:val="0000FF"/>
              </w:rPr>
              <w:t>1,329</w:t>
            </w:r>
          </w:p>
        </w:tc>
        <w:tc>
          <w:tcPr>
            <w:tcW w:w="1890" w:type="dxa"/>
          </w:tcPr>
          <w:p w14:paraId="07981DC6" w14:textId="1AB6F2CF"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713 (53.6%)</w:t>
            </w:r>
          </w:p>
        </w:tc>
        <w:tc>
          <w:tcPr>
            <w:tcW w:w="1890" w:type="dxa"/>
          </w:tcPr>
          <w:p w14:paraId="71BAFC1C" w14:textId="18B64FF2" w:rsidR="00B35175" w:rsidRPr="00285580" w:rsidRDefault="00B35175" w:rsidP="00B35175">
            <w:pPr>
              <w:spacing w:before="40" w:after="40" w:line="240" w:lineRule="auto"/>
              <w:ind w:right="342"/>
              <w:jc w:val="right"/>
              <w:rPr>
                <w:rFonts w:eastAsia="Times New Roman" w:cs="Times New Roman"/>
                <w:color w:val="0000FF"/>
              </w:rPr>
            </w:pPr>
            <w:r w:rsidRPr="00285580">
              <w:rPr>
                <w:rFonts w:eastAsia="Times New Roman" w:cs="Times New Roman"/>
                <w:color w:val="0000FF"/>
              </w:rPr>
              <w:t>97 (7.3%)</w:t>
            </w:r>
          </w:p>
        </w:tc>
        <w:tc>
          <w:tcPr>
            <w:tcW w:w="1890" w:type="dxa"/>
          </w:tcPr>
          <w:p w14:paraId="2D66AD71" w14:textId="08E269FA"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810 (60.9%)</w:t>
            </w:r>
          </w:p>
        </w:tc>
      </w:tr>
      <w:tr w:rsidR="00B35175" w:rsidRPr="0032340D" w14:paraId="6BE85698" w14:textId="77777777" w:rsidTr="00900660">
        <w:trPr>
          <w:cantSplit/>
        </w:trPr>
        <w:tc>
          <w:tcPr>
            <w:tcW w:w="2700" w:type="dxa"/>
            <w:vAlign w:val="bottom"/>
          </w:tcPr>
          <w:p w14:paraId="65864AD4" w14:textId="77777777" w:rsidR="00B35175" w:rsidRPr="00285580" w:rsidRDefault="00B35175" w:rsidP="00B35175">
            <w:pPr>
              <w:spacing w:before="40" w:after="40" w:line="240" w:lineRule="auto"/>
              <w:rPr>
                <w:rFonts w:eastAsia="Times New Roman" w:cs="Times New Roman"/>
                <w:color w:val="0000FF"/>
              </w:rPr>
            </w:pPr>
            <w:r w:rsidRPr="00285580">
              <w:rPr>
                <w:rFonts w:eastAsia="Times New Roman" w:cs="Times New Roman"/>
                <w:color w:val="0000FF"/>
              </w:rPr>
              <w:t>10</w:t>
            </w:r>
            <w:r w:rsidRPr="00285580">
              <w:rPr>
                <w:rFonts w:eastAsia="Times New Roman" w:cs="Times New Roman"/>
                <w:color w:val="0000FF"/>
                <w:vertAlign w:val="superscript"/>
              </w:rPr>
              <w:t>th</w:t>
            </w:r>
            <w:r w:rsidRPr="00285580">
              <w:rPr>
                <w:rFonts w:eastAsia="Times New Roman" w:cs="Times New Roman"/>
                <w:color w:val="0000FF"/>
              </w:rPr>
              <w:t xml:space="preserve"> Decile (</w:t>
            </w:r>
            <w:r w:rsidRPr="00285580">
              <w:rPr>
                <w:rFonts w:eastAsia="Times New Roman" w:cs="Times New Roman"/>
                <w:i/>
                <w:iCs/>
                <w:color w:val="0000FF"/>
              </w:rPr>
              <w:t>k</w:t>
            </w:r>
            <w:r w:rsidRPr="00285580">
              <w:rPr>
                <w:rFonts w:eastAsia="Times New Roman" w:cs="Times New Roman"/>
                <w:color w:val="0000FF"/>
              </w:rPr>
              <w:t xml:space="preserve"> = 133 to 889)</w:t>
            </w:r>
          </w:p>
        </w:tc>
        <w:tc>
          <w:tcPr>
            <w:tcW w:w="1080" w:type="dxa"/>
          </w:tcPr>
          <w:p w14:paraId="6BF18F8A" w14:textId="2AB4FC17" w:rsidR="00B35175" w:rsidRPr="00285580" w:rsidRDefault="00B35175" w:rsidP="00B35175">
            <w:pPr>
              <w:spacing w:before="40" w:after="40" w:line="240" w:lineRule="auto"/>
              <w:ind w:left="-648" w:right="162"/>
              <w:jc w:val="right"/>
              <w:rPr>
                <w:rFonts w:eastAsia="Times New Roman" w:cs="Times New Roman"/>
                <w:color w:val="0000FF"/>
              </w:rPr>
            </w:pPr>
            <w:r w:rsidRPr="00285580">
              <w:rPr>
                <w:rFonts w:eastAsia="Times New Roman" w:cs="Times New Roman"/>
                <w:color w:val="0000FF"/>
              </w:rPr>
              <w:t>1,354</w:t>
            </w:r>
          </w:p>
        </w:tc>
        <w:tc>
          <w:tcPr>
            <w:tcW w:w="1890" w:type="dxa"/>
          </w:tcPr>
          <w:p w14:paraId="2D1C89E2" w14:textId="778DAAEA"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684 (50.5%)</w:t>
            </w:r>
          </w:p>
        </w:tc>
        <w:tc>
          <w:tcPr>
            <w:tcW w:w="1890" w:type="dxa"/>
          </w:tcPr>
          <w:p w14:paraId="3AE27A8B" w14:textId="2525A9CB" w:rsidR="00B35175" w:rsidRPr="00285580" w:rsidRDefault="00B35175" w:rsidP="00B35175">
            <w:pPr>
              <w:spacing w:before="40" w:after="40" w:line="240" w:lineRule="auto"/>
              <w:ind w:right="342"/>
              <w:jc w:val="right"/>
              <w:rPr>
                <w:rFonts w:eastAsia="Times New Roman" w:cs="Times New Roman"/>
                <w:color w:val="0000FF"/>
              </w:rPr>
            </w:pPr>
            <w:r w:rsidRPr="00285580">
              <w:rPr>
                <w:rFonts w:eastAsia="Times New Roman" w:cs="Times New Roman"/>
                <w:color w:val="0000FF"/>
              </w:rPr>
              <w:t>151 (11.2%)</w:t>
            </w:r>
          </w:p>
        </w:tc>
        <w:tc>
          <w:tcPr>
            <w:tcW w:w="1890" w:type="dxa"/>
          </w:tcPr>
          <w:p w14:paraId="1D83FF5D" w14:textId="71084840" w:rsidR="00B35175" w:rsidRPr="00285580" w:rsidRDefault="00B35175" w:rsidP="00B35175">
            <w:pPr>
              <w:spacing w:before="40" w:after="40" w:line="240" w:lineRule="auto"/>
              <w:ind w:right="252"/>
              <w:jc w:val="right"/>
              <w:rPr>
                <w:rFonts w:eastAsia="Times New Roman" w:cs="Times New Roman"/>
                <w:color w:val="0000FF"/>
              </w:rPr>
            </w:pPr>
            <w:r w:rsidRPr="00285580">
              <w:rPr>
                <w:rFonts w:eastAsia="Times New Roman" w:cs="Times New Roman"/>
                <w:color w:val="0000FF"/>
              </w:rPr>
              <w:t>835 (61.7%)</w:t>
            </w:r>
          </w:p>
        </w:tc>
      </w:tr>
      <w:tr w:rsidR="00C916B1" w:rsidRPr="0032340D" w14:paraId="2312F676" w14:textId="77777777" w:rsidTr="00900660">
        <w:trPr>
          <w:cantSplit/>
        </w:trPr>
        <w:tc>
          <w:tcPr>
            <w:tcW w:w="2700" w:type="dxa"/>
            <w:vAlign w:val="bottom"/>
          </w:tcPr>
          <w:p w14:paraId="4B4EEDD1" w14:textId="77777777" w:rsidR="00A330B8" w:rsidRPr="00285580" w:rsidRDefault="00A330B8" w:rsidP="00900660">
            <w:pPr>
              <w:spacing w:before="40" w:after="40" w:line="240" w:lineRule="auto"/>
              <w:rPr>
                <w:rFonts w:eastAsia="Times New Roman" w:cs="Times New Roman"/>
                <w:color w:val="0000FF"/>
              </w:rPr>
            </w:pPr>
            <w:r w:rsidRPr="00285580">
              <w:rPr>
                <w:rFonts w:eastAsia="Times New Roman" w:cs="Times New Roman"/>
                <w:color w:val="0000FF"/>
              </w:rPr>
              <w:t>Total</w:t>
            </w:r>
          </w:p>
        </w:tc>
        <w:tc>
          <w:tcPr>
            <w:tcW w:w="1080" w:type="dxa"/>
          </w:tcPr>
          <w:p w14:paraId="2E065AA5" w14:textId="458FB61E" w:rsidR="00A330B8" w:rsidRPr="00285580" w:rsidRDefault="006051AC" w:rsidP="00900660">
            <w:pPr>
              <w:spacing w:before="40" w:after="40" w:line="240" w:lineRule="auto"/>
              <w:ind w:left="-648" w:right="162"/>
              <w:jc w:val="right"/>
              <w:rPr>
                <w:rFonts w:eastAsia="Times New Roman" w:cs="Times New Roman"/>
                <w:color w:val="0000FF"/>
                <w:highlight w:val="yellow"/>
              </w:rPr>
            </w:pPr>
            <w:r w:rsidRPr="00285580">
              <w:rPr>
                <w:rFonts w:eastAsia="Times New Roman" w:cs="Times New Roman"/>
                <w:color w:val="0000FF"/>
              </w:rPr>
              <w:t>13,751</w:t>
            </w:r>
          </w:p>
        </w:tc>
        <w:tc>
          <w:tcPr>
            <w:tcW w:w="1890" w:type="dxa"/>
          </w:tcPr>
          <w:p w14:paraId="44D03F1D" w14:textId="4A32CFEA" w:rsidR="00A330B8" w:rsidRPr="00285580" w:rsidRDefault="006051AC" w:rsidP="00900660">
            <w:pPr>
              <w:spacing w:before="40" w:after="40" w:line="240" w:lineRule="auto"/>
              <w:ind w:right="252"/>
              <w:jc w:val="right"/>
              <w:rPr>
                <w:rFonts w:eastAsia="Times New Roman" w:cs="Times New Roman"/>
                <w:color w:val="0000FF"/>
              </w:rPr>
            </w:pPr>
            <w:r w:rsidRPr="00285580">
              <w:rPr>
                <w:rFonts w:eastAsia="Times New Roman" w:cs="Times New Roman"/>
                <w:color w:val="0000FF"/>
              </w:rPr>
              <w:t>8,373 (60.9%)</w:t>
            </w:r>
          </w:p>
        </w:tc>
        <w:tc>
          <w:tcPr>
            <w:tcW w:w="1890" w:type="dxa"/>
          </w:tcPr>
          <w:p w14:paraId="041206D8" w14:textId="3BFDFD1E" w:rsidR="00A330B8" w:rsidRPr="00285580" w:rsidRDefault="006051AC" w:rsidP="00900660">
            <w:pPr>
              <w:spacing w:before="40" w:after="40" w:line="240" w:lineRule="auto"/>
              <w:ind w:right="342"/>
              <w:jc w:val="right"/>
              <w:rPr>
                <w:rFonts w:eastAsia="Times New Roman" w:cs="Times New Roman"/>
                <w:color w:val="0000FF"/>
              </w:rPr>
            </w:pPr>
            <w:r w:rsidRPr="00285580">
              <w:rPr>
                <w:rFonts w:eastAsia="Times New Roman" w:cs="Times New Roman"/>
                <w:color w:val="0000FF"/>
              </w:rPr>
              <w:t>755 (5.5%)</w:t>
            </w:r>
          </w:p>
        </w:tc>
        <w:tc>
          <w:tcPr>
            <w:tcW w:w="1890" w:type="dxa"/>
          </w:tcPr>
          <w:p w14:paraId="429D2EA3" w14:textId="52D4D66C" w:rsidR="00A330B8" w:rsidRPr="00285580" w:rsidRDefault="006051AC" w:rsidP="00900660">
            <w:pPr>
              <w:spacing w:before="40" w:after="40" w:line="240" w:lineRule="auto"/>
              <w:ind w:right="252"/>
              <w:jc w:val="right"/>
              <w:rPr>
                <w:rFonts w:eastAsia="Times New Roman" w:cs="Times New Roman"/>
                <w:color w:val="0000FF"/>
              </w:rPr>
            </w:pPr>
            <w:r w:rsidRPr="00285580">
              <w:rPr>
                <w:rFonts w:eastAsia="Times New Roman" w:cs="Times New Roman"/>
                <w:color w:val="0000FF"/>
              </w:rPr>
              <w:t>9,128 (66.4%)</w:t>
            </w:r>
          </w:p>
        </w:tc>
      </w:tr>
    </w:tbl>
    <w:p w14:paraId="738D8B07" w14:textId="1CEF4EA2" w:rsidR="00B438DE" w:rsidRPr="00C916B1" w:rsidRDefault="00A330B8" w:rsidP="00C916B1">
      <w:pPr>
        <w:pStyle w:val="Response"/>
        <w:rPr>
          <w:rFonts w:eastAsia="Times New Roman"/>
        </w:rPr>
      </w:pPr>
      <w:r w:rsidRPr="00290F6A">
        <w:rPr>
          <w:rFonts w:eastAsia="Times New Roman"/>
        </w:rPr>
        <w:t>SOURCE: RTI analysis of Q</w:t>
      </w:r>
      <w:r w:rsidR="006051AC">
        <w:rPr>
          <w:rFonts w:eastAsia="Times New Roman"/>
        </w:rPr>
        <w:t>1 – Q3</w:t>
      </w:r>
      <w:r w:rsidRPr="00290F6A">
        <w:rPr>
          <w:rFonts w:eastAsia="Times New Roman"/>
        </w:rPr>
        <w:t xml:space="preserve"> 2014 MDS 3.0 data (programming reference: </w:t>
      </w:r>
      <w:r w:rsidR="006051AC" w:rsidRPr="00290F6A">
        <w:rPr>
          <w:rFonts w:eastAsia="Times New Roman"/>
        </w:rPr>
        <w:t>db</w:t>
      </w:r>
      <w:r w:rsidR="006051AC">
        <w:rPr>
          <w:rFonts w:eastAsia="Times New Roman"/>
        </w:rPr>
        <w:t>431</w:t>
      </w:r>
      <w:r w:rsidRPr="00290F6A">
        <w:rPr>
          <w:rFonts w:eastAsia="Times New Roman"/>
        </w:rPr>
        <w:t>)</w:t>
      </w:r>
    </w:p>
    <w:p w14:paraId="181B80A9" w14:textId="77777777" w:rsidR="00B438DE"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p>
    <w:p w14:paraId="7C793A5C" w14:textId="7A937290" w:rsidR="00B438DE" w:rsidRPr="003B0D49" w:rsidRDefault="00A330B8" w:rsidP="00285580">
      <w:pPr>
        <w:pStyle w:val="Response"/>
      </w:pPr>
      <w:r w:rsidRPr="00FD1213">
        <w:t xml:space="preserve">We found </w:t>
      </w:r>
      <w:r>
        <w:t>6</w:t>
      </w:r>
      <w:r w:rsidR="006051AC">
        <w:t>6</w:t>
      </w:r>
      <w:r>
        <w:t>.</w:t>
      </w:r>
      <w:r w:rsidR="006051AC">
        <w:t>4</w:t>
      </w:r>
      <w:r>
        <w:t>%</w:t>
      </w:r>
      <w:r w:rsidRPr="00FD1213">
        <w:t xml:space="preserve"> of facilities with scores for this measure significantly different from the national mean</w:t>
      </w:r>
      <w:r w:rsidR="00285580">
        <w:t xml:space="preserve"> when looking at the period from Q1 – Q3 2014</w:t>
      </w:r>
      <w:r w:rsidRPr="00FD1213">
        <w:t>, suggesting that there are meaningful differences in facility-level scores for this measure.</w:t>
      </w:r>
      <w:r w:rsidR="00CB7E32">
        <w:rPr>
          <w:rStyle w:val="FootnoteReference"/>
        </w:rPr>
        <w:footnoteReference w:id="16"/>
      </w:r>
    </w:p>
    <w:p w14:paraId="51C0CBF7" w14:textId="77777777" w:rsidR="0086464B" w:rsidRDefault="0086464B" w:rsidP="0086464B">
      <w:pPr>
        <w:spacing w:after="0" w:line="240" w:lineRule="auto"/>
        <w:rPr>
          <w:rFonts w:cstheme="minorHAnsi"/>
          <w:b/>
          <w:bCs/>
        </w:rPr>
      </w:pPr>
      <w:r>
        <w:rPr>
          <w:rFonts w:cstheme="minorHAnsi"/>
          <w:b/>
          <w:bCs/>
        </w:rPr>
        <w:t>_______________________________________</w:t>
      </w:r>
    </w:p>
    <w:p w14:paraId="6C5D95F9"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5D4F6A17"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4AA5DF47" w14:textId="77777777" w:rsidR="00B438DE" w:rsidRPr="00B438DE" w:rsidRDefault="002B2116" w:rsidP="00B438DE">
      <w:pPr>
        <w:autoSpaceDE w:val="0"/>
        <w:autoSpaceDN w:val="0"/>
        <w:adjustRightInd w:val="0"/>
        <w:spacing w:before="240" w:after="0" w:line="240" w:lineRule="auto"/>
        <w:rPr>
          <w:rFonts w:cstheme="minorHAnsi"/>
          <w:b/>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 xml:space="preserve">of data in one set of specifications/instructions (e.g., claims data to identify the </w:t>
      </w:r>
      <w:r w:rsidRPr="00A25024">
        <w:rPr>
          <w:rFonts w:cstheme="minorHAnsi"/>
          <w:bCs/>
          <w:i/>
        </w:rPr>
        <w:lastRenderedPageBreak/>
        <w:t>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58738859" w14:textId="77777777" w:rsidR="00B438DE" w:rsidRDefault="00E1508F" w:rsidP="00B438DE">
      <w:pPr>
        <w:keepNext/>
        <w:autoSpaceDE w:val="0"/>
        <w:autoSpaceDN w:val="0"/>
        <w:adjustRightInd w:val="0"/>
        <w:spacing w:before="240"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0FAEC0D0" w14:textId="63F3C965" w:rsidR="00B438DE" w:rsidRPr="003B0D49" w:rsidRDefault="00A330B8" w:rsidP="00C916B1">
      <w:pPr>
        <w:pStyle w:val="Response"/>
      </w:pPr>
      <w:r w:rsidRPr="009D7EC9">
        <w:t>This is not applicable.</w:t>
      </w:r>
    </w:p>
    <w:p w14:paraId="3E2793A6" w14:textId="77777777" w:rsidR="00B438DE"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4401EE58" w14:textId="765555B6" w:rsidR="00B438DE" w:rsidRPr="003B0D49" w:rsidRDefault="00A330B8" w:rsidP="00C916B1">
      <w:pPr>
        <w:pStyle w:val="Response"/>
      </w:pPr>
      <w:r w:rsidRPr="009D7EC9">
        <w:t>This is not applicable.</w:t>
      </w:r>
    </w:p>
    <w:p w14:paraId="192187FA" w14:textId="77777777" w:rsidR="00B438D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14:paraId="26E9CF7C" w14:textId="74F85803" w:rsidR="00B438DE" w:rsidRPr="003B0D49" w:rsidRDefault="00A330B8" w:rsidP="00C916B1">
      <w:pPr>
        <w:pStyle w:val="Response"/>
      </w:pPr>
      <w:r w:rsidRPr="009D7EC9">
        <w:t>This is not applicable.</w:t>
      </w:r>
    </w:p>
    <w:p w14:paraId="72C998BE" w14:textId="77777777" w:rsidR="008F7E67" w:rsidRDefault="008F7E67" w:rsidP="008F7E67">
      <w:pPr>
        <w:spacing w:after="0" w:line="240" w:lineRule="auto"/>
        <w:rPr>
          <w:rFonts w:cstheme="minorHAnsi"/>
          <w:b/>
          <w:bCs/>
        </w:rPr>
      </w:pPr>
      <w:r>
        <w:rPr>
          <w:rFonts w:cstheme="minorHAnsi"/>
          <w:b/>
          <w:bCs/>
        </w:rPr>
        <w:t>_______________________________________</w:t>
      </w:r>
    </w:p>
    <w:p w14:paraId="3AF5A2EA"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7C77C871" w14:textId="77777777" w:rsidR="00B438DE"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1A51844D" w14:textId="6A227F87" w:rsidR="00B438DE" w:rsidRDefault="00A330B8" w:rsidP="00B438DE">
      <w:pPr>
        <w:pStyle w:val="Response"/>
        <w:rPr>
          <w:rFonts w:cstheme="minorBidi"/>
        </w:rPr>
      </w:pPr>
      <w:r w:rsidRPr="00AA3CB4">
        <w:rPr>
          <w:rFonts w:cstheme="minorBidi"/>
        </w:rPr>
        <w:t>RTI examined the rate of missing data on restraints per total number of assessments, as well as the rate of missing data stratified by quality measure score.</w:t>
      </w:r>
    </w:p>
    <w:p w14:paraId="444D2B28" w14:textId="77777777" w:rsidR="00B438DE"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p>
    <w:p w14:paraId="68A48859" w14:textId="5FEC39A7" w:rsidR="00A330B8" w:rsidRPr="00F16EE9" w:rsidRDefault="00A4380F" w:rsidP="00C916B1">
      <w:pPr>
        <w:pStyle w:val="Response"/>
      </w:pPr>
      <w:r>
        <w:t>In Quarter 2 of 2014,</w:t>
      </w:r>
      <w:r w:rsidRPr="00F16EE9">
        <w:t xml:space="preserve"> </w:t>
      </w:r>
      <w:r w:rsidR="00A330B8" w:rsidRPr="008B753A">
        <w:t>832</w:t>
      </w:r>
      <w:r w:rsidR="00A330B8" w:rsidRPr="00F16EE9">
        <w:t xml:space="preserve"> target assessments (less than 0.1% of all long-stay episodes) had missing data on restraint-related items. The mean facility-level missing rate was less than one tenth of one percent and at least 90% of facilities had no missing data for restraint-related items regardless of QM quartile.</w:t>
      </w:r>
    </w:p>
    <w:p w14:paraId="75584796" w14:textId="197BCF21" w:rsidR="00B438DE" w:rsidRDefault="00A330B8" w:rsidP="00C916B1">
      <w:pPr>
        <w:pStyle w:val="Response"/>
      </w:pPr>
      <w:r w:rsidRPr="00F16EE9">
        <w:t>We also examined the relationship between missing data and QM scores. There is no significant correlation between missing data and scores for this measure (ρ = 0.00</w:t>
      </w:r>
      <w:r>
        <w:t>11</w:t>
      </w:r>
      <w:r w:rsidRPr="00F16EE9">
        <w:t>, n.s.).</w:t>
      </w:r>
      <w:r w:rsidRPr="00F16EE9" w:rsidDel="00244079">
        <w:t xml:space="preserve"> </w:t>
      </w:r>
      <w:r w:rsidRPr="004E4968">
        <w:t xml:space="preserve"> Thus, there is no support for the hypothesis that missing items may have a positive impact on a facility’s scores.</w:t>
      </w:r>
      <w:r>
        <w:t xml:space="preserve"> </w:t>
      </w:r>
      <w:r w:rsidR="00BE0576">
        <w:rPr>
          <w:rStyle w:val="FootnoteReference"/>
        </w:rPr>
        <w:footnoteReference w:id="17"/>
      </w:r>
    </w:p>
    <w:p w14:paraId="56BF3C54"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w:t>
      </w:r>
      <w:r w:rsidR="00771B2A" w:rsidRPr="006A028C">
        <w:rPr>
          <w:rFonts w:ascii="Calibri" w:eastAsia="Calibri" w:hAnsi="Calibri" w:cs="Calibri"/>
        </w:rPr>
        <w:lastRenderedPageBreak/>
        <w:t>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49E8BB0A" w14:textId="006DC13F" w:rsidR="00A06081" w:rsidRDefault="00A330B8" w:rsidP="00C916B1">
      <w:pPr>
        <w:pStyle w:val="Response"/>
      </w:pPr>
      <w:r>
        <w:t>M</w:t>
      </w:r>
      <w:r w:rsidRPr="00F16EE9">
        <w:t>issing data do not appear to pose any threat</w:t>
      </w:r>
      <w:r>
        <w:t xml:space="preserve"> to this measure’s validity</w:t>
      </w:r>
      <w:r w:rsidRPr="00F16EE9">
        <w:t>. The rate of missing data is so low and unrelated to measure score that imputation or any other statistical method of handling missing data seems unwarranted.</w:t>
      </w:r>
    </w:p>
    <w:p w14:paraId="672EFFAE" w14:textId="77777777" w:rsidR="00A06081" w:rsidRPr="00A06081" w:rsidRDefault="00A06081" w:rsidP="00A06081"/>
    <w:p w14:paraId="38B08BAB" w14:textId="77777777" w:rsidR="00A06081" w:rsidRPr="00A06081" w:rsidRDefault="00A06081" w:rsidP="00A06081"/>
    <w:p w14:paraId="398967A1" w14:textId="77777777" w:rsidR="00A06081" w:rsidRPr="00A06081" w:rsidRDefault="00A06081" w:rsidP="00A06081"/>
    <w:p w14:paraId="6BE7554E" w14:textId="77777777" w:rsidR="00A06081" w:rsidRPr="00A06081" w:rsidRDefault="00A06081" w:rsidP="00A06081"/>
    <w:p w14:paraId="09433C67" w14:textId="77777777" w:rsidR="00A06081" w:rsidRPr="00A06081" w:rsidRDefault="00A06081" w:rsidP="00A06081"/>
    <w:p w14:paraId="4EE2B4DB" w14:textId="77777777" w:rsidR="00A06081" w:rsidRPr="00A06081" w:rsidRDefault="00A06081" w:rsidP="00A06081"/>
    <w:p w14:paraId="5B04643A" w14:textId="77777777" w:rsidR="00A06081" w:rsidRPr="00A06081" w:rsidRDefault="00A06081" w:rsidP="00A06081"/>
    <w:p w14:paraId="78ADB54F" w14:textId="77777777" w:rsidR="00A06081" w:rsidRPr="00A06081" w:rsidRDefault="00A06081" w:rsidP="00A06081"/>
    <w:p w14:paraId="2AB8A4CA" w14:textId="77777777" w:rsidR="00A06081" w:rsidRPr="00A06081" w:rsidRDefault="00A06081" w:rsidP="00A06081"/>
    <w:p w14:paraId="17A5CC0C" w14:textId="77777777" w:rsidR="00A06081" w:rsidRPr="00A06081" w:rsidRDefault="00A06081" w:rsidP="00A06081"/>
    <w:p w14:paraId="44254621" w14:textId="77777777" w:rsidR="00A06081" w:rsidRPr="00A06081" w:rsidRDefault="00A06081" w:rsidP="00A06081"/>
    <w:p w14:paraId="53783A0B" w14:textId="77777777" w:rsidR="00A06081" w:rsidRPr="00A06081" w:rsidRDefault="00A06081" w:rsidP="00A06081"/>
    <w:p w14:paraId="2801363C" w14:textId="77777777" w:rsidR="00A06081" w:rsidRPr="00A06081" w:rsidRDefault="00A06081" w:rsidP="00A06081"/>
    <w:p w14:paraId="46CA2BA8" w14:textId="77777777" w:rsidR="00A06081" w:rsidRPr="00A06081" w:rsidRDefault="00A06081" w:rsidP="00A06081"/>
    <w:sectPr w:rsidR="00A06081" w:rsidRPr="00A06081"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17E78" w14:textId="77777777" w:rsidR="008474E1" w:rsidRDefault="008474E1" w:rsidP="005C73CA">
      <w:pPr>
        <w:spacing w:after="0" w:line="240" w:lineRule="auto"/>
      </w:pPr>
      <w:r>
        <w:separator/>
      </w:r>
    </w:p>
  </w:endnote>
  <w:endnote w:type="continuationSeparator" w:id="0">
    <w:p w14:paraId="7FA6DFE8" w14:textId="77777777" w:rsidR="008474E1" w:rsidRDefault="008474E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63463" w14:textId="5F5B7E12" w:rsidR="008474E1" w:rsidRDefault="008474E1" w:rsidP="00A06081">
    <w:pPr>
      <w:pStyle w:val="Footer"/>
    </w:pPr>
    <w:r>
      <w:t xml:space="preserve">NQF Form Version 6.5  </w:t>
    </w:r>
    <w:r>
      <w:tab/>
      <w:t xml:space="preserve">Content last </w:t>
    </w:r>
    <w:r w:rsidR="004C7A9C">
      <w:t>updated by RTI 4/10</w:t>
    </w:r>
    <w:r>
      <w:t>/2015</w:t>
    </w:r>
    <w:r>
      <w:ptab w:relativeTo="margin" w:alignment="right" w:leader="none"/>
    </w:r>
    <w:r>
      <w:fldChar w:fldCharType="begin"/>
    </w:r>
    <w:r>
      <w:instrText xml:space="preserve"> PAGE   \* MERGEFORMAT </w:instrText>
    </w:r>
    <w:r>
      <w:fldChar w:fldCharType="separate"/>
    </w:r>
    <w:r w:rsidR="004C7A9C">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19F5B" w14:textId="77777777" w:rsidR="008474E1" w:rsidRDefault="008474E1" w:rsidP="005C73CA">
      <w:pPr>
        <w:spacing w:after="0" w:line="240" w:lineRule="auto"/>
      </w:pPr>
      <w:r>
        <w:separator/>
      </w:r>
    </w:p>
  </w:footnote>
  <w:footnote w:type="continuationSeparator" w:id="0">
    <w:p w14:paraId="6A53B2E5" w14:textId="77777777" w:rsidR="008474E1" w:rsidRDefault="008474E1" w:rsidP="005C73CA">
      <w:pPr>
        <w:spacing w:after="0" w:line="240" w:lineRule="auto"/>
      </w:pPr>
      <w:r>
        <w:continuationSeparator/>
      </w:r>
    </w:p>
  </w:footnote>
  <w:footnote w:id="1">
    <w:p w14:paraId="271915B0" w14:textId="77777777" w:rsidR="008474E1" w:rsidRPr="00D620D4" w:rsidRDefault="008474E1" w:rsidP="0058440A">
      <w:pPr>
        <w:pStyle w:val="FootnoteText"/>
        <w:rPr>
          <w:rFonts w:asciiTheme="minorHAnsi" w:hAnsiTheme="minorHAnsi"/>
          <w:color w:val="0000FF"/>
          <w:sz w:val="22"/>
          <w:szCs w:val="22"/>
        </w:rPr>
      </w:pPr>
      <w:r w:rsidRPr="00D620D4">
        <w:rPr>
          <w:rStyle w:val="FootnoteReference"/>
          <w:rFonts w:asciiTheme="minorHAnsi" w:hAnsiTheme="minorHAnsi"/>
          <w:color w:val="0000FF"/>
          <w:sz w:val="22"/>
          <w:szCs w:val="22"/>
        </w:rPr>
        <w:footnoteRef/>
      </w:r>
      <w:r w:rsidRPr="00D620D4">
        <w:rPr>
          <w:rFonts w:asciiTheme="minorHAnsi" w:hAnsiTheme="minorHAnsi"/>
          <w:color w:val="0000FF"/>
          <w:sz w:val="22"/>
          <w:szCs w:val="22"/>
        </w:rPr>
        <w:t xml:space="preserve"> Saliba D, Buchanan J. (2008). Development and Validation of a Revised Nursing Home Assessment Tool: MDS 3.0. Contract No. 500-00-0027/Task Order #2. Santa Monica, CA: Rand Corporation.</w:t>
      </w:r>
    </w:p>
  </w:footnote>
  <w:footnote w:id="2">
    <w:p w14:paraId="7846240C" w14:textId="77777777" w:rsidR="008474E1" w:rsidRPr="00AB30FA" w:rsidRDefault="008474E1" w:rsidP="00BE1A05">
      <w:pPr>
        <w:pStyle w:val="FootnoteText"/>
        <w:rPr>
          <w:color w:val="0000FF"/>
        </w:rPr>
      </w:pPr>
      <w:r w:rsidRPr="00AB30FA">
        <w:rPr>
          <w:rStyle w:val="FootnoteReference"/>
          <w:color w:val="0000FF"/>
        </w:rPr>
        <w:footnoteRef/>
      </w:r>
      <w:r w:rsidRPr="00AB30FA">
        <w:rPr>
          <w:color w:val="0000FF"/>
        </w:rPr>
        <w:t xml:space="preserve"> </w:t>
      </w:r>
      <w:r w:rsidRPr="00AB30FA">
        <w:rPr>
          <w:rFonts w:asciiTheme="minorHAnsi" w:hAnsiTheme="minorHAnsi"/>
          <w:color w:val="0000FF"/>
        </w:rPr>
        <w:t xml:space="preserve">Saliba D, Buchanan J. (2008). Development and Validation of a Revised Nursing Home Assessment Tool: MDS 3.0. Contract No. 500-00-0027/Task Order #2. Santa Monica, CA: Rand Corporation. </w:t>
      </w:r>
    </w:p>
  </w:footnote>
  <w:footnote w:id="3">
    <w:p w14:paraId="3FBCE873" w14:textId="62893354" w:rsidR="008474E1" w:rsidRPr="0032340D" w:rsidRDefault="008474E1" w:rsidP="00EC514E">
      <w:pPr>
        <w:pStyle w:val="FootnoteText"/>
        <w:rPr>
          <w:rFonts w:asciiTheme="minorHAnsi" w:hAnsiTheme="minorHAnsi"/>
          <w:color w:val="0000FF"/>
        </w:rPr>
      </w:pPr>
      <w:r w:rsidRPr="003165A6">
        <w:rPr>
          <w:rStyle w:val="FootnoteReference"/>
          <w:color w:val="0000FF"/>
        </w:rPr>
        <w:footnoteRef/>
      </w:r>
      <w:r w:rsidRPr="003165A6">
        <w:rPr>
          <w:color w:val="0000FF"/>
        </w:rPr>
        <w:t xml:space="preserve"> </w:t>
      </w:r>
      <w:r w:rsidRPr="0032340D">
        <w:rPr>
          <w:rFonts w:asciiTheme="minorHAnsi" w:hAnsiTheme="minorHAnsi"/>
          <w:color w:val="0000FF"/>
        </w:rPr>
        <w:t>RTI analysis of Q2 2014 MDS 3.0 (programming reference:</w:t>
      </w:r>
      <w:r w:rsidRPr="00EC514E">
        <w:t xml:space="preserve"> </w:t>
      </w:r>
      <w:r w:rsidRPr="00EC514E">
        <w:rPr>
          <w:rFonts w:asciiTheme="minorHAnsi" w:hAnsiTheme="minorHAnsi"/>
          <w:color w:val="0000FF"/>
        </w:rPr>
        <w:t>\quarter_14_15\nh_021_10.log</w:t>
      </w:r>
      <w:r w:rsidRPr="0032340D">
        <w:rPr>
          <w:rFonts w:asciiTheme="minorHAnsi" w:hAnsiTheme="minorHAnsi"/>
          <w:color w:val="0000FF"/>
        </w:rPr>
        <w:t>)</w:t>
      </w:r>
    </w:p>
  </w:footnote>
  <w:footnote w:id="4">
    <w:p w14:paraId="067A05D0" w14:textId="5EDF2EEE" w:rsidR="008474E1" w:rsidRPr="00AB30FA" w:rsidRDefault="008474E1" w:rsidP="00EC514E">
      <w:pPr>
        <w:pStyle w:val="Response"/>
        <w:spacing w:before="0" w:after="0"/>
      </w:pPr>
      <w:r w:rsidRPr="00EC514E">
        <w:rPr>
          <w:sz w:val="20"/>
          <w:szCs w:val="20"/>
          <w:vertAlign w:val="superscript"/>
        </w:rPr>
        <w:footnoteRef/>
      </w:r>
      <w:r w:rsidRPr="00EC514E">
        <w:rPr>
          <w:sz w:val="20"/>
          <w:szCs w:val="20"/>
          <w:vertAlign w:val="superscript"/>
        </w:rPr>
        <w:t xml:space="preserve"> </w:t>
      </w:r>
      <w:r w:rsidRPr="00EC514E">
        <w:rPr>
          <w:sz w:val="20"/>
          <w:szCs w:val="20"/>
        </w:rPr>
        <w:t xml:space="preserve">RTI Analysis of Q2 2014 MDS 3.0 data and 2014 Provider of Service file (RTI programming reference: </w:t>
      </w:r>
      <w:r w:rsidRPr="00D213EC">
        <w:rPr>
          <w:sz w:val="20"/>
          <w:szCs w:val="20"/>
        </w:rPr>
        <w:t>/nb/nb009_14_15/nb009_request_v1_pos1516_q_14_15_021.log</w:t>
      </w:r>
      <w:r w:rsidRPr="00EC514E">
        <w:rPr>
          <w:sz w:val="20"/>
          <w:szCs w:val="20"/>
        </w:rPr>
        <w:t>).</w:t>
      </w:r>
    </w:p>
  </w:footnote>
  <w:footnote w:id="5">
    <w:p w14:paraId="5FFDB7BE" w14:textId="347A5DA5" w:rsidR="008474E1" w:rsidRPr="00D620D4" w:rsidRDefault="008474E1" w:rsidP="0059295A">
      <w:pPr>
        <w:pStyle w:val="FootnoteText"/>
        <w:rPr>
          <w:rFonts w:asciiTheme="minorHAnsi" w:hAnsiTheme="minorHAnsi"/>
          <w:color w:val="0000FF"/>
          <w:sz w:val="22"/>
          <w:szCs w:val="22"/>
        </w:rPr>
      </w:pPr>
      <w:r w:rsidRPr="00EC514E">
        <w:rPr>
          <w:rStyle w:val="FootnoteReference"/>
          <w:rFonts w:asciiTheme="minorHAnsi" w:hAnsiTheme="minorHAnsi"/>
          <w:color w:val="0000FF"/>
        </w:rPr>
        <w:footnoteRef/>
      </w:r>
      <w:r w:rsidRPr="00EC514E">
        <w:rPr>
          <w:rFonts w:asciiTheme="minorHAnsi" w:hAnsiTheme="minorHAnsi"/>
          <w:color w:val="0000FF"/>
        </w:rPr>
        <w:t xml:space="preserve"> Saliba D., Buchanan J (2008). Development and Validation of a Revised Nursing Home Assessment Tool: MDS 3.0. Contract No. 500-00-0027/Task Order #2. Santa Monica, CA: Rand Corporation. Retrieved from http://www.cms.hhs.gov/NursingHomeQualityInits/Downloads/MDS30FinalReport.pdf</w:t>
      </w:r>
      <w:r w:rsidRPr="00EC514E">
        <w:rPr>
          <w:rFonts w:asciiTheme="minorHAnsi" w:eastAsiaTheme="minorHAnsi" w:hAnsiTheme="minorHAnsi" w:cstheme="majorBidi"/>
          <w:color w:val="0000FF"/>
        </w:rPr>
        <w:t>.</w:t>
      </w:r>
    </w:p>
  </w:footnote>
  <w:footnote w:id="6">
    <w:p w14:paraId="48B1B380" w14:textId="77777777" w:rsidR="008474E1" w:rsidRPr="00EC514E" w:rsidRDefault="008474E1" w:rsidP="00EC514E">
      <w:pPr>
        <w:pStyle w:val="Response"/>
        <w:spacing w:before="0" w:after="0"/>
        <w:rPr>
          <w:sz w:val="20"/>
          <w:szCs w:val="20"/>
        </w:rPr>
      </w:pPr>
      <w:r w:rsidRPr="00EC514E">
        <w:rPr>
          <w:rStyle w:val="FootnoteReference"/>
          <w:sz w:val="20"/>
          <w:szCs w:val="20"/>
        </w:rPr>
        <w:footnoteRef/>
      </w:r>
      <w:r w:rsidRPr="00EC514E">
        <w:rPr>
          <w:sz w:val="20"/>
          <w:szCs w:val="20"/>
        </w:rPr>
        <w:t xml:space="preserve"> Saliba D, Buchanan J. (2008). Development and Validation of a Revised Nursing Home Assessment Tool: MDS 3.0. Contract No. 500-00-0027/Task Order #2. Santa Monica, CA: Rand Corporation.</w:t>
      </w:r>
    </w:p>
  </w:footnote>
  <w:footnote w:id="7">
    <w:p w14:paraId="7D6E9934" w14:textId="77777777" w:rsidR="008474E1" w:rsidRPr="00561228" w:rsidRDefault="008474E1" w:rsidP="008B5850">
      <w:pPr>
        <w:pStyle w:val="RTIresponses"/>
        <w:spacing w:after="0"/>
        <w:contextualSpacing/>
        <w:rPr>
          <w:color w:val="0000FF"/>
          <w:sz w:val="22"/>
          <w:szCs w:val="22"/>
        </w:rPr>
      </w:pPr>
      <w:r w:rsidRPr="00EC514E">
        <w:rPr>
          <w:rStyle w:val="FootnoteReference"/>
          <w:sz w:val="18"/>
          <w:szCs w:val="18"/>
        </w:rPr>
        <w:footnoteRef/>
      </w:r>
      <w:r w:rsidRPr="00EC514E">
        <w:rPr>
          <w:sz w:val="18"/>
          <w:szCs w:val="18"/>
        </w:rPr>
        <w:t xml:space="preserve"> </w:t>
      </w:r>
      <w:r w:rsidRPr="00EC514E">
        <w:rPr>
          <w:color w:val="0000FF"/>
        </w:rPr>
        <w:t xml:space="preserve">Saliba D, Buchanan J. Development and validation of a revised nursing home assessment tool: MDS 3.0. Contract No. 500-00-0027/Task Order #2. Santa Monica, CA: RAND Corporation, Apr 2008. Available from </w:t>
      </w:r>
      <w:hyperlink r:id="rId1" w:history="1">
        <w:r w:rsidRPr="00EC514E">
          <w:rPr>
            <w:rStyle w:val="Hyperlink"/>
            <w:color w:val="0000FF"/>
            <w:u w:val="none"/>
          </w:rPr>
          <w:t>http://www.cms.hhs.gov/NursingHomeQualityInits/Downloads/MDS30FinalReport.pdf</w:t>
        </w:r>
      </w:hyperlink>
      <w:r w:rsidRPr="00EC514E">
        <w:rPr>
          <w:color w:val="0000FF"/>
        </w:rPr>
        <w:t>.</w:t>
      </w:r>
    </w:p>
  </w:footnote>
  <w:footnote w:id="8">
    <w:p w14:paraId="671C5F16" w14:textId="77777777" w:rsidR="008474E1" w:rsidRPr="00221224" w:rsidRDefault="008474E1" w:rsidP="00B65B0A">
      <w:pPr>
        <w:pStyle w:val="Response"/>
        <w:spacing w:before="0" w:after="0"/>
        <w:rPr>
          <w:sz w:val="20"/>
          <w:szCs w:val="20"/>
        </w:rPr>
      </w:pPr>
      <w:r w:rsidRPr="00A218FF">
        <w:rPr>
          <w:rStyle w:val="FootnoteReference"/>
        </w:rPr>
        <w:footnoteRef/>
      </w:r>
      <w:r w:rsidRPr="00A218FF">
        <w:t xml:space="preserve"> </w:t>
      </w:r>
      <w:r w:rsidRPr="00221224">
        <w:rPr>
          <w:rFonts w:cstheme="minorBidi"/>
          <w:sz w:val="20"/>
          <w:szCs w:val="20"/>
        </w:rPr>
        <w:t>Saliba D, Buchanan J. (2008). Development and Validation of a Revised Nursing Home Assessment Tool: MDS 3.0. Appendices. Contract No. 500-00-0027/Task Order #2. Santa Monica, CA: Rand Corporation. Available for download at: http://www.geronet.med.ucla.edu/centers/borun/Appendix_A-G.pdf</w:t>
      </w:r>
      <w:r>
        <w:rPr>
          <w:rFonts w:cstheme="minorBidi"/>
          <w:sz w:val="20"/>
          <w:szCs w:val="20"/>
        </w:rPr>
        <w:t>.</w:t>
      </w:r>
    </w:p>
  </w:footnote>
  <w:footnote w:id="9">
    <w:p w14:paraId="2AFCD5C2" w14:textId="6641891A" w:rsidR="008474E1" w:rsidRPr="004C7A9C" w:rsidRDefault="008474E1" w:rsidP="004C7A9C">
      <w:pPr>
        <w:pStyle w:val="Response"/>
        <w:spacing w:before="0" w:after="0"/>
        <w:rPr>
          <w:sz w:val="20"/>
          <w:szCs w:val="20"/>
        </w:rPr>
      </w:pPr>
      <w:r w:rsidRPr="004C7A9C">
        <w:rPr>
          <w:rStyle w:val="FootnoteReference"/>
          <w:sz w:val="20"/>
          <w:szCs w:val="20"/>
        </w:rPr>
        <w:footnoteRef/>
      </w:r>
      <w:r w:rsidRPr="004C7A9C">
        <w:rPr>
          <w:sz w:val="20"/>
          <w:szCs w:val="20"/>
        </w:rPr>
        <w:t xml:space="preserve"> RTI analysis of Q1  – Q3 2014 MDS 3.0 data (programming reference: db412)</w:t>
      </w:r>
    </w:p>
  </w:footnote>
  <w:footnote w:id="10">
    <w:p w14:paraId="2A6E4B24" w14:textId="54617937" w:rsidR="008474E1" w:rsidRDefault="008474E1" w:rsidP="004C7A9C">
      <w:pPr>
        <w:pStyle w:val="Response"/>
        <w:spacing w:before="0" w:after="0"/>
      </w:pPr>
      <w:r w:rsidRPr="004C7A9C">
        <w:rPr>
          <w:rStyle w:val="FootnoteReference"/>
          <w:sz w:val="20"/>
          <w:szCs w:val="20"/>
        </w:rPr>
        <w:footnoteRef/>
      </w:r>
      <w:r w:rsidRPr="004C7A9C">
        <w:rPr>
          <w:sz w:val="20"/>
          <w:szCs w:val="20"/>
        </w:rPr>
        <w:t xml:space="preserve"> RTI analysis of Q1 – Q3 2014 MDS 3.0 data (programming reference: db413)</w:t>
      </w:r>
    </w:p>
  </w:footnote>
  <w:footnote w:id="11">
    <w:p w14:paraId="4E554656" w14:textId="7DCC846B" w:rsidR="008474E1" w:rsidRPr="00794F99" w:rsidRDefault="008474E1" w:rsidP="001A6579">
      <w:pPr>
        <w:pStyle w:val="FootnoteText"/>
        <w:rPr>
          <w:rFonts w:asciiTheme="minorHAnsi" w:hAnsiTheme="minorHAnsi"/>
        </w:rPr>
      </w:pPr>
      <w:r w:rsidRPr="00794F99">
        <w:rPr>
          <w:rStyle w:val="FootnoteReference"/>
          <w:rFonts w:asciiTheme="minorHAnsi" w:hAnsiTheme="minorHAnsi"/>
          <w:color w:val="0000FF"/>
        </w:rPr>
        <w:footnoteRef/>
      </w:r>
      <w:r w:rsidRPr="00794F99">
        <w:rPr>
          <w:rFonts w:asciiTheme="minorHAnsi" w:hAnsiTheme="minorHAnsi"/>
          <w:color w:val="0000FF"/>
        </w:rPr>
        <w:t xml:space="preserve"> RTI Analysis of Q1 and Q2 2014 MDS 3.0 Data (programming reference: db354_new\db361_request_q1415_new.log; nh_024_10.log; db354_new\db364_re</w:t>
      </w:r>
      <w:r>
        <w:rPr>
          <w:rFonts w:asciiTheme="minorHAnsi" w:hAnsiTheme="minorHAnsi"/>
          <w:color w:val="0000FF"/>
        </w:rPr>
        <w:t>quest_q1415_new.log, CORR\Corr_Restr</w:t>
      </w:r>
      <w:r w:rsidRPr="00794F99">
        <w:rPr>
          <w:rFonts w:asciiTheme="minorHAnsi" w:hAnsiTheme="minorHAnsi"/>
          <w:color w:val="0000FF"/>
        </w:rPr>
        <w:t>-LS.xlsx).</w:t>
      </w:r>
    </w:p>
  </w:footnote>
  <w:footnote w:id="12">
    <w:p w14:paraId="387842AF" w14:textId="77777777" w:rsidR="008474E1" w:rsidRPr="00794F99" w:rsidRDefault="008474E1" w:rsidP="001A6579">
      <w:pPr>
        <w:pStyle w:val="FootnoteText"/>
        <w:rPr>
          <w:rFonts w:asciiTheme="minorHAnsi" w:hAnsiTheme="minorHAnsi"/>
          <w:color w:val="0000FF"/>
        </w:rPr>
      </w:pPr>
      <w:r w:rsidRPr="00794F99">
        <w:rPr>
          <w:rStyle w:val="FootnoteReference"/>
          <w:rFonts w:asciiTheme="minorHAnsi" w:hAnsiTheme="minorHAnsi"/>
          <w:color w:val="0000FF"/>
        </w:rPr>
        <w:footnoteRef/>
      </w:r>
      <w:r w:rsidRPr="00794F99">
        <w:rPr>
          <w:rFonts w:asciiTheme="minorHAnsi" w:hAnsiTheme="minorHAnsi"/>
          <w:color w:val="0000FF"/>
        </w:rPr>
        <w:t xml:space="preserve"> SOURCE: RTI analysis of MDS 3.0 episode files for Quarter 1 2011 –Quarter 2, 2014 (\qm_quarter_2_3\complete\nh_024_10.log \qm_quarter_3_4\complete\nh_024_10.log, \qm_quarter_4_5\complete\nh_024_10.log, \qm_quarter_5_6\complete\nh_024_10.log, \qm_quarter_6_7\complete\nh_024_10.log, \qm_quarter_7_8\complete\nh_024_10.log, \qm_quarter_8_9\complete\nh_024_10.log, \qm_quarter_9_10\complete\nh_024_10.log, \qm_quarter_10_11\complete\nh_024_10.log, \qm_quarter_11_12\complete\nh_024_10.log, \qm_quarter_12_13\complete\nh_024_10.log, \qm_quarter_13_14\nh_024_10.log, \qm_quarter_14_15\nh_024_10.log)</w:t>
      </w:r>
    </w:p>
  </w:footnote>
  <w:footnote w:id="13">
    <w:p w14:paraId="4020C795" w14:textId="4BACE45C" w:rsidR="008474E1" w:rsidRPr="003C29A2" w:rsidRDefault="008474E1" w:rsidP="00221224">
      <w:pPr>
        <w:pStyle w:val="Response"/>
        <w:spacing w:before="0" w:after="0"/>
        <w:rPr>
          <w:sz w:val="18"/>
          <w:szCs w:val="18"/>
        </w:rPr>
      </w:pPr>
      <w:r w:rsidRPr="00A218FF">
        <w:rPr>
          <w:rStyle w:val="FootnoteReference"/>
        </w:rPr>
        <w:footnoteRef/>
      </w:r>
      <w:r w:rsidRPr="00A218FF">
        <w:t xml:space="preserve"> </w:t>
      </w:r>
      <w:r w:rsidRPr="00221224">
        <w:rPr>
          <w:rFonts w:cstheme="minorBidi"/>
          <w:sz w:val="20"/>
          <w:szCs w:val="20"/>
        </w:rPr>
        <w:t xml:space="preserve">Saliba D, Buchanan J. (2008). Development and Validation of a Revised Nursing Home Assessment Tool: MDS 3.0. Appendices. Contract No. 500-00-0027/Task Order #2. Santa Monica, CA: Rand Corporation. Available for </w:t>
      </w:r>
      <w:r w:rsidRPr="003C29A2">
        <w:rPr>
          <w:rFonts w:cstheme="minorBidi"/>
          <w:sz w:val="18"/>
          <w:szCs w:val="18"/>
        </w:rPr>
        <w:t>download at: http://www.geronet.med.ucla.edu/centers/borun/Appendix_A-G.pdf.</w:t>
      </w:r>
    </w:p>
  </w:footnote>
  <w:footnote w:id="14">
    <w:p w14:paraId="34A7C98C" w14:textId="77777777" w:rsidR="008474E1" w:rsidRPr="003C29A2" w:rsidRDefault="008474E1" w:rsidP="004962CF">
      <w:pPr>
        <w:pStyle w:val="FootnoteText"/>
        <w:rPr>
          <w:rFonts w:asciiTheme="minorHAnsi" w:hAnsiTheme="minorHAnsi"/>
          <w:color w:val="0000FF"/>
        </w:rPr>
      </w:pPr>
      <w:r w:rsidRPr="003C29A2">
        <w:rPr>
          <w:rStyle w:val="FootnoteReference"/>
          <w:rFonts w:asciiTheme="minorHAnsi" w:hAnsiTheme="minorHAnsi"/>
          <w:color w:val="0000FF"/>
        </w:rPr>
        <w:footnoteRef/>
      </w:r>
      <w:r w:rsidRPr="003C29A2">
        <w:rPr>
          <w:rFonts w:asciiTheme="minorHAnsi" w:hAnsiTheme="minorHAnsi"/>
          <w:color w:val="0000FF"/>
        </w:rPr>
        <w:t xml:space="preserve"> RTI analyzed Q2 2014 MDS 3.0 and Nursing Home Compare/CASPER data (programming references: 14_15/db381_request_1415_93; nb006).</w:t>
      </w:r>
    </w:p>
  </w:footnote>
  <w:footnote w:id="15">
    <w:p w14:paraId="23EBBFC6" w14:textId="77777777" w:rsidR="008474E1" w:rsidRPr="00D620D4" w:rsidRDefault="008474E1" w:rsidP="004962CF">
      <w:pPr>
        <w:pStyle w:val="FootnoteText"/>
        <w:rPr>
          <w:rFonts w:asciiTheme="minorHAnsi" w:hAnsiTheme="minorHAnsi"/>
          <w:color w:val="0000FF"/>
          <w:sz w:val="22"/>
          <w:szCs w:val="22"/>
        </w:rPr>
      </w:pPr>
      <w:r w:rsidRPr="003C29A2">
        <w:rPr>
          <w:rStyle w:val="FootnoteReference"/>
          <w:rFonts w:asciiTheme="minorHAnsi" w:hAnsiTheme="minorHAnsi"/>
          <w:color w:val="0000FF"/>
        </w:rPr>
        <w:footnoteRef/>
      </w:r>
      <w:r w:rsidRPr="003C29A2">
        <w:rPr>
          <w:rFonts w:asciiTheme="minorHAnsi" w:hAnsiTheme="minorHAnsi"/>
          <w:color w:val="0000FF"/>
        </w:rPr>
        <w:t xml:space="preserve"> RTI analysis of MDS 3.0 episode file for Q2 2014 and 2014 CMS Five-Star Nursing Home Compare Ratings (programming references: nbreg/nb006, nbreg/JD01)</w:t>
      </w:r>
    </w:p>
  </w:footnote>
  <w:footnote w:id="16">
    <w:p w14:paraId="375A884B" w14:textId="3A74241F" w:rsidR="008474E1" w:rsidRPr="00D620D4" w:rsidRDefault="008474E1">
      <w:pPr>
        <w:pStyle w:val="FootnoteText"/>
        <w:rPr>
          <w:rFonts w:asciiTheme="minorHAnsi" w:hAnsiTheme="minorHAnsi"/>
          <w:color w:val="0000FF"/>
          <w:sz w:val="22"/>
          <w:szCs w:val="22"/>
        </w:rPr>
      </w:pPr>
      <w:r w:rsidRPr="00D620D4">
        <w:rPr>
          <w:rStyle w:val="FootnoteReference"/>
          <w:rFonts w:asciiTheme="minorHAnsi" w:hAnsiTheme="minorHAnsi"/>
          <w:color w:val="0000FF"/>
          <w:sz w:val="22"/>
          <w:szCs w:val="22"/>
        </w:rPr>
        <w:footnoteRef/>
      </w:r>
      <w:r w:rsidRPr="00D620D4">
        <w:rPr>
          <w:rFonts w:asciiTheme="minorHAnsi" w:hAnsiTheme="minorHAnsi"/>
          <w:color w:val="0000FF"/>
          <w:sz w:val="22"/>
          <w:szCs w:val="22"/>
        </w:rPr>
        <w:t xml:space="preserve"> </w:t>
      </w:r>
      <w:r w:rsidRPr="00D620D4">
        <w:rPr>
          <w:rFonts w:asciiTheme="minorHAnsi" w:eastAsia="Times New Roman" w:hAnsiTheme="minorHAnsi"/>
          <w:color w:val="0000FF"/>
          <w:sz w:val="22"/>
          <w:szCs w:val="22"/>
        </w:rPr>
        <w:t>RTI analysis of Q2 2014 MDS 3.0 data (programming reference: quarter_14_15\db</w:t>
      </w:r>
      <w:r>
        <w:rPr>
          <w:rFonts w:asciiTheme="minorHAnsi" w:eastAsia="Times New Roman" w:hAnsiTheme="minorHAnsi"/>
          <w:color w:val="0000FF"/>
          <w:sz w:val="22"/>
          <w:szCs w:val="22"/>
        </w:rPr>
        <w:t>412</w:t>
      </w:r>
    </w:p>
  </w:footnote>
  <w:footnote w:id="17">
    <w:p w14:paraId="3DC5D65E" w14:textId="36522CED" w:rsidR="008474E1" w:rsidRPr="00D620D4" w:rsidRDefault="008474E1">
      <w:pPr>
        <w:pStyle w:val="FootnoteText"/>
        <w:rPr>
          <w:rFonts w:asciiTheme="minorHAnsi" w:hAnsiTheme="minorHAnsi"/>
          <w:color w:val="0000FF"/>
          <w:sz w:val="22"/>
          <w:szCs w:val="22"/>
        </w:rPr>
      </w:pPr>
      <w:r w:rsidRPr="00D620D4">
        <w:rPr>
          <w:rStyle w:val="FootnoteReference"/>
          <w:rFonts w:asciiTheme="minorHAnsi" w:hAnsiTheme="minorHAnsi"/>
          <w:color w:val="0000FF"/>
          <w:sz w:val="22"/>
          <w:szCs w:val="22"/>
        </w:rPr>
        <w:footnoteRef/>
      </w:r>
      <w:r w:rsidRPr="00D620D4">
        <w:rPr>
          <w:rFonts w:asciiTheme="minorHAnsi" w:hAnsiTheme="minorHAnsi"/>
          <w:color w:val="0000FF"/>
          <w:sz w:val="22"/>
          <w:szCs w:val="22"/>
        </w:rPr>
        <w:t xml:space="preserve"> RTI analysis of MDS 3.0 episode files for Q2 2012 and Q3 2013 (programming reference: quarter_11_12\db293)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F6AE9" w14:textId="77777777" w:rsidR="008474E1" w:rsidRPr="00105D8B" w:rsidRDefault="008474E1"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0E810D8"/>
    <w:lvl w:ilvl="0">
      <w:start w:val="1"/>
      <w:numFmt w:val="decimal"/>
      <w:lvlText w:val="%1."/>
      <w:lvlJc w:val="left"/>
      <w:pPr>
        <w:tabs>
          <w:tab w:val="num" w:pos="1800"/>
        </w:tabs>
        <w:ind w:left="1800" w:hanging="360"/>
      </w:pPr>
    </w:lvl>
  </w:abstractNum>
  <w:abstractNum w:abstractNumId="1">
    <w:nsid w:val="FFFFFF7D"/>
    <w:multiLevelType w:val="singleLevel"/>
    <w:tmpl w:val="B0F093FE"/>
    <w:lvl w:ilvl="0">
      <w:start w:val="1"/>
      <w:numFmt w:val="decimal"/>
      <w:lvlText w:val="%1."/>
      <w:lvlJc w:val="left"/>
      <w:pPr>
        <w:tabs>
          <w:tab w:val="num" w:pos="1440"/>
        </w:tabs>
        <w:ind w:left="1440" w:hanging="360"/>
      </w:pPr>
    </w:lvl>
  </w:abstractNum>
  <w:abstractNum w:abstractNumId="2">
    <w:nsid w:val="FFFFFF7E"/>
    <w:multiLevelType w:val="singleLevel"/>
    <w:tmpl w:val="40AA12B8"/>
    <w:lvl w:ilvl="0">
      <w:start w:val="1"/>
      <w:numFmt w:val="decimal"/>
      <w:lvlText w:val="%1."/>
      <w:lvlJc w:val="left"/>
      <w:pPr>
        <w:tabs>
          <w:tab w:val="num" w:pos="1080"/>
        </w:tabs>
        <w:ind w:left="1080" w:hanging="360"/>
      </w:pPr>
    </w:lvl>
  </w:abstractNum>
  <w:abstractNum w:abstractNumId="3">
    <w:nsid w:val="FFFFFF7F"/>
    <w:multiLevelType w:val="singleLevel"/>
    <w:tmpl w:val="050AD098"/>
    <w:lvl w:ilvl="0">
      <w:start w:val="1"/>
      <w:numFmt w:val="decimal"/>
      <w:lvlText w:val="%1."/>
      <w:lvlJc w:val="left"/>
      <w:pPr>
        <w:tabs>
          <w:tab w:val="num" w:pos="720"/>
        </w:tabs>
        <w:ind w:left="720" w:hanging="360"/>
      </w:pPr>
    </w:lvl>
  </w:abstractNum>
  <w:abstractNum w:abstractNumId="4">
    <w:nsid w:val="FFFFFF80"/>
    <w:multiLevelType w:val="singleLevel"/>
    <w:tmpl w:val="B1A22D9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778D83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610727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092215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C481F42"/>
    <w:lvl w:ilvl="0">
      <w:start w:val="1"/>
      <w:numFmt w:val="decimal"/>
      <w:lvlText w:val="%1."/>
      <w:lvlJc w:val="left"/>
      <w:pPr>
        <w:tabs>
          <w:tab w:val="num" w:pos="360"/>
        </w:tabs>
        <w:ind w:left="360" w:hanging="360"/>
      </w:pPr>
    </w:lvl>
  </w:abstractNum>
  <w:abstractNum w:abstractNumId="9">
    <w:nsid w:val="FFFFFF89"/>
    <w:multiLevelType w:val="singleLevel"/>
    <w:tmpl w:val="3474B87E"/>
    <w:lvl w:ilvl="0">
      <w:start w:val="1"/>
      <w:numFmt w:val="bullet"/>
      <w:lvlText w:val=""/>
      <w:lvlJc w:val="left"/>
      <w:pPr>
        <w:tabs>
          <w:tab w:val="num" w:pos="360"/>
        </w:tabs>
        <w:ind w:left="360" w:hanging="360"/>
      </w:pPr>
      <w:rPr>
        <w:rFonts w:ascii="Symbol" w:hAnsi="Symbol" w:hint="default"/>
      </w:rPr>
    </w:lvl>
  </w:abstractNum>
  <w:abstractNum w:abstractNumId="10">
    <w:nsid w:val="025228EA"/>
    <w:multiLevelType w:val="hybridMultilevel"/>
    <w:tmpl w:val="28C0A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2461D83"/>
    <w:multiLevelType w:val="hybridMultilevel"/>
    <w:tmpl w:val="7310CCE8"/>
    <w:lvl w:ilvl="0" w:tplc="415CC9C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983AF0"/>
    <w:multiLevelType w:val="hybridMultilevel"/>
    <w:tmpl w:val="3B5A55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269279E"/>
    <w:multiLevelType w:val="hybridMultilevel"/>
    <w:tmpl w:val="13C23F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16F44D1"/>
    <w:multiLevelType w:val="hybridMultilevel"/>
    <w:tmpl w:val="7E389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76B77F2"/>
    <w:multiLevelType w:val="hybridMultilevel"/>
    <w:tmpl w:val="B1A8E634"/>
    <w:lvl w:ilvl="0" w:tplc="FBFA4E06">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0F">
      <w:start w:val="1"/>
      <w:numFmt w:val="decimal"/>
      <w:lvlText w:val="%3."/>
      <w:lvlJc w:val="left"/>
      <w:pPr>
        <w:ind w:left="2115" w:hanging="13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D1D6B2F"/>
    <w:multiLevelType w:val="hybridMultilevel"/>
    <w:tmpl w:val="4B708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38A5F18"/>
    <w:multiLevelType w:val="hybridMultilevel"/>
    <w:tmpl w:val="F42E2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D81363A"/>
    <w:multiLevelType w:val="hybridMultilevel"/>
    <w:tmpl w:val="F6F6FA82"/>
    <w:lvl w:ilvl="0" w:tplc="574C65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2"/>
  </w:num>
  <w:num w:numId="3">
    <w:abstractNumId w:val="13"/>
  </w:num>
  <w:num w:numId="4">
    <w:abstractNumId w:val="16"/>
  </w:num>
  <w:num w:numId="5">
    <w:abstractNumId w:val="12"/>
  </w:num>
  <w:num w:numId="6">
    <w:abstractNumId w:val="11"/>
  </w:num>
  <w:num w:numId="7">
    <w:abstractNumId w:val="14"/>
  </w:num>
  <w:num w:numId="8">
    <w:abstractNumId w:val="32"/>
  </w:num>
  <w:num w:numId="9">
    <w:abstractNumId w:val="21"/>
  </w:num>
  <w:num w:numId="10">
    <w:abstractNumId w:val="40"/>
  </w:num>
  <w:num w:numId="11">
    <w:abstractNumId w:val="23"/>
  </w:num>
  <w:num w:numId="12">
    <w:abstractNumId w:val="37"/>
  </w:num>
  <w:num w:numId="13">
    <w:abstractNumId w:val="30"/>
  </w:num>
  <w:num w:numId="14">
    <w:abstractNumId w:val="3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9"/>
  </w:num>
  <w:num w:numId="16">
    <w:abstractNumId w:val="18"/>
  </w:num>
  <w:num w:numId="17">
    <w:abstractNumId w:val="39"/>
  </w:num>
  <w:num w:numId="18">
    <w:abstractNumId w:val="34"/>
  </w:num>
  <w:num w:numId="19">
    <w:abstractNumId w:val="33"/>
  </w:num>
  <w:num w:numId="20">
    <w:abstractNumId w:val="28"/>
  </w:num>
  <w:num w:numId="21">
    <w:abstractNumId w:val="31"/>
  </w:num>
  <w:num w:numId="22">
    <w:abstractNumId w:val="27"/>
  </w:num>
  <w:num w:numId="23">
    <w:abstractNumId w:val="17"/>
  </w:num>
  <w:num w:numId="24">
    <w:abstractNumId w:val="25"/>
  </w:num>
  <w:num w:numId="25">
    <w:abstractNumId w:val="24"/>
  </w:num>
  <w:num w:numId="26">
    <w:abstractNumId w:val="4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0"/>
  </w:num>
  <w:num w:numId="38">
    <w:abstractNumId w:val="41"/>
  </w:num>
  <w:num w:numId="39">
    <w:abstractNumId w:val="19"/>
  </w:num>
  <w:num w:numId="40">
    <w:abstractNumId w:val="43"/>
  </w:num>
  <w:num w:numId="41">
    <w:abstractNumId w:val="36"/>
  </w:num>
  <w:num w:numId="42">
    <w:abstractNumId w:val="35"/>
  </w:num>
  <w:num w:numId="43">
    <w:abstractNumId w:val="26"/>
  </w:num>
  <w:num w:numId="44">
    <w:abstractNumId w:val="10"/>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characterSpacingControl w:val="doNotCompress"/>
  <w:hdrShapeDefaults>
    <o:shapedefaults v:ext="edit" spidmax="256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4A9"/>
    <w:rsid w:val="00001D73"/>
    <w:rsid w:val="00003469"/>
    <w:rsid w:val="00004FE1"/>
    <w:rsid w:val="000100DD"/>
    <w:rsid w:val="0001094F"/>
    <w:rsid w:val="00020F3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19E4"/>
    <w:rsid w:val="000775F8"/>
    <w:rsid w:val="00080CF7"/>
    <w:rsid w:val="000851B2"/>
    <w:rsid w:val="00092566"/>
    <w:rsid w:val="000968F8"/>
    <w:rsid w:val="00097012"/>
    <w:rsid w:val="000B032A"/>
    <w:rsid w:val="000B2DF7"/>
    <w:rsid w:val="000B3880"/>
    <w:rsid w:val="000D2DE6"/>
    <w:rsid w:val="000D3258"/>
    <w:rsid w:val="000D7948"/>
    <w:rsid w:val="000D7C84"/>
    <w:rsid w:val="000E4E13"/>
    <w:rsid w:val="000E4F29"/>
    <w:rsid w:val="000E78F6"/>
    <w:rsid w:val="000F034A"/>
    <w:rsid w:val="000F06B5"/>
    <w:rsid w:val="000F39E9"/>
    <w:rsid w:val="000F4D2C"/>
    <w:rsid w:val="00104B45"/>
    <w:rsid w:val="00105D8B"/>
    <w:rsid w:val="0011342F"/>
    <w:rsid w:val="00113BDF"/>
    <w:rsid w:val="001202E9"/>
    <w:rsid w:val="0012454F"/>
    <w:rsid w:val="00125273"/>
    <w:rsid w:val="0012575E"/>
    <w:rsid w:val="00127C06"/>
    <w:rsid w:val="001378ED"/>
    <w:rsid w:val="00145149"/>
    <w:rsid w:val="00145D4F"/>
    <w:rsid w:val="0014773C"/>
    <w:rsid w:val="00151312"/>
    <w:rsid w:val="001645C8"/>
    <w:rsid w:val="0017696D"/>
    <w:rsid w:val="001848FC"/>
    <w:rsid w:val="001969C5"/>
    <w:rsid w:val="001A4A7D"/>
    <w:rsid w:val="001A5CE4"/>
    <w:rsid w:val="001A6579"/>
    <w:rsid w:val="001A6CDD"/>
    <w:rsid w:val="001C12EE"/>
    <w:rsid w:val="001C58C2"/>
    <w:rsid w:val="001C7B02"/>
    <w:rsid w:val="001E4DD4"/>
    <w:rsid w:val="001E69DC"/>
    <w:rsid w:val="001E71E7"/>
    <w:rsid w:val="001E747F"/>
    <w:rsid w:val="001E7588"/>
    <w:rsid w:val="001F169D"/>
    <w:rsid w:val="001F1DA1"/>
    <w:rsid w:val="001F6A23"/>
    <w:rsid w:val="001F6F93"/>
    <w:rsid w:val="001F7A20"/>
    <w:rsid w:val="00200901"/>
    <w:rsid w:val="0021195A"/>
    <w:rsid w:val="00213383"/>
    <w:rsid w:val="00220250"/>
    <w:rsid w:val="00221224"/>
    <w:rsid w:val="00225AE5"/>
    <w:rsid w:val="0022691B"/>
    <w:rsid w:val="002271D7"/>
    <w:rsid w:val="00232163"/>
    <w:rsid w:val="002376F8"/>
    <w:rsid w:val="002408E4"/>
    <w:rsid w:val="00241591"/>
    <w:rsid w:val="00250B4F"/>
    <w:rsid w:val="0025762F"/>
    <w:rsid w:val="00266BA0"/>
    <w:rsid w:val="0028114D"/>
    <w:rsid w:val="00285580"/>
    <w:rsid w:val="00287649"/>
    <w:rsid w:val="00287E84"/>
    <w:rsid w:val="0029286C"/>
    <w:rsid w:val="0029300E"/>
    <w:rsid w:val="00294920"/>
    <w:rsid w:val="002A245F"/>
    <w:rsid w:val="002A5137"/>
    <w:rsid w:val="002A52D1"/>
    <w:rsid w:val="002B0C3A"/>
    <w:rsid w:val="002B2116"/>
    <w:rsid w:val="002B2D9B"/>
    <w:rsid w:val="002B5016"/>
    <w:rsid w:val="002B742C"/>
    <w:rsid w:val="002B7F4D"/>
    <w:rsid w:val="002C285C"/>
    <w:rsid w:val="002C3574"/>
    <w:rsid w:val="002C7BE4"/>
    <w:rsid w:val="002D417D"/>
    <w:rsid w:val="002D5E5D"/>
    <w:rsid w:val="002E6B29"/>
    <w:rsid w:val="002E78A0"/>
    <w:rsid w:val="002F2687"/>
    <w:rsid w:val="002F48E1"/>
    <w:rsid w:val="002F4F3B"/>
    <w:rsid w:val="003059EB"/>
    <w:rsid w:val="00311355"/>
    <w:rsid w:val="003116AC"/>
    <w:rsid w:val="003121AF"/>
    <w:rsid w:val="00314F84"/>
    <w:rsid w:val="00315567"/>
    <w:rsid w:val="0032340D"/>
    <w:rsid w:val="00330144"/>
    <w:rsid w:val="00346245"/>
    <w:rsid w:val="0035421E"/>
    <w:rsid w:val="00356267"/>
    <w:rsid w:val="00356BAD"/>
    <w:rsid w:val="00357C62"/>
    <w:rsid w:val="003605B4"/>
    <w:rsid w:val="003627AC"/>
    <w:rsid w:val="00366914"/>
    <w:rsid w:val="00372FE3"/>
    <w:rsid w:val="003755CB"/>
    <w:rsid w:val="00383F85"/>
    <w:rsid w:val="00385907"/>
    <w:rsid w:val="003A306C"/>
    <w:rsid w:val="003A7DE7"/>
    <w:rsid w:val="003B0D49"/>
    <w:rsid w:val="003B1006"/>
    <w:rsid w:val="003C29A2"/>
    <w:rsid w:val="003C5F11"/>
    <w:rsid w:val="003D163E"/>
    <w:rsid w:val="003D6401"/>
    <w:rsid w:val="003E1863"/>
    <w:rsid w:val="003F03B6"/>
    <w:rsid w:val="0041606D"/>
    <w:rsid w:val="004160F0"/>
    <w:rsid w:val="00416962"/>
    <w:rsid w:val="00426842"/>
    <w:rsid w:val="004348CC"/>
    <w:rsid w:val="00437D42"/>
    <w:rsid w:val="00445725"/>
    <w:rsid w:val="004470DE"/>
    <w:rsid w:val="004521FD"/>
    <w:rsid w:val="004658FF"/>
    <w:rsid w:val="00470017"/>
    <w:rsid w:val="00474ED7"/>
    <w:rsid w:val="004756E1"/>
    <w:rsid w:val="0048008A"/>
    <w:rsid w:val="00483E94"/>
    <w:rsid w:val="00484120"/>
    <w:rsid w:val="004853A0"/>
    <w:rsid w:val="004962CF"/>
    <w:rsid w:val="0049663A"/>
    <w:rsid w:val="00496B5F"/>
    <w:rsid w:val="004A1720"/>
    <w:rsid w:val="004A2E10"/>
    <w:rsid w:val="004B17FF"/>
    <w:rsid w:val="004B1BA0"/>
    <w:rsid w:val="004B6CEE"/>
    <w:rsid w:val="004C2443"/>
    <w:rsid w:val="004C498F"/>
    <w:rsid w:val="004C5D29"/>
    <w:rsid w:val="004C5E57"/>
    <w:rsid w:val="004C681A"/>
    <w:rsid w:val="004C7A9C"/>
    <w:rsid w:val="004D4D8A"/>
    <w:rsid w:val="004E499D"/>
    <w:rsid w:val="004E7D38"/>
    <w:rsid w:val="004F68EE"/>
    <w:rsid w:val="005024A0"/>
    <w:rsid w:val="005038D5"/>
    <w:rsid w:val="00511BA4"/>
    <w:rsid w:val="00511D4A"/>
    <w:rsid w:val="005149E7"/>
    <w:rsid w:val="005209A2"/>
    <w:rsid w:val="005232D6"/>
    <w:rsid w:val="005333CC"/>
    <w:rsid w:val="00534BB3"/>
    <w:rsid w:val="005363F1"/>
    <w:rsid w:val="0055007C"/>
    <w:rsid w:val="00554922"/>
    <w:rsid w:val="00555282"/>
    <w:rsid w:val="005560E7"/>
    <w:rsid w:val="00560E04"/>
    <w:rsid w:val="005612CC"/>
    <w:rsid w:val="005629EB"/>
    <w:rsid w:val="00563029"/>
    <w:rsid w:val="00567D12"/>
    <w:rsid w:val="00576062"/>
    <w:rsid w:val="0058440A"/>
    <w:rsid w:val="00592939"/>
    <w:rsid w:val="0059295A"/>
    <w:rsid w:val="0059559F"/>
    <w:rsid w:val="005A0BA9"/>
    <w:rsid w:val="005A20F7"/>
    <w:rsid w:val="005A49FF"/>
    <w:rsid w:val="005A50C4"/>
    <w:rsid w:val="005A7634"/>
    <w:rsid w:val="005C0447"/>
    <w:rsid w:val="005C1C33"/>
    <w:rsid w:val="005C739F"/>
    <w:rsid w:val="005C73CA"/>
    <w:rsid w:val="005D4768"/>
    <w:rsid w:val="005E0189"/>
    <w:rsid w:val="005E23F6"/>
    <w:rsid w:val="005E2CAB"/>
    <w:rsid w:val="005E429E"/>
    <w:rsid w:val="005F1379"/>
    <w:rsid w:val="00601987"/>
    <w:rsid w:val="00601ED4"/>
    <w:rsid w:val="006030BC"/>
    <w:rsid w:val="006051AC"/>
    <w:rsid w:val="00612866"/>
    <w:rsid w:val="00616EB5"/>
    <w:rsid w:val="006269D4"/>
    <w:rsid w:val="006327D8"/>
    <w:rsid w:val="0064070A"/>
    <w:rsid w:val="00643A01"/>
    <w:rsid w:val="00651AB7"/>
    <w:rsid w:val="006574D2"/>
    <w:rsid w:val="006676D4"/>
    <w:rsid w:val="00675535"/>
    <w:rsid w:val="00681359"/>
    <w:rsid w:val="00682A1A"/>
    <w:rsid w:val="00690EDF"/>
    <w:rsid w:val="00696262"/>
    <w:rsid w:val="006C3A4F"/>
    <w:rsid w:val="006C4845"/>
    <w:rsid w:val="006D6BC1"/>
    <w:rsid w:val="006E2BFC"/>
    <w:rsid w:val="006E5C57"/>
    <w:rsid w:val="006F22A5"/>
    <w:rsid w:val="00702C73"/>
    <w:rsid w:val="007034D4"/>
    <w:rsid w:val="00713394"/>
    <w:rsid w:val="00715F0D"/>
    <w:rsid w:val="00724677"/>
    <w:rsid w:val="00725AC2"/>
    <w:rsid w:val="00732880"/>
    <w:rsid w:val="00740708"/>
    <w:rsid w:val="007416B9"/>
    <w:rsid w:val="007422FD"/>
    <w:rsid w:val="00743E46"/>
    <w:rsid w:val="00747C45"/>
    <w:rsid w:val="00756FDB"/>
    <w:rsid w:val="00757F5D"/>
    <w:rsid w:val="007629B6"/>
    <w:rsid w:val="007665BF"/>
    <w:rsid w:val="00767A22"/>
    <w:rsid w:val="00771B2A"/>
    <w:rsid w:val="007757CE"/>
    <w:rsid w:val="00775800"/>
    <w:rsid w:val="007761FB"/>
    <w:rsid w:val="0079180E"/>
    <w:rsid w:val="00793AB5"/>
    <w:rsid w:val="00794F99"/>
    <w:rsid w:val="007950CC"/>
    <w:rsid w:val="0079538B"/>
    <w:rsid w:val="007961B8"/>
    <w:rsid w:val="00797624"/>
    <w:rsid w:val="007A4828"/>
    <w:rsid w:val="007A4883"/>
    <w:rsid w:val="007A5D36"/>
    <w:rsid w:val="007A7CFE"/>
    <w:rsid w:val="007B093D"/>
    <w:rsid w:val="007B2069"/>
    <w:rsid w:val="007B6E4E"/>
    <w:rsid w:val="007C04A1"/>
    <w:rsid w:val="007C21FA"/>
    <w:rsid w:val="007C7E14"/>
    <w:rsid w:val="007D4351"/>
    <w:rsid w:val="007D7019"/>
    <w:rsid w:val="007E18DB"/>
    <w:rsid w:val="007E6F1C"/>
    <w:rsid w:val="00804C69"/>
    <w:rsid w:val="0080711D"/>
    <w:rsid w:val="008155CD"/>
    <w:rsid w:val="008158C0"/>
    <w:rsid w:val="0081663A"/>
    <w:rsid w:val="00833325"/>
    <w:rsid w:val="0083391A"/>
    <w:rsid w:val="00835236"/>
    <w:rsid w:val="008401CF"/>
    <w:rsid w:val="00840A41"/>
    <w:rsid w:val="00842F3C"/>
    <w:rsid w:val="008474E1"/>
    <w:rsid w:val="008505D1"/>
    <w:rsid w:val="0085359D"/>
    <w:rsid w:val="00855158"/>
    <w:rsid w:val="00857EE8"/>
    <w:rsid w:val="0086464B"/>
    <w:rsid w:val="008647FC"/>
    <w:rsid w:val="00864CA8"/>
    <w:rsid w:val="00865E2D"/>
    <w:rsid w:val="00870E6C"/>
    <w:rsid w:val="00875407"/>
    <w:rsid w:val="0088304B"/>
    <w:rsid w:val="00884486"/>
    <w:rsid w:val="008869B3"/>
    <w:rsid w:val="008871A9"/>
    <w:rsid w:val="008916BA"/>
    <w:rsid w:val="00892176"/>
    <w:rsid w:val="008A1DB7"/>
    <w:rsid w:val="008A403A"/>
    <w:rsid w:val="008A4C13"/>
    <w:rsid w:val="008B5850"/>
    <w:rsid w:val="008B604D"/>
    <w:rsid w:val="008B7162"/>
    <w:rsid w:val="008C54A9"/>
    <w:rsid w:val="008D1BD6"/>
    <w:rsid w:val="008E67C3"/>
    <w:rsid w:val="008F589F"/>
    <w:rsid w:val="008F76A9"/>
    <w:rsid w:val="008F7E67"/>
    <w:rsid w:val="00900660"/>
    <w:rsid w:val="00900DBF"/>
    <w:rsid w:val="009048B9"/>
    <w:rsid w:val="00904E91"/>
    <w:rsid w:val="00911C4F"/>
    <w:rsid w:val="00914E1A"/>
    <w:rsid w:val="00915886"/>
    <w:rsid w:val="009214DC"/>
    <w:rsid w:val="00927027"/>
    <w:rsid w:val="009344BA"/>
    <w:rsid w:val="00947F78"/>
    <w:rsid w:val="00953234"/>
    <w:rsid w:val="00961EAF"/>
    <w:rsid w:val="0096278F"/>
    <w:rsid w:val="009726E1"/>
    <w:rsid w:val="00975C5C"/>
    <w:rsid w:val="00977591"/>
    <w:rsid w:val="00980E75"/>
    <w:rsid w:val="00994BE0"/>
    <w:rsid w:val="009A25B1"/>
    <w:rsid w:val="009A4608"/>
    <w:rsid w:val="009A6A57"/>
    <w:rsid w:val="009A70BF"/>
    <w:rsid w:val="009B1A15"/>
    <w:rsid w:val="009B3726"/>
    <w:rsid w:val="009C0852"/>
    <w:rsid w:val="009C13CA"/>
    <w:rsid w:val="009C32C6"/>
    <w:rsid w:val="009C665F"/>
    <w:rsid w:val="009C6F1E"/>
    <w:rsid w:val="009D3E5D"/>
    <w:rsid w:val="009D40F2"/>
    <w:rsid w:val="009D6A7D"/>
    <w:rsid w:val="009D7E38"/>
    <w:rsid w:val="009E095B"/>
    <w:rsid w:val="009E1846"/>
    <w:rsid w:val="009E5609"/>
    <w:rsid w:val="009E78FF"/>
    <w:rsid w:val="00A01494"/>
    <w:rsid w:val="00A06081"/>
    <w:rsid w:val="00A218FF"/>
    <w:rsid w:val="00A226C2"/>
    <w:rsid w:val="00A22FA9"/>
    <w:rsid w:val="00A24FDA"/>
    <w:rsid w:val="00A25024"/>
    <w:rsid w:val="00A330B8"/>
    <w:rsid w:val="00A35F8F"/>
    <w:rsid w:val="00A41377"/>
    <w:rsid w:val="00A4263D"/>
    <w:rsid w:val="00A4380F"/>
    <w:rsid w:val="00A509B8"/>
    <w:rsid w:val="00A52AB9"/>
    <w:rsid w:val="00A6210B"/>
    <w:rsid w:val="00A7323A"/>
    <w:rsid w:val="00A831B4"/>
    <w:rsid w:val="00A964A9"/>
    <w:rsid w:val="00A97798"/>
    <w:rsid w:val="00AA5213"/>
    <w:rsid w:val="00AA65A6"/>
    <w:rsid w:val="00AC1D8E"/>
    <w:rsid w:val="00AC48FA"/>
    <w:rsid w:val="00AC7489"/>
    <w:rsid w:val="00AD0240"/>
    <w:rsid w:val="00AD4137"/>
    <w:rsid w:val="00AD506E"/>
    <w:rsid w:val="00AE374C"/>
    <w:rsid w:val="00B037BA"/>
    <w:rsid w:val="00B20139"/>
    <w:rsid w:val="00B218DA"/>
    <w:rsid w:val="00B342FA"/>
    <w:rsid w:val="00B35175"/>
    <w:rsid w:val="00B438DE"/>
    <w:rsid w:val="00B47B53"/>
    <w:rsid w:val="00B53E8B"/>
    <w:rsid w:val="00B61CD2"/>
    <w:rsid w:val="00B65B0A"/>
    <w:rsid w:val="00B71027"/>
    <w:rsid w:val="00B774D2"/>
    <w:rsid w:val="00B8015A"/>
    <w:rsid w:val="00B82A57"/>
    <w:rsid w:val="00B94D29"/>
    <w:rsid w:val="00BA053B"/>
    <w:rsid w:val="00BB35AE"/>
    <w:rsid w:val="00BC03A1"/>
    <w:rsid w:val="00BC0D25"/>
    <w:rsid w:val="00BD2505"/>
    <w:rsid w:val="00BE0576"/>
    <w:rsid w:val="00BE1A05"/>
    <w:rsid w:val="00BE592D"/>
    <w:rsid w:val="00BF52B0"/>
    <w:rsid w:val="00BF5697"/>
    <w:rsid w:val="00C14CCC"/>
    <w:rsid w:val="00C22C1C"/>
    <w:rsid w:val="00C33F2E"/>
    <w:rsid w:val="00C34936"/>
    <w:rsid w:val="00C34C14"/>
    <w:rsid w:val="00C355B9"/>
    <w:rsid w:val="00C401C4"/>
    <w:rsid w:val="00C41680"/>
    <w:rsid w:val="00C4236D"/>
    <w:rsid w:val="00C5305C"/>
    <w:rsid w:val="00C60A25"/>
    <w:rsid w:val="00C765C5"/>
    <w:rsid w:val="00C82479"/>
    <w:rsid w:val="00C867F0"/>
    <w:rsid w:val="00C914C1"/>
    <w:rsid w:val="00C916B1"/>
    <w:rsid w:val="00CA06D8"/>
    <w:rsid w:val="00CA345A"/>
    <w:rsid w:val="00CB49FF"/>
    <w:rsid w:val="00CB7E32"/>
    <w:rsid w:val="00CC02CF"/>
    <w:rsid w:val="00CC086A"/>
    <w:rsid w:val="00CD07AA"/>
    <w:rsid w:val="00CD0F66"/>
    <w:rsid w:val="00CD364B"/>
    <w:rsid w:val="00CE23B8"/>
    <w:rsid w:val="00CE50D7"/>
    <w:rsid w:val="00CE7918"/>
    <w:rsid w:val="00D00344"/>
    <w:rsid w:val="00D1370C"/>
    <w:rsid w:val="00D1754D"/>
    <w:rsid w:val="00D213EC"/>
    <w:rsid w:val="00D2223F"/>
    <w:rsid w:val="00D274A4"/>
    <w:rsid w:val="00D277AF"/>
    <w:rsid w:val="00D31163"/>
    <w:rsid w:val="00D320B1"/>
    <w:rsid w:val="00D33AFD"/>
    <w:rsid w:val="00D36489"/>
    <w:rsid w:val="00D42195"/>
    <w:rsid w:val="00D50704"/>
    <w:rsid w:val="00D5760A"/>
    <w:rsid w:val="00D61410"/>
    <w:rsid w:val="00D618BD"/>
    <w:rsid w:val="00D620D4"/>
    <w:rsid w:val="00D8181D"/>
    <w:rsid w:val="00D968D8"/>
    <w:rsid w:val="00DA563D"/>
    <w:rsid w:val="00DA7277"/>
    <w:rsid w:val="00DB3627"/>
    <w:rsid w:val="00DB4724"/>
    <w:rsid w:val="00DC3207"/>
    <w:rsid w:val="00DC4746"/>
    <w:rsid w:val="00DE7149"/>
    <w:rsid w:val="00E0314C"/>
    <w:rsid w:val="00E1508F"/>
    <w:rsid w:val="00E24207"/>
    <w:rsid w:val="00E27240"/>
    <w:rsid w:val="00E27EDD"/>
    <w:rsid w:val="00E30584"/>
    <w:rsid w:val="00E310B9"/>
    <w:rsid w:val="00E327B9"/>
    <w:rsid w:val="00E352E6"/>
    <w:rsid w:val="00E37E1B"/>
    <w:rsid w:val="00E562C0"/>
    <w:rsid w:val="00E672D6"/>
    <w:rsid w:val="00E76024"/>
    <w:rsid w:val="00E856A2"/>
    <w:rsid w:val="00E9163B"/>
    <w:rsid w:val="00E96884"/>
    <w:rsid w:val="00E96C81"/>
    <w:rsid w:val="00EA5435"/>
    <w:rsid w:val="00EA5F47"/>
    <w:rsid w:val="00EC514E"/>
    <w:rsid w:val="00EC79DE"/>
    <w:rsid w:val="00ED4ACE"/>
    <w:rsid w:val="00EE4D35"/>
    <w:rsid w:val="00EF2DA7"/>
    <w:rsid w:val="00F049BB"/>
    <w:rsid w:val="00F05D7F"/>
    <w:rsid w:val="00F1627D"/>
    <w:rsid w:val="00F26BD4"/>
    <w:rsid w:val="00F36506"/>
    <w:rsid w:val="00F435AA"/>
    <w:rsid w:val="00F5738A"/>
    <w:rsid w:val="00F612D4"/>
    <w:rsid w:val="00F6446D"/>
    <w:rsid w:val="00F77F1D"/>
    <w:rsid w:val="00F87CCB"/>
    <w:rsid w:val="00F95F72"/>
    <w:rsid w:val="00F97574"/>
    <w:rsid w:val="00FA48C7"/>
    <w:rsid w:val="00FB38E7"/>
    <w:rsid w:val="00FB73C1"/>
    <w:rsid w:val="00FE56BD"/>
    <w:rsid w:val="00FE7425"/>
    <w:rsid w:val="00FF6E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6414D83B"/>
  <w15:docId w15:val="{4FB4DA7D-49B6-467A-B782-EBDACC0E6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16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B43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Response">
    <w:name w:val="Response"/>
    <w:basedOn w:val="Normal"/>
    <w:qFormat/>
    <w:rsid w:val="003B0D49"/>
    <w:pPr>
      <w:autoSpaceDE w:val="0"/>
      <w:autoSpaceDN w:val="0"/>
      <w:adjustRightInd w:val="0"/>
      <w:spacing w:before="240" w:after="240" w:line="240" w:lineRule="auto"/>
    </w:pPr>
    <w:rPr>
      <w:rFonts w:cstheme="minorHAnsi"/>
      <w:bCs/>
      <w:color w:val="0000FF"/>
    </w:rPr>
  </w:style>
  <w:style w:type="paragraph" w:styleId="BodyText">
    <w:name w:val="Body Text"/>
    <w:basedOn w:val="Normal"/>
    <w:link w:val="BodyTextChar"/>
    <w:unhideWhenUsed/>
    <w:rsid w:val="00A330B8"/>
    <w:pPr>
      <w:spacing w:before="160" w:after="120" w:line="240" w:lineRule="auto"/>
    </w:pPr>
    <w:rPr>
      <w:rFonts w:ascii="Calibri" w:eastAsia="Calibri" w:hAnsi="Calibri" w:cs="Times New Roman"/>
      <w:sz w:val="24"/>
    </w:rPr>
  </w:style>
  <w:style w:type="character" w:customStyle="1" w:styleId="BodyTextChar">
    <w:name w:val="Body Text Char"/>
    <w:basedOn w:val="DefaultParagraphFont"/>
    <w:link w:val="BodyText"/>
    <w:rsid w:val="00A330B8"/>
    <w:rPr>
      <w:rFonts w:ascii="Calibri" w:eastAsia="Calibri" w:hAnsi="Calibri" w:cs="Times New Roman"/>
      <w:sz w:val="24"/>
    </w:rPr>
  </w:style>
  <w:style w:type="paragraph" w:customStyle="1" w:styleId="Default">
    <w:name w:val="Default"/>
    <w:rsid w:val="00A330B8"/>
    <w:pPr>
      <w:autoSpaceDE w:val="0"/>
      <w:autoSpaceDN w:val="0"/>
      <w:adjustRightInd w:val="0"/>
      <w:spacing w:after="0" w:line="240" w:lineRule="auto"/>
    </w:pPr>
    <w:rPr>
      <w:rFonts w:ascii="TimesNewRoman,Bold" w:eastAsia="Times New Roman" w:hAnsi="TimesNewRoman,Bold" w:cs="Times New Roman"/>
      <w:sz w:val="20"/>
      <w:szCs w:val="20"/>
    </w:rPr>
  </w:style>
  <w:style w:type="paragraph" w:customStyle="1" w:styleId="FigureNoBox">
    <w:name w:val="FigureNoBox"/>
    <w:basedOn w:val="Normal"/>
    <w:rsid w:val="00A330B8"/>
    <w:pPr>
      <w:spacing w:after="0" w:line="240" w:lineRule="auto"/>
      <w:jc w:val="center"/>
    </w:pPr>
    <w:rPr>
      <w:rFonts w:ascii="Times New Roman" w:eastAsia="Times New Roman" w:hAnsi="Times New Roman" w:cs="Times New Roman"/>
      <w:sz w:val="24"/>
    </w:rPr>
  </w:style>
  <w:style w:type="paragraph" w:customStyle="1" w:styleId="FigureCaption">
    <w:name w:val="FigureCaption"/>
    <w:basedOn w:val="Caption"/>
    <w:qFormat/>
    <w:rsid w:val="00A330B8"/>
    <w:pPr>
      <w:keepNext/>
      <w:keepLines/>
      <w:spacing w:before="320" w:after="120"/>
      <w:ind w:left="1296" w:hanging="1296"/>
    </w:pPr>
    <w:rPr>
      <w:rFonts w:ascii="Arial Black" w:eastAsia="Times New Roman" w:hAnsi="Arial Black" w:cs="Times New Roman"/>
      <w:bCs/>
      <w:i w:val="0"/>
      <w:iCs w:val="0"/>
      <w:color w:val="auto"/>
      <w:sz w:val="20"/>
      <w:szCs w:val="20"/>
    </w:rPr>
  </w:style>
  <w:style w:type="paragraph" w:styleId="Caption">
    <w:name w:val="caption"/>
    <w:basedOn w:val="Normal"/>
    <w:next w:val="Normal"/>
    <w:uiPriority w:val="35"/>
    <w:semiHidden/>
    <w:unhideWhenUsed/>
    <w:qFormat/>
    <w:rsid w:val="00A330B8"/>
    <w:pPr>
      <w:spacing w:line="240" w:lineRule="auto"/>
    </w:pPr>
    <w:rPr>
      <w:i/>
      <w:iCs/>
      <w:color w:val="1F497D" w:themeColor="text2"/>
      <w:sz w:val="18"/>
      <w:szCs w:val="18"/>
    </w:rPr>
  </w:style>
  <w:style w:type="paragraph" w:customStyle="1" w:styleId="FigureTitle">
    <w:name w:val="Figure Title"/>
    <w:basedOn w:val="Caption"/>
    <w:rsid w:val="0049663A"/>
    <w:pPr>
      <w:spacing w:before="240" w:after="0"/>
      <w:jc w:val="center"/>
    </w:pPr>
    <w:rPr>
      <w:rFonts w:ascii="Times New Roman" w:eastAsia="Times New Roman" w:hAnsi="Times New Roman" w:cs="Arial"/>
      <w:b/>
      <w:bCs/>
      <w:i w:val="0"/>
      <w:iCs w:val="0"/>
      <w:color w:val="auto"/>
      <w:sz w:val="24"/>
      <w:szCs w:val="22"/>
    </w:rPr>
  </w:style>
  <w:style w:type="paragraph" w:customStyle="1" w:styleId="SourceFigure">
    <w:name w:val="Source Figure"/>
    <w:basedOn w:val="Normal"/>
    <w:rsid w:val="0049663A"/>
    <w:pPr>
      <w:keepLines/>
      <w:spacing w:before="240" w:after="240" w:line="240" w:lineRule="auto"/>
    </w:pPr>
    <w:rPr>
      <w:rFonts w:ascii="Times New Roman" w:eastAsia="Times New Roman" w:hAnsi="Times New Roman" w:cs="Times New Roman"/>
      <w:sz w:val="20"/>
      <w:szCs w:val="20"/>
    </w:rPr>
  </w:style>
  <w:style w:type="paragraph" w:customStyle="1" w:styleId="NumberBullets">
    <w:name w:val="Number Bullets"/>
    <w:basedOn w:val="Normal"/>
    <w:semiHidden/>
    <w:rsid w:val="00F97574"/>
    <w:pPr>
      <w:tabs>
        <w:tab w:val="left" w:pos="720"/>
      </w:tabs>
      <w:spacing w:after="0" w:line="240" w:lineRule="auto"/>
      <w:ind w:left="720" w:hanging="360"/>
    </w:pPr>
    <w:rPr>
      <w:rFonts w:ascii="Times New Roman" w:eastAsia="Times New Roman" w:hAnsi="Times New Roman" w:cs="Times New Roman"/>
      <w:sz w:val="24"/>
      <w:szCs w:val="20"/>
    </w:rPr>
  </w:style>
  <w:style w:type="paragraph" w:customStyle="1" w:styleId="RTIresponses">
    <w:name w:val="RTIresponses"/>
    <w:qFormat/>
    <w:rsid w:val="008B5850"/>
    <w:pPr>
      <w:autoSpaceDE w:val="0"/>
      <w:autoSpaceDN w:val="0"/>
      <w:adjustRightInd w:val="0"/>
      <w:spacing w:after="120" w:line="240" w:lineRule="auto"/>
    </w:pPr>
    <w:rPr>
      <w:color w:val="00206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968032">
      <w:bodyDiv w:val="1"/>
      <w:marLeft w:val="0"/>
      <w:marRight w:val="0"/>
      <w:marTop w:val="0"/>
      <w:marBottom w:val="0"/>
      <w:divBdr>
        <w:top w:val="none" w:sz="0" w:space="0" w:color="auto"/>
        <w:left w:val="none" w:sz="0" w:space="0" w:color="auto"/>
        <w:bottom w:val="none" w:sz="0" w:space="0" w:color="auto"/>
        <w:right w:val="none" w:sz="0" w:space="0" w:color="auto"/>
      </w:divBdr>
    </w:div>
    <w:div w:id="30462570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70860564">
      <w:bodyDiv w:val="1"/>
      <w:marLeft w:val="0"/>
      <w:marRight w:val="0"/>
      <w:marTop w:val="0"/>
      <w:marBottom w:val="0"/>
      <w:divBdr>
        <w:top w:val="none" w:sz="0" w:space="0" w:color="auto"/>
        <w:left w:val="none" w:sz="0" w:space="0" w:color="auto"/>
        <w:bottom w:val="none" w:sz="0" w:space="0" w:color="auto"/>
        <w:right w:val="none" w:sz="0" w:space="0" w:color="auto"/>
      </w:divBdr>
    </w:div>
    <w:div w:id="119284191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5159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footnotes.xml.rels><?xml version="1.0" encoding="UTF-8" standalone="yes"?>
<Relationships xmlns="http://schemas.openxmlformats.org/package/2006/relationships"><Relationship Id="rId1" Type="http://schemas.openxmlformats.org/officeDocument/2006/relationships/hyperlink" Target="http://www.cms.hhs.gov/NursingHomeQualityInits/Downloads/MDS30FinalRepor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3CE31392837485BA3C9FF7C2F27A702"/>
        <w:category>
          <w:name w:val="General"/>
          <w:gallery w:val="placeholder"/>
        </w:category>
        <w:types>
          <w:type w:val="bbPlcHdr"/>
        </w:types>
        <w:behaviors>
          <w:behavior w:val="content"/>
        </w:behaviors>
        <w:guid w:val="{BF4490F7-8831-4D9C-85AA-87682F0C43F2}"/>
      </w:docPartPr>
      <w:docPartBody>
        <w:p w:rsidR="00236C31" w:rsidRDefault="00236C31">
          <w:pPr>
            <w:pStyle w:val="F3CE31392837485BA3C9FF7C2F27A702"/>
          </w:pPr>
          <w:r w:rsidRPr="00870134">
            <w:rPr>
              <w:rStyle w:val="PlaceholderText"/>
            </w:rPr>
            <w:t xml:space="preserve">Click here to enter </w:t>
          </w:r>
          <w:r>
            <w:rPr>
              <w:rStyle w:val="PlaceholderText"/>
            </w:rPr>
            <w:t>NQF number</w:t>
          </w:r>
        </w:p>
      </w:docPartBody>
    </w:docPart>
    <w:docPart>
      <w:docPartPr>
        <w:name w:val="AEE09E1FAFBF4EE685F8E2BD1549B562"/>
        <w:category>
          <w:name w:val="General"/>
          <w:gallery w:val="placeholder"/>
        </w:category>
        <w:types>
          <w:type w:val="bbPlcHdr"/>
        </w:types>
        <w:behaviors>
          <w:behavior w:val="content"/>
        </w:behaviors>
        <w:guid w:val="{4CD57AAC-419F-4D63-B866-54D6D4357A74}"/>
      </w:docPartPr>
      <w:docPartBody>
        <w:p w:rsidR="00236C31" w:rsidRDefault="00236C31">
          <w:pPr>
            <w:pStyle w:val="AEE09E1FAFBF4EE685F8E2BD1549B562"/>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414780A5EF4749E9B3E7034856012C43"/>
        <w:category>
          <w:name w:val="General"/>
          <w:gallery w:val="placeholder"/>
        </w:category>
        <w:types>
          <w:type w:val="bbPlcHdr"/>
        </w:types>
        <w:behaviors>
          <w:behavior w:val="content"/>
        </w:behaviors>
        <w:guid w:val="{E3A7A0CF-AB44-4BAE-8167-FA5A00C1F645}"/>
      </w:docPartPr>
      <w:docPartBody>
        <w:p w:rsidR="00236C31" w:rsidRDefault="00236C31">
          <w:pPr>
            <w:pStyle w:val="414780A5EF4749E9B3E7034856012C43"/>
          </w:pPr>
          <w:r w:rsidRPr="00A25024">
            <w:rPr>
              <w:rStyle w:val="PlaceholderText"/>
              <w:rFonts w:cstheme="minorHAnsi"/>
              <w:color w:val="A6A6A6" w:themeColor="background1" w:themeShade="A6"/>
            </w:rPr>
            <w:t>Click here to enter a date</w:t>
          </w:r>
        </w:p>
      </w:docPartBody>
    </w:docPart>
    <w:docPart>
      <w:docPartPr>
        <w:name w:val="6EA5B8C7054947D0B5EA7FBA31F0408B"/>
        <w:category>
          <w:name w:val="General"/>
          <w:gallery w:val="placeholder"/>
        </w:category>
        <w:types>
          <w:type w:val="bbPlcHdr"/>
        </w:types>
        <w:behaviors>
          <w:behavior w:val="content"/>
        </w:behaviors>
        <w:guid w:val="{13F4E80E-D4E3-43B1-9859-089870427F45}"/>
      </w:docPartPr>
      <w:docPartBody>
        <w:p w:rsidR="00E947DC" w:rsidRDefault="00236C31" w:rsidP="00236C31">
          <w:pPr>
            <w:pStyle w:val="6EA5B8C7054947D0B5EA7FBA31F0408B"/>
          </w:pPr>
          <w:r w:rsidRPr="00870134">
            <w:rPr>
              <w:rStyle w:val="PlaceholderText"/>
            </w:rPr>
            <w:t xml:space="preserve">Click here to enter </w:t>
          </w:r>
          <w:r>
            <w:rPr>
              <w:rStyle w:val="PlaceholderText"/>
            </w:rPr>
            <w:t>NQF number</w:t>
          </w:r>
        </w:p>
      </w:docPartBody>
    </w:docPart>
    <w:docPart>
      <w:docPartPr>
        <w:name w:val="58776AD6B1C9491A8954C5EBFD4D5864"/>
        <w:category>
          <w:name w:val="General"/>
          <w:gallery w:val="placeholder"/>
        </w:category>
        <w:types>
          <w:type w:val="bbPlcHdr"/>
        </w:types>
        <w:behaviors>
          <w:behavior w:val="content"/>
        </w:behaviors>
        <w:guid w:val="{9063B04E-2BBA-41FF-BD55-BC94AE8A2104}"/>
      </w:docPartPr>
      <w:docPartBody>
        <w:p w:rsidR="00E947DC" w:rsidRDefault="00236C31" w:rsidP="00236C31">
          <w:pPr>
            <w:pStyle w:val="58776AD6B1C9491A8954C5EBFD4D5864"/>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C31"/>
    <w:rsid w:val="00114F3B"/>
    <w:rsid w:val="001D0FD9"/>
    <w:rsid w:val="00236C31"/>
    <w:rsid w:val="0026775D"/>
    <w:rsid w:val="003E48C4"/>
    <w:rsid w:val="00421696"/>
    <w:rsid w:val="00464509"/>
    <w:rsid w:val="007703C5"/>
    <w:rsid w:val="007B6F61"/>
    <w:rsid w:val="007E20DC"/>
    <w:rsid w:val="008A6476"/>
    <w:rsid w:val="0096499C"/>
    <w:rsid w:val="009B7DD8"/>
    <w:rsid w:val="00B5188E"/>
    <w:rsid w:val="00BF3A35"/>
    <w:rsid w:val="00C275DB"/>
    <w:rsid w:val="00D7409C"/>
    <w:rsid w:val="00E322A1"/>
    <w:rsid w:val="00E947DC"/>
    <w:rsid w:val="00EF682E"/>
    <w:rsid w:val="00F016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6C31"/>
    <w:rPr>
      <w:color w:val="808080"/>
    </w:rPr>
  </w:style>
  <w:style w:type="paragraph" w:customStyle="1" w:styleId="F3CE31392837485BA3C9FF7C2F27A702">
    <w:name w:val="F3CE31392837485BA3C9FF7C2F27A702"/>
  </w:style>
  <w:style w:type="paragraph" w:customStyle="1" w:styleId="AEE09E1FAFBF4EE685F8E2BD1549B562">
    <w:name w:val="AEE09E1FAFBF4EE685F8E2BD1549B562"/>
  </w:style>
  <w:style w:type="paragraph" w:customStyle="1" w:styleId="414780A5EF4749E9B3E7034856012C43">
    <w:name w:val="414780A5EF4749E9B3E7034856012C43"/>
  </w:style>
  <w:style w:type="paragraph" w:customStyle="1" w:styleId="6EA5B8C7054947D0B5EA7FBA31F0408B">
    <w:name w:val="6EA5B8C7054947D0B5EA7FBA31F0408B"/>
    <w:rsid w:val="00236C31"/>
  </w:style>
  <w:style w:type="paragraph" w:customStyle="1" w:styleId="58776AD6B1C9491A8954C5EBFD4D5864">
    <w:name w:val="58776AD6B1C9491A8954C5EBFD4D5864"/>
    <w:rsid w:val="00236C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B2DF5-3BEE-48E2-8237-4578E6579BF1}">
  <ds:schemaRefs>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28A57F0-1026-42DA-ABF9-A39CD784C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F60693-590D-4624-B1CF-5A2BD14ED9C5}">
  <ds:schemaRefs>
    <ds:schemaRef ds:uri="http://schemas.microsoft.com/sharepoint/v3/contenttype/forms"/>
  </ds:schemaRefs>
</ds:datastoreItem>
</file>

<file path=customXml/itemProps4.xml><?xml version="1.0" encoding="utf-8"?>
<ds:datastoreItem xmlns:ds="http://schemas.openxmlformats.org/officeDocument/2006/customXml" ds:itemID="{25EE62DB-3F63-454D-8567-607392871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6385</Words>
  <Characters>36400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 Terry</dc:creator>
  <cp:keywords/>
  <dc:description/>
  <cp:lastModifiedBy>lsmith</cp:lastModifiedBy>
  <cp:revision>2</cp:revision>
  <cp:lastPrinted>2015-03-12T18:47:00Z</cp:lastPrinted>
  <dcterms:created xsi:type="dcterms:W3CDTF">2015-04-10T20:33:00Z</dcterms:created>
  <dcterms:modified xsi:type="dcterms:W3CDTF">2015-04-10T20:33:00Z</dcterms:modified>
</cp:coreProperties>
</file>