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84F594B"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000000" w:themeColor="text1"/>
          </w:rPr>
          <w:id w:val="1103681744"/>
          <w:placeholder>
            <w:docPart w:val="D06AB11FD608490E9B47857CE12EB3BD"/>
          </w:placeholder>
        </w:sdtPr>
        <w:sdtEndPr>
          <w:rPr>
            <w:rStyle w:val="DefaultParagraphFont"/>
            <w:rFonts w:cstheme="minorHAnsi"/>
            <w:b/>
            <w:noProof/>
          </w:rPr>
        </w:sdtEndPr>
        <w:sdtContent>
          <w:r w:rsidR="002E7695" w:rsidRPr="002E7695">
            <w:rPr>
              <w:rStyle w:val="Style1"/>
              <w:color w:val="0432FF"/>
            </w:rPr>
            <w:t>0715</w:t>
          </w:r>
        </w:sdtContent>
      </w:sdt>
    </w:p>
    <w:p w14:paraId="0CABCF56" w14:textId="5E250752" w:rsidR="00105D8B" w:rsidRPr="002E7695" w:rsidRDefault="00105D8B" w:rsidP="00105D8B">
      <w:pPr>
        <w:contextualSpacing/>
        <w:rPr>
          <w:rFonts w:cstheme="minorHAnsi"/>
          <w:noProof/>
          <w:color w:val="0432FF"/>
        </w:rPr>
      </w:pPr>
      <w:r w:rsidRPr="00A25024">
        <w:rPr>
          <w:rFonts w:cstheme="minorHAnsi"/>
          <w:b/>
          <w:noProof/>
        </w:rPr>
        <w:t>Measure Title</w:t>
      </w:r>
      <w:r w:rsidRPr="00A25024">
        <w:rPr>
          <w:rFonts w:cstheme="minorHAnsi"/>
          <w:noProof/>
        </w:rPr>
        <w:t xml:space="preserve">:  </w:t>
      </w:r>
      <w:sdt>
        <w:sdtPr>
          <w:rPr>
            <w:rStyle w:val="Style1"/>
            <w:rFonts w:cstheme="minorHAnsi"/>
            <w:color w:val="0432FF"/>
          </w:rPr>
          <w:id w:val="-882640736"/>
          <w:placeholder>
            <w:docPart w:val="00949831315D4E1BAFC508BD77E32A40"/>
          </w:placeholder>
        </w:sdtPr>
        <w:sdtEndPr>
          <w:rPr>
            <w:rStyle w:val="DefaultParagraphFont"/>
            <w:noProof/>
          </w:rPr>
        </w:sdtEndPr>
        <w:sdtContent>
          <w:r w:rsidR="002E7695" w:rsidRPr="002E7695">
            <w:rPr>
              <w:rFonts w:ascii="Calibri" w:eastAsia="Times New Roman" w:hAnsi="Calibri" w:cs="Calibri"/>
              <w:color w:val="0432FF"/>
            </w:rPr>
            <w:t>Standardized adverse event ratio for congenital cardiac catheterization</w:t>
          </w:r>
          <w:r w:rsidR="002E7695" w:rsidRPr="002E7695">
            <w:rPr>
              <w:rFonts w:ascii="Trebuchet MS" w:eastAsia="Times New Roman" w:hAnsi="Trebuchet MS" w:cs="Times New Roman"/>
              <w:b/>
              <w:bCs/>
              <w:color w:val="0432FF"/>
            </w:rPr>
            <w:t xml:space="preserve"> </w:t>
          </w:r>
        </w:sdtContent>
      </w:sdt>
    </w:p>
    <w:p w14:paraId="0CABCF57" w14:textId="2F7AFE97"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01-06T00:00:00Z">
            <w:dateFormat w:val="M/d/yyyy"/>
            <w:lid w:val="en-US"/>
            <w:storeMappedDataAs w:val="dateTime"/>
            <w:calendar w:val="gregorian"/>
          </w:date>
        </w:sdtPr>
        <w:sdtEndPr>
          <w:rPr>
            <w:rStyle w:val="DefaultParagraphFont"/>
            <w:noProof/>
            <w:color w:val="auto"/>
            <w:u w:val="none"/>
          </w:rPr>
        </w:sdtEndPr>
        <w:sdtContent>
          <w:r w:rsidR="002E7695">
            <w:rPr>
              <w:rStyle w:val="Style2"/>
              <w:rFonts w:cstheme="minorHAnsi"/>
            </w:rPr>
            <w:t>1/6/2020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4FAEDBD2" w:rsidR="000B7D57" w:rsidRPr="00C775CE" w:rsidRDefault="00B92B08"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2E7695">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B92B08"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B92B08"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B92B08"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B92B08"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B92B08"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B92B08"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B92B08"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B92B08"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B92B08"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B92B08"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1E13A0D9" w:rsidR="00A01494" w:rsidRPr="000F1B7A" w:rsidRDefault="00B92B08"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Content>
                <w:r w:rsidR="002E7695">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2E9A9221" w:rsidR="00A01494" w:rsidRPr="000F1B7A" w:rsidRDefault="00B92B08"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Content>
                <w:r w:rsidR="002E7695">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44CEC8E2" w:rsidR="00A01494" w:rsidRPr="000F1B7A" w:rsidRDefault="00B92B08"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Content>
                <w:r w:rsidR="002E7695">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4FCFAF52" w:rsidR="00A01494" w:rsidRPr="000F1B7A" w:rsidRDefault="00B92B08"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Content>
                <w:r w:rsidR="002E7695">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B92B08"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B92B08"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B92B08"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B92B08"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25C8BF80"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 xml:space="preserve">e.g., Medicare Part </w:t>
      </w:r>
      <w:r w:rsidR="002E7695">
        <w:rPr>
          <w:rFonts w:cstheme="minorHAnsi"/>
          <w:bCs/>
          <w:i/>
        </w:rPr>
        <w:t>4</w:t>
      </w:r>
      <w:r w:rsidR="00DB3627" w:rsidRPr="00241591">
        <w:rPr>
          <w:rFonts w:cstheme="minorHAnsi"/>
          <w:bCs/>
          <w:i/>
        </w:rPr>
        <w:t>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3EA4E5AF" w14:textId="281B51DA" w:rsidR="002E7695" w:rsidRPr="002E7695" w:rsidRDefault="002E7695" w:rsidP="00DB3627">
      <w:pPr>
        <w:autoSpaceDE w:val="0"/>
        <w:autoSpaceDN w:val="0"/>
        <w:adjustRightInd w:val="0"/>
        <w:spacing w:after="0" w:line="240" w:lineRule="auto"/>
        <w:rPr>
          <w:rFonts w:cstheme="minorHAnsi"/>
          <w:bCs/>
          <w:color w:val="FF0000"/>
        </w:rPr>
      </w:pPr>
      <w:r w:rsidRPr="002E7695">
        <w:rPr>
          <w:rFonts w:cstheme="minorHAnsi"/>
          <w:bCs/>
          <w:color w:val="FF0000"/>
        </w:rPr>
        <w:t>N/A</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22758BF4"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color w:val="FF0000"/>
          </w:rPr>
          <w:id w:val="950514773"/>
          <w:text/>
        </w:sdtPr>
        <w:sdtEndPr>
          <w:rPr>
            <w:rStyle w:val="DefaultParagraphFont"/>
            <w:rFonts w:cstheme="minorHAnsi"/>
          </w:rPr>
        </w:sdtEndPr>
        <w:sdtContent>
          <w:r w:rsidR="002E7695" w:rsidRPr="002E7695">
            <w:rPr>
              <w:rStyle w:val="Style1"/>
              <w:color w:val="FF0000"/>
            </w:rPr>
            <w:t>January 1, 2014- December 31, 2017</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B92B08"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B92B08"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B92B08"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B92B08"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57AA5F8D" w:rsidR="000414E8" w:rsidRPr="00A01494" w:rsidRDefault="00B92B08"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2E7695">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0173E7C3" w:rsidR="000414E8" w:rsidRPr="00A01494" w:rsidRDefault="00B92B08"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2E7695">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B92B08"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B92B08"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B92B08"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B92B08"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CABCFC8" w14:textId="7D74A2EB" w:rsidR="002B5016" w:rsidRPr="002E7695" w:rsidRDefault="002E7695" w:rsidP="00DB3627">
      <w:pPr>
        <w:autoSpaceDE w:val="0"/>
        <w:autoSpaceDN w:val="0"/>
        <w:adjustRightInd w:val="0"/>
        <w:spacing w:after="0" w:line="240" w:lineRule="auto"/>
        <w:rPr>
          <w:rFonts w:cstheme="minorHAnsi"/>
          <w:bCs/>
          <w:color w:val="FF0000"/>
        </w:rPr>
      </w:pPr>
      <w:r w:rsidRPr="002E7695">
        <w:rPr>
          <w:rFonts w:cstheme="minorHAnsi"/>
          <w:bCs/>
          <w:color w:val="FF0000"/>
        </w:rPr>
        <w:t xml:space="preserve">Data for measure development and validation were contributed by 13 institutions in the United States performing catheterization for congenital heart disease.  Data was collected in the C3PO-QI (Congenital Cardiac Catheterization Project on Outcomes - Quality Improvement) registry.  Institutions were selected among C3PO registry participants with greater than 97% case capture while participating during </w:t>
      </w:r>
      <w:r w:rsidRPr="002E7695">
        <w:rPr>
          <w:rFonts w:cstheme="minorHAnsi"/>
          <w:bCs/>
          <w:color w:val="FF0000"/>
        </w:rPr>
        <w:lastRenderedPageBreak/>
        <w:t>the study period January 1st</w:t>
      </w:r>
      <w:proofErr w:type="gramStart"/>
      <w:r w:rsidRPr="002E7695">
        <w:rPr>
          <w:rFonts w:cstheme="minorHAnsi"/>
          <w:bCs/>
          <w:color w:val="FF0000"/>
        </w:rPr>
        <w:t xml:space="preserve"> 2014</w:t>
      </w:r>
      <w:proofErr w:type="gramEnd"/>
      <w:r w:rsidRPr="002E7695">
        <w:rPr>
          <w:rFonts w:cstheme="minorHAnsi"/>
          <w:bCs/>
          <w:color w:val="FF0000"/>
        </w:rPr>
        <w:t xml:space="preserve"> to December 31st 2017, validated in 201</w:t>
      </w:r>
      <w:r>
        <w:rPr>
          <w:rFonts w:cstheme="minorHAnsi"/>
          <w:bCs/>
          <w:color w:val="FF0000"/>
        </w:rPr>
        <w:t>9</w:t>
      </w:r>
      <w:r w:rsidRPr="002E7695">
        <w:rPr>
          <w:rFonts w:cstheme="minorHAnsi"/>
          <w:bCs/>
          <w:color w:val="FF0000"/>
        </w:rPr>
        <w:t xml:space="preserve"> audit. Average annual volumes of congenital heart catheterizations across institutions ranged from 200 to 1600.</w:t>
      </w:r>
    </w:p>
    <w:p w14:paraId="4090D3FB" w14:textId="77777777" w:rsidR="002E7695" w:rsidRPr="00A25024" w:rsidRDefault="002E7695" w:rsidP="00DB3627">
      <w:pPr>
        <w:autoSpaceDE w:val="0"/>
        <w:autoSpaceDN w:val="0"/>
        <w:adjustRightInd w:val="0"/>
        <w:spacing w:after="0" w:line="240" w:lineRule="auto"/>
        <w:rPr>
          <w:rFonts w:cstheme="minorHAnsi"/>
          <w:bCs/>
        </w:rPr>
      </w:pPr>
    </w:p>
    <w:p w14:paraId="128BB3F6" w14:textId="77777777" w:rsidR="002E7695"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0CABCFC9" w14:textId="5F8DF980" w:rsidR="007422FD" w:rsidRDefault="002E7695" w:rsidP="00DB3627">
      <w:pPr>
        <w:autoSpaceDE w:val="0"/>
        <w:autoSpaceDN w:val="0"/>
        <w:adjustRightInd w:val="0"/>
        <w:spacing w:after="0" w:line="240" w:lineRule="auto"/>
        <w:rPr>
          <w:rFonts w:cstheme="minorHAnsi"/>
          <w:bCs/>
        </w:rPr>
      </w:pPr>
      <w:r w:rsidRPr="002E7695">
        <w:rPr>
          <w:rFonts w:cstheme="minorHAnsi"/>
          <w:bCs/>
          <w:color w:val="FF0000"/>
        </w:rPr>
        <w:t>A total of 23,212 eligible congenital catheterization procedures meeting a case type definition were recorded in the registry, approximately 90% of total cases across institutions. Cases included both diagnostic and interventional procedures.  Patients were 55% male and 45% female; the age distribution was 7% &lt;1 month, 19% 1-11 months, 63% 1-18 years, and 12% ≥19 years.</w:t>
      </w:r>
      <w:r w:rsidR="007422FD" w:rsidRPr="00A25024">
        <w:rPr>
          <w:rFonts w:cstheme="minorHAnsi"/>
          <w:bCs/>
        </w:rPr>
        <w:br/>
      </w:r>
    </w:p>
    <w:p w14:paraId="0CABCFCA" w14:textId="0C2A306D"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E08756A" w14:textId="77777777" w:rsidR="002E7695" w:rsidRPr="002E7695" w:rsidRDefault="002E7695" w:rsidP="002E7695">
      <w:pPr>
        <w:spacing w:after="0" w:line="240" w:lineRule="auto"/>
        <w:rPr>
          <w:rFonts w:eastAsia="Times New Roman" w:cstheme="minorHAnsi"/>
          <w:color w:val="FF0000"/>
          <w:sz w:val="24"/>
          <w:szCs w:val="24"/>
        </w:rPr>
      </w:pPr>
      <w:r w:rsidRPr="002E7695">
        <w:rPr>
          <w:rFonts w:eastAsia="Times New Roman" w:cstheme="minorHAnsi"/>
          <w:color w:val="FF0000"/>
        </w:rPr>
        <w:t>For measure testing exclusive of the assessment of validity, analyses were performed in the entire population of eligible cases.</w:t>
      </w:r>
    </w:p>
    <w:p w14:paraId="258D4F7B" w14:textId="77777777" w:rsidR="002E7695" w:rsidRPr="002E7695" w:rsidRDefault="002E7695" w:rsidP="002E7695">
      <w:pPr>
        <w:spacing w:after="0" w:line="240" w:lineRule="auto"/>
        <w:rPr>
          <w:rFonts w:eastAsia="Times New Roman" w:cstheme="minorHAnsi"/>
          <w:color w:val="FF0000"/>
          <w:sz w:val="24"/>
          <w:szCs w:val="24"/>
        </w:rPr>
      </w:pPr>
    </w:p>
    <w:p w14:paraId="4990861C" w14:textId="1CF53321" w:rsidR="002E7695" w:rsidRPr="002E7695" w:rsidRDefault="002E7695" w:rsidP="002E7695">
      <w:pPr>
        <w:spacing w:after="0" w:line="240" w:lineRule="auto"/>
        <w:rPr>
          <w:rFonts w:eastAsia="Times New Roman" w:cstheme="minorHAnsi"/>
          <w:color w:val="FF0000"/>
          <w:sz w:val="24"/>
          <w:szCs w:val="24"/>
        </w:rPr>
      </w:pPr>
      <w:r w:rsidRPr="002E7695">
        <w:rPr>
          <w:rFonts w:eastAsia="Times New Roman" w:cstheme="minorHAnsi"/>
          <w:color w:val="FF0000"/>
        </w:rPr>
        <w:t>The CHARM II risk adjustment model was derived in a simple random sample of 75% of cases from the eligible population. Validity testing was then conducted in both the derivation cohort and in the 25% validation cohort.  Additional validation was performed in the entire eligible population of pediatric cases, age ≤18 years.</w:t>
      </w:r>
    </w:p>
    <w:p w14:paraId="0CABCFCB" w14:textId="77777777" w:rsidR="00E37E1B" w:rsidRDefault="00E37E1B" w:rsidP="00E37E1B">
      <w:pPr>
        <w:autoSpaceDE w:val="0"/>
        <w:autoSpaceDN w:val="0"/>
        <w:adjustRightInd w:val="0"/>
        <w:spacing w:after="0" w:line="240" w:lineRule="auto"/>
        <w:rPr>
          <w:rFonts w:cstheme="minorHAnsi"/>
          <w:bCs/>
        </w:rPr>
      </w:pPr>
    </w:p>
    <w:p w14:paraId="61DAE440" w14:textId="224B6D7A" w:rsidR="002E7695"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553951FB" w14:textId="42B39792" w:rsidR="002E7695" w:rsidRPr="002E7695" w:rsidRDefault="002E7695" w:rsidP="002E7695">
      <w:pPr>
        <w:spacing w:after="0" w:line="240" w:lineRule="auto"/>
        <w:rPr>
          <w:rFonts w:eastAsia="Times New Roman" w:cstheme="minorHAnsi"/>
          <w:color w:val="FF0000"/>
          <w:sz w:val="24"/>
          <w:szCs w:val="24"/>
        </w:rPr>
      </w:pPr>
      <w:r w:rsidRPr="002E7695">
        <w:rPr>
          <w:rFonts w:eastAsia="Times New Roman" w:cstheme="minorHAnsi"/>
          <w:color w:val="FF0000"/>
        </w:rPr>
        <w:t>No social risk factors were collected at the patient level.  At the institution level, hospitals provided the proportion of billing at the institution where the primary payor was government insurance.</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3A104B00"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Content>
          <w:r w:rsidR="002E769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FD11FD7" w14:textId="7E4A36F3" w:rsidR="002E7695" w:rsidRPr="002E7695" w:rsidRDefault="002E7695" w:rsidP="002E7695">
      <w:pPr>
        <w:shd w:val="clear" w:color="auto" w:fill="FFFFFF"/>
        <w:spacing w:after="0" w:line="240" w:lineRule="auto"/>
        <w:rPr>
          <w:rFonts w:eastAsia="Times New Roman" w:cstheme="minorHAnsi"/>
          <w:color w:val="FF0000"/>
          <w:sz w:val="24"/>
          <w:szCs w:val="24"/>
        </w:rPr>
      </w:pPr>
      <w:r w:rsidRPr="002E7695">
        <w:rPr>
          <w:rFonts w:eastAsia="Times New Roman" w:cstheme="minorHAnsi"/>
          <w:color w:val="FF0000"/>
        </w:rPr>
        <w:t>All centers participated in virtual audits of this dataset (2014-2017)</w:t>
      </w:r>
      <w:r>
        <w:rPr>
          <w:rFonts w:eastAsia="Times New Roman" w:cstheme="minorHAnsi"/>
          <w:color w:val="FF0000"/>
        </w:rPr>
        <w:t xml:space="preserve"> conducted in</w:t>
      </w:r>
      <w:r w:rsidRPr="002E7695">
        <w:rPr>
          <w:rFonts w:eastAsia="Times New Roman" w:cstheme="minorHAnsi"/>
          <w:color w:val="FF0000"/>
        </w:rPr>
        <w:t xml:space="preserve"> July 2019</w:t>
      </w:r>
      <w:r>
        <w:rPr>
          <w:rFonts w:eastAsia="Times New Roman" w:cstheme="minorHAnsi"/>
          <w:color w:val="FF0000"/>
        </w:rPr>
        <w:t>. C</w:t>
      </w:r>
      <w:r w:rsidRPr="002E7695">
        <w:rPr>
          <w:rFonts w:eastAsia="Times New Roman" w:cstheme="minorHAnsi"/>
          <w:color w:val="FF0000"/>
        </w:rPr>
        <w:t>ases recorded in the registry were matched with institutional documentation, ensuring the accuracy and completeness of data entry.  Institutional records were referenced and compared to the C3PO registry to verify complete annual case capture. </w:t>
      </w:r>
    </w:p>
    <w:p w14:paraId="64BF2450" w14:textId="77777777" w:rsidR="002E7695" w:rsidRPr="002E7695" w:rsidRDefault="002E7695" w:rsidP="002E7695">
      <w:pPr>
        <w:shd w:val="clear" w:color="auto" w:fill="FFFFFF"/>
        <w:spacing w:after="0" w:line="240" w:lineRule="auto"/>
        <w:rPr>
          <w:rFonts w:eastAsia="Times New Roman" w:cstheme="minorHAnsi"/>
          <w:color w:val="FF0000"/>
          <w:sz w:val="24"/>
          <w:szCs w:val="24"/>
        </w:rPr>
      </w:pPr>
      <w:r w:rsidRPr="002E7695">
        <w:rPr>
          <w:rFonts w:eastAsia="Times New Roman" w:cstheme="minorHAnsi"/>
          <w:color w:val="FF0000"/>
          <w:sz w:val="24"/>
          <w:szCs w:val="24"/>
        </w:rPr>
        <w:lastRenderedPageBreak/>
        <w:t> </w:t>
      </w:r>
    </w:p>
    <w:p w14:paraId="13E10D85" w14:textId="77777777" w:rsidR="002E7695" w:rsidRPr="002E7695" w:rsidRDefault="002E7695" w:rsidP="002E7695">
      <w:pPr>
        <w:shd w:val="clear" w:color="auto" w:fill="FFFFFF"/>
        <w:spacing w:after="0" w:line="240" w:lineRule="auto"/>
        <w:rPr>
          <w:rFonts w:eastAsia="Times New Roman" w:cstheme="minorHAnsi"/>
          <w:color w:val="FF0000"/>
          <w:sz w:val="24"/>
          <w:szCs w:val="24"/>
        </w:rPr>
      </w:pPr>
      <w:r w:rsidRPr="002E7695">
        <w:rPr>
          <w:rFonts w:eastAsia="Times New Roman" w:cstheme="minorHAnsi"/>
          <w:color w:val="FF0000"/>
        </w:rPr>
        <w:t>Each site was notified that important predictors and outcome would be verified for selected cases, these included hemodynamic values, case type, and occurrence of AE. In preparation for the audit, each site received a list of 50 randomly selected case ID numbers with accompanying case identifiers (operator, date of catheterization, age and weight of patient) to preemptively match to de-identified cases in the database. Subsequently, the audits were executed using video conferencing to ensure sites confirmed data using institutional medical records as opposed to the C3PO-QI registry. The provided answers were compared to C3PO-QI random sample data extracts. </w:t>
      </w:r>
    </w:p>
    <w:p w14:paraId="3BD075D8" w14:textId="77777777" w:rsidR="002E7695" w:rsidRPr="002E7695" w:rsidRDefault="002E7695" w:rsidP="002E7695">
      <w:pPr>
        <w:shd w:val="clear" w:color="auto" w:fill="FFFFFF"/>
        <w:spacing w:after="0" w:line="240" w:lineRule="auto"/>
        <w:rPr>
          <w:rFonts w:eastAsia="Times New Roman" w:cstheme="minorHAnsi"/>
          <w:color w:val="FF0000"/>
          <w:sz w:val="24"/>
          <w:szCs w:val="24"/>
        </w:rPr>
      </w:pPr>
      <w:r w:rsidRPr="002E7695">
        <w:rPr>
          <w:rFonts w:eastAsia="Times New Roman" w:cstheme="minorHAnsi"/>
          <w:color w:val="FF0000"/>
          <w:sz w:val="24"/>
          <w:szCs w:val="24"/>
        </w:rPr>
        <w:t> </w:t>
      </w:r>
    </w:p>
    <w:p w14:paraId="0CABCFD2" w14:textId="6BF6D328" w:rsidR="008C54A9" w:rsidRDefault="002E7695" w:rsidP="002E7695">
      <w:pPr>
        <w:spacing w:after="0" w:line="240" w:lineRule="auto"/>
        <w:rPr>
          <w:rFonts w:eastAsia="Times New Roman" w:cstheme="minorHAnsi"/>
          <w:color w:val="FF0000"/>
        </w:rPr>
      </w:pPr>
      <w:r w:rsidRPr="002E7695">
        <w:rPr>
          <w:rFonts w:eastAsia="Times New Roman" w:cstheme="minorHAnsi"/>
          <w:color w:val="FF0000"/>
        </w:rPr>
        <w:t>In addition, all adverse events in the database are reviewed quarterly by two interventionalists for consistency of classification.   IPCCC classifications of adverse events have precise definitions, and major adverse events, such as cardiopulmonary resuscitation with chest compressions, life threatening bleeding events, surgery for catheterization complication, repeat catheterization due to a cardiac complication, and end organ damage such as stroke or renal damage requiring dialysis, are generally not misclassified.</w:t>
      </w:r>
    </w:p>
    <w:p w14:paraId="770F8776" w14:textId="29CCA34B" w:rsidR="007F4F4E" w:rsidRDefault="007F4F4E" w:rsidP="002E7695">
      <w:pPr>
        <w:spacing w:after="0" w:line="240" w:lineRule="auto"/>
        <w:rPr>
          <w:rFonts w:eastAsia="Times New Roman" w:cstheme="minorHAnsi"/>
          <w:color w:val="FF0000"/>
        </w:rPr>
      </w:pPr>
    </w:p>
    <w:p w14:paraId="2AA13D9A" w14:textId="09464C3A" w:rsidR="007F4F4E" w:rsidRDefault="007F4F4E" w:rsidP="002E7695">
      <w:pPr>
        <w:spacing w:after="0" w:line="240" w:lineRule="auto"/>
        <w:rPr>
          <w:rFonts w:eastAsia="Times New Roman" w:cstheme="minorHAnsi"/>
          <w:color w:val="FF0000"/>
        </w:rPr>
      </w:pPr>
      <w:r>
        <w:rPr>
          <w:rFonts w:eastAsia="Times New Roman" w:cstheme="minorHAnsi"/>
          <w:color w:val="FF0000"/>
        </w:rPr>
        <w:t xml:space="preserve">Adverse Event Nomenclature Reference: </w:t>
      </w:r>
    </w:p>
    <w:p w14:paraId="0151C96E" w14:textId="77777777" w:rsidR="007F4F4E" w:rsidRPr="007F4F4E" w:rsidRDefault="007F4F4E" w:rsidP="007F4F4E">
      <w:pPr>
        <w:spacing w:after="0" w:line="240" w:lineRule="auto"/>
        <w:rPr>
          <w:rFonts w:ascii="Calibri" w:hAnsi="Calibri" w:cs="Calibri"/>
          <w:color w:val="FF0000"/>
        </w:rPr>
      </w:pPr>
      <w:r w:rsidRPr="007F4F4E">
        <w:rPr>
          <w:rFonts w:ascii="Calibri" w:hAnsi="Calibri" w:cs="Calibri"/>
          <w:bCs/>
          <w:color w:val="FF0000"/>
        </w:rPr>
        <w:t>Bergersen L,</w:t>
      </w:r>
      <w:r w:rsidRPr="007F4F4E">
        <w:rPr>
          <w:rFonts w:ascii="Calibri" w:hAnsi="Calibri" w:cs="Calibri"/>
          <w:color w:val="FF0000"/>
        </w:rPr>
        <w:t xml:space="preserve"> </w:t>
      </w:r>
      <w:proofErr w:type="spellStart"/>
      <w:r w:rsidRPr="007F4F4E">
        <w:rPr>
          <w:rFonts w:ascii="Calibri" w:hAnsi="Calibri" w:cs="Calibri"/>
          <w:color w:val="FF0000"/>
        </w:rPr>
        <w:t>Giroud</w:t>
      </w:r>
      <w:proofErr w:type="spellEnd"/>
      <w:r w:rsidRPr="007F4F4E">
        <w:rPr>
          <w:rFonts w:ascii="Calibri" w:hAnsi="Calibri" w:cs="Calibri"/>
          <w:color w:val="FF0000"/>
        </w:rPr>
        <w:t xml:space="preserve"> J, Jacobs J, Franklin R, </w:t>
      </w:r>
      <w:proofErr w:type="spellStart"/>
      <w:r w:rsidRPr="007F4F4E">
        <w:rPr>
          <w:rFonts w:ascii="Calibri" w:hAnsi="Calibri" w:cs="Calibri"/>
          <w:color w:val="FF0000"/>
        </w:rPr>
        <w:t>Béland</w:t>
      </w:r>
      <w:proofErr w:type="spellEnd"/>
      <w:r w:rsidRPr="007F4F4E">
        <w:rPr>
          <w:rFonts w:ascii="Calibri" w:hAnsi="Calibri" w:cs="Calibri"/>
          <w:color w:val="FF0000"/>
        </w:rPr>
        <w:t xml:space="preserve"> M, </w:t>
      </w:r>
      <w:proofErr w:type="spellStart"/>
      <w:r w:rsidRPr="007F4F4E">
        <w:rPr>
          <w:rFonts w:ascii="Calibri" w:hAnsi="Calibri" w:cs="Calibri"/>
          <w:color w:val="FF0000"/>
        </w:rPr>
        <w:t>Krogmann</w:t>
      </w:r>
      <w:proofErr w:type="spellEnd"/>
      <w:r w:rsidRPr="007F4F4E">
        <w:rPr>
          <w:rFonts w:ascii="Calibri" w:hAnsi="Calibri" w:cs="Calibri"/>
          <w:color w:val="FF0000"/>
        </w:rPr>
        <w:t xml:space="preserve"> O, Aiello V, </w:t>
      </w:r>
      <w:proofErr w:type="spellStart"/>
      <w:r w:rsidRPr="007F4F4E">
        <w:rPr>
          <w:rFonts w:ascii="Calibri" w:hAnsi="Calibri" w:cs="Calibri"/>
          <w:color w:val="FF0000"/>
        </w:rPr>
        <w:t>Colan</w:t>
      </w:r>
      <w:proofErr w:type="spellEnd"/>
      <w:r w:rsidRPr="007F4F4E">
        <w:rPr>
          <w:rFonts w:ascii="Calibri" w:hAnsi="Calibri" w:cs="Calibri"/>
          <w:color w:val="FF0000"/>
        </w:rPr>
        <w:t xml:space="preserve"> S, Elliott M, Gaynor J, Kurosawa H, </w:t>
      </w:r>
      <w:proofErr w:type="spellStart"/>
      <w:r w:rsidRPr="007F4F4E">
        <w:rPr>
          <w:rFonts w:ascii="Calibri" w:hAnsi="Calibri" w:cs="Calibri"/>
          <w:color w:val="FF0000"/>
        </w:rPr>
        <w:t>Maruszewski</w:t>
      </w:r>
      <w:proofErr w:type="spellEnd"/>
      <w:r w:rsidRPr="007F4F4E">
        <w:rPr>
          <w:rFonts w:ascii="Calibri" w:hAnsi="Calibri" w:cs="Calibri"/>
          <w:color w:val="FF0000"/>
        </w:rPr>
        <w:t xml:space="preserve"> B, </w:t>
      </w:r>
      <w:proofErr w:type="spellStart"/>
      <w:r w:rsidRPr="007F4F4E">
        <w:rPr>
          <w:rFonts w:ascii="Calibri" w:hAnsi="Calibri" w:cs="Calibri"/>
          <w:color w:val="FF0000"/>
        </w:rPr>
        <w:t>Stellin</w:t>
      </w:r>
      <w:proofErr w:type="spellEnd"/>
      <w:r w:rsidRPr="007F4F4E">
        <w:rPr>
          <w:rFonts w:ascii="Calibri" w:hAnsi="Calibri" w:cs="Calibri"/>
          <w:color w:val="FF0000"/>
        </w:rPr>
        <w:t xml:space="preserve"> G, </w:t>
      </w:r>
      <w:proofErr w:type="spellStart"/>
      <w:r w:rsidRPr="007F4F4E">
        <w:rPr>
          <w:rFonts w:ascii="Calibri" w:hAnsi="Calibri" w:cs="Calibri"/>
          <w:color w:val="FF0000"/>
        </w:rPr>
        <w:t>Tchervenkov</w:t>
      </w:r>
      <w:proofErr w:type="spellEnd"/>
      <w:r w:rsidRPr="007F4F4E">
        <w:rPr>
          <w:rFonts w:ascii="Calibri" w:hAnsi="Calibri" w:cs="Calibri"/>
          <w:color w:val="FF0000"/>
        </w:rPr>
        <w:t xml:space="preserve"> C, Walters H, Weinberg P, Everett A. Report from the international society for nomenclature of </w:t>
      </w:r>
      <w:proofErr w:type="spellStart"/>
      <w:r w:rsidRPr="007F4F4E">
        <w:rPr>
          <w:rFonts w:ascii="Calibri" w:hAnsi="Calibri" w:cs="Calibri"/>
          <w:color w:val="FF0000"/>
        </w:rPr>
        <w:t>paediatric</w:t>
      </w:r>
      <w:proofErr w:type="spellEnd"/>
      <w:r w:rsidRPr="007F4F4E">
        <w:rPr>
          <w:rFonts w:ascii="Calibri" w:hAnsi="Calibri" w:cs="Calibri"/>
          <w:color w:val="FF0000"/>
        </w:rPr>
        <w:t xml:space="preserve"> and congenital heart disease: cardiovascular catheterization for congenital and </w:t>
      </w:r>
      <w:proofErr w:type="spellStart"/>
      <w:r w:rsidRPr="007F4F4E">
        <w:rPr>
          <w:rFonts w:ascii="Calibri" w:hAnsi="Calibri" w:cs="Calibri"/>
          <w:color w:val="FF0000"/>
        </w:rPr>
        <w:t>paediatric</w:t>
      </w:r>
      <w:proofErr w:type="spellEnd"/>
      <w:r w:rsidRPr="007F4F4E">
        <w:rPr>
          <w:rFonts w:ascii="Calibri" w:hAnsi="Calibri" w:cs="Calibri"/>
          <w:color w:val="FF0000"/>
        </w:rPr>
        <w:t xml:space="preserve"> cardiac disease Part 2 –nomenclature of complications associated with interventional cardiology. </w:t>
      </w:r>
      <w:proofErr w:type="spellStart"/>
      <w:r w:rsidRPr="007F4F4E">
        <w:rPr>
          <w:rFonts w:ascii="Calibri" w:hAnsi="Calibri" w:cs="Calibri"/>
          <w:color w:val="FF0000"/>
        </w:rPr>
        <w:t>Cardiol</w:t>
      </w:r>
      <w:proofErr w:type="spellEnd"/>
      <w:r w:rsidRPr="007F4F4E">
        <w:rPr>
          <w:rFonts w:ascii="Calibri" w:hAnsi="Calibri" w:cs="Calibri"/>
          <w:color w:val="FF0000"/>
        </w:rPr>
        <w:t xml:space="preserve"> Young. </w:t>
      </w:r>
      <w:proofErr w:type="gramStart"/>
      <w:r w:rsidRPr="007F4F4E">
        <w:rPr>
          <w:rFonts w:ascii="Calibri" w:hAnsi="Calibri" w:cs="Calibri"/>
          <w:color w:val="FF0000"/>
        </w:rPr>
        <w:t>2011;21:260</w:t>
      </w:r>
      <w:proofErr w:type="gramEnd"/>
      <w:r w:rsidRPr="007F4F4E">
        <w:rPr>
          <w:rFonts w:ascii="Calibri" w:hAnsi="Calibri" w:cs="Calibri"/>
          <w:color w:val="FF0000"/>
        </w:rPr>
        <w:t>-265.</w:t>
      </w:r>
    </w:p>
    <w:p w14:paraId="6A93BDA3" w14:textId="77777777" w:rsidR="002E7695" w:rsidRPr="00A25024" w:rsidRDefault="002E7695" w:rsidP="008C54A9">
      <w:pPr>
        <w:autoSpaceDE w:val="0"/>
        <w:autoSpaceDN w:val="0"/>
        <w:adjustRightInd w:val="0"/>
        <w:spacing w:after="0" w:line="240" w:lineRule="auto"/>
        <w:rPr>
          <w:rFonts w:cstheme="minorHAnsi"/>
          <w:bCs/>
        </w:rPr>
      </w:pPr>
    </w:p>
    <w:p w14:paraId="52846B90" w14:textId="77777777" w:rsidR="002E7695"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0F1AEF07" w14:textId="002B015E" w:rsidR="002E7695" w:rsidRPr="002E7695" w:rsidRDefault="002E7695" w:rsidP="002E7695">
      <w:pPr>
        <w:shd w:val="clear" w:color="auto" w:fill="FFFFFF"/>
        <w:spacing w:after="0" w:line="240" w:lineRule="auto"/>
        <w:rPr>
          <w:rFonts w:eastAsia="Times New Roman" w:cstheme="minorHAnsi"/>
          <w:color w:val="FF0000"/>
          <w:sz w:val="24"/>
          <w:szCs w:val="24"/>
        </w:rPr>
      </w:pPr>
      <w:r w:rsidRPr="002E7695">
        <w:rPr>
          <w:rFonts w:eastAsia="Times New Roman" w:cstheme="minorHAnsi"/>
          <w:color w:val="FF0000"/>
        </w:rPr>
        <w:t xml:space="preserve">All 13 centers participated in the audit with a total of 650 cases audited.  In matched review of recorded adverse events, the auditor’s event severity classification was the same as that which was recorded in the database in 52 out of 52 events. There was 96% accuracy in reporting 26 of 27 </w:t>
      </w:r>
      <w:r w:rsidR="00B92B08">
        <w:rPr>
          <w:rFonts w:eastAsia="Times New Roman" w:cstheme="minorHAnsi"/>
          <w:color w:val="FF0000"/>
        </w:rPr>
        <w:t>Level 3/4/5 AEs</w:t>
      </w:r>
      <w:r w:rsidRPr="002E7695">
        <w:rPr>
          <w:rFonts w:eastAsia="Times New Roman" w:cstheme="minorHAnsi"/>
          <w:color w:val="FF0000"/>
        </w:rPr>
        <w:t>, of which 6 AEs were designated as severity level 4/5</w:t>
      </w:r>
      <w:r w:rsidR="00B92B08">
        <w:rPr>
          <w:rFonts w:eastAsia="Times New Roman" w:cstheme="minorHAnsi"/>
          <w:color w:val="FF0000"/>
        </w:rPr>
        <w:t>, the primary outcome</w:t>
      </w:r>
      <w:r w:rsidRPr="002E7695">
        <w:rPr>
          <w:rFonts w:eastAsia="Times New Roman" w:cstheme="minorHAnsi"/>
          <w:color w:val="FF0000"/>
        </w:rPr>
        <w:t xml:space="preserve">. </w:t>
      </w:r>
      <w:r w:rsidR="00B92B08">
        <w:rPr>
          <w:rFonts w:eastAsia="Times New Roman" w:cstheme="minorHAnsi"/>
          <w:color w:val="FF0000"/>
        </w:rPr>
        <w:t xml:space="preserve">The one event </w:t>
      </w:r>
      <w:r w:rsidRPr="002E7695">
        <w:rPr>
          <w:rFonts w:eastAsia="Times New Roman" w:cstheme="minorHAnsi"/>
          <w:color w:val="FF0000"/>
        </w:rPr>
        <w:t xml:space="preserve">not recorded in the database </w:t>
      </w:r>
      <w:r w:rsidR="00B92B08">
        <w:rPr>
          <w:rFonts w:eastAsia="Times New Roman" w:cstheme="minorHAnsi"/>
          <w:color w:val="FF0000"/>
        </w:rPr>
        <w:t xml:space="preserve">was </w:t>
      </w:r>
      <w:r w:rsidRPr="002E7695">
        <w:rPr>
          <w:rFonts w:eastAsia="Times New Roman" w:cstheme="minorHAnsi"/>
          <w:color w:val="FF0000"/>
        </w:rPr>
        <w:t>a respiratory arrest in the recovery room post</w:t>
      </w:r>
      <w:r w:rsidR="00B92B08">
        <w:rPr>
          <w:rFonts w:eastAsia="Times New Roman" w:cstheme="minorHAnsi"/>
          <w:color w:val="FF0000"/>
        </w:rPr>
        <w:t>-</w:t>
      </w:r>
      <w:r w:rsidRPr="002E7695">
        <w:rPr>
          <w:rFonts w:eastAsia="Times New Roman" w:cstheme="minorHAnsi"/>
          <w:color w:val="FF0000"/>
        </w:rPr>
        <w:t>procedure. </w:t>
      </w:r>
    </w:p>
    <w:p w14:paraId="17508CA7" w14:textId="77777777" w:rsidR="002E7695" w:rsidRPr="002E7695" w:rsidRDefault="002E7695" w:rsidP="002E7695">
      <w:pPr>
        <w:spacing w:after="0" w:line="240" w:lineRule="auto"/>
        <w:rPr>
          <w:rFonts w:eastAsia="Times New Roman" w:cstheme="minorHAnsi"/>
          <w:color w:val="FF0000"/>
          <w:sz w:val="24"/>
          <w:szCs w:val="24"/>
        </w:rPr>
      </w:pPr>
    </w:p>
    <w:p w14:paraId="0CABCFD3" w14:textId="475D8596" w:rsidR="007422FD" w:rsidRPr="002E7695" w:rsidRDefault="002E7695" w:rsidP="002E7695">
      <w:pPr>
        <w:spacing w:after="0" w:line="240" w:lineRule="auto"/>
        <w:rPr>
          <w:rFonts w:ascii="Times New Roman" w:eastAsia="Times New Roman" w:hAnsi="Times New Roman" w:cs="Times New Roman"/>
          <w:sz w:val="24"/>
          <w:szCs w:val="24"/>
        </w:rPr>
      </w:pPr>
      <w:r w:rsidRPr="002E7695">
        <w:rPr>
          <w:rFonts w:eastAsia="Times New Roman" w:cstheme="minorHAnsi"/>
          <w:color w:val="FF0000"/>
        </w:rPr>
        <w:t>All severity level 3/4/5 adverse event descriptions were reviewed by two interventional cardiologists and consensus was reached on the classification of all major adverse events (severity level 4 and 5).</w:t>
      </w:r>
      <w:r w:rsidR="0048008A" w:rsidRPr="00A25024">
        <w:rPr>
          <w:rFonts w:cstheme="minorHAnsi"/>
          <w:bCs/>
        </w:rPr>
        <w:br/>
      </w:r>
    </w:p>
    <w:p w14:paraId="04365D5B" w14:textId="77777777" w:rsidR="002E7695"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0CABCFD4" w14:textId="5D21AE3B" w:rsidR="007422FD" w:rsidRPr="002E7695" w:rsidRDefault="002E7695" w:rsidP="002E7695">
      <w:pPr>
        <w:spacing w:after="0" w:line="240" w:lineRule="auto"/>
        <w:rPr>
          <w:rFonts w:eastAsia="Times New Roman" w:cstheme="minorHAnsi"/>
          <w:sz w:val="24"/>
          <w:szCs w:val="24"/>
        </w:rPr>
      </w:pPr>
      <w:r w:rsidRPr="002E7695">
        <w:rPr>
          <w:rFonts w:eastAsia="Times New Roman" w:cstheme="minorHAnsi"/>
          <w:color w:val="FF0000"/>
        </w:rPr>
        <w:t xml:space="preserve">Changing the outcome variable to major adverse events (severity levels 4 and 5) increases the reliability of outcome reporting and proper classification of event severity.  </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57EC2988" w:rsidR="00696262" w:rsidRPr="00A25024" w:rsidRDefault="00B92B08"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7F4A8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6261B71A" w:rsidR="000574AB" w:rsidRPr="00A25024" w:rsidRDefault="00B92B08"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7F4A8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w:t>
      </w:r>
      <w:r w:rsidR="00A41377" w:rsidRPr="00A25024">
        <w:rPr>
          <w:rFonts w:eastAsia="MS Gothic" w:cstheme="minorHAnsi"/>
          <w:bCs/>
          <w:i/>
        </w:rPr>
        <w:lastRenderedPageBreak/>
        <w:t xml:space="preserve">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D" w14:textId="0C3AA26C" w:rsidR="00833325" w:rsidRPr="007F4A84" w:rsidRDefault="009C7513" w:rsidP="007F4A84">
      <w:pPr>
        <w:rPr>
          <w:rFonts w:ascii="Times New Roman" w:eastAsia="Times New Roman" w:hAnsi="Times New Roman" w:cs="Times New Roman"/>
          <w:sz w:val="24"/>
          <w:szCs w:val="24"/>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7F4A84" w:rsidRPr="007F4A84">
        <w:rPr>
          <w:rFonts w:eastAsia="Times New Roman" w:cstheme="minorHAnsi"/>
          <w:color w:val="FF0000"/>
        </w:rPr>
        <w:t>A total of 23,212 eligible cases of congenital heart catheterization from 13 institutions were contributed to the registry for the four-year period January 1, 2014 to December 31, 2017.  These cases were separated into a model derivation cohort (75%) and a validation cohort (25%) using simple random sampling.  Within each cohort, discrimination of the final risk adjustment model was quantified using the c statistic (area under the receiver-operator characteristic curve), and calibration was assessed using the Hosmer-</w:t>
      </w:r>
      <w:proofErr w:type="spellStart"/>
      <w:r w:rsidR="007F4A84" w:rsidRPr="007F4A84">
        <w:rPr>
          <w:rFonts w:eastAsia="Times New Roman" w:cstheme="minorHAnsi"/>
          <w:color w:val="FF0000"/>
        </w:rPr>
        <w:t>Lemeshow</w:t>
      </w:r>
      <w:proofErr w:type="spellEnd"/>
      <w:r w:rsidR="007F4A84" w:rsidRPr="007F4A84">
        <w:rPr>
          <w:rFonts w:eastAsia="Times New Roman" w:cstheme="minorHAnsi"/>
          <w:color w:val="FF0000"/>
        </w:rPr>
        <w:t xml:space="preserve"> test.  Validity of the model was also assessed for the pediatric population age ≤18 years.</w:t>
      </w:r>
    </w:p>
    <w:p w14:paraId="39284BB4" w14:textId="77777777" w:rsidR="007F4A84"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2DF55342" w14:textId="77777777" w:rsidR="007F4A84" w:rsidRPr="007F4A84" w:rsidRDefault="007F4A84" w:rsidP="007F4A84">
      <w:pPr>
        <w:spacing w:after="0" w:line="240" w:lineRule="auto"/>
        <w:rPr>
          <w:rFonts w:eastAsia="Times New Roman" w:cstheme="minorHAnsi"/>
          <w:color w:val="FF0000"/>
          <w:sz w:val="24"/>
          <w:szCs w:val="24"/>
        </w:rPr>
      </w:pPr>
      <w:r w:rsidRPr="007F4A84">
        <w:rPr>
          <w:rFonts w:eastAsia="Times New Roman" w:cstheme="minorHAnsi"/>
          <w:color w:val="FF0000"/>
        </w:rPr>
        <w:t>For the population consisting of patients of all ages, the c statistic is 0.73 in the derivation cohort, and 0.74 in the validation cohort.  P values for the Hosmer-</w:t>
      </w:r>
      <w:proofErr w:type="spellStart"/>
      <w:r w:rsidRPr="007F4A84">
        <w:rPr>
          <w:rFonts w:eastAsia="Times New Roman" w:cstheme="minorHAnsi"/>
          <w:color w:val="FF0000"/>
        </w:rPr>
        <w:t>Lemeshow</w:t>
      </w:r>
      <w:proofErr w:type="spellEnd"/>
      <w:r w:rsidRPr="007F4A84">
        <w:rPr>
          <w:rFonts w:eastAsia="Times New Roman" w:cstheme="minorHAnsi"/>
          <w:color w:val="FF0000"/>
        </w:rPr>
        <w:t xml:space="preserve"> test are p=0.25 in the derivation cohort and p=0.60 in the validation cohort.  </w:t>
      </w:r>
    </w:p>
    <w:p w14:paraId="3787D78E" w14:textId="77777777" w:rsidR="007F4A84" w:rsidRPr="007F4A84" w:rsidRDefault="007F4A84" w:rsidP="007F4A84">
      <w:pPr>
        <w:spacing w:after="0" w:line="240" w:lineRule="auto"/>
        <w:rPr>
          <w:rFonts w:eastAsia="Times New Roman" w:cstheme="minorHAnsi"/>
          <w:color w:val="FF0000"/>
          <w:sz w:val="24"/>
          <w:szCs w:val="24"/>
        </w:rPr>
      </w:pPr>
    </w:p>
    <w:p w14:paraId="0CABCFDE" w14:textId="1A8E040E" w:rsidR="007422FD" w:rsidRPr="007F4A84" w:rsidRDefault="007F4A84" w:rsidP="007F4A84">
      <w:pPr>
        <w:spacing w:after="0" w:line="240" w:lineRule="auto"/>
        <w:rPr>
          <w:rFonts w:ascii="Times New Roman" w:eastAsia="Times New Roman" w:hAnsi="Times New Roman" w:cs="Times New Roman"/>
          <w:sz w:val="24"/>
          <w:szCs w:val="24"/>
        </w:rPr>
      </w:pPr>
      <w:r w:rsidRPr="007F4A84">
        <w:rPr>
          <w:rFonts w:eastAsia="Times New Roman" w:cstheme="minorHAnsi"/>
          <w:color w:val="FF0000"/>
        </w:rPr>
        <w:t>For the pediatric population age ≤18 years, the c statistic is 0.73.  The p value for the Hosmer-</w:t>
      </w:r>
      <w:proofErr w:type="spellStart"/>
      <w:r w:rsidRPr="007F4A84">
        <w:rPr>
          <w:rFonts w:eastAsia="Times New Roman" w:cstheme="minorHAnsi"/>
          <w:color w:val="FF0000"/>
        </w:rPr>
        <w:t>Lemeshow</w:t>
      </w:r>
      <w:proofErr w:type="spellEnd"/>
      <w:r w:rsidRPr="007F4A84">
        <w:rPr>
          <w:rFonts w:eastAsia="Times New Roman" w:cstheme="minorHAnsi"/>
          <w:color w:val="FF0000"/>
        </w:rPr>
        <w:t xml:space="preserve"> test is p=0.35.</w:t>
      </w:r>
      <w:r w:rsidR="00833325" w:rsidRPr="00A25024">
        <w:rPr>
          <w:rFonts w:cstheme="minorHAnsi"/>
          <w:bCs/>
        </w:rPr>
        <w:br/>
      </w:r>
    </w:p>
    <w:p w14:paraId="535BE229" w14:textId="77777777" w:rsidR="007F4A8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0CABCFDF" w14:textId="4C1A150C" w:rsidR="007422FD" w:rsidRPr="007F4A84" w:rsidRDefault="007F4A84" w:rsidP="007F4A84">
      <w:pPr>
        <w:spacing w:after="0" w:line="240" w:lineRule="auto"/>
        <w:rPr>
          <w:rFonts w:eastAsia="Times New Roman" w:cstheme="minorHAnsi"/>
          <w:color w:val="FF0000"/>
          <w:sz w:val="24"/>
          <w:szCs w:val="24"/>
        </w:rPr>
      </w:pPr>
      <w:r w:rsidRPr="007F4A84">
        <w:rPr>
          <w:rFonts w:eastAsia="Times New Roman" w:cstheme="minorHAnsi"/>
          <w:color w:val="FF0000"/>
        </w:rPr>
        <w:t>The c statistics demonstrate good discrimination of the model in all cohorts.  The Hosmer-</w:t>
      </w:r>
      <w:proofErr w:type="spellStart"/>
      <w:r w:rsidRPr="007F4A84">
        <w:rPr>
          <w:rFonts w:eastAsia="Times New Roman" w:cstheme="minorHAnsi"/>
          <w:color w:val="FF0000"/>
        </w:rPr>
        <w:t>Lemeshow</w:t>
      </w:r>
      <w:proofErr w:type="spellEnd"/>
      <w:r w:rsidRPr="007F4A84">
        <w:rPr>
          <w:rFonts w:eastAsia="Times New Roman" w:cstheme="minorHAnsi"/>
          <w:color w:val="FF0000"/>
        </w:rPr>
        <w:t xml:space="preserve"> tests do not indicate poor calibration or lack of fit in any cohort.</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487F2747" w14:textId="77777777" w:rsidR="007F4A8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3CE767D6" w14:textId="38BC7675" w:rsidR="007F4A84" w:rsidRPr="007F4A84" w:rsidRDefault="007F4A84" w:rsidP="007F4A84">
      <w:pPr>
        <w:spacing w:after="0" w:line="240" w:lineRule="auto"/>
        <w:rPr>
          <w:rFonts w:ascii="Calibri" w:eastAsia="Times New Roman" w:hAnsi="Calibri" w:cs="Calibri"/>
          <w:color w:val="FF0000"/>
        </w:rPr>
      </w:pPr>
      <w:r w:rsidRPr="007F4A84">
        <w:rPr>
          <w:rFonts w:ascii="Calibri" w:eastAsia="Times New Roman" w:hAnsi="Calibri" w:cs="Calibri"/>
          <w:color w:val="FF0000"/>
        </w:rPr>
        <w:t>Primary electrophysiology cases, ablation cases, pericardiocentesis only, and thoracentesis only do not meet the definition of congenital heart catheterizations and were not entered into the Congenital Cardiac Catheterization Project on Outcomes -- Quality Improvement registry.  No testing was performed on these cases.</w:t>
      </w:r>
    </w:p>
    <w:p w14:paraId="14874BB8" w14:textId="77777777" w:rsidR="007F4A84" w:rsidRPr="007F4A84" w:rsidRDefault="007F4A84" w:rsidP="007F4A84">
      <w:pPr>
        <w:spacing w:after="0" w:line="240" w:lineRule="auto"/>
        <w:rPr>
          <w:rFonts w:ascii="Calibri" w:eastAsia="Times New Roman" w:hAnsi="Calibri" w:cs="Calibri"/>
          <w:color w:val="FF0000"/>
        </w:rPr>
      </w:pPr>
    </w:p>
    <w:p w14:paraId="0CABCFE4" w14:textId="61F40B05" w:rsidR="00833325" w:rsidRPr="007F4A84" w:rsidRDefault="007F4A84" w:rsidP="007F4A84">
      <w:pPr>
        <w:spacing w:after="0" w:line="240" w:lineRule="auto"/>
        <w:rPr>
          <w:rFonts w:ascii="Calibri" w:eastAsia="Times New Roman" w:hAnsi="Calibri" w:cs="Calibri"/>
          <w:color w:val="FF0000"/>
        </w:rPr>
      </w:pPr>
      <w:r w:rsidRPr="007F4A84">
        <w:rPr>
          <w:rFonts w:ascii="Calibri" w:eastAsia="Times New Roman" w:hAnsi="Calibri" w:cs="Calibri"/>
          <w:color w:val="FF0000"/>
        </w:rPr>
        <w:t>Procedures which could not be assigned to a case type, and were therefore not able to be placed into a case type risk category, were also excluded from analysis.  Many of these procedures were novel, with insufficient evidence (either empirical or judgment-based) to allow quantification of their association with adverse event occurrence.  Patient characteristics were compared for these excluded cases and those in the analysis cohort.</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40D8308D" w14:textId="77777777" w:rsidR="007F4A84" w:rsidRDefault="00092566" w:rsidP="00092566">
      <w:pPr>
        <w:autoSpaceDE w:val="0"/>
        <w:autoSpaceDN w:val="0"/>
        <w:adjustRightInd w:val="0"/>
        <w:spacing w:after="0" w:line="240" w:lineRule="auto"/>
        <w:rPr>
          <w:rFonts w:cstheme="minorHAnsi"/>
          <w:bCs/>
        </w:rPr>
      </w:pPr>
      <w:r>
        <w:rPr>
          <w:rFonts w:cstheme="minorHAnsi"/>
          <w:b/>
          <w:bCs/>
        </w:rPr>
        <w:lastRenderedPageBreak/>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0CABCFE6" w14:textId="4C176A80" w:rsidR="007422FD"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sz w:val="12"/>
          <w:szCs w:val="12"/>
        </w:rPr>
        <w:t> </w:t>
      </w:r>
      <w:r w:rsidRPr="007F4A84">
        <w:rPr>
          <w:rFonts w:ascii="Calibri" w:eastAsia="Times New Roman" w:hAnsi="Calibri" w:cs="Calibri"/>
          <w:color w:val="FF0000"/>
        </w:rPr>
        <w:t>Over the years 2014-2017, there were 2291 cases entered into the registry (9.0% of total cases) which could not be assigned to a case type.  These cases do not differ substantially from those in the analysis cohort, except that excluded cases were more likely to have undergone either cardiac surgery or cardiac catheterization in the 90 days prior to the primary procedure (23% versus 14%), and were more likely to have a hemodynamic score equal to 0 (no hemodynamic vulnerability, 70% versus 55%).</w:t>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56D2C348" w14:textId="77777777" w:rsidR="007F4A8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0CABCFE8" w14:textId="1C385B8A" w:rsidR="007422FD"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These cases are excluded because the CHARM II risk adjustment procedure requires that all cases be placed into a risk category quantifying their association with adverse event occurrence</w:t>
      </w:r>
      <w:r w:rsidR="004375CF">
        <w:rPr>
          <w:rFonts w:ascii="Calibri" w:eastAsia="Times New Roman" w:hAnsi="Calibri" w:cs="Calibri"/>
          <w:color w:val="FF0000"/>
        </w:rPr>
        <w:t>, which</w:t>
      </w:r>
      <w:r w:rsidRPr="007F4A84">
        <w:rPr>
          <w:rFonts w:ascii="Calibri" w:eastAsia="Times New Roman" w:hAnsi="Calibri" w:cs="Calibri"/>
          <w:color w:val="FF0000"/>
        </w:rPr>
        <w:t xml:space="preserve"> is not possible for these cases.</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7777777" w:rsidR="00033038" w:rsidRPr="005232D6" w:rsidRDefault="00B92B08"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0DAB7CAF" w:rsidR="00743E46" w:rsidRPr="005232D6" w:rsidRDefault="00B92B08"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7F4A84">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7F4A84">
            <w:rPr>
              <w:rStyle w:val="Style4"/>
              <w:u w:val="none"/>
            </w:rPr>
            <w:t>3</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B92B08"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B92B08"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9BFB154" w14:textId="77777777" w:rsidR="007F4A84" w:rsidRPr="007F4A84" w:rsidRDefault="007F4A84" w:rsidP="007F4A84">
      <w:pPr>
        <w:spacing w:line="240" w:lineRule="auto"/>
        <w:rPr>
          <w:rFonts w:ascii="Calibri" w:eastAsia="Times New Roman" w:hAnsi="Calibri" w:cs="Calibri"/>
          <w:color w:val="FF0000"/>
          <w:sz w:val="24"/>
          <w:szCs w:val="24"/>
        </w:rPr>
      </w:pPr>
      <w:r w:rsidRPr="007F4A84">
        <w:rPr>
          <w:rFonts w:ascii="Calibri" w:eastAsia="Times New Roman" w:hAnsi="Calibri" w:cs="Calibri"/>
          <w:color w:val="FF0000"/>
        </w:rPr>
        <w:t>The three factors in the risk adjustment model are: case type risk category (risk categories 1 through 5, with category 1 representing procedures with the lowest risk for major adverse events, and category 5 the highest), hemodynamic score (values 0, 1, 2, or ≥3), and age group &lt;1 month, 1-11 months, 1-18 years, or ≥19 years. These factors were selected based on analysis of the model derivation cohort using logistic regression; each risk factor was statistically significant at the 0.05 level in the final multivariable model, based on a likelihood ratio test. Please see the data dictionary for details of the CHARM II risk category and hemodynamic vulnerability score definitions. </w:t>
      </w:r>
    </w:p>
    <w:p w14:paraId="713C165F" w14:textId="29E1613A" w:rsidR="007F4A84" w:rsidRPr="007F4A84" w:rsidRDefault="007F4A84" w:rsidP="007F4A84">
      <w:pPr>
        <w:spacing w:line="240" w:lineRule="auto"/>
        <w:rPr>
          <w:rFonts w:ascii="Calibri" w:eastAsia="Times New Roman" w:hAnsi="Calibri" w:cs="Calibri"/>
          <w:color w:val="FF0000"/>
          <w:sz w:val="24"/>
          <w:szCs w:val="24"/>
        </w:rPr>
      </w:pPr>
      <w:r w:rsidRPr="007F4A84">
        <w:rPr>
          <w:rFonts w:ascii="Calibri" w:eastAsia="Times New Roman" w:hAnsi="Calibri" w:cs="Calibri"/>
          <w:color w:val="FF0000"/>
        </w:rPr>
        <w:t>Final model based on all eligible cases, all ages: </w:t>
      </w:r>
    </w:p>
    <w:tbl>
      <w:tblPr>
        <w:tblW w:w="0" w:type="auto"/>
        <w:tblCellMar>
          <w:top w:w="15" w:type="dxa"/>
          <w:left w:w="15" w:type="dxa"/>
          <w:bottom w:w="15" w:type="dxa"/>
          <w:right w:w="15" w:type="dxa"/>
        </w:tblCellMar>
        <w:tblLook w:val="04A0" w:firstRow="1" w:lastRow="0" w:firstColumn="1" w:lastColumn="0" w:noHBand="0" w:noVBand="1"/>
      </w:tblPr>
      <w:tblGrid>
        <w:gridCol w:w="2307"/>
        <w:gridCol w:w="1800"/>
        <w:gridCol w:w="1178"/>
        <w:gridCol w:w="2376"/>
        <w:gridCol w:w="870"/>
      </w:tblGrid>
      <w:tr w:rsidR="007F4A84" w:rsidRPr="007F4A84" w14:paraId="2EE7D163" w14:textId="77777777" w:rsidTr="007F4A84">
        <w:trPr>
          <w:trHeight w:val="38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333C37"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99CDA4"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Model Coefficient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72E73F"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Odds Ratio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1E071F"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95% Confidence Interval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0402AF"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P Value</w:t>
            </w:r>
          </w:p>
        </w:tc>
      </w:tr>
      <w:tr w:rsidR="007F4A84" w:rsidRPr="007F4A84" w14:paraId="109B55CB" w14:textId="77777777" w:rsidTr="007F4A84">
        <w:trPr>
          <w:trHeight w:val="167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588654"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CHARM II Risk Category</w:t>
            </w:r>
          </w:p>
          <w:p w14:paraId="7526034D"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 </w:t>
            </w:r>
            <w:r w:rsidRPr="007F4A84">
              <w:rPr>
                <w:rFonts w:ascii="Calibri" w:eastAsia="Times New Roman" w:hAnsi="Calibri" w:cs="Calibri"/>
                <w:color w:val="FF0000"/>
              </w:rPr>
              <w:tab/>
              <w:t>1</w:t>
            </w:r>
          </w:p>
          <w:p w14:paraId="4E59A96B"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 </w:t>
            </w:r>
            <w:r w:rsidRPr="007F4A84">
              <w:rPr>
                <w:rFonts w:ascii="Calibri" w:eastAsia="Times New Roman" w:hAnsi="Calibri" w:cs="Calibri"/>
                <w:color w:val="FF0000"/>
              </w:rPr>
              <w:tab/>
              <w:t>2</w:t>
            </w:r>
          </w:p>
          <w:p w14:paraId="60C53EDE"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 </w:t>
            </w:r>
            <w:r w:rsidRPr="007F4A84">
              <w:rPr>
                <w:rFonts w:ascii="Calibri" w:eastAsia="Times New Roman" w:hAnsi="Calibri" w:cs="Calibri"/>
                <w:color w:val="FF0000"/>
              </w:rPr>
              <w:tab/>
              <w:t>3</w:t>
            </w:r>
          </w:p>
          <w:p w14:paraId="0A09B20E"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 </w:t>
            </w:r>
            <w:r w:rsidRPr="007F4A84">
              <w:rPr>
                <w:rFonts w:ascii="Calibri" w:eastAsia="Times New Roman" w:hAnsi="Calibri" w:cs="Calibri"/>
                <w:color w:val="FF0000"/>
              </w:rPr>
              <w:tab/>
              <w:t>4</w:t>
            </w:r>
          </w:p>
          <w:p w14:paraId="310069AD"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 </w:t>
            </w:r>
            <w:r w:rsidRPr="007F4A84">
              <w:rPr>
                <w:rFonts w:ascii="Calibri" w:eastAsia="Times New Roman" w:hAnsi="Calibri" w:cs="Calibri"/>
                <w:color w:val="FF0000"/>
              </w:rPr>
              <w:tab/>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E2DA3A"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w:t>
            </w:r>
          </w:p>
          <w:p w14:paraId="54DACEBE"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w:t>
            </w:r>
          </w:p>
          <w:p w14:paraId="693A299C"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0.9254</w:t>
            </w:r>
          </w:p>
          <w:p w14:paraId="775B36A9"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1.2577</w:t>
            </w:r>
          </w:p>
          <w:p w14:paraId="014CEE4E"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1.5859</w:t>
            </w:r>
          </w:p>
          <w:p w14:paraId="7F5ED204"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2.0525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ABDFAF"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w:t>
            </w:r>
          </w:p>
          <w:p w14:paraId="23B12819"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1.00</w:t>
            </w:r>
          </w:p>
          <w:p w14:paraId="5E5C13BB"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2.52</w:t>
            </w:r>
          </w:p>
          <w:p w14:paraId="0D6DE62C"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3.52</w:t>
            </w:r>
          </w:p>
          <w:p w14:paraId="4C23D56A"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4.88</w:t>
            </w:r>
          </w:p>
          <w:p w14:paraId="15BF1C87"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7.79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B6126D"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w:t>
            </w:r>
          </w:p>
          <w:p w14:paraId="66EDBFF4"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w:t>
            </w:r>
          </w:p>
          <w:p w14:paraId="49E9E41C"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1.53, 4.16</w:t>
            </w:r>
          </w:p>
          <w:p w14:paraId="2CE0D24D"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2.06, 6.00</w:t>
            </w:r>
          </w:p>
          <w:p w14:paraId="47F09C6E"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2.85, 8.36</w:t>
            </w:r>
          </w:p>
          <w:p w14:paraId="74ADF43C"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4.60, 13.2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7F9E8D"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w:t>
            </w:r>
          </w:p>
          <w:p w14:paraId="4AF271B2"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w:t>
            </w:r>
          </w:p>
          <w:p w14:paraId="520097C6"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&lt;0.001</w:t>
            </w:r>
          </w:p>
          <w:p w14:paraId="7BCB6629"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&lt;0.001</w:t>
            </w:r>
          </w:p>
          <w:p w14:paraId="451B2DED"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&lt;0.001</w:t>
            </w:r>
          </w:p>
          <w:p w14:paraId="3EBDC0D4"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&lt;0.001</w:t>
            </w:r>
          </w:p>
        </w:tc>
      </w:tr>
      <w:tr w:rsidR="007F4A84" w:rsidRPr="007F4A84" w14:paraId="538347B6" w14:textId="77777777" w:rsidTr="007F4F4E">
        <w:trPr>
          <w:trHeight w:val="123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36F8E1"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lastRenderedPageBreak/>
              <w:t>Hemodynamic Score</w:t>
            </w:r>
          </w:p>
          <w:p w14:paraId="01F6A90F"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 </w:t>
            </w:r>
            <w:r w:rsidRPr="007F4A84">
              <w:rPr>
                <w:rFonts w:ascii="Calibri" w:eastAsia="Times New Roman" w:hAnsi="Calibri" w:cs="Calibri"/>
                <w:color w:val="FF0000"/>
              </w:rPr>
              <w:tab/>
              <w:t>0</w:t>
            </w:r>
          </w:p>
          <w:p w14:paraId="6EC04557"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 </w:t>
            </w:r>
            <w:r w:rsidRPr="007F4A84">
              <w:rPr>
                <w:rFonts w:ascii="Calibri" w:eastAsia="Times New Roman" w:hAnsi="Calibri" w:cs="Calibri"/>
                <w:color w:val="FF0000"/>
              </w:rPr>
              <w:tab/>
              <w:t>1</w:t>
            </w:r>
          </w:p>
          <w:p w14:paraId="613110D8"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 </w:t>
            </w:r>
            <w:r w:rsidRPr="007F4A84">
              <w:rPr>
                <w:rFonts w:ascii="Calibri" w:eastAsia="Times New Roman" w:hAnsi="Calibri" w:cs="Calibri"/>
                <w:color w:val="FF0000"/>
              </w:rPr>
              <w:tab/>
              <w:t>2</w:t>
            </w:r>
          </w:p>
          <w:p w14:paraId="32601127"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 </w:t>
            </w:r>
            <w:r w:rsidRPr="007F4A84">
              <w:rPr>
                <w:rFonts w:ascii="Calibri" w:eastAsia="Times New Roman" w:hAnsi="Calibri" w:cs="Calibri"/>
                <w:color w:val="FF0000"/>
              </w:rPr>
              <w:tab/>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7EC11D"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w:t>
            </w:r>
          </w:p>
          <w:p w14:paraId="5BC33500"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w:t>
            </w:r>
          </w:p>
          <w:p w14:paraId="6AD51511"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0.1766</w:t>
            </w:r>
          </w:p>
          <w:p w14:paraId="0B9625BD"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0.6744</w:t>
            </w:r>
          </w:p>
          <w:p w14:paraId="1A32812E"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0.7193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927A0F"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w:t>
            </w:r>
          </w:p>
          <w:p w14:paraId="74615BB3"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1.00</w:t>
            </w:r>
          </w:p>
          <w:p w14:paraId="5607E274"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1.19</w:t>
            </w:r>
          </w:p>
          <w:p w14:paraId="078762DF"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1.96</w:t>
            </w:r>
          </w:p>
          <w:p w14:paraId="6FE8B99C"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2.05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258324"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w:t>
            </w:r>
          </w:p>
          <w:p w14:paraId="1024E475"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w:t>
            </w:r>
          </w:p>
          <w:p w14:paraId="725D10F3"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0.86, 1.65</w:t>
            </w:r>
          </w:p>
          <w:p w14:paraId="7760402C"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1.44, 2.67</w:t>
            </w:r>
          </w:p>
          <w:p w14:paraId="428AC89A"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1.49, 2.83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3E9615"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w:t>
            </w:r>
          </w:p>
          <w:p w14:paraId="3910912D"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w:t>
            </w:r>
          </w:p>
          <w:p w14:paraId="4B9E3441"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0.28</w:t>
            </w:r>
          </w:p>
          <w:p w14:paraId="0F477157"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&lt;0.001</w:t>
            </w:r>
          </w:p>
          <w:p w14:paraId="42D3D446"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&lt;0.001</w:t>
            </w:r>
          </w:p>
        </w:tc>
      </w:tr>
      <w:tr w:rsidR="007F4A84" w:rsidRPr="007F4A84" w14:paraId="6ECB1C52" w14:textId="77777777" w:rsidTr="007F4F4E">
        <w:trPr>
          <w:trHeight w:val="137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62F97D"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Age</w:t>
            </w:r>
          </w:p>
          <w:p w14:paraId="660A3196"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 </w:t>
            </w:r>
            <w:r w:rsidRPr="007F4A84">
              <w:rPr>
                <w:rFonts w:ascii="Calibri" w:eastAsia="Times New Roman" w:hAnsi="Calibri" w:cs="Calibri"/>
                <w:color w:val="FF0000"/>
              </w:rPr>
              <w:tab/>
              <w:t>&lt;1 month</w:t>
            </w:r>
          </w:p>
          <w:p w14:paraId="301D2707"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 </w:t>
            </w:r>
            <w:r w:rsidRPr="007F4A84">
              <w:rPr>
                <w:rFonts w:ascii="Calibri" w:eastAsia="Times New Roman" w:hAnsi="Calibri" w:cs="Calibri"/>
                <w:color w:val="FF0000"/>
              </w:rPr>
              <w:tab/>
              <w:t>1 to 11 months</w:t>
            </w:r>
          </w:p>
          <w:p w14:paraId="696F01B8"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 </w:t>
            </w:r>
            <w:r w:rsidRPr="007F4A84">
              <w:rPr>
                <w:rFonts w:ascii="Calibri" w:eastAsia="Times New Roman" w:hAnsi="Calibri" w:cs="Calibri"/>
                <w:color w:val="FF0000"/>
              </w:rPr>
              <w:tab/>
              <w:t>1 to 18 years</w:t>
            </w:r>
          </w:p>
          <w:p w14:paraId="62A1E94D"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 </w:t>
            </w:r>
            <w:r w:rsidRPr="007F4A84">
              <w:rPr>
                <w:rFonts w:ascii="Calibri" w:eastAsia="Times New Roman" w:hAnsi="Calibri" w:cs="Calibri"/>
                <w:color w:val="FF0000"/>
              </w:rPr>
              <w:tab/>
              <w:t>≥19 years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8019AB"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w:t>
            </w:r>
          </w:p>
          <w:p w14:paraId="6565A822"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0.8561</w:t>
            </w:r>
          </w:p>
          <w:p w14:paraId="07F019AA"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0.5389</w:t>
            </w:r>
          </w:p>
          <w:p w14:paraId="21154528"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w:t>
            </w:r>
          </w:p>
          <w:p w14:paraId="480AE46D"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0.5960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E9FBB8"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w:t>
            </w:r>
          </w:p>
          <w:p w14:paraId="7F6A9EAD"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2.35</w:t>
            </w:r>
          </w:p>
          <w:p w14:paraId="38565513"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1.71</w:t>
            </w:r>
          </w:p>
          <w:p w14:paraId="630A880D"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1.00</w:t>
            </w:r>
          </w:p>
          <w:p w14:paraId="261245DF"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1.82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0F4C1D"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w:t>
            </w:r>
          </w:p>
          <w:p w14:paraId="33E7AEAE"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1.64, 3.38</w:t>
            </w:r>
          </w:p>
          <w:p w14:paraId="5A252140"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1.29, 2.27</w:t>
            </w:r>
          </w:p>
          <w:p w14:paraId="5D797E7F"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w:t>
            </w:r>
          </w:p>
          <w:p w14:paraId="18F6BDB5"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1.28, 2.57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D88DFD"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w:t>
            </w:r>
          </w:p>
          <w:p w14:paraId="2ACBF675"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&lt;0.001</w:t>
            </w:r>
          </w:p>
          <w:p w14:paraId="6DBAAE48"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&lt;0.001</w:t>
            </w:r>
          </w:p>
          <w:p w14:paraId="2DBD00CF"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w:t>
            </w:r>
          </w:p>
          <w:p w14:paraId="46D4DA65"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  0.001</w:t>
            </w:r>
          </w:p>
        </w:tc>
      </w:tr>
      <w:tr w:rsidR="007F4A84" w:rsidRPr="007F4A84" w14:paraId="71497383" w14:textId="77777777" w:rsidTr="007F4A84">
        <w:trPr>
          <w:trHeight w:val="32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0A6882"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Intercept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57FA4D"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-5.9689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2A22DB"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880A74"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05F30A" w14:textId="77777777" w:rsidR="007F4A84" w:rsidRPr="007F4A84" w:rsidRDefault="007F4A84" w:rsidP="007F4A84">
            <w:pPr>
              <w:spacing w:after="0" w:line="240" w:lineRule="auto"/>
              <w:jc w:val="center"/>
              <w:rPr>
                <w:rFonts w:ascii="Calibri" w:eastAsia="Times New Roman" w:hAnsi="Calibri" w:cs="Calibri"/>
                <w:color w:val="FF0000"/>
                <w:sz w:val="24"/>
                <w:szCs w:val="24"/>
              </w:rPr>
            </w:pPr>
            <w:r w:rsidRPr="007F4A84">
              <w:rPr>
                <w:rFonts w:ascii="Calibri" w:eastAsia="Times New Roman" w:hAnsi="Calibri" w:cs="Calibri"/>
                <w:color w:val="FF0000"/>
              </w:rPr>
              <w:t>--</w:t>
            </w:r>
          </w:p>
        </w:tc>
      </w:tr>
    </w:tbl>
    <w:p w14:paraId="0A1E352E" w14:textId="77777777" w:rsidR="00AF2D68" w:rsidRDefault="00AF2D68" w:rsidP="009D3882">
      <w:pPr>
        <w:rPr>
          <w:rFonts w:cs="Calibri"/>
          <w:b/>
          <w:bCs/>
        </w:rPr>
      </w:pPr>
    </w:p>
    <w:p w14:paraId="09F47723" w14:textId="77777777" w:rsidR="007F4F4E" w:rsidRDefault="009C7513" w:rsidP="009D3882">
      <w:pPr>
        <w:rPr>
          <w:rFonts w:cs="Calibri"/>
          <w:bCs/>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p>
    <w:p w14:paraId="0CABCFF4" w14:textId="185B8470" w:rsidR="009D3882" w:rsidRPr="007F4F4E" w:rsidRDefault="007F4A84" w:rsidP="009D3882">
      <w:pPr>
        <w:rPr>
          <w:rFonts w:cs="Calibri"/>
          <w:bCs/>
        </w:rPr>
      </w:pPr>
      <w:r w:rsidRPr="007F4A84">
        <w:rPr>
          <w:rFonts w:cs="Calibri"/>
          <w:bCs/>
          <w:color w:val="FF0000"/>
        </w:rPr>
        <w:t>N/A</w:t>
      </w:r>
      <w:r w:rsidR="009D3882">
        <w:rPr>
          <w:rFonts w:cs="Calibri"/>
          <w:bCs/>
        </w:rPr>
        <w:br/>
      </w:r>
    </w:p>
    <w:p w14:paraId="0FAA9BDD" w14:textId="77777777" w:rsidR="007F4A84"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0CABCFF6" w14:textId="7AFFB3ED" w:rsidR="00001D73" w:rsidRPr="007F4A84" w:rsidRDefault="007F4A84" w:rsidP="007F4A84">
      <w:pPr>
        <w:spacing w:after="0" w:line="240" w:lineRule="auto"/>
        <w:rPr>
          <w:rFonts w:ascii="Calibri" w:eastAsia="Times New Roman" w:hAnsi="Calibri" w:cs="Calibri"/>
          <w:sz w:val="24"/>
          <w:szCs w:val="24"/>
        </w:rPr>
      </w:pPr>
      <w:r w:rsidRPr="007F4A84">
        <w:rPr>
          <w:rFonts w:ascii="Calibri" w:eastAsia="Times New Roman" w:hAnsi="Calibri" w:cs="Calibri"/>
          <w:color w:val="FF0000"/>
        </w:rPr>
        <w:t>Patient and clinical factors possibly related to the occurrence of major adverse events based on prior work and/or expert opinion were measured at the time of the catheterization procedure.  A multivariable model was constructed using the 75% derivation cohort.  To determine which risk factors would be included in the model, a forward selection procedure was used.  Factors significant at the 0.20 level in univariable analysis were considered for inclusion.  Statistical significance at the 0.05 level based on the likelihood ratio test was required for retention in the final model.</w:t>
      </w:r>
      <w:r w:rsidR="00092566" w:rsidRPr="007F4A84">
        <w:rPr>
          <w:rFonts w:ascii="Calibri" w:hAnsi="Calibri" w:cs="Calibri"/>
          <w:bCs/>
        </w:rPr>
        <w:br/>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B92B0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B92B0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320A37DB" w:rsidR="00275563" w:rsidRDefault="00B92B0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1"/>
            <w14:checkedState w14:val="2612" w14:font="MS Gothic"/>
            <w14:uncheckedState w14:val="2610" w14:font="MS Gothic"/>
          </w14:checkbox>
        </w:sdtPr>
        <w:sdtContent>
          <w:r w:rsidR="007F4A84">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6CADDD4F"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Social risk factors including race, ethnicity, and socioeconomic position are not currently collected in the C3PO registry.  We did evaluate biological sex (male, female), and found no association with occurrence of major adverse events.</w:t>
      </w:r>
    </w:p>
    <w:p w14:paraId="65100B98" w14:textId="77777777" w:rsidR="007F4A84" w:rsidRPr="007F4A84" w:rsidRDefault="007F4A84" w:rsidP="007F4A84">
      <w:pPr>
        <w:spacing w:after="0" w:line="240" w:lineRule="auto"/>
        <w:rPr>
          <w:rFonts w:ascii="Calibri" w:eastAsia="Times New Roman" w:hAnsi="Calibri" w:cs="Calibri"/>
          <w:color w:val="FF0000"/>
          <w:sz w:val="24"/>
          <w:szCs w:val="24"/>
        </w:rPr>
      </w:pPr>
    </w:p>
    <w:p w14:paraId="3399B5A3" w14:textId="77777777"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lastRenderedPageBreak/>
        <w:t>To take a first step toward evaluating the impact of social risk factors on the occurrence of MAE, the proportion of cases with government insurance was collected at the institutional level and added to the model containing CHARM II risk category, hemodynamic score, and age group (Section 2b3.1.1).  Since this is an institution level variable, a generalized estimating equations (GEE) model was used to account for the lack of independence among patients within the same hospital.  The Wald test was used to assess the statistical significance of government insurance, adjusting for CHARM II risk factors.</w:t>
      </w:r>
    </w:p>
    <w:p w14:paraId="7C5644B4" w14:textId="4BF9E121" w:rsidR="00275563" w:rsidRPr="007F4F4E" w:rsidRDefault="007F4A84" w:rsidP="007F4F4E">
      <w:pPr>
        <w:spacing w:after="0" w:line="240" w:lineRule="auto"/>
        <w:rPr>
          <w:rFonts w:ascii="Times New Roman" w:eastAsia="Times New Roman" w:hAnsi="Times New Roman" w:cs="Times New Roman"/>
          <w:sz w:val="24"/>
          <w:szCs w:val="24"/>
        </w:rPr>
      </w:pPr>
      <w:r w:rsidRPr="007F4A84">
        <w:rPr>
          <w:rFonts w:ascii="Arial" w:eastAsia="Times New Roman" w:hAnsi="Arial" w:cs="Arial"/>
          <w:b/>
          <w:bCs/>
          <w:color w:val="000000"/>
        </w:rPr>
        <w:t> </w:t>
      </w:r>
    </w:p>
    <w:p w14:paraId="1B030659" w14:textId="77777777" w:rsidR="007F4A84"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p w14:paraId="0CABCFF7" w14:textId="4AF1E568" w:rsidR="00092566" w:rsidRPr="007F4A84" w:rsidRDefault="007F4A84" w:rsidP="007F4A84">
      <w:pPr>
        <w:spacing w:after="0" w:line="240" w:lineRule="auto"/>
        <w:rPr>
          <w:rFonts w:ascii="Calibri" w:eastAsia="Times New Roman" w:hAnsi="Calibri" w:cs="Calibri"/>
          <w:sz w:val="24"/>
          <w:szCs w:val="24"/>
        </w:rPr>
      </w:pPr>
      <w:r w:rsidRPr="007F4A84">
        <w:rPr>
          <w:rFonts w:ascii="Calibri" w:eastAsia="Times New Roman" w:hAnsi="Calibri" w:cs="Calibri"/>
          <w:color w:val="FF0000"/>
        </w:rPr>
        <w:t>Adjusting for risk category, hemodynamic score, and age, the odds ratio for MAE associated with a 5% increase in the percentage of patients with government insurance as the primary payor is 0.90, 95% confidence interval (0.82, 0.98), p=0.019.</w:t>
      </w:r>
      <w:r w:rsidR="00001D73" w:rsidRPr="007F4A84">
        <w:rPr>
          <w:rFonts w:ascii="Calibri" w:hAnsi="Calibri" w:cs="Calibri"/>
          <w:b/>
          <w:bCs/>
        </w:rPr>
        <w:br/>
      </w:r>
    </w:p>
    <w:p w14:paraId="0CABCFF8" w14:textId="3CFAB1B4" w:rsidR="00001D73"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788027F2" w14:textId="08B9E2BF" w:rsidR="007F4A84" w:rsidRPr="007F4A84" w:rsidRDefault="007F4A84" w:rsidP="007F4A84">
      <w:pPr>
        <w:spacing w:after="0" w:line="240" w:lineRule="auto"/>
        <w:rPr>
          <w:rFonts w:ascii="Calibri" w:eastAsia="Times New Roman" w:hAnsi="Calibri" w:cs="Calibri"/>
          <w:color w:val="FF0000"/>
          <w:sz w:val="24"/>
          <w:szCs w:val="24"/>
        </w:rPr>
      </w:pPr>
      <w:r w:rsidRPr="007F4A84">
        <w:rPr>
          <w:rFonts w:ascii="Calibri" w:eastAsia="Times New Roman" w:hAnsi="Calibri" w:cs="Calibri"/>
          <w:color w:val="FF0000"/>
        </w:rPr>
        <w:t xml:space="preserve">While the proportion of cases with primary payor government insurance is significantly associated with occurrence of MAE, the direction of the relationship is not intuitive.  Institutions where a greater proportion of cases have government insurance have a </w:t>
      </w:r>
      <w:proofErr w:type="gramStart"/>
      <w:r w:rsidRPr="007F4A84">
        <w:rPr>
          <w:rFonts w:ascii="Calibri" w:eastAsia="Times New Roman" w:hAnsi="Calibri" w:cs="Calibri"/>
          <w:color w:val="FF0000"/>
        </w:rPr>
        <w:t>lower odds of MAE</w:t>
      </w:r>
      <w:proofErr w:type="gramEnd"/>
      <w:r w:rsidRPr="007F4A84">
        <w:rPr>
          <w:rFonts w:ascii="Calibri" w:eastAsia="Times New Roman" w:hAnsi="Calibri" w:cs="Calibri"/>
          <w:color w:val="FF0000"/>
        </w:rPr>
        <w:t>. Noting that this variable was not collected at the patient level, it is possible that some other institutional characteristic is confounding the association.  Further exploration of this relationship and additional social risk factors is necessary.</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517F110E" w14:textId="77777777" w:rsidR="007F4A8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0CABCFFA" w14:textId="56B209C2" w:rsidR="00092566" w:rsidRPr="007F4A84" w:rsidRDefault="007F4A84" w:rsidP="007F4A84">
      <w:pPr>
        <w:spacing w:after="0" w:line="240" w:lineRule="auto"/>
        <w:rPr>
          <w:rFonts w:ascii="Calibri" w:eastAsia="Times New Roman" w:hAnsi="Calibri" w:cs="Calibri"/>
          <w:sz w:val="24"/>
          <w:szCs w:val="24"/>
        </w:rPr>
      </w:pPr>
      <w:r w:rsidRPr="007F4A84">
        <w:rPr>
          <w:rFonts w:ascii="Calibri" w:eastAsia="Times New Roman" w:hAnsi="Calibri" w:cs="Calibri"/>
          <w:color w:val="FF0000"/>
        </w:rPr>
        <w:t>Discrimination of the final risk adjustment model was quantified using the c statistic (area under the receiver-operator characteristic curve), and calibration was assessed using the Hosmer-</w:t>
      </w:r>
      <w:proofErr w:type="spellStart"/>
      <w:r w:rsidRPr="007F4A84">
        <w:rPr>
          <w:rFonts w:ascii="Calibri" w:eastAsia="Times New Roman" w:hAnsi="Calibri" w:cs="Calibri"/>
          <w:color w:val="FF0000"/>
        </w:rPr>
        <w:t>Lemeshow</w:t>
      </w:r>
      <w:proofErr w:type="spellEnd"/>
      <w:r w:rsidRPr="007F4A84">
        <w:rPr>
          <w:rFonts w:ascii="Calibri" w:eastAsia="Times New Roman" w:hAnsi="Calibri" w:cs="Calibri"/>
          <w:color w:val="FF0000"/>
        </w:rPr>
        <w:t xml:space="preserve"> test.</w:t>
      </w:r>
      <w:r w:rsidR="00092566" w:rsidRPr="007F4A84">
        <w:rPr>
          <w:rFonts w:ascii="Calibri" w:hAnsi="Calibri" w:cs="Calibr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3FDB2EC1" w14:textId="77777777" w:rsidR="007F4A84" w:rsidRDefault="00743E46" w:rsidP="007F4A84">
      <w:pPr>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0CABCFFD" w14:textId="6FA993D7" w:rsidR="00001D73" w:rsidRPr="007F4A84" w:rsidRDefault="007F4A84" w:rsidP="007F4A84">
      <w:pPr>
        <w:rPr>
          <w:rFonts w:eastAsia="Times New Roman" w:cstheme="minorHAnsi"/>
          <w:color w:val="FF0000"/>
          <w:sz w:val="24"/>
          <w:szCs w:val="24"/>
        </w:rPr>
      </w:pPr>
      <w:r w:rsidRPr="007F4A84">
        <w:rPr>
          <w:rFonts w:eastAsia="Times New Roman" w:cstheme="minorHAnsi"/>
          <w:color w:val="FF0000"/>
        </w:rPr>
        <w:t xml:space="preserve">For the population consisting of patients of all ages, the c statistic is 0.73 in the 75% derivation cohort, and 0.74 in the 25% validation cohort.  For the pediatric population age ≤18 years, the c statistic is 0.73.  </w:t>
      </w:r>
    </w:p>
    <w:p w14:paraId="399BA161" w14:textId="77777777" w:rsidR="007F4A8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0CABCFFE" w14:textId="13977628" w:rsidR="00001D73" w:rsidRPr="007F4A84" w:rsidRDefault="007F4A84" w:rsidP="007F4A84">
      <w:pPr>
        <w:spacing w:after="0" w:line="240" w:lineRule="auto"/>
        <w:rPr>
          <w:rFonts w:eastAsia="Times New Roman" w:cstheme="minorHAnsi"/>
          <w:sz w:val="24"/>
          <w:szCs w:val="24"/>
        </w:rPr>
      </w:pPr>
      <w:r w:rsidRPr="007F4A84">
        <w:rPr>
          <w:rFonts w:eastAsia="Times New Roman" w:cstheme="minorHAnsi"/>
          <w:color w:val="FF0000"/>
        </w:rPr>
        <w:t>For the population consisting of patients of all ages, the p values for the Hosmer-</w:t>
      </w:r>
      <w:proofErr w:type="spellStart"/>
      <w:r w:rsidRPr="007F4A84">
        <w:rPr>
          <w:rFonts w:eastAsia="Times New Roman" w:cstheme="minorHAnsi"/>
          <w:color w:val="FF0000"/>
        </w:rPr>
        <w:t>Lemeshow</w:t>
      </w:r>
      <w:proofErr w:type="spellEnd"/>
      <w:r w:rsidRPr="007F4A84">
        <w:rPr>
          <w:rFonts w:eastAsia="Times New Roman" w:cstheme="minorHAnsi"/>
          <w:color w:val="FF0000"/>
        </w:rPr>
        <w:t xml:space="preserve"> test are p=0.26 in the derivation cohort and p=0.60 in the validation cohort.  For the pediatric population age ≤18 years, the p value for the Hosmer-</w:t>
      </w:r>
      <w:proofErr w:type="spellStart"/>
      <w:r w:rsidRPr="007F4A84">
        <w:rPr>
          <w:rFonts w:eastAsia="Times New Roman" w:cstheme="minorHAnsi"/>
          <w:color w:val="FF0000"/>
        </w:rPr>
        <w:t>Lemeshow</w:t>
      </w:r>
      <w:proofErr w:type="spellEnd"/>
      <w:r w:rsidRPr="007F4A84">
        <w:rPr>
          <w:rFonts w:eastAsia="Times New Roman" w:cstheme="minorHAnsi"/>
          <w:color w:val="FF0000"/>
        </w:rPr>
        <w:t xml:space="preserve"> test is p=0.35.  </w:t>
      </w:r>
      <w:r w:rsidR="00092566" w:rsidRPr="007F4A84">
        <w:rPr>
          <w:rFonts w:cstheme="minorHAnsi"/>
          <w:bCs/>
        </w:rPr>
        <w:br/>
      </w:r>
    </w:p>
    <w:p w14:paraId="472184E6" w14:textId="77777777" w:rsidR="00AF1906"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5DC0C8D3" w14:textId="77777777" w:rsidR="00AF1906" w:rsidRPr="00AF1906" w:rsidRDefault="00AF1906" w:rsidP="00AF1906">
      <w:pPr>
        <w:spacing w:after="0" w:line="240" w:lineRule="auto"/>
        <w:rPr>
          <w:rFonts w:eastAsia="Times New Roman" w:cstheme="minorHAnsi"/>
          <w:color w:val="FF0000"/>
          <w:sz w:val="24"/>
          <w:szCs w:val="24"/>
        </w:rPr>
      </w:pPr>
      <w:r w:rsidRPr="00AF1906">
        <w:rPr>
          <w:rFonts w:eastAsia="Times New Roman" w:cstheme="minorHAnsi"/>
          <w:color w:val="FF0000"/>
        </w:rPr>
        <w:t>Calibration plot for derivation cohort:</w:t>
      </w:r>
    </w:p>
    <w:p w14:paraId="47E5359F" w14:textId="77777777" w:rsidR="00AF1906" w:rsidRPr="00AF1906" w:rsidRDefault="00AF1906" w:rsidP="00AF1906">
      <w:pPr>
        <w:spacing w:after="0" w:line="240" w:lineRule="auto"/>
        <w:rPr>
          <w:rFonts w:ascii="Times New Roman" w:eastAsia="Times New Roman" w:hAnsi="Times New Roman" w:cs="Times New Roman"/>
          <w:sz w:val="24"/>
          <w:szCs w:val="24"/>
        </w:rPr>
      </w:pPr>
    </w:p>
    <w:p w14:paraId="3F46EEFA" w14:textId="4DEB86D3" w:rsidR="00AF1906" w:rsidRPr="00AF1906" w:rsidRDefault="00AF1906" w:rsidP="00AF1906">
      <w:pPr>
        <w:spacing w:after="0" w:line="240" w:lineRule="auto"/>
        <w:rPr>
          <w:rFonts w:ascii="Times New Roman" w:eastAsia="Times New Roman" w:hAnsi="Times New Roman" w:cs="Times New Roman"/>
          <w:sz w:val="24"/>
          <w:szCs w:val="24"/>
        </w:rPr>
      </w:pPr>
      <w:r w:rsidRPr="00AF1906">
        <w:rPr>
          <w:rFonts w:ascii="Arial" w:eastAsia="Times New Roman" w:hAnsi="Arial" w:cs="Arial"/>
          <w:color w:val="FF00FF"/>
          <w:bdr w:val="none" w:sz="0" w:space="0" w:color="auto" w:frame="1"/>
        </w:rPr>
        <w:lastRenderedPageBreak/>
        <w:fldChar w:fldCharType="begin"/>
      </w:r>
      <w:r w:rsidRPr="00AF1906">
        <w:rPr>
          <w:rFonts w:ascii="Arial" w:eastAsia="Times New Roman" w:hAnsi="Arial" w:cs="Arial"/>
          <w:color w:val="FF00FF"/>
          <w:bdr w:val="none" w:sz="0" w:space="0" w:color="auto" w:frame="1"/>
        </w:rPr>
        <w:instrText xml:space="preserve"> INCLUDEPICTURE "https://lh4.googleusercontent.com/mdrB84nWVTK8CaD46yok_KTOKqAGYQITTGzIKVmWQH2AX2ZdaB1fsiyn8EWNgceA3nLaguAMX3cIRL_EI6UbG1cfLXDU1NtNon7Mz_Wcc19tJCC2QyACS3j3fXFZnYHiMvnLDxfZ" \* MERGEFORMATINET </w:instrText>
      </w:r>
      <w:r w:rsidRPr="00AF1906">
        <w:rPr>
          <w:rFonts w:ascii="Arial" w:eastAsia="Times New Roman" w:hAnsi="Arial" w:cs="Arial"/>
          <w:color w:val="FF00FF"/>
          <w:bdr w:val="none" w:sz="0" w:space="0" w:color="auto" w:frame="1"/>
        </w:rPr>
        <w:fldChar w:fldCharType="separate"/>
      </w:r>
      <w:r w:rsidRPr="00AF1906">
        <w:rPr>
          <w:rFonts w:ascii="Arial" w:eastAsia="Times New Roman" w:hAnsi="Arial" w:cs="Arial"/>
          <w:noProof/>
          <w:color w:val="FF00FF"/>
          <w:bdr w:val="none" w:sz="0" w:space="0" w:color="auto" w:frame="1"/>
        </w:rPr>
        <w:drawing>
          <wp:inline distT="0" distB="0" distL="0" distR="0" wp14:anchorId="238AD4B1" wp14:editId="0F51625D">
            <wp:extent cx="3408208" cy="2480807"/>
            <wp:effectExtent l="0" t="0" r="0" b="0"/>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7026" cy="2487225"/>
                    </a:xfrm>
                    <a:prstGeom prst="rect">
                      <a:avLst/>
                    </a:prstGeom>
                    <a:noFill/>
                    <a:ln>
                      <a:noFill/>
                    </a:ln>
                  </pic:spPr>
                </pic:pic>
              </a:graphicData>
            </a:graphic>
          </wp:inline>
        </w:drawing>
      </w:r>
      <w:r w:rsidRPr="00AF1906">
        <w:rPr>
          <w:rFonts w:ascii="Arial" w:eastAsia="Times New Roman" w:hAnsi="Arial" w:cs="Arial"/>
          <w:color w:val="FF00FF"/>
          <w:bdr w:val="none" w:sz="0" w:space="0" w:color="auto" w:frame="1"/>
        </w:rPr>
        <w:fldChar w:fldCharType="end"/>
      </w:r>
    </w:p>
    <w:p w14:paraId="1F4ABAF9" w14:textId="77777777" w:rsidR="00AF1906" w:rsidRPr="00AF1906" w:rsidRDefault="00AF1906" w:rsidP="00AF1906">
      <w:pPr>
        <w:spacing w:after="0" w:line="240" w:lineRule="auto"/>
        <w:rPr>
          <w:rFonts w:ascii="Times New Roman" w:eastAsia="Times New Roman" w:hAnsi="Times New Roman" w:cs="Times New Roman"/>
          <w:sz w:val="24"/>
          <w:szCs w:val="24"/>
        </w:rPr>
      </w:pPr>
    </w:p>
    <w:p w14:paraId="10F3A73F" w14:textId="77777777" w:rsidR="00AF1906" w:rsidRPr="00AF1906" w:rsidRDefault="00AF1906" w:rsidP="00AF1906">
      <w:pPr>
        <w:spacing w:after="0" w:line="240" w:lineRule="auto"/>
        <w:rPr>
          <w:rFonts w:eastAsia="Times New Roman" w:cstheme="minorHAnsi"/>
          <w:color w:val="FF0000"/>
          <w:sz w:val="24"/>
          <w:szCs w:val="24"/>
        </w:rPr>
      </w:pPr>
      <w:r w:rsidRPr="00AF1906">
        <w:rPr>
          <w:rFonts w:eastAsia="Times New Roman" w:cstheme="minorHAnsi"/>
          <w:color w:val="FF0000"/>
        </w:rPr>
        <w:t>Calibration plot for validation cohort:</w:t>
      </w:r>
    </w:p>
    <w:p w14:paraId="6E63C59F" w14:textId="77777777" w:rsidR="00AF1906" w:rsidRPr="00AF1906" w:rsidRDefault="00AF1906" w:rsidP="00AF1906">
      <w:pPr>
        <w:spacing w:after="0" w:line="240" w:lineRule="auto"/>
        <w:rPr>
          <w:rFonts w:ascii="Times New Roman" w:eastAsia="Times New Roman" w:hAnsi="Times New Roman" w:cs="Times New Roman"/>
          <w:sz w:val="24"/>
          <w:szCs w:val="24"/>
        </w:rPr>
      </w:pPr>
    </w:p>
    <w:p w14:paraId="04A14546" w14:textId="461AF748" w:rsidR="00AF1906" w:rsidRPr="00AF1906" w:rsidRDefault="00AF1906" w:rsidP="00AF1906">
      <w:pPr>
        <w:spacing w:after="0" w:line="240" w:lineRule="auto"/>
        <w:rPr>
          <w:rFonts w:ascii="Times New Roman" w:eastAsia="Times New Roman" w:hAnsi="Times New Roman" w:cs="Times New Roman"/>
          <w:sz w:val="24"/>
          <w:szCs w:val="24"/>
        </w:rPr>
      </w:pPr>
      <w:r w:rsidRPr="00AF1906">
        <w:rPr>
          <w:rFonts w:ascii="Arial" w:eastAsia="Times New Roman" w:hAnsi="Arial" w:cs="Arial"/>
          <w:color w:val="000000"/>
          <w:bdr w:val="none" w:sz="0" w:space="0" w:color="auto" w:frame="1"/>
        </w:rPr>
        <w:fldChar w:fldCharType="begin"/>
      </w:r>
      <w:r w:rsidRPr="00AF1906">
        <w:rPr>
          <w:rFonts w:ascii="Arial" w:eastAsia="Times New Roman" w:hAnsi="Arial" w:cs="Arial"/>
          <w:color w:val="000000"/>
          <w:bdr w:val="none" w:sz="0" w:space="0" w:color="auto" w:frame="1"/>
        </w:rPr>
        <w:instrText xml:space="preserve"> INCLUDEPICTURE "https://lh4.googleusercontent.com/5YIQg4ObWdBUQ5WjKbSVvLwYcV3_9g8iVrqzln7GUcLfrKIrtcCw9qlTBecQP02hzS6KRZ0qlaQ7ZLcBoOt-_FT6YoT5sOoXFugTih7EkvJ7vVDSB0CawgNrDTBmsSm0eDmWC_w1" \* MERGEFORMATINET </w:instrText>
      </w:r>
      <w:r w:rsidRPr="00AF1906">
        <w:rPr>
          <w:rFonts w:ascii="Arial" w:eastAsia="Times New Roman" w:hAnsi="Arial" w:cs="Arial"/>
          <w:color w:val="000000"/>
          <w:bdr w:val="none" w:sz="0" w:space="0" w:color="auto" w:frame="1"/>
        </w:rPr>
        <w:fldChar w:fldCharType="separate"/>
      </w:r>
      <w:r w:rsidRPr="00AF1906">
        <w:rPr>
          <w:rFonts w:ascii="Arial" w:eastAsia="Times New Roman" w:hAnsi="Arial" w:cs="Arial"/>
          <w:noProof/>
          <w:color w:val="000000"/>
          <w:bdr w:val="none" w:sz="0" w:space="0" w:color="auto" w:frame="1"/>
        </w:rPr>
        <w:drawing>
          <wp:inline distT="0" distB="0" distL="0" distR="0" wp14:anchorId="200E402D" wp14:editId="18192235">
            <wp:extent cx="3408045" cy="2484482"/>
            <wp:effectExtent l="0" t="0" r="0" b="5080"/>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6931" cy="2498250"/>
                    </a:xfrm>
                    <a:prstGeom prst="rect">
                      <a:avLst/>
                    </a:prstGeom>
                    <a:noFill/>
                    <a:ln>
                      <a:noFill/>
                    </a:ln>
                  </pic:spPr>
                </pic:pic>
              </a:graphicData>
            </a:graphic>
          </wp:inline>
        </w:drawing>
      </w:r>
      <w:r w:rsidRPr="00AF1906">
        <w:rPr>
          <w:rFonts w:ascii="Arial" w:eastAsia="Times New Roman" w:hAnsi="Arial" w:cs="Arial"/>
          <w:color w:val="000000"/>
          <w:bdr w:val="none" w:sz="0" w:space="0" w:color="auto" w:frame="1"/>
        </w:rPr>
        <w:fldChar w:fldCharType="end"/>
      </w:r>
    </w:p>
    <w:p w14:paraId="39EB401C" w14:textId="77777777" w:rsidR="00AF1906" w:rsidRPr="00AF1906" w:rsidRDefault="00AF1906" w:rsidP="00AF1906">
      <w:pPr>
        <w:spacing w:after="0" w:line="240" w:lineRule="auto"/>
        <w:rPr>
          <w:rFonts w:ascii="Times New Roman" w:eastAsia="Times New Roman" w:hAnsi="Times New Roman" w:cs="Times New Roman"/>
          <w:sz w:val="24"/>
          <w:szCs w:val="24"/>
        </w:rPr>
      </w:pPr>
    </w:p>
    <w:p w14:paraId="0CABCFFF" w14:textId="2A778B23" w:rsidR="00743E46" w:rsidRDefault="00092566" w:rsidP="00092566">
      <w:pPr>
        <w:autoSpaceDE w:val="0"/>
        <w:autoSpaceDN w:val="0"/>
        <w:adjustRightInd w:val="0"/>
        <w:spacing w:after="0" w:line="240" w:lineRule="auto"/>
        <w:rPr>
          <w:rFonts w:cstheme="minorHAnsi"/>
          <w:b/>
        </w:rPr>
      </w:pPr>
      <w:r w:rsidRPr="00A25024">
        <w:rPr>
          <w:rFonts w:cstheme="minorHAnsi"/>
          <w:bCs/>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2" w:name="question2b49"/>
      <w:bookmarkEnd w:id="12"/>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377B5DE8" w:rsidR="00092566" w:rsidRPr="00AF1906" w:rsidRDefault="00AF1906" w:rsidP="00AF1906">
      <w:pPr>
        <w:rPr>
          <w:rFonts w:cstheme="minorHAnsi"/>
          <w:bCs/>
          <w:color w:val="FF0000"/>
        </w:rPr>
      </w:pPr>
      <w:r w:rsidRPr="00AF1906">
        <w:rPr>
          <w:rFonts w:cstheme="minorHAnsi"/>
          <w:bCs/>
          <w:color w:val="FF0000"/>
        </w:rPr>
        <w:t>N/A</w:t>
      </w:r>
    </w:p>
    <w:p w14:paraId="0CABD002" w14:textId="2B7A6B35" w:rsidR="00092566" w:rsidRPr="00AF1906" w:rsidRDefault="009C7513" w:rsidP="00AF1906">
      <w:pPr>
        <w:rPr>
          <w:rFonts w:ascii="Times New Roman" w:eastAsia="Times New Roman" w:hAnsi="Times New Roman" w:cs="Times New Roman"/>
          <w:sz w:val="24"/>
          <w:szCs w:val="24"/>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AF1906" w:rsidRPr="00AF1906">
        <w:rPr>
          <w:rFonts w:eastAsia="Times New Roman" w:cstheme="minorHAnsi"/>
          <w:color w:val="FF0000"/>
        </w:rPr>
        <w:t>The c statistics demonstrate good discrimination of the model in all cohorts.  The Hosmer-</w:t>
      </w:r>
      <w:proofErr w:type="spellStart"/>
      <w:r w:rsidR="00AF1906" w:rsidRPr="00AF1906">
        <w:rPr>
          <w:rFonts w:eastAsia="Times New Roman" w:cstheme="minorHAnsi"/>
          <w:color w:val="FF0000"/>
        </w:rPr>
        <w:t>Lemeshow</w:t>
      </w:r>
      <w:proofErr w:type="spellEnd"/>
      <w:r w:rsidR="00AF1906" w:rsidRPr="00AF1906">
        <w:rPr>
          <w:rFonts w:eastAsia="Times New Roman" w:cstheme="minorHAnsi"/>
          <w:color w:val="FF0000"/>
        </w:rPr>
        <w:t xml:space="preserve"> tests do not indicate poor calibration or lack of fit in any cohort.</w:t>
      </w:r>
    </w:p>
    <w:p w14:paraId="0CABD003" w14:textId="77777777" w:rsidR="00092566" w:rsidRPr="00A25024" w:rsidRDefault="00092566" w:rsidP="00092566">
      <w:pPr>
        <w:spacing w:after="0" w:line="240" w:lineRule="auto"/>
        <w:rPr>
          <w:rFonts w:cstheme="minorHAnsi"/>
        </w:rPr>
      </w:pPr>
    </w:p>
    <w:p w14:paraId="0CABD004" w14:textId="126F9DF5" w:rsidR="00021170" w:rsidRDefault="009C7513" w:rsidP="009B1A15">
      <w:pPr>
        <w:spacing w:after="0" w:line="240" w:lineRule="auto"/>
        <w:rPr>
          <w:rFonts w:cstheme="minorHAnsi"/>
        </w:rPr>
      </w:pPr>
      <w:r>
        <w:rPr>
          <w:rFonts w:cstheme="minorHAnsi"/>
          <w:b/>
          <w:highlight w:val="green"/>
        </w:rPr>
        <w:lastRenderedPageBreak/>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533FB661" w:rsidR="003755CB" w:rsidRPr="00AF1906" w:rsidRDefault="00AF1906" w:rsidP="00AF1906">
      <w:pPr>
        <w:spacing w:after="0" w:line="240" w:lineRule="auto"/>
        <w:rPr>
          <w:rFonts w:cstheme="minorHAnsi"/>
          <w:color w:val="FF0000"/>
        </w:rPr>
      </w:pPr>
      <w:r w:rsidRPr="00AF1906">
        <w:rPr>
          <w:rFonts w:cstheme="minorHAnsi"/>
          <w:color w:val="FF0000"/>
        </w:rPr>
        <w:t>N/A</w:t>
      </w: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3" w:name="section2b5"/>
      <w:bookmarkEnd w:id="13"/>
      <w:r>
        <w:rPr>
          <w:rFonts w:cstheme="minorHAnsi"/>
          <w:b/>
          <w:bCs/>
        </w:rPr>
        <w:t>2b4</w:t>
      </w:r>
      <w:r w:rsidR="00D61410" w:rsidRPr="00A25024">
        <w:rPr>
          <w:rFonts w:cstheme="minorHAnsi"/>
          <w:b/>
          <w:bCs/>
        </w:rPr>
        <w:t>. IDENTIFICATION OF STATISTICALLY SIGNIFICANT &amp; MEANINGFUL DIFFERENCES IN PERFORMANCE</w:t>
      </w:r>
    </w:p>
    <w:p w14:paraId="0CABD009" w14:textId="5D36E4E6" w:rsidR="00D61410" w:rsidRPr="00AF1906" w:rsidRDefault="009C7513" w:rsidP="00AF1906">
      <w:pPr>
        <w:rPr>
          <w:rFonts w:ascii="Times New Roman" w:eastAsia="Times New Roman" w:hAnsi="Times New Roman" w:cs="Times New Roman"/>
          <w:sz w:val="24"/>
          <w:szCs w:val="24"/>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D61410" w:rsidRPr="00AF1906">
        <w:rPr>
          <w:rFonts w:cstheme="minorHAnsi"/>
          <w:bCs/>
          <w:color w:val="FF0000"/>
        </w:rPr>
        <w:t xml:space="preserve"> </w:t>
      </w:r>
      <w:r w:rsidR="00AF1906" w:rsidRPr="00AF1906">
        <w:rPr>
          <w:rFonts w:eastAsia="Times New Roman" w:cstheme="minorHAnsi"/>
          <w:color w:val="FF0000"/>
        </w:rPr>
        <w:t>The multivariable logistic regression model was used to generate expected rates of major adverse events based on case mix for each institution in the 2014-2017 dataset, assuming the average performance within the registry.  These expected rates were used to calculate standardized adverse event ratios (SAER) for each institution, along with 95% confidence intervals.  If the 95% confidence interval for an SAER does not contain the value 1, this suggests that the performance of an institution is either significantly better (if the interval lies below 1) or significantly worse (if the interval lies above 1) than average.</w:t>
      </w:r>
    </w:p>
    <w:p w14:paraId="0E6410A4" w14:textId="77777777" w:rsidR="00AF1906" w:rsidRPr="00AF1906" w:rsidRDefault="009C7513" w:rsidP="00AF1906">
      <w:pPr>
        <w:pStyle w:val="NormalWeb"/>
        <w:spacing w:before="0" w:beforeAutospacing="0" w:after="0" w:afterAutospacing="0"/>
        <w:rPr>
          <w:color w:val="FF0000"/>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AF1906" w:rsidRPr="00AF1906">
        <w:rPr>
          <w:rFonts w:ascii="Arial" w:hAnsi="Arial" w:cs="Arial"/>
          <w:color w:val="FF0000"/>
          <w:sz w:val="22"/>
          <w:szCs w:val="22"/>
        </w:rPr>
        <w:t>Standardized adverse event ratios for the 13 institutions contributing to the analysis are shown below.  Two institutions demonstrate better than average performance given their case mix, and one institution has worse than average performance.</w:t>
      </w:r>
    </w:p>
    <w:p w14:paraId="2FDF20CC" w14:textId="77777777" w:rsidR="00AF1906" w:rsidRPr="00AF1906" w:rsidRDefault="00AF1906" w:rsidP="00AF1906">
      <w:pPr>
        <w:spacing w:after="0" w:line="240" w:lineRule="auto"/>
        <w:rPr>
          <w:rFonts w:ascii="Times New Roman" w:eastAsia="Times New Roman" w:hAnsi="Times New Roman" w:cs="Times New Roman"/>
          <w:color w:val="FF0000"/>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42"/>
        <w:gridCol w:w="2426"/>
        <w:gridCol w:w="2598"/>
      </w:tblGrid>
      <w:tr w:rsidR="00AF1906" w:rsidRPr="00AF1906" w14:paraId="0E2A211A" w14:textId="77777777" w:rsidTr="00AF1906">
        <w:trPr>
          <w:trHeight w:val="287"/>
        </w:trPr>
        <w:tc>
          <w:tcPr>
            <w:tcW w:w="0" w:type="auto"/>
            <w:tcMar>
              <w:top w:w="100" w:type="dxa"/>
              <w:left w:w="100" w:type="dxa"/>
              <w:bottom w:w="100" w:type="dxa"/>
              <w:right w:w="100" w:type="dxa"/>
            </w:tcMar>
            <w:hideMark/>
          </w:tcPr>
          <w:p w14:paraId="1DF9F4F3"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Institution</w:t>
            </w:r>
          </w:p>
        </w:tc>
        <w:tc>
          <w:tcPr>
            <w:tcW w:w="0" w:type="auto"/>
            <w:tcMar>
              <w:top w:w="100" w:type="dxa"/>
              <w:left w:w="100" w:type="dxa"/>
              <w:bottom w:w="100" w:type="dxa"/>
              <w:right w:w="100" w:type="dxa"/>
            </w:tcMar>
            <w:hideMark/>
          </w:tcPr>
          <w:p w14:paraId="1936C2A8"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Standardized AE Ratio</w:t>
            </w:r>
          </w:p>
        </w:tc>
        <w:tc>
          <w:tcPr>
            <w:tcW w:w="0" w:type="auto"/>
            <w:tcMar>
              <w:top w:w="100" w:type="dxa"/>
              <w:left w:w="100" w:type="dxa"/>
              <w:bottom w:w="100" w:type="dxa"/>
              <w:right w:w="100" w:type="dxa"/>
            </w:tcMar>
            <w:hideMark/>
          </w:tcPr>
          <w:p w14:paraId="64D6593B"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95% Confidence Interval</w:t>
            </w:r>
          </w:p>
        </w:tc>
      </w:tr>
      <w:tr w:rsidR="00AF1906" w:rsidRPr="00AF1906" w14:paraId="59D6D169" w14:textId="77777777" w:rsidTr="00AF1906">
        <w:trPr>
          <w:trHeight w:val="20"/>
        </w:trPr>
        <w:tc>
          <w:tcPr>
            <w:tcW w:w="0" w:type="auto"/>
            <w:tcMar>
              <w:top w:w="100" w:type="dxa"/>
              <w:left w:w="100" w:type="dxa"/>
              <w:bottom w:w="100" w:type="dxa"/>
              <w:right w:w="100" w:type="dxa"/>
            </w:tcMar>
            <w:hideMark/>
          </w:tcPr>
          <w:p w14:paraId="01448ECF"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1</w:t>
            </w:r>
          </w:p>
        </w:tc>
        <w:tc>
          <w:tcPr>
            <w:tcW w:w="0" w:type="auto"/>
            <w:tcMar>
              <w:top w:w="100" w:type="dxa"/>
              <w:left w:w="100" w:type="dxa"/>
              <w:bottom w:w="100" w:type="dxa"/>
              <w:right w:w="100" w:type="dxa"/>
            </w:tcMar>
            <w:hideMark/>
          </w:tcPr>
          <w:p w14:paraId="3E273CB1"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0.33</w:t>
            </w:r>
          </w:p>
        </w:tc>
        <w:tc>
          <w:tcPr>
            <w:tcW w:w="0" w:type="auto"/>
            <w:tcMar>
              <w:top w:w="100" w:type="dxa"/>
              <w:left w:w="100" w:type="dxa"/>
              <w:bottom w:w="100" w:type="dxa"/>
              <w:right w:w="100" w:type="dxa"/>
            </w:tcMar>
            <w:hideMark/>
          </w:tcPr>
          <w:p w14:paraId="02503390"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(0.07, 0.98)</w:t>
            </w:r>
          </w:p>
        </w:tc>
      </w:tr>
      <w:tr w:rsidR="00AF1906" w:rsidRPr="00AF1906" w14:paraId="3A94D5F6" w14:textId="77777777" w:rsidTr="00AF1906">
        <w:trPr>
          <w:trHeight w:val="152"/>
        </w:trPr>
        <w:tc>
          <w:tcPr>
            <w:tcW w:w="0" w:type="auto"/>
            <w:tcMar>
              <w:top w:w="100" w:type="dxa"/>
              <w:left w:w="100" w:type="dxa"/>
              <w:bottom w:w="100" w:type="dxa"/>
              <w:right w:w="100" w:type="dxa"/>
            </w:tcMar>
            <w:hideMark/>
          </w:tcPr>
          <w:p w14:paraId="212C8888"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2</w:t>
            </w:r>
          </w:p>
        </w:tc>
        <w:tc>
          <w:tcPr>
            <w:tcW w:w="0" w:type="auto"/>
            <w:tcMar>
              <w:top w:w="100" w:type="dxa"/>
              <w:left w:w="100" w:type="dxa"/>
              <w:bottom w:w="100" w:type="dxa"/>
              <w:right w:w="100" w:type="dxa"/>
            </w:tcMar>
            <w:hideMark/>
          </w:tcPr>
          <w:p w14:paraId="447E9CA7"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0.34</w:t>
            </w:r>
          </w:p>
        </w:tc>
        <w:tc>
          <w:tcPr>
            <w:tcW w:w="0" w:type="auto"/>
            <w:tcMar>
              <w:top w:w="100" w:type="dxa"/>
              <w:left w:w="100" w:type="dxa"/>
              <w:bottom w:w="100" w:type="dxa"/>
              <w:right w:w="100" w:type="dxa"/>
            </w:tcMar>
            <w:hideMark/>
          </w:tcPr>
          <w:p w14:paraId="484C84F0"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(0.15, 0.68)</w:t>
            </w:r>
          </w:p>
        </w:tc>
      </w:tr>
      <w:tr w:rsidR="00AF1906" w:rsidRPr="00AF1906" w14:paraId="756FFBAC" w14:textId="77777777" w:rsidTr="00AF1906">
        <w:trPr>
          <w:trHeight w:val="152"/>
        </w:trPr>
        <w:tc>
          <w:tcPr>
            <w:tcW w:w="0" w:type="auto"/>
            <w:tcMar>
              <w:top w:w="100" w:type="dxa"/>
              <w:left w:w="100" w:type="dxa"/>
              <w:bottom w:w="100" w:type="dxa"/>
              <w:right w:w="100" w:type="dxa"/>
            </w:tcMar>
            <w:hideMark/>
          </w:tcPr>
          <w:p w14:paraId="7AE111FC"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3</w:t>
            </w:r>
          </w:p>
        </w:tc>
        <w:tc>
          <w:tcPr>
            <w:tcW w:w="0" w:type="auto"/>
            <w:tcMar>
              <w:top w:w="100" w:type="dxa"/>
              <w:left w:w="100" w:type="dxa"/>
              <w:bottom w:w="100" w:type="dxa"/>
              <w:right w:w="100" w:type="dxa"/>
            </w:tcMar>
            <w:hideMark/>
          </w:tcPr>
          <w:p w14:paraId="277BE5A9"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0.47</w:t>
            </w:r>
          </w:p>
        </w:tc>
        <w:tc>
          <w:tcPr>
            <w:tcW w:w="0" w:type="auto"/>
            <w:tcMar>
              <w:top w:w="100" w:type="dxa"/>
              <w:left w:w="100" w:type="dxa"/>
              <w:bottom w:w="100" w:type="dxa"/>
              <w:right w:w="100" w:type="dxa"/>
            </w:tcMar>
            <w:hideMark/>
          </w:tcPr>
          <w:p w14:paraId="57265AA3"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(0.09, 1.36)</w:t>
            </w:r>
          </w:p>
        </w:tc>
      </w:tr>
      <w:tr w:rsidR="00AF1906" w:rsidRPr="00AF1906" w14:paraId="5CF720EE" w14:textId="77777777" w:rsidTr="00AF1906">
        <w:trPr>
          <w:trHeight w:val="20"/>
        </w:trPr>
        <w:tc>
          <w:tcPr>
            <w:tcW w:w="0" w:type="auto"/>
            <w:tcMar>
              <w:top w:w="100" w:type="dxa"/>
              <w:left w:w="100" w:type="dxa"/>
              <w:bottom w:w="100" w:type="dxa"/>
              <w:right w:w="100" w:type="dxa"/>
            </w:tcMar>
            <w:hideMark/>
          </w:tcPr>
          <w:p w14:paraId="6416FB3B"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4</w:t>
            </w:r>
          </w:p>
        </w:tc>
        <w:tc>
          <w:tcPr>
            <w:tcW w:w="0" w:type="auto"/>
            <w:tcMar>
              <w:top w:w="100" w:type="dxa"/>
              <w:left w:w="100" w:type="dxa"/>
              <w:bottom w:w="100" w:type="dxa"/>
              <w:right w:w="100" w:type="dxa"/>
            </w:tcMar>
            <w:hideMark/>
          </w:tcPr>
          <w:p w14:paraId="60B0E91D"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0.59</w:t>
            </w:r>
          </w:p>
        </w:tc>
        <w:tc>
          <w:tcPr>
            <w:tcW w:w="0" w:type="auto"/>
            <w:tcMar>
              <w:top w:w="100" w:type="dxa"/>
              <w:left w:w="100" w:type="dxa"/>
              <w:bottom w:w="100" w:type="dxa"/>
              <w:right w:w="100" w:type="dxa"/>
            </w:tcMar>
            <w:hideMark/>
          </w:tcPr>
          <w:p w14:paraId="7DEBDFD6"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(0.16, 1.49)</w:t>
            </w:r>
          </w:p>
        </w:tc>
      </w:tr>
      <w:tr w:rsidR="00AF1906" w:rsidRPr="00AF1906" w14:paraId="5E8CB182" w14:textId="77777777" w:rsidTr="00AF1906">
        <w:trPr>
          <w:trHeight w:val="143"/>
        </w:trPr>
        <w:tc>
          <w:tcPr>
            <w:tcW w:w="0" w:type="auto"/>
            <w:tcMar>
              <w:top w:w="100" w:type="dxa"/>
              <w:left w:w="100" w:type="dxa"/>
              <w:bottom w:w="100" w:type="dxa"/>
              <w:right w:w="100" w:type="dxa"/>
            </w:tcMar>
            <w:hideMark/>
          </w:tcPr>
          <w:p w14:paraId="0FB744F9"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5</w:t>
            </w:r>
          </w:p>
        </w:tc>
        <w:tc>
          <w:tcPr>
            <w:tcW w:w="0" w:type="auto"/>
            <w:tcMar>
              <w:top w:w="100" w:type="dxa"/>
              <w:left w:w="100" w:type="dxa"/>
              <w:bottom w:w="100" w:type="dxa"/>
              <w:right w:w="100" w:type="dxa"/>
            </w:tcMar>
            <w:hideMark/>
          </w:tcPr>
          <w:p w14:paraId="04DDB743"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0.74</w:t>
            </w:r>
          </w:p>
        </w:tc>
        <w:tc>
          <w:tcPr>
            <w:tcW w:w="0" w:type="auto"/>
            <w:tcMar>
              <w:top w:w="100" w:type="dxa"/>
              <w:left w:w="100" w:type="dxa"/>
              <w:bottom w:w="100" w:type="dxa"/>
              <w:right w:w="100" w:type="dxa"/>
            </w:tcMar>
            <w:hideMark/>
          </w:tcPr>
          <w:p w14:paraId="48CC3EA9"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(0.37, 1.33)</w:t>
            </w:r>
          </w:p>
        </w:tc>
      </w:tr>
      <w:tr w:rsidR="00AF1906" w:rsidRPr="00AF1906" w14:paraId="7A5C6D44" w14:textId="77777777" w:rsidTr="00AF1906">
        <w:trPr>
          <w:trHeight w:val="20"/>
        </w:trPr>
        <w:tc>
          <w:tcPr>
            <w:tcW w:w="0" w:type="auto"/>
            <w:tcMar>
              <w:top w:w="100" w:type="dxa"/>
              <w:left w:w="100" w:type="dxa"/>
              <w:bottom w:w="100" w:type="dxa"/>
              <w:right w:w="100" w:type="dxa"/>
            </w:tcMar>
            <w:hideMark/>
          </w:tcPr>
          <w:p w14:paraId="5682B971"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6</w:t>
            </w:r>
          </w:p>
        </w:tc>
        <w:tc>
          <w:tcPr>
            <w:tcW w:w="0" w:type="auto"/>
            <w:tcMar>
              <w:top w:w="100" w:type="dxa"/>
              <w:left w:w="100" w:type="dxa"/>
              <w:bottom w:w="100" w:type="dxa"/>
              <w:right w:w="100" w:type="dxa"/>
            </w:tcMar>
            <w:hideMark/>
          </w:tcPr>
          <w:p w14:paraId="70110F7F"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0.93</w:t>
            </w:r>
          </w:p>
        </w:tc>
        <w:tc>
          <w:tcPr>
            <w:tcW w:w="0" w:type="auto"/>
            <w:tcMar>
              <w:top w:w="100" w:type="dxa"/>
              <w:left w:w="100" w:type="dxa"/>
              <w:bottom w:w="100" w:type="dxa"/>
              <w:right w:w="100" w:type="dxa"/>
            </w:tcMar>
            <w:hideMark/>
          </w:tcPr>
          <w:p w14:paraId="598C671B"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(0.60, 1.39)</w:t>
            </w:r>
          </w:p>
        </w:tc>
      </w:tr>
      <w:tr w:rsidR="00AF1906" w:rsidRPr="00AF1906" w14:paraId="05E64F2E" w14:textId="77777777" w:rsidTr="00AF1906">
        <w:trPr>
          <w:trHeight w:val="143"/>
        </w:trPr>
        <w:tc>
          <w:tcPr>
            <w:tcW w:w="0" w:type="auto"/>
            <w:tcMar>
              <w:top w:w="100" w:type="dxa"/>
              <w:left w:w="100" w:type="dxa"/>
              <w:bottom w:w="100" w:type="dxa"/>
              <w:right w:w="100" w:type="dxa"/>
            </w:tcMar>
            <w:hideMark/>
          </w:tcPr>
          <w:p w14:paraId="46D8D093"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7</w:t>
            </w:r>
          </w:p>
        </w:tc>
        <w:tc>
          <w:tcPr>
            <w:tcW w:w="0" w:type="auto"/>
            <w:tcMar>
              <w:top w:w="100" w:type="dxa"/>
              <w:left w:w="100" w:type="dxa"/>
              <w:bottom w:w="100" w:type="dxa"/>
              <w:right w:w="100" w:type="dxa"/>
            </w:tcMar>
            <w:hideMark/>
          </w:tcPr>
          <w:p w14:paraId="06C66F72"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0.99</w:t>
            </w:r>
          </w:p>
        </w:tc>
        <w:tc>
          <w:tcPr>
            <w:tcW w:w="0" w:type="auto"/>
            <w:tcMar>
              <w:top w:w="100" w:type="dxa"/>
              <w:left w:w="100" w:type="dxa"/>
              <w:bottom w:w="100" w:type="dxa"/>
              <w:right w:w="100" w:type="dxa"/>
            </w:tcMar>
            <w:hideMark/>
          </w:tcPr>
          <w:p w14:paraId="05AE2C4E"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(0.64, 1.47)</w:t>
            </w:r>
          </w:p>
        </w:tc>
      </w:tr>
      <w:tr w:rsidR="00AF1906" w:rsidRPr="00AF1906" w14:paraId="447D538A" w14:textId="77777777" w:rsidTr="00AF1906">
        <w:trPr>
          <w:trHeight w:val="44"/>
        </w:trPr>
        <w:tc>
          <w:tcPr>
            <w:tcW w:w="0" w:type="auto"/>
            <w:tcMar>
              <w:top w:w="100" w:type="dxa"/>
              <w:left w:w="100" w:type="dxa"/>
              <w:bottom w:w="100" w:type="dxa"/>
              <w:right w:w="100" w:type="dxa"/>
            </w:tcMar>
            <w:hideMark/>
          </w:tcPr>
          <w:p w14:paraId="6F785CF1"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8</w:t>
            </w:r>
          </w:p>
        </w:tc>
        <w:tc>
          <w:tcPr>
            <w:tcW w:w="0" w:type="auto"/>
            <w:tcMar>
              <w:top w:w="100" w:type="dxa"/>
              <w:left w:w="100" w:type="dxa"/>
              <w:bottom w:w="100" w:type="dxa"/>
              <w:right w:w="100" w:type="dxa"/>
            </w:tcMar>
            <w:hideMark/>
          </w:tcPr>
          <w:p w14:paraId="77928375"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1.01</w:t>
            </w:r>
          </w:p>
        </w:tc>
        <w:tc>
          <w:tcPr>
            <w:tcW w:w="0" w:type="auto"/>
            <w:tcMar>
              <w:top w:w="100" w:type="dxa"/>
              <w:left w:w="100" w:type="dxa"/>
              <w:bottom w:w="100" w:type="dxa"/>
              <w:right w:w="100" w:type="dxa"/>
            </w:tcMar>
            <w:hideMark/>
          </w:tcPr>
          <w:p w14:paraId="4ACA0DB9"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(0.81, 1.23)</w:t>
            </w:r>
          </w:p>
        </w:tc>
      </w:tr>
      <w:tr w:rsidR="00AF1906" w:rsidRPr="00AF1906" w14:paraId="328C5965" w14:textId="77777777" w:rsidTr="00AF1906">
        <w:trPr>
          <w:trHeight w:val="224"/>
        </w:trPr>
        <w:tc>
          <w:tcPr>
            <w:tcW w:w="0" w:type="auto"/>
            <w:tcMar>
              <w:top w:w="100" w:type="dxa"/>
              <w:left w:w="100" w:type="dxa"/>
              <w:bottom w:w="100" w:type="dxa"/>
              <w:right w:w="100" w:type="dxa"/>
            </w:tcMar>
            <w:hideMark/>
          </w:tcPr>
          <w:p w14:paraId="16FAAD1A"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9</w:t>
            </w:r>
          </w:p>
        </w:tc>
        <w:tc>
          <w:tcPr>
            <w:tcW w:w="0" w:type="auto"/>
            <w:tcMar>
              <w:top w:w="100" w:type="dxa"/>
              <w:left w:w="100" w:type="dxa"/>
              <w:bottom w:w="100" w:type="dxa"/>
              <w:right w:w="100" w:type="dxa"/>
            </w:tcMar>
            <w:hideMark/>
          </w:tcPr>
          <w:p w14:paraId="29CF7B5D"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1.07</w:t>
            </w:r>
          </w:p>
        </w:tc>
        <w:tc>
          <w:tcPr>
            <w:tcW w:w="0" w:type="auto"/>
            <w:tcMar>
              <w:top w:w="100" w:type="dxa"/>
              <w:left w:w="100" w:type="dxa"/>
              <w:bottom w:w="100" w:type="dxa"/>
              <w:right w:w="100" w:type="dxa"/>
            </w:tcMar>
            <w:hideMark/>
          </w:tcPr>
          <w:p w14:paraId="17BC6C1D"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(0.74, 1.52)</w:t>
            </w:r>
          </w:p>
        </w:tc>
      </w:tr>
      <w:tr w:rsidR="00AF1906" w:rsidRPr="00AF1906" w14:paraId="21777BC2" w14:textId="77777777" w:rsidTr="00AF1906">
        <w:trPr>
          <w:trHeight w:val="20"/>
        </w:trPr>
        <w:tc>
          <w:tcPr>
            <w:tcW w:w="0" w:type="auto"/>
            <w:tcMar>
              <w:top w:w="100" w:type="dxa"/>
              <w:left w:w="100" w:type="dxa"/>
              <w:bottom w:w="100" w:type="dxa"/>
              <w:right w:w="100" w:type="dxa"/>
            </w:tcMar>
            <w:hideMark/>
          </w:tcPr>
          <w:p w14:paraId="4D4E4EC2"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10</w:t>
            </w:r>
          </w:p>
        </w:tc>
        <w:tc>
          <w:tcPr>
            <w:tcW w:w="0" w:type="auto"/>
            <w:tcMar>
              <w:top w:w="100" w:type="dxa"/>
              <w:left w:w="100" w:type="dxa"/>
              <w:bottom w:w="100" w:type="dxa"/>
              <w:right w:w="100" w:type="dxa"/>
            </w:tcMar>
            <w:hideMark/>
          </w:tcPr>
          <w:p w14:paraId="503044DD"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1.19</w:t>
            </w:r>
          </w:p>
        </w:tc>
        <w:tc>
          <w:tcPr>
            <w:tcW w:w="0" w:type="auto"/>
            <w:tcMar>
              <w:top w:w="100" w:type="dxa"/>
              <w:left w:w="100" w:type="dxa"/>
              <w:bottom w:w="100" w:type="dxa"/>
              <w:right w:w="100" w:type="dxa"/>
            </w:tcMar>
            <w:hideMark/>
          </w:tcPr>
          <w:p w14:paraId="66CEAAB3"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(0.86, 1.62)</w:t>
            </w:r>
          </w:p>
        </w:tc>
      </w:tr>
      <w:tr w:rsidR="00AF1906" w:rsidRPr="00AF1906" w14:paraId="0F44B75B" w14:textId="77777777" w:rsidTr="00AF1906">
        <w:trPr>
          <w:trHeight w:val="20"/>
        </w:trPr>
        <w:tc>
          <w:tcPr>
            <w:tcW w:w="0" w:type="auto"/>
            <w:tcMar>
              <w:top w:w="100" w:type="dxa"/>
              <w:left w:w="100" w:type="dxa"/>
              <w:bottom w:w="100" w:type="dxa"/>
              <w:right w:w="100" w:type="dxa"/>
            </w:tcMar>
            <w:hideMark/>
          </w:tcPr>
          <w:p w14:paraId="7FD37613"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lastRenderedPageBreak/>
              <w:t>11</w:t>
            </w:r>
          </w:p>
        </w:tc>
        <w:tc>
          <w:tcPr>
            <w:tcW w:w="0" w:type="auto"/>
            <w:tcMar>
              <w:top w:w="100" w:type="dxa"/>
              <w:left w:w="100" w:type="dxa"/>
              <w:bottom w:w="100" w:type="dxa"/>
              <w:right w:w="100" w:type="dxa"/>
            </w:tcMar>
            <w:hideMark/>
          </w:tcPr>
          <w:p w14:paraId="6E65A45F"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1.23</w:t>
            </w:r>
          </w:p>
        </w:tc>
        <w:tc>
          <w:tcPr>
            <w:tcW w:w="0" w:type="auto"/>
            <w:tcMar>
              <w:top w:w="100" w:type="dxa"/>
              <w:left w:w="100" w:type="dxa"/>
              <w:bottom w:w="100" w:type="dxa"/>
              <w:right w:w="100" w:type="dxa"/>
            </w:tcMar>
            <w:hideMark/>
          </w:tcPr>
          <w:p w14:paraId="4C5FB8E3"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(0.75, 1.89)</w:t>
            </w:r>
          </w:p>
        </w:tc>
      </w:tr>
      <w:tr w:rsidR="00AF1906" w:rsidRPr="00AF1906" w14:paraId="5A524D8B" w14:textId="77777777" w:rsidTr="00AF1906">
        <w:trPr>
          <w:trHeight w:val="170"/>
        </w:trPr>
        <w:tc>
          <w:tcPr>
            <w:tcW w:w="0" w:type="auto"/>
            <w:tcMar>
              <w:top w:w="100" w:type="dxa"/>
              <w:left w:w="100" w:type="dxa"/>
              <w:bottom w:w="100" w:type="dxa"/>
              <w:right w:w="100" w:type="dxa"/>
            </w:tcMar>
            <w:hideMark/>
          </w:tcPr>
          <w:p w14:paraId="5A3ADE32"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12</w:t>
            </w:r>
          </w:p>
        </w:tc>
        <w:tc>
          <w:tcPr>
            <w:tcW w:w="0" w:type="auto"/>
            <w:tcMar>
              <w:top w:w="100" w:type="dxa"/>
              <w:left w:w="100" w:type="dxa"/>
              <w:bottom w:w="100" w:type="dxa"/>
              <w:right w:w="100" w:type="dxa"/>
            </w:tcMar>
            <w:hideMark/>
          </w:tcPr>
          <w:p w14:paraId="1F6B1096"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1.48</w:t>
            </w:r>
          </w:p>
        </w:tc>
        <w:tc>
          <w:tcPr>
            <w:tcW w:w="0" w:type="auto"/>
            <w:tcMar>
              <w:top w:w="100" w:type="dxa"/>
              <w:left w:w="100" w:type="dxa"/>
              <w:bottom w:w="100" w:type="dxa"/>
              <w:right w:w="100" w:type="dxa"/>
            </w:tcMar>
            <w:hideMark/>
          </w:tcPr>
          <w:p w14:paraId="69681DF6"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(0.71, 2.73)</w:t>
            </w:r>
          </w:p>
        </w:tc>
      </w:tr>
      <w:tr w:rsidR="00AF1906" w:rsidRPr="00AF1906" w14:paraId="2A45CCA6" w14:textId="77777777" w:rsidTr="00AF1906">
        <w:trPr>
          <w:trHeight w:val="500"/>
        </w:trPr>
        <w:tc>
          <w:tcPr>
            <w:tcW w:w="0" w:type="auto"/>
            <w:tcMar>
              <w:top w:w="100" w:type="dxa"/>
              <w:left w:w="100" w:type="dxa"/>
              <w:bottom w:w="100" w:type="dxa"/>
              <w:right w:w="100" w:type="dxa"/>
            </w:tcMar>
            <w:hideMark/>
          </w:tcPr>
          <w:p w14:paraId="2275ABE8"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13</w:t>
            </w:r>
          </w:p>
        </w:tc>
        <w:tc>
          <w:tcPr>
            <w:tcW w:w="0" w:type="auto"/>
            <w:tcMar>
              <w:top w:w="100" w:type="dxa"/>
              <w:left w:w="100" w:type="dxa"/>
              <w:bottom w:w="100" w:type="dxa"/>
              <w:right w:w="100" w:type="dxa"/>
            </w:tcMar>
            <w:hideMark/>
          </w:tcPr>
          <w:p w14:paraId="1750B807"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1.56</w:t>
            </w:r>
          </w:p>
        </w:tc>
        <w:tc>
          <w:tcPr>
            <w:tcW w:w="0" w:type="auto"/>
            <w:tcMar>
              <w:top w:w="100" w:type="dxa"/>
              <w:left w:w="100" w:type="dxa"/>
              <w:bottom w:w="100" w:type="dxa"/>
              <w:right w:w="100" w:type="dxa"/>
            </w:tcMar>
            <w:hideMark/>
          </w:tcPr>
          <w:p w14:paraId="0EB0A8BB" w14:textId="77777777" w:rsidR="00AF1906" w:rsidRPr="00AF1906" w:rsidRDefault="00AF1906" w:rsidP="00AF1906">
            <w:pPr>
              <w:spacing w:after="0" w:line="240" w:lineRule="auto"/>
              <w:jc w:val="center"/>
              <w:rPr>
                <w:rFonts w:ascii="Times New Roman" w:eastAsia="Times New Roman" w:hAnsi="Times New Roman" w:cs="Times New Roman"/>
                <w:color w:val="FF0000"/>
                <w:sz w:val="24"/>
                <w:szCs w:val="24"/>
              </w:rPr>
            </w:pPr>
            <w:r w:rsidRPr="00AF1906">
              <w:rPr>
                <w:rFonts w:ascii="Arial" w:eastAsia="Times New Roman" w:hAnsi="Arial" w:cs="Arial"/>
                <w:color w:val="FF0000"/>
              </w:rPr>
              <w:t>(1.15, 2.07)</w:t>
            </w:r>
          </w:p>
        </w:tc>
      </w:tr>
    </w:tbl>
    <w:p w14:paraId="0CABD00B" w14:textId="77777777" w:rsidR="00D61410" w:rsidRPr="00927027" w:rsidRDefault="00D61410" w:rsidP="00D61410">
      <w:pPr>
        <w:autoSpaceDE w:val="0"/>
        <w:autoSpaceDN w:val="0"/>
        <w:adjustRightInd w:val="0"/>
        <w:spacing w:after="0" w:line="240" w:lineRule="auto"/>
        <w:rPr>
          <w:rFonts w:cstheme="minorHAnsi"/>
          <w:bCs/>
        </w:rPr>
      </w:pPr>
    </w:p>
    <w:p w14:paraId="0CABD00C" w14:textId="33DC5AEA" w:rsidR="00D61410" w:rsidRPr="00AF1906" w:rsidRDefault="009C7513" w:rsidP="00AF1906">
      <w:pPr>
        <w:rPr>
          <w:rFonts w:ascii="Times New Roman" w:eastAsia="Times New Roman" w:hAnsi="Times New Roman" w:cs="Times New Roman"/>
          <w:sz w:val="24"/>
          <w:szCs w:val="24"/>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AF1906" w:rsidRPr="00AF1906">
        <w:rPr>
          <w:rFonts w:ascii="Calibri" w:eastAsia="Times New Roman" w:hAnsi="Calibri" w:cs="Calibri"/>
          <w:color w:val="FF0000"/>
        </w:rPr>
        <w:t>This method is able to detect institutional differences in risk-adjusted rates of major adverse events.</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2356130F" w14:textId="77777777" w:rsidR="00AF1906"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p>
    <w:p w14:paraId="0CABD01B" w14:textId="038F105E" w:rsidR="008F7E67" w:rsidRPr="00AF1906" w:rsidRDefault="00AF1906" w:rsidP="00AF1906">
      <w:pPr>
        <w:spacing w:after="0" w:line="240" w:lineRule="auto"/>
        <w:rPr>
          <w:rFonts w:ascii="Calibri" w:eastAsia="Times New Roman" w:hAnsi="Calibri" w:cs="Calibri"/>
          <w:color w:val="FF0000"/>
          <w:sz w:val="24"/>
          <w:szCs w:val="24"/>
        </w:rPr>
      </w:pPr>
      <w:r w:rsidRPr="00AF1906">
        <w:rPr>
          <w:rFonts w:ascii="Calibri" w:eastAsia="Times New Roman" w:hAnsi="Calibri" w:cs="Calibri"/>
          <w:color w:val="FF0000"/>
        </w:rPr>
        <w:lastRenderedPageBreak/>
        <w:t xml:space="preserve">Complete data entry is required for inclusion in metric reporting; cases with missing data are not included in the analysis.  </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E" w14:textId="74F3C509" w:rsidR="008F7E67" w:rsidRPr="00AF1906" w:rsidRDefault="009C7513" w:rsidP="00AF1906">
      <w:pPr>
        <w:rPr>
          <w:rFonts w:ascii="Times New Roman" w:eastAsia="Times New Roman" w:hAnsi="Times New Roman" w:cs="Times New Roman"/>
          <w:sz w:val="24"/>
          <w:szCs w:val="24"/>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AF1906" w:rsidRPr="00AF1906">
        <w:rPr>
          <w:rFonts w:ascii="Calibri" w:eastAsia="Times New Roman" w:hAnsi="Calibri" w:cs="Calibri"/>
          <w:color w:val="FF0000"/>
        </w:rPr>
        <w:t>In the 2014-2017 registry data, only 33 cases (0.14%) eligible for analysis had missing data.  In each case, the missing variable was age at catheterization.  Missing ages were present in cases from 10 of the 13 institutions.  However, the percentage of missing data is so small that it would not lead to bias in performance results.</w:t>
      </w:r>
    </w:p>
    <w:p w14:paraId="0CABD01F" w14:textId="3DE817B3"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7A547B93" w14:textId="77777777" w:rsidR="00AF1906" w:rsidRPr="00AF1906" w:rsidRDefault="00AF1906" w:rsidP="00AF1906">
      <w:pPr>
        <w:spacing w:after="0" w:line="240" w:lineRule="auto"/>
        <w:rPr>
          <w:rFonts w:ascii="Calibri" w:eastAsia="Times New Roman" w:hAnsi="Calibri" w:cs="Calibri"/>
          <w:color w:val="FF0000"/>
          <w:sz w:val="24"/>
          <w:szCs w:val="24"/>
        </w:rPr>
      </w:pPr>
      <w:r w:rsidRPr="00AF1906">
        <w:rPr>
          <w:rFonts w:ascii="Calibri" w:eastAsia="Times New Roman" w:hAnsi="Calibri" w:cs="Calibri"/>
          <w:color w:val="FF0000"/>
        </w:rPr>
        <w:t>Missing data are extremely rare, and not likely to bias performance results.</w:t>
      </w:r>
    </w:p>
    <w:p w14:paraId="0BE210B6" w14:textId="77777777" w:rsidR="00AF1906" w:rsidRDefault="00AF1906">
      <w:pPr>
        <w:autoSpaceDE w:val="0"/>
        <w:autoSpaceDN w:val="0"/>
        <w:adjustRightInd w:val="0"/>
        <w:spacing w:after="0" w:line="240" w:lineRule="auto"/>
        <w:rPr>
          <w:rFonts w:cstheme="minorHAnsi"/>
          <w:bCs/>
        </w:rPr>
      </w:pP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11809" w14:textId="77777777" w:rsidR="00631CD9" w:rsidRDefault="00631CD9" w:rsidP="005C73CA">
      <w:pPr>
        <w:spacing w:after="0" w:line="240" w:lineRule="auto"/>
      </w:pPr>
      <w:r>
        <w:separator/>
      </w:r>
    </w:p>
  </w:endnote>
  <w:endnote w:type="continuationSeparator" w:id="0">
    <w:p w14:paraId="385E5DDC" w14:textId="77777777" w:rsidR="00631CD9" w:rsidRDefault="00631CD9"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20B0604020202020204"/>
    <w:charset w:val="00"/>
    <w:family w:val="swiss"/>
    <w:notTrueType/>
    <w:pitch w:val="default"/>
    <w:sig w:usb0="00000003" w:usb1="00000000" w:usb2="00000000" w:usb3="00000000" w:csb0="00000001" w:csb1="00000000"/>
  </w:font>
  <w:font w:name="Calibri-BoldItalic">
    <w:altName w:val="Calibri"/>
    <w:panose1 w:val="020B0604020202020204"/>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7C0BE216" w:rsidR="00B92B08" w:rsidRDefault="00B92B08">
    <w:pPr>
      <w:pStyle w:val="Footer"/>
    </w:pPr>
    <w:r>
      <w:t>Version 7.1 9/6/2017</w:t>
    </w:r>
    <w:r>
      <w:ptab w:relativeTo="margin" w:alignment="right" w:leader="none"/>
    </w: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4E7FA" w14:textId="77777777" w:rsidR="00631CD9" w:rsidRDefault="00631CD9" w:rsidP="005C73CA">
      <w:pPr>
        <w:spacing w:after="0" w:line="240" w:lineRule="auto"/>
      </w:pPr>
      <w:r>
        <w:separator/>
      </w:r>
    </w:p>
  </w:footnote>
  <w:footnote w:type="continuationSeparator" w:id="0">
    <w:p w14:paraId="14714D9A" w14:textId="77777777" w:rsidR="00631CD9" w:rsidRDefault="00631CD9"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B92B08" w:rsidRPr="00105D8B" w:rsidRDefault="00B92B08"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FB23B9"/>
    <w:multiLevelType w:val="hybridMultilevel"/>
    <w:tmpl w:val="6616B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27"/>
  </w:num>
  <w:num w:numId="11">
    <w:abstractNumId w:val="12"/>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6"/>
  </w:num>
  <w:num w:numId="18">
    <w:abstractNumId w:val="24"/>
  </w:num>
  <w:num w:numId="19">
    <w:abstractNumId w:val="23"/>
  </w:num>
  <w:num w:numId="20">
    <w:abstractNumId w:val="17"/>
  </w:num>
  <w:num w:numId="21">
    <w:abstractNumId w:val="21"/>
  </w:num>
  <w:num w:numId="22">
    <w:abstractNumId w:val="15"/>
  </w:num>
  <w:num w:numId="23">
    <w:abstractNumId w:val="7"/>
  </w:num>
  <w:num w:numId="24">
    <w:abstractNumId w:val="14"/>
  </w:num>
  <w:num w:numId="25">
    <w:abstractNumId w:val="13"/>
  </w:num>
  <w:num w:numId="26">
    <w:abstractNumId w:val="28"/>
  </w:num>
  <w:num w:numId="27">
    <w:abstractNumId w:val="0"/>
  </w:num>
  <w:num w:numId="28">
    <w:abstractNumId w:val="9"/>
  </w:num>
  <w:num w:numId="29">
    <w:abstractNumId w:val="18"/>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695"/>
    <w:rsid w:val="002E78A0"/>
    <w:rsid w:val="002F2687"/>
    <w:rsid w:val="002F48E1"/>
    <w:rsid w:val="002F4F3B"/>
    <w:rsid w:val="00304C86"/>
    <w:rsid w:val="003059EB"/>
    <w:rsid w:val="003116AC"/>
    <w:rsid w:val="00315567"/>
    <w:rsid w:val="00330144"/>
    <w:rsid w:val="00334329"/>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5F11"/>
    <w:rsid w:val="003D294B"/>
    <w:rsid w:val="003D6401"/>
    <w:rsid w:val="003E1863"/>
    <w:rsid w:val="0041606D"/>
    <w:rsid w:val="00416962"/>
    <w:rsid w:val="004206A8"/>
    <w:rsid w:val="004348CC"/>
    <w:rsid w:val="004375CF"/>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1CD9"/>
    <w:rsid w:val="006327D8"/>
    <w:rsid w:val="0064070A"/>
    <w:rsid w:val="00643A01"/>
    <w:rsid w:val="00651D44"/>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7F4A84"/>
    <w:rsid w:val="007F4F4E"/>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AF1906"/>
    <w:rsid w:val="00AF2D68"/>
    <w:rsid w:val="00B037BA"/>
    <w:rsid w:val="00B20139"/>
    <w:rsid w:val="00B218DA"/>
    <w:rsid w:val="00B342FA"/>
    <w:rsid w:val="00B53E8B"/>
    <w:rsid w:val="00B774D2"/>
    <w:rsid w:val="00B8015A"/>
    <w:rsid w:val="00B82A57"/>
    <w:rsid w:val="00B92B08"/>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856A2"/>
    <w:rsid w:val="00E967AD"/>
    <w:rsid w:val="00E96884"/>
    <w:rsid w:val="00EA5435"/>
    <w:rsid w:val="00EA5F47"/>
    <w:rsid w:val="00EB455E"/>
    <w:rsid w:val="00EC79DE"/>
    <w:rsid w:val="00ED4ACE"/>
    <w:rsid w:val="00EE4D35"/>
    <w:rsid w:val="00EF2DA7"/>
    <w:rsid w:val="00F1412B"/>
    <w:rsid w:val="00F15BFA"/>
    <w:rsid w:val="00F34FAB"/>
    <w:rsid w:val="00F435AA"/>
    <w:rsid w:val="00F5738A"/>
    <w:rsid w:val="00F612D4"/>
    <w:rsid w:val="00F7389E"/>
    <w:rsid w:val="00F77F1D"/>
    <w:rsid w:val="00F87CCB"/>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apple-tab-span">
    <w:name w:val="apple-tab-span"/>
    <w:basedOn w:val="DefaultParagraphFont"/>
    <w:rsid w:val="007F4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7867">
      <w:bodyDiv w:val="1"/>
      <w:marLeft w:val="0"/>
      <w:marRight w:val="0"/>
      <w:marTop w:val="0"/>
      <w:marBottom w:val="0"/>
      <w:divBdr>
        <w:top w:val="none" w:sz="0" w:space="0" w:color="auto"/>
        <w:left w:val="none" w:sz="0" w:space="0" w:color="auto"/>
        <w:bottom w:val="none" w:sz="0" w:space="0" w:color="auto"/>
        <w:right w:val="none" w:sz="0" w:space="0" w:color="auto"/>
      </w:divBdr>
    </w:div>
    <w:div w:id="81729010">
      <w:bodyDiv w:val="1"/>
      <w:marLeft w:val="0"/>
      <w:marRight w:val="0"/>
      <w:marTop w:val="0"/>
      <w:marBottom w:val="0"/>
      <w:divBdr>
        <w:top w:val="none" w:sz="0" w:space="0" w:color="auto"/>
        <w:left w:val="none" w:sz="0" w:space="0" w:color="auto"/>
        <w:bottom w:val="none" w:sz="0" w:space="0" w:color="auto"/>
        <w:right w:val="none" w:sz="0" w:space="0" w:color="auto"/>
      </w:divBdr>
    </w:div>
    <w:div w:id="128060881">
      <w:bodyDiv w:val="1"/>
      <w:marLeft w:val="0"/>
      <w:marRight w:val="0"/>
      <w:marTop w:val="0"/>
      <w:marBottom w:val="0"/>
      <w:divBdr>
        <w:top w:val="none" w:sz="0" w:space="0" w:color="auto"/>
        <w:left w:val="none" w:sz="0" w:space="0" w:color="auto"/>
        <w:bottom w:val="none" w:sz="0" w:space="0" w:color="auto"/>
        <w:right w:val="none" w:sz="0" w:space="0" w:color="auto"/>
      </w:divBdr>
    </w:div>
    <w:div w:id="187565980">
      <w:bodyDiv w:val="1"/>
      <w:marLeft w:val="0"/>
      <w:marRight w:val="0"/>
      <w:marTop w:val="0"/>
      <w:marBottom w:val="0"/>
      <w:divBdr>
        <w:top w:val="none" w:sz="0" w:space="0" w:color="auto"/>
        <w:left w:val="none" w:sz="0" w:space="0" w:color="auto"/>
        <w:bottom w:val="none" w:sz="0" w:space="0" w:color="auto"/>
        <w:right w:val="none" w:sz="0" w:space="0" w:color="auto"/>
      </w:divBdr>
    </w:div>
    <w:div w:id="287130928">
      <w:bodyDiv w:val="1"/>
      <w:marLeft w:val="0"/>
      <w:marRight w:val="0"/>
      <w:marTop w:val="0"/>
      <w:marBottom w:val="0"/>
      <w:divBdr>
        <w:top w:val="none" w:sz="0" w:space="0" w:color="auto"/>
        <w:left w:val="none" w:sz="0" w:space="0" w:color="auto"/>
        <w:bottom w:val="none" w:sz="0" w:space="0" w:color="auto"/>
        <w:right w:val="none" w:sz="0" w:space="0" w:color="auto"/>
      </w:divBdr>
    </w:div>
    <w:div w:id="290213635">
      <w:bodyDiv w:val="1"/>
      <w:marLeft w:val="0"/>
      <w:marRight w:val="0"/>
      <w:marTop w:val="0"/>
      <w:marBottom w:val="0"/>
      <w:divBdr>
        <w:top w:val="none" w:sz="0" w:space="0" w:color="auto"/>
        <w:left w:val="none" w:sz="0" w:space="0" w:color="auto"/>
        <w:bottom w:val="none" w:sz="0" w:space="0" w:color="auto"/>
        <w:right w:val="none" w:sz="0" w:space="0" w:color="auto"/>
      </w:divBdr>
    </w:div>
    <w:div w:id="329408516">
      <w:bodyDiv w:val="1"/>
      <w:marLeft w:val="0"/>
      <w:marRight w:val="0"/>
      <w:marTop w:val="0"/>
      <w:marBottom w:val="0"/>
      <w:divBdr>
        <w:top w:val="none" w:sz="0" w:space="0" w:color="auto"/>
        <w:left w:val="none" w:sz="0" w:space="0" w:color="auto"/>
        <w:bottom w:val="none" w:sz="0" w:space="0" w:color="auto"/>
        <w:right w:val="none" w:sz="0" w:space="0" w:color="auto"/>
      </w:divBdr>
    </w:div>
    <w:div w:id="394356255">
      <w:bodyDiv w:val="1"/>
      <w:marLeft w:val="0"/>
      <w:marRight w:val="0"/>
      <w:marTop w:val="0"/>
      <w:marBottom w:val="0"/>
      <w:divBdr>
        <w:top w:val="none" w:sz="0" w:space="0" w:color="auto"/>
        <w:left w:val="none" w:sz="0" w:space="0" w:color="auto"/>
        <w:bottom w:val="none" w:sz="0" w:space="0" w:color="auto"/>
        <w:right w:val="none" w:sz="0" w:space="0" w:color="auto"/>
      </w:divBdr>
    </w:div>
    <w:div w:id="453406195">
      <w:bodyDiv w:val="1"/>
      <w:marLeft w:val="0"/>
      <w:marRight w:val="0"/>
      <w:marTop w:val="0"/>
      <w:marBottom w:val="0"/>
      <w:divBdr>
        <w:top w:val="none" w:sz="0" w:space="0" w:color="auto"/>
        <w:left w:val="none" w:sz="0" w:space="0" w:color="auto"/>
        <w:bottom w:val="none" w:sz="0" w:space="0" w:color="auto"/>
        <w:right w:val="none" w:sz="0" w:space="0" w:color="auto"/>
      </w:divBdr>
    </w:div>
    <w:div w:id="501699369">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61915476">
      <w:bodyDiv w:val="1"/>
      <w:marLeft w:val="0"/>
      <w:marRight w:val="0"/>
      <w:marTop w:val="0"/>
      <w:marBottom w:val="0"/>
      <w:divBdr>
        <w:top w:val="none" w:sz="0" w:space="0" w:color="auto"/>
        <w:left w:val="none" w:sz="0" w:space="0" w:color="auto"/>
        <w:bottom w:val="none" w:sz="0" w:space="0" w:color="auto"/>
        <w:right w:val="none" w:sz="0" w:space="0" w:color="auto"/>
      </w:divBdr>
    </w:div>
    <w:div w:id="840507446">
      <w:bodyDiv w:val="1"/>
      <w:marLeft w:val="0"/>
      <w:marRight w:val="0"/>
      <w:marTop w:val="0"/>
      <w:marBottom w:val="0"/>
      <w:divBdr>
        <w:top w:val="none" w:sz="0" w:space="0" w:color="auto"/>
        <w:left w:val="none" w:sz="0" w:space="0" w:color="auto"/>
        <w:bottom w:val="none" w:sz="0" w:space="0" w:color="auto"/>
        <w:right w:val="none" w:sz="0" w:space="0" w:color="auto"/>
      </w:divBdr>
    </w:div>
    <w:div w:id="928385716">
      <w:bodyDiv w:val="1"/>
      <w:marLeft w:val="0"/>
      <w:marRight w:val="0"/>
      <w:marTop w:val="0"/>
      <w:marBottom w:val="0"/>
      <w:divBdr>
        <w:top w:val="none" w:sz="0" w:space="0" w:color="auto"/>
        <w:left w:val="none" w:sz="0" w:space="0" w:color="auto"/>
        <w:bottom w:val="none" w:sz="0" w:space="0" w:color="auto"/>
        <w:right w:val="none" w:sz="0" w:space="0" w:color="auto"/>
      </w:divBdr>
    </w:div>
    <w:div w:id="974485329">
      <w:bodyDiv w:val="1"/>
      <w:marLeft w:val="0"/>
      <w:marRight w:val="0"/>
      <w:marTop w:val="0"/>
      <w:marBottom w:val="0"/>
      <w:divBdr>
        <w:top w:val="none" w:sz="0" w:space="0" w:color="auto"/>
        <w:left w:val="none" w:sz="0" w:space="0" w:color="auto"/>
        <w:bottom w:val="none" w:sz="0" w:space="0" w:color="auto"/>
        <w:right w:val="none" w:sz="0" w:space="0" w:color="auto"/>
      </w:divBdr>
    </w:div>
    <w:div w:id="1047144064">
      <w:bodyDiv w:val="1"/>
      <w:marLeft w:val="0"/>
      <w:marRight w:val="0"/>
      <w:marTop w:val="0"/>
      <w:marBottom w:val="0"/>
      <w:divBdr>
        <w:top w:val="none" w:sz="0" w:space="0" w:color="auto"/>
        <w:left w:val="none" w:sz="0" w:space="0" w:color="auto"/>
        <w:bottom w:val="none" w:sz="0" w:space="0" w:color="auto"/>
        <w:right w:val="none" w:sz="0" w:space="0" w:color="auto"/>
      </w:divBdr>
    </w:div>
    <w:div w:id="1109930434">
      <w:bodyDiv w:val="1"/>
      <w:marLeft w:val="0"/>
      <w:marRight w:val="0"/>
      <w:marTop w:val="0"/>
      <w:marBottom w:val="0"/>
      <w:divBdr>
        <w:top w:val="none" w:sz="0" w:space="0" w:color="auto"/>
        <w:left w:val="none" w:sz="0" w:space="0" w:color="auto"/>
        <w:bottom w:val="none" w:sz="0" w:space="0" w:color="auto"/>
        <w:right w:val="none" w:sz="0" w:space="0" w:color="auto"/>
      </w:divBdr>
    </w:div>
    <w:div w:id="1169911058">
      <w:bodyDiv w:val="1"/>
      <w:marLeft w:val="0"/>
      <w:marRight w:val="0"/>
      <w:marTop w:val="0"/>
      <w:marBottom w:val="0"/>
      <w:divBdr>
        <w:top w:val="none" w:sz="0" w:space="0" w:color="auto"/>
        <w:left w:val="none" w:sz="0" w:space="0" w:color="auto"/>
        <w:bottom w:val="none" w:sz="0" w:space="0" w:color="auto"/>
        <w:right w:val="none" w:sz="0" w:space="0" w:color="auto"/>
      </w:divBdr>
    </w:div>
    <w:div w:id="1226144941">
      <w:bodyDiv w:val="1"/>
      <w:marLeft w:val="0"/>
      <w:marRight w:val="0"/>
      <w:marTop w:val="0"/>
      <w:marBottom w:val="0"/>
      <w:divBdr>
        <w:top w:val="none" w:sz="0" w:space="0" w:color="auto"/>
        <w:left w:val="none" w:sz="0" w:space="0" w:color="auto"/>
        <w:bottom w:val="none" w:sz="0" w:space="0" w:color="auto"/>
        <w:right w:val="none" w:sz="0" w:space="0" w:color="auto"/>
      </w:divBdr>
    </w:div>
    <w:div w:id="1244219374">
      <w:bodyDiv w:val="1"/>
      <w:marLeft w:val="0"/>
      <w:marRight w:val="0"/>
      <w:marTop w:val="0"/>
      <w:marBottom w:val="0"/>
      <w:divBdr>
        <w:top w:val="none" w:sz="0" w:space="0" w:color="auto"/>
        <w:left w:val="none" w:sz="0" w:space="0" w:color="auto"/>
        <w:bottom w:val="none" w:sz="0" w:space="0" w:color="auto"/>
        <w:right w:val="none" w:sz="0" w:space="0" w:color="auto"/>
      </w:divBdr>
    </w:div>
    <w:div w:id="1426803978">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65918100">
      <w:bodyDiv w:val="1"/>
      <w:marLeft w:val="0"/>
      <w:marRight w:val="0"/>
      <w:marTop w:val="0"/>
      <w:marBottom w:val="0"/>
      <w:divBdr>
        <w:top w:val="none" w:sz="0" w:space="0" w:color="auto"/>
        <w:left w:val="none" w:sz="0" w:space="0" w:color="auto"/>
        <w:bottom w:val="none" w:sz="0" w:space="0" w:color="auto"/>
        <w:right w:val="none" w:sz="0" w:space="0" w:color="auto"/>
      </w:divBdr>
    </w:div>
    <w:div w:id="1782258225">
      <w:bodyDiv w:val="1"/>
      <w:marLeft w:val="0"/>
      <w:marRight w:val="0"/>
      <w:marTop w:val="0"/>
      <w:marBottom w:val="0"/>
      <w:divBdr>
        <w:top w:val="none" w:sz="0" w:space="0" w:color="auto"/>
        <w:left w:val="none" w:sz="0" w:space="0" w:color="auto"/>
        <w:bottom w:val="none" w:sz="0" w:space="0" w:color="auto"/>
        <w:right w:val="none" w:sz="0" w:space="0" w:color="auto"/>
      </w:divBdr>
    </w:div>
    <w:div w:id="179536716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30749588">
      <w:bodyDiv w:val="1"/>
      <w:marLeft w:val="0"/>
      <w:marRight w:val="0"/>
      <w:marTop w:val="0"/>
      <w:marBottom w:val="0"/>
      <w:divBdr>
        <w:top w:val="none" w:sz="0" w:space="0" w:color="auto"/>
        <w:left w:val="none" w:sz="0" w:space="0" w:color="auto"/>
        <w:bottom w:val="none" w:sz="0" w:space="0" w:color="auto"/>
        <w:right w:val="none" w:sz="0" w:space="0" w:color="auto"/>
      </w:divBdr>
    </w:div>
    <w:div w:id="1846629241">
      <w:bodyDiv w:val="1"/>
      <w:marLeft w:val="0"/>
      <w:marRight w:val="0"/>
      <w:marTop w:val="0"/>
      <w:marBottom w:val="0"/>
      <w:divBdr>
        <w:top w:val="none" w:sz="0" w:space="0" w:color="auto"/>
        <w:left w:val="none" w:sz="0" w:space="0" w:color="auto"/>
        <w:bottom w:val="none" w:sz="0" w:space="0" w:color="auto"/>
        <w:right w:val="none" w:sz="0" w:space="0" w:color="auto"/>
      </w:divBdr>
    </w:div>
    <w:div w:id="1859656756">
      <w:bodyDiv w:val="1"/>
      <w:marLeft w:val="0"/>
      <w:marRight w:val="0"/>
      <w:marTop w:val="0"/>
      <w:marBottom w:val="0"/>
      <w:divBdr>
        <w:top w:val="none" w:sz="0" w:space="0" w:color="auto"/>
        <w:left w:val="none" w:sz="0" w:space="0" w:color="auto"/>
        <w:bottom w:val="none" w:sz="0" w:space="0" w:color="auto"/>
        <w:right w:val="none" w:sz="0" w:space="0" w:color="auto"/>
      </w:divBdr>
    </w:div>
    <w:div w:id="1860116659">
      <w:bodyDiv w:val="1"/>
      <w:marLeft w:val="0"/>
      <w:marRight w:val="0"/>
      <w:marTop w:val="0"/>
      <w:marBottom w:val="0"/>
      <w:divBdr>
        <w:top w:val="none" w:sz="0" w:space="0" w:color="auto"/>
        <w:left w:val="none" w:sz="0" w:space="0" w:color="auto"/>
        <w:bottom w:val="none" w:sz="0" w:space="0" w:color="auto"/>
        <w:right w:val="none" w:sz="0" w:space="0" w:color="auto"/>
      </w:divBdr>
    </w:div>
    <w:div w:id="1915966403">
      <w:bodyDiv w:val="1"/>
      <w:marLeft w:val="0"/>
      <w:marRight w:val="0"/>
      <w:marTop w:val="0"/>
      <w:marBottom w:val="0"/>
      <w:divBdr>
        <w:top w:val="none" w:sz="0" w:space="0" w:color="auto"/>
        <w:left w:val="none" w:sz="0" w:space="0" w:color="auto"/>
        <w:bottom w:val="none" w:sz="0" w:space="0" w:color="auto"/>
        <w:right w:val="none" w:sz="0" w:space="0" w:color="auto"/>
      </w:divBdr>
    </w:div>
    <w:div w:id="2029520519">
      <w:bodyDiv w:val="1"/>
      <w:marLeft w:val="0"/>
      <w:marRight w:val="0"/>
      <w:marTop w:val="0"/>
      <w:marBottom w:val="0"/>
      <w:divBdr>
        <w:top w:val="none" w:sz="0" w:space="0" w:color="auto"/>
        <w:left w:val="none" w:sz="0" w:space="0" w:color="auto"/>
        <w:bottom w:val="none" w:sz="0" w:space="0" w:color="auto"/>
        <w:right w:val="none" w:sz="0" w:space="0" w:color="auto"/>
      </w:divBdr>
    </w:div>
    <w:div w:id="2038657292">
      <w:bodyDiv w:val="1"/>
      <w:marLeft w:val="0"/>
      <w:marRight w:val="0"/>
      <w:marTop w:val="0"/>
      <w:marBottom w:val="0"/>
      <w:divBdr>
        <w:top w:val="none" w:sz="0" w:space="0" w:color="auto"/>
        <w:left w:val="none" w:sz="0" w:space="0" w:color="auto"/>
        <w:bottom w:val="none" w:sz="0" w:space="0" w:color="auto"/>
        <w:right w:val="none" w:sz="0" w:space="0" w:color="auto"/>
      </w:divBdr>
    </w:div>
    <w:div w:id="209049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20B0604020202020204"/>
    <w:charset w:val="00"/>
    <w:family w:val="swiss"/>
    <w:notTrueType/>
    <w:pitch w:val="default"/>
    <w:sig w:usb0="00000003" w:usb1="00000000" w:usb2="00000000" w:usb3="00000000" w:csb0="00000001" w:csb1="00000000"/>
  </w:font>
  <w:font w:name="Calibri-BoldItalic">
    <w:altName w:val="Calibri"/>
    <w:panose1 w:val="020B0604020202020204"/>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90AF4"/>
    <w:rsid w:val="00223FA3"/>
    <w:rsid w:val="002A288F"/>
    <w:rsid w:val="002A5027"/>
    <w:rsid w:val="002C65A7"/>
    <w:rsid w:val="002F052A"/>
    <w:rsid w:val="00350176"/>
    <w:rsid w:val="003840F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F3BA619F-917B-AA4B-923A-1126E767F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5417</Words>
  <Characters>30882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Cardio Outcomes</cp:lastModifiedBy>
  <cp:revision>4</cp:revision>
  <dcterms:created xsi:type="dcterms:W3CDTF">2020-01-06T20:07:00Z</dcterms:created>
  <dcterms:modified xsi:type="dcterms:W3CDTF">2020-01-06T21:53:00Z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