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C577065" w:rsidR="00927027" w:rsidRDefault="00141475" w:rsidP="00962EC0">
      <w:pPr>
        <w:spacing w:before="120" w:after="120"/>
        <w:contextualSpacing/>
        <w:jc w:val="center"/>
        <w:rPr>
          <w:rFonts w:cstheme="minorHAnsi"/>
          <w:b/>
          <w:noProof/>
        </w:rPr>
      </w:pPr>
      <w:bookmarkStart w:id="0" w:name="_Hlk36478060"/>
      <w:bookmarkEnd w:id="0"/>
      <w:r>
        <w:rPr>
          <w:b/>
          <w:smallCaps/>
          <w:noProof/>
          <w:sz w:val="24"/>
          <w:szCs w:val="24"/>
        </w:rPr>
        <w:t xml:space="preserve"> </w:t>
      </w:r>
      <w:r w:rsidR="000E78F6">
        <w:rPr>
          <w:b/>
          <w:smallCaps/>
          <w:noProof/>
          <w:sz w:val="24"/>
          <w:szCs w:val="24"/>
        </w:rPr>
        <w:t>N</w:t>
      </w:r>
      <w:r w:rsidR="000E78F6" w:rsidRPr="001A6D05">
        <w:rPr>
          <w:b/>
          <w:smallCaps/>
          <w:noProof/>
          <w:sz w:val="24"/>
          <w:szCs w:val="24"/>
        </w:rPr>
        <w:t>ational Quality Forum</w:t>
      </w:r>
      <w:r w:rsidR="000E78F6" w:rsidRPr="001A6D05">
        <w:rPr>
          <w:b/>
          <w:noProof/>
          <w:sz w:val="24"/>
          <w:szCs w:val="24"/>
        </w:rPr>
        <w:t>—</w:t>
      </w:r>
      <w:r w:rsidR="00927027">
        <w:rPr>
          <w:rFonts w:cstheme="minorHAnsi"/>
          <w:b/>
          <w:noProof/>
        </w:rPr>
        <w:t>Measure Te</w:t>
      </w:r>
      <w:r w:rsidR="000E78F6">
        <w:rPr>
          <w:rFonts w:cstheme="minorHAnsi"/>
          <w:b/>
          <w:noProof/>
        </w:rPr>
        <w:t>sting (subcriteria 2a2, 2b</w:t>
      </w:r>
      <w:r w:rsidR="00651D44">
        <w:rPr>
          <w:rFonts w:cstheme="minorHAnsi"/>
          <w:b/>
          <w:noProof/>
        </w:rPr>
        <w:t>1</w:t>
      </w:r>
      <w:r w:rsidR="000E78F6">
        <w:rPr>
          <w:rFonts w:cstheme="minorHAnsi"/>
          <w:b/>
          <w:noProof/>
        </w:rPr>
        <w:t>-2b</w:t>
      </w:r>
      <w:r w:rsidR="00651D44">
        <w:rPr>
          <w:rFonts w:cstheme="minorHAnsi"/>
          <w:b/>
          <w:noProof/>
        </w:rPr>
        <w:t>6</w:t>
      </w:r>
      <w:r w:rsidR="000E78F6">
        <w:rPr>
          <w:rFonts w:cstheme="minorHAnsi"/>
          <w:b/>
          <w:noProof/>
        </w:rPr>
        <w:t>)</w:t>
      </w:r>
    </w:p>
    <w:p w14:paraId="0CABCF55" w14:textId="37964C07" w:rsidR="00927027" w:rsidRDefault="00797624" w:rsidP="00962EC0">
      <w:pPr>
        <w:spacing w:before="120" w:after="120"/>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Pr>
              <w:id w:val="1825930594"/>
              <w:placeholder>
                <w:docPart w:val="0F6CB0F27C7742CD9C1D197386F24BD8"/>
              </w:placeholder>
            </w:sdtPr>
            <w:sdtEndPr>
              <w:rPr>
                <w:rStyle w:val="DefaultParagraphFont"/>
                <w:rFonts w:cstheme="minorHAnsi"/>
                <w:b/>
                <w:noProof/>
                <w:color w:val="auto"/>
              </w:rPr>
            </w:sdtEndPr>
            <w:sdtContent>
              <w:r w:rsidR="00EF322D" w:rsidRPr="00EC759A">
                <w:rPr>
                  <w:rStyle w:val="Style1"/>
                  <w:color w:val="7030A0"/>
                </w:rPr>
                <w:t>1551</w:t>
              </w:r>
            </w:sdtContent>
          </w:sdt>
        </w:sdtContent>
      </w:sdt>
    </w:p>
    <w:p w14:paraId="0CABCF56" w14:textId="7F6AF575" w:rsidR="00105D8B" w:rsidRPr="00EF322D"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color w:val="7030A0"/>
          </w:rPr>
          <w:id w:val="-882640736"/>
          <w:placeholder>
            <w:docPart w:val="00949831315D4E1BAFC508BD77E32A40"/>
          </w:placeholder>
        </w:sdtPr>
        <w:sdtEndPr>
          <w:rPr>
            <w:rStyle w:val="DefaultParagraphFont"/>
            <w:noProof/>
          </w:rPr>
        </w:sdtEndPr>
        <w:sdtContent>
          <w:sdt>
            <w:sdtPr>
              <w:rPr>
                <w:rStyle w:val="Style1"/>
                <w:color w:val="7030A0"/>
              </w:rPr>
              <w:id w:val="-488720561"/>
              <w:placeholder>
                <w:docPart w:val="3D38D7AF854B4B1DA89D9897C59360FC"/>
              </w:placeholder>
            </w:sdtPr>
            <w:sdtEndPr>
              <w:rPr>
                <w:rStyle w:val="DefaultParagraphFont"/>
                <w:noProof/>
              </w:rPr>
            </w:sdtEndPr>
            <w:sdtContent>
              <w:r w:rsidR="00EF322D" w:rsidRPr="00EC759A">
                <w:rPr>
                  <w:rStyle w:val="Style1"/>
                  <w:color w:val="7030A0"/>
                </w:rPr>
                <w:t>Hospital-level 30-day risk-standardized readmission rate (RSRR) following elective primary total hip arthroplasty (THA) and/or total knee arthroplasty (TKA)</w:t>
              </w:r>
            </w:sdtContent>
          </w:sdt>
        </w:sdtContent>
      </w:sdt>
    </w:p>
    <w:p w14:paraId="0CABCF57" w14:textId="558174AB" w:rsidR="005C73CA" w:rsidRPr="00EF322D" w:rsidRDefault="00105D8B" w:rsidP="009E1846">
      <w:pPr>
        <w:spacing w:after="0"/>
        <w:rPr>
          <w:rStyle w:val="Style2"/>
          <w:rFonts w:cstheme="minorHAnsi"/>
          <w:color w:val="auto"/>
        </w:rPr>
      </w:pPr>
      <w:r w:rsidRPr="00EF322D">
        <w:rPr>
          <w:rFonts w:cstheme="minorHAnsi"/>
          <w:b/>
          <w:noProof/>
        </w:rPr>
        <w:t>Date of Submission</w:t>
      </w:r>
      <w:r w:rsidRPr="00EF322D">
        <w:rPr>
          <w:rFonts w:cstheme="minorHAnsi"/>
          <w:noProof/>
        </w:rPr>
        <w:t xml:space="preserve">: </w:t>
      </w:r>
      <w:sdt>
        <w:sdtPr>
          <w:rPr>
            <w:rStyle w:val="Style2"/>
            <w:rFonts w:cstheme="minorHAnsi"/>
            <w:color w:val="C00000"/>
          </w:rPr>
          <w:id w:val="-1689821638"/>
          <w:placeholder>
            <w:docPart w:val="D0A5AE3409394D21BA5FA5F27780E302"/>
          </w:placeholder>
          <w:date w:fullDate="2020-11-03T00:00:00Z">
            <w:dateFormat w:val="M/d/yyyy"/>
            <w:lid w:val="en-US"/>
            <w:storeMappedDataAs w:val="dateTime"/>
            <w:calendar w:val="gregorian"/>
          </w:date>
        </w:sdtPr>
        <w:sdtEndPr>
          <w:rPr>
            <w:rStyle w:val="DefaultParagraphFont"/>
            <w:noProof/>
            <w:u w:val="none"/>
          </w:rPr>
        </w:sdtEndPr>
        <w:sdtContent>
          <w:r w:rsidR="005D0066">
            <w:rPr>
              <w:rStyle w:val="Style2"/>
              <w:rFonts w:cstheme="minorHAnsi"/>
              <w:color w:val="C00000"/>
            </w:rPr>
            <w:t>11/3/2020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3917A850" w:rsidR="000B7D57" w:rsidRPr="00C775CE" w:rsidRDefault="00AE389F"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F322D">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AE389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AE389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AE389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AE389F"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AE389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AE389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01DE8266"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w:t>
            </w:r>
            <w:r w:rsidR="00C208A4">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58396761"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C208A4">
              <w:rPr>
                <w:rFonts w:cstheme="minorHAnsi"/>
                <w:sz w:val="20"/>
                <w:szCs w:val="20"/>
              </w:rPr>
              <w:t xml:space="preserve">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06DF83C4"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C208A4">
              <w:rPr>
                <w:rFonts w:asciiTheme="minorHAnsi" w:hAnsiTheme="minorHAnsi" w:cstheme="minorHAnsi"/>
              </w:rPr>
              <w:t xml:space="preserve">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5CFD192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w:t>
            </w:r>
            <w:r w:rsidR="00C208A4">
              <w:rPr>
                <w:rFonts w:cstheme="minorHAnsi"/>
                <w:sz w:val="20"/>
                <w:szCs w:val="20"/>
              </w:rPr>
              <w:t xml:space="preserve"> </w:t>
            </w:r>
            <w:r w:rsidR="00145149" w:rsidRPr="00A831B4">
              <w:rPr>
                <w:rFonts w:cstheme="minorHAnsi"/>
                <w:sz w:val="20"/>
                <w:szCs w:val="20"/>
              </w:rPr>
              <w:t xml:space="preserve">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0BF89624"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00B57A62">
        <w:rPr>
          <w:rFonts w:cstheme="minorHAnsi"/>
          <w:i/>
          <w:noProof/>
        </w:rPr>
        <w:t>.</w:t>
      </w:r>
    </w:p>
    <w:p w14:paraId="0CABCF96" w14:textId="74D2219C" w:rsidR="00A01494" w:rsidRDefault="002B5016" w:rsidP="00B57A62">
      <w:pPr>
        <w:autoSpaceDE w:val="0"/>
        <w:autoSpaceDN w:val="0"/>
        <w:adjustRightInd w:val="0"/>
        <w:spacing w:before="120"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1"/>
        <w:gridCol w:w="473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AE389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AE389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204DE96" w:rsidR="00A01494" w:rsidRPr="000F1B7A" w:rsidRDefault="00AE389F"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EF322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55BBDD6" w:rsidR="00A01494" w:rsidRPr="000F1B7A" w:rsidRDefault="00AE389F"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EF322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AE389F"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AE389F"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AE389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AE389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AE389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AE389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3342B52C" w:rsidR="00A01494" w:rsidRPr="000F1B7A" w:rsidRDefault="00AE389F"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35657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other:</w:t>
            </w:r>
            <w:r w:rsidR="00C208A4">
              <w:rPr>
                <w:rFonts w:cstheme="minorHAnsi"/>
                <w:bCs/>
              </w:rPr>
              <w:t xml:space="preserve"> </w:t>
            </w:r>
            <w:sdt>
              <w:sdtPr>
                <w:rPr>
                  <w:rStyle w:val="Style1"/>
                  <w:color w:val="7030A0"/>
                </w:rPr>
                <w:id w:val="1834251992"/>
                <w:text/>
              </w:sdtPr>
              <w:sdtEndPr>
                <w:rPr>
                  <w:rStyle w:val="DefaultParagraphFont"/>
                  <w:rFonts w:cstheme="minorHAnsi"/>
                  <w:bCs/>
                </w:rPr>
              </w:sdtEndPr>
              <w:sdtContent>
                <w:r w:rsidR="0035657E" w:rsidRPr="0035657E">
                  <w:rPr>
                    <w:rStyle w:val="Style1"/>
                    <w:color w:val="7030A0"/>
                  </w:rPr>
                  <w:t>Medicare Enrollment Data</w:t>
                </w:r>
                <w:r>
                  <w:rPr>
                    <w:rStyle w:val="Style1"/>
                    <w:color w:val="7030A0"/>
                  </w:rPr>
                  <w:t xml:space="preserve"> (including the Master Beneficiary Summary File)</w:t>
                </w:r>
              </w:sdtContent>
            </w:sdt>
          </w:p>
        </w:tc>
        <w:tc>
          <w:tcPr>
            <w:tcW w:w="4847" w:type="dxa"/>
          </w:tcPr>
          <w:p w14:paraId="0CABCFAB" w14:textId="379DAE6C" w:rsidR="00A01494" w:rsidRPr="000F1B7A" w:rsidRDefault="00AE389F"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EF322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othe</w:t>
            </w:r>
            <w:r w:rsidR="00A01494" w:rsidRPr="00EF322D">
              <w:rPr>
                <w:rFonts w:cstheme="minorHAnsi"/>
                <w:bCs/>
              </w:rPr>
              <w:t xml:space="preserve">r: </w:t>
            </w:r>
            <w:sdt>
              <w:sdtPr>
                <w:rPr>
                  <w:rStyle w:val="Style1"/>
                  <w:color w:val="7030A0"/>
                </w:rPr>
                <w:id w:val="1976178076"/>
                <w:text/>
              </w:sdtPr>
              <w:sdtEndPr>
                <w:rPr>
                  <w:rStyle w:val="DefaultParagraphFont"/>
                  <w:rFonts w:cstheme="minorHAnsi"/>
                  <w:bCs/>
                </w:rPr>
              </w:sdtEndPr>
              <w:sdtContent>
                <w:r w:rsidR="00EF322D" w:rsidRPr="00E205B4">
                  <w:rPr>
                    <w:rStyle w:val="Style1"/>
                    <w:color w:val="7030A0"/>
                  </w:rPr>
                  <w:t>Census Data/American Community Survey</w:t>
                </w:r>
                <w:r w:rsidR="007E69DE">
                  <w:rPr>
                    <w:rStyle w:val="Style1"/>
                    <w:color w:val="7030A0"/>
                  </w:rPr>
                  <w:t xml:space="preserve">, </w:t>
                </w:r>
                <w:r>
                  <w:rPr>
                    <w:rStyle w:val="Style1"/>
                    <w:color w:val="7030A0"/>
                  </w:rPr>
                  <w:t xml:space="preserve">Medicare Enrollment Data (including the </w:t>
                </w:r>
                <w:r w:rsidR="007E69DE">
                  <w:rPr>
                    <w:rStyle w:val="Style1"/>
                    <w:color w:val="7030A0"/>
                  </w:rPr>
                  <w:t>Master Beneficiary Summary Fi</w:t>
                </w:r>
                <w:r w:rsidR="00FD0997">
                  <w:rPr>
                    <w:rStyle w:val="Style1"/>
                    <w:color w:val="7030A0"/>
                  </w:rPr>
                  <w:t>le</w:t>
                </w:r>
                <w:r>
                  <w:rPr>
                    <w:rStyle w:val="Style1"/>
                    <w:color w:val="7030A0"/>
                  </w:rPr>
                  <w:t>)</w:t>
                </w:r>
              </w:sdtContent>
            </w:sdt>
          </w:p>
        </w:tc>
      </w:tr>
    </w:tbl>
    <w:p w14:paraId="0915156F" w14:textId="27E0168F" w:rsidR="00E205B4" w:rsidRDefault="002B5016" w:rsidP="00B57A62">
      <w:pPr>
        <w:autoSpaceDE w:val="0"/>
        <w:autoSpaceDN w:val="0"/>
        <w:adjustRightInd w:val="0"/>
        <w:spacing w:before="120"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w:t>
      </w:r>
    </w:p>
    <w:p w14:paraId="65FD9BB5" w14:textId="16657845" w:rsidR="00B968FB" w:rsidRPr="00E205B4" w:rsidRDefault="00B968FB" w:rsidP="00E205B4">
      <w:pPr>
        <w:autoSpaceDE w:val="0"/>
        <w:autoSpaceDN w:val="0"/>
        <w:adjustRightInd w:val="0"/>
        <w:spacing w:before="120" w:after="120" w:line="240" w:lineRule="auto"/>
        <w:rPr>
          <w:rFonts w:cstheme="minorHAnsi"/>
          <w:bCs/>
          <w:color w:val="7030A0"/>
        </w:rPr>
      </w:pPr>
      <w:r w:rsidRPr="00E205B4">
        <w:rPr>
          <w:color w:val="7030A0"/>
        </w:rPr>
        <w:t xml:space="preserve">The datasets used for testing included Medicare Parts A and B claims, as well as the Medicare Enrollment Database (EDB). Additionally, census data were used to assess socioeconomic factors (dual eligibility </w:t>
      </w:r>
      <w:r w:rsidR="00C5768B">
        <w:rPr>
          <w:color w:val="7030A0"/>
        </w:rPr>
        <w:t xml:space="preserve">variable </w:t>
      </w:r>
      <w:r w:rsidRPr="00E205B4">
        <w:rPr>
          <w:color w:val="7030A0"/>
        </w:rPr>
        <w:t>obtained through enrollment data; Agency for Healthcare Research and Quality [AHRQ] socioeconomic status [SES] index score obtained through census data). Data abstracted from hospital medical records were used to validate the claims-based assessment of the readmission outcome. The dataset used varies by testing type; see Section 1.7 for details.</w:t>
      </w:r>
    </w:p>
    <w:p w14:paraId="0CABCFB0" w14:textId="0E3AF25F" w:rsidR="0004593A" w:rsidRPr="00E205B4" w:rsidRDefault="002B5016" w:rsidP="00DB3627">
      <w:pPr>
        <w:autoSpaceDE w:val="0"/>
        <w:autoSpaceDN w:val="0"/>
        <w:adjustRightInd w:val="0"/>
        <w:spacing w:after="0" w:line="240" w:lineRule="auto"/>
        <w:rPr>
          <w:rFonts w:cstheme="minorHAnsi"/>
          <w:bCs/>
          <w:color w:val="7030A0"/>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dat</w:t>
      </w:r>
      <w:r w:rsidR="000574AB" w:rsidRPr="009662D0">
        <w:rPr>
          <w:rFonts w:cstheme="minorHAnsi"/>
          <w:b/>
        </w:rPr>
        <w:t xml:space="preserve">es of </w:t>
      </w:r>
      <w:r w:rsidR="000968F8" w:rsidRPr="009662D0">
        <w:rPr>
          <w:rFonts w:cstheme="minorHAnsi"/>
          <w:b/>
        </w:rPr>
        <w:t xml:space="preserve">the </w:t>
      </w:r>
      <w:r w:rsidR="000574AB" w:rsidRPr="009662D0">
        <w:rPr>
          <w:rFonts w:cstheme="minorHAnsi"/>
          <w:b/>
        </w:rPr>
        <w:t xml:space="preserve">data </w:t>
      </w:r>
      <w:r w:rsidR="000968F8" w:rsidRPr="009662D0">
        <w:rPr>
          <w:rFonts w:cstheme="minorHAnsi"/>
          <w:b/>
        </w:rPr>
        <w:t>used in testing</w:t>
      </w:r>
      <w:r w:rsidR="000968F8" w:rsidRPr="009662D0">
        <w:rPr>
          <w:rFonts w:cstheme="minorHAnsi"/>
        </w:rPr>
        <w:t>?</w:t>
      </w:r>
      <w:r w:rsidR="000574AB" w:rsidRPr="00E205B4">
        <w:rPr>
          <w:rFonts w:cstheme="minorHAnsi"/>
          <w:color w:val="7030A0"/>
        </w:rPr>
        <w:t xml:space="preserve"> </w:t>
      </w:r>
      <w:sdt>
        <w:sdtPr>
          <w:rPr>
            <w:rStyle w:val="Style1"/>
            <w:color w:val="7030A0"/>
          </w:rPr>
          <w:id w:val="950514773"/>
          <w:text/>
        </w:sdtPr>
        <w:sdtEndPr>
          <w:rPr>
            <w:rStyle w:val="Style1"/>
          </w:rPr>
        </w:sdtEndPr>
        <w:sdtContent>
          <w:r w:rsidR="009662D0" w:rsidRPr="00E205B4">
            <w:rPr>
              <w:rStyle w:val="Style1"/>
              <w:color w:val="7030A0"/>
            </w:rPr>
            <w:t>The dates used for testing vary by testing type; see Section 1.7 for details</w:t>
          </w:r>
          <w:r w:rsidR="00C5768B">
            <w:rPr>
              <w:rStyle w:val="Style1"/>
              <w:color w:val="7030A0"/>
            </w:rPr>
            <w:t>.</w:t>
          </w:r>
        </w:sdtContent>
      </w:sdt>
    </w:p>
    <w:p w14:paraId="0CABCFB2" w14:textId="46D3FD86" w:rsidR="000414E8" w:rsidRDefault="002B5016" w:rsidP="00E33B77">
      <w:pPr>
        <w:autoSpaceDE w:val="0"/>
        <w:autoSpaceDN w:val="0"/>
        <w:adjustRightInd w:val="0"/>
        <w:spacing w:before="120"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AE389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AE389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AE389F"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AE389F"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0FABADC" w:rsidR="000414E8" w:rsidRPr="00A01494" w:rsidRDefault="00AE389F"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9662D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5280CDC8" w:rsidR="000414E8" w:rsidRPr="00A01494" w:rsidRDefault="00AE389F"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9662D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AE389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AE389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3F71BBDF" w:rsidR="000414E8" w:rsidRPr="00A01494" w:rsidRDefault="00AE389F"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C208A4">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269FB629" w:rsidR="000414E8" w:rsidRPr="00A01494" w:rsidRDefault="00AE389F"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C208A4">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6BC3AF9C" w14:textId="78EBF05D" w:rsidR="00E205B4" w:rsidRDefault="002B5016" w:rsidP="00537486">
      <w:pPr>
        <w:autoSpaceDE w:val="0"/>
        <w:autoSpaceDN w:val="0"/>
        <w:adjustRightInd w:val="0"/>
        <w:spacing w:before="120"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w:t>
      </w:r>
    </w:p>
    <w:p w14:paraId="3ECD4035" w14:textId="36222A4C" w:rsidR="009662D0" w:rsidRPr="00E205B4" w:rsidRDefault="009662D0" w:rsidP="00E205B4">
      <w:pPr>
        <w:autoSpaceDE w:val="0"/>
        <w:autoSpaceDN w:val="0"/>
        <w:adjustRightInd w:val="0"/>
        <w:spacing w:before="120" w:after="120" w:line="240" w:lineRule="auto"/>
        <w:rPr>
          <w:rFonts w:cstheme="minorHAnsi"/>
          <w:bCs/>
          <w:color w:val="7030A0"/>
        </w:rPr>
      </w:pPr>
      <w:r w:rsidRPr="00E205B4">
        <w:rPr>
          <w:color w:val="7030A0"/>
        </w:rPr>
        <w:t xml:space="preserve">For this measure, hospitals are the measured entities. All non-federal, acute inpatient US hospitals (including territories) with Medicare fee-for-service (FFS) beneficiaries aged 65 years and older are included. </w:t>
      </w:r>
      <w:r w:rsidR="00DF686B" w:rsidRPr="009026A4">
        <w:rPr>
          <w:color w:val="C00000"/>
        </w:rPr>
        <w:t>Between July 1, 2016 and</w:t>
      </w:r>
      <w:r w:rsidR="00DF686B">
        <w:rPr>
          <w:color w:val="C00000"/>
        </w:rPr>
        <w:t xml:space="preserve"> June 30, 2019, there were 3,412</w:t>
      </w:r>
      <w:r w:rsidR="00DF686B" w:rsidRPr="009026A4">
        <w:rPr>
          <w:color w:val="C00000"/>
        </w:rPr>
        <w:t xml:space="preserve"> hospitals with a qualifying admission for a</w:t>
      </w:r>
      <w:r w:rsidR="00DF686B">
        <w:rPr>
          <w:color w:val="C00000"/>
        </w:rPr>
        <w:t xml:space="preserve"> THA/TKA</w:t>
      </w:r>
      <w:r w:rsidR="00DF686B" w:rsidRPr="009026A4">
        <w:rPr>
          <w:color w:val="C00000"/>
        </w:rPr>
        <w:t xml:space="preserve"> procedure. </w:t>
      </w:r>
      <w:r w:rsidRPr="00E205B4">
        <w:rPr>
          <w:rFonts w:cstheme="minorHAnsi"/>
          <w:bCs/>
          <w:color w:val="7030A0"/>
        </w:rPr>
        <w:t>The number of measured entities (hospitals) varies by testing type; see Section 1.7 for details.</w:t>
      </w:r>
    </w:p>
    <w:p w14:paraId="3B597493" w14:textId="77777777" w:rsidR="00E205B4" w:rsidRDefault="002B5016" w:rsidP="00E205B4">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14:paraId="6D43ABA2" w14:textId="4FC34827" w:rsidR="009662D0" w:rsidRPr="00E205B4" w:rsidRDefault="009662D0" w:rsidP="00E205B4">
      <w:pPr>
        <w:autoSpaceDE w:val="0"/>
        <w:autoSpaceDN w:val="0"/>
        <w:adjustRightInd w:val="0"/>
        <w:spacing w:before="120" w:after="120" w:line="240" w:lineRule="auto"/>
        <w:rPr>
          <w:rFonts w:cstheme="minorHAnsi"/>
          <w:bCs/>
          <w:color w:val="7030A0"/>
        </w:rPr>
      </w:pPr>
      <w:r w:rsidRPr="00E205B4">
        <w:rPr>
          <w:rFonts w:cstheme="minorHAnsi"/>
          <w:iCs/>
          <w:color w:val="7030A0"/>
        </w:rPr>
        <w:t>The number of admissions/patients varies by testing type: see Section 1.7 for details</w:t>
      </w:r>
      <w:r w:rsidR="00717307">
        <w:rPr>
          <w:rFonts w:cstheme="minorHAnsi"/>
          <w:iCs/>
          <w:color w:val="7030A0"/>
        </w:rPr>
        <w:t>.</w:t>
      </w:r>
    </w:p>
    <w:p w14:paraId="60A0D403" w14:textId="77777777" w:rsidR="00E205B4" w:rsidRDefault="002B5016" w:rsidP="00E205B4">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bookmarkStart w:id="12" w:name="_Hlk33449336"/>
    </w:p>
    <w:p w14:paraId="1D3EDCCD" w14:textId="77777777" w:rsidR="00E205B4" w:rsidRPr="00E205B4" w:rsidRDefault="009662D0" w:rsidP="00E205B4">
      <w:pPr>
        <w:autoSpaceDE w:val="0"/>
        <w:autoSpaceDN w:val="0"/>
        <w:adjustRightInd w:val="0"/>
        <w:spacing w:before="120" w:after="120" w:line="240" w:lineRule="auto"/>
        <w:rPr>
          <w:rFonts w:cstheme="minorHAnsi"/>
          <w:bCs/>
          <w:color w:val="7030A0"/>
        </w:rPr>
      </w:pPr>
      <w:r w:rsidRPr="00E205B4">
        <w:rPr>
          <w:rFonts w:cstheme="minorHAnsi"/>
          <w:bCs/>
          <w:color w:val="7030A0"/>
        </w:rPr>
        <w:t>The datasets, dates, number of measured hospitals, and number of admissions used in each type of testing are in Table 1.</w:t>
      </w:r>
    </w:p>
    <w:p w14:paraId="2DEF9FDD" w14:textId="77777777" w:rsidR="00E205B4" w:rsidRPr="00E205B4" w:rsidRDefault="009662D0" w:rsidP="00E205B4">
      <w:pPr>
        <w:autoSpaceDE w:val="0"/>
        <w:autoSpaceDN w:val="0"/>
        <w:adjustRightInd w:val="0"/>
        <w:spacing w:before="120" w:after="120" w:line="240" w:lineRule="auto"/>
        <w:rPr>
          <w:rFonts w:cstheme="minorHAnsi"/>
          <w:bCs/>
          <w:color w:val="7030A0"/>
        </w:rPr>
      </w:pPr>
      <w:r w:rsidRPr="00E205B4">
        <w:rPr>
          <w:rFonts w:cstheme="minorHAnsi"/>
          <w:bCs/>
          <w:color w:val="7030A0"/>
          <w:u w:val="single"/>
        </w:rPr>
        <w:t>Measure Development</w:t>
      </w:r>
    </w:p>
    <w:p w14:paraId="606EECC7" w14:textId="7DBC3D1E" w:rsidR="00E205B4" w:rsidRPr="00E205B4" w:rsidRDefault="009662D0" w:rsidP="00E205B4">
      <w:pPr>
        <w:autoSpaceDE w:val="0"/>
        <w:autoSpaceDN w:val="0"/>
        <w:adjustRightInd w:val="0"/>
        <w:spacing w:before="120" w:after="120" w:line="240" w:lineRule="auto"/>
        <w:rPr>
          <w:rFonts w:cstheme="minorHAnsi"/>
          <w:bCs/>
          <w:color w:val="7030A0"/>
        </w:rPr>
      </w:pPr>
      <w:r w:rsidRPr="00E205B4">
        <w:rPr>
          <w:rFonts w:cstheme="minorHAnsi"/>
          <w:bCs/>
          <w:color w:val="7030A0"/>
        </w:rPr>
        <w:t xml:space="preserve">For measure development, we used Medicare administrative </w:t>
      </w:r>
      <w:r w:rsidRPr="00DF686B">
        <w:rPr>
          <w:rFonts w:cstheme="minorHAnsi"/>
          <w:bCs/>
          <w:color w:val="7030A0"/>
        </w:rPr>
        <w:t>claims data (</w:t>
      </w:r>
      <w:r w:rsidR="00DF686B" w:rsidRPr="00DF686B">
        <w:rPr>
          <w:rFonts w:cstheme="minorHAnsi"/>
          <w:bCs/>
          <w:color w:val="7030A0"/>
        </w:rPr>
        <w:t>January – December 2008</w:t>
      </w:r>
      <w:r w:rsidRPr="00DF686B">
        <w:rPr>
          <w:rFonts w:cstheme="minorHAnsi"/>
          <w:bCs/>
          <w:color w:val="7030A0"/>
        </w:rPr>
        <w:t xml:space="preserve">). </w:t>
      </w:r>
      <w:r w:rsidRPr="00E205B4">
        <w:rPr>
          <w:rFonts w:cstheme="minorHAnsi"/>
          <w:bCs/>
          <w:color w:val="7030A0"/>
        </w:rPr>
        <w:t>The dataset also included administrative data on each patient for the 12 months prior to the index admission and the 30 days following it. The dataset contained inpatient and facility outpatient claims and Medicare enrollment database (EDB) data. We randomly split the data (</w:t>
      </w:r>
      <w:r w:rsidR="00DF686B">
        <w:rPr>
          <w:rFonts w:cstheme="minorHAnsi"/>
          <w:bCs/>
          <w:color w:val="7030A0"/>
        </w:rPr>
        <w:t>2008</w:t>
      </w:r>
      <w:r w:rsidRPr="00E205B4">
        <w:rPr>
          <w:rFonts w:cstheme="minorHAnsi"/>
          <w:bCs/>
          <w:color w:val="7030A0"/>
        </w:rPr>
        <w:t>) into two equal samples:</w:t>
      </w:r>
      <w:r w:rsidRPr="00E205B4">
        <w:rPr>
          <w:rFonts w:cstheme="minorHAnsi"/>
          <w:b/>
          <w:bCs/>
          <w:color w:val="7030A0"/>
        </w:rPr>
        <w:t xml:space="preserve"> </w:t>
      </w:r>
      <w:proofErr w:type="gramStart"/>
      <w:r w:rsidRPr="00E205B4">
        <w:rPr>
          <w:rFonts w:cstheme="minorHAnsi"/>
          <w:b/>
          <w:bCs/>
          <w:color w:val="7030A0"/>
        </w:rPr>
        <w:t>the</w:t>
      </w:r>
      <w:proofErr w:type="gramEnd"/>
      <w:r w:rsidRPr="00E205B4">
        <w:rPr>
          <w:rFonts w:cstheme="minorHAnsi"/>
          <w:b/>
          <w:bCs/>
          <w:color w:val="7030A0"/>
        </w:rPr>
        <w:t xml:space="preserve"> Development Dataset </w:t>
      </w:r>
      <w:r w:rsidRPr="00E205B4">
        <w:rPr>
          <w:rFonts w:cstheme="minorHAnsi"/>
          <w:bCs/>
          <w:color w:val="7030A0"/>
        </w:rPr>
        <w:t xml:space="preserve">and </w:t>
      </w:r>
      <w:r w:rsidR="00B13D99">
        <w:rPr>
          <w:rFonts w:cstheme="minorHAnsi"/>
          <w:b/>
          <w:bCs/>
          <w:color w:val="7030A0"/>
        </w:rPr>
        <w:t>Internal Validation Dataset.</w:t>
      </w:r>
    </w:p>
    <w:p w14:paraId="68453771" w14:textId="426CCEAF" w:rsidR="00E205B4" w:rsidRPr="00E205B4" w:rsidRDefault="009662D0" w:rsidP="00E205B4">
      <w:pPr>
        <w:autoSpaceDE w:val="0"/>
        <w:autoSpaceDN w:val="0"/>
        <w:adjustRightInd w:val="0"/>
        <w:spacing w:before="120" w:after="120" w:line="240" w:lineRule="auto"/>
        <w:rPr>
          <w:rFonts w:cstheme="minorHAnsi"/>
          <w:bCs/>
          <w:color w:val="7030A0"/>
        </w:rPr>
      </w:pPr>
      <w:r w:rsidRPr="00E205B4">
        <w:rPr>
          <w:rFonts w:cstheme="minorHAnsi"/>
          <w:b/>
          <w:bCs/>
          <w:color w:val="7030A0"/>
        </w:rPr>
        <w:t>Measure Testing</w:t>
      </w:r>
    </w:p>
    <w:p w14:paraId="79A425EB" w14:textId="77777777" w:rsidR="00E205B4" w:rsidRPr="00E205B4" w:rsidRDefault="009662D0" w:rsidP="00E205B4">
      <w:pPr>
        <w:autoSpaceDE w:val="0"/>
        <w:autoSpaceDN w:val="0"/>
        <w:adjustRightInd w:val="0"/>
        <w:spacing w:before="120" w:after="120" w:line="240" w:lineRule="auto"/>
        <w:rPr>
          <w:rFonts w:cstheme="minorHAnsi"/>
          <w:bCs/>
          <w:color w:val="7030A0"/>
        </w:rPr>
      </w:pPr>
      <w:r w:rsidRPr="00E205B4">
        <w:rPr>
          <w:rFonts w:cstheme="minorHAnsi"/>
          <w:bCs/>
          <w:color w:val="7030A0"/>
        </w:rPr>
        <w:t>For analytical updates for this measure, we used three-years of Medicare administrative claims data (</w:t>
      </w:r>
      <w:r w:rsidRPr="00E205B4">
        <w:rPr>
          <w:rFonts w:cstheme="minorHAnsi"/>
          <w:bCs/>
          <w:color w:val="C00000"/>
        </w:rPr>
        <w:t>July 2016 – June 2019</w:t>
      </w:r>
      <w:r w:rsidRPr="00E205B4">
        <w:rPr>
          <w:rFonts w:cstheme="minorHAnsi"/>
          <w:bCs/>
          <w:color w:val="7030A0"/>
        </w:rPr>
        <w:t>). The dataset also included administrative data on each patient for the 12 months prior to the index admission and the 30 days following it. The dataset contained inpatient and facility outpatient claims and Medicare enrollment database (EDB) data.</w:t>
      </w:r>
    </w:p>
    <w:p w14:paraId="6599AB94" w14:textId="08F6CDA5" w:rsidR="009662D0" w:rsidRPr="00650E42" w:rsidRDefault="00650E42" w:rsidP="00650E42">
      <w:pPr>
        <w:pStyle w:val="Caption"/>
        <w:rPr>
          <w:rFonts w:cstheme="minorHAnsi"/>
          <w:bCs/>
          <w:i w:val="0"/>
          <w:color w:val="7030A0"/>
          <w:sz w:val="22"/>
        </w:rPr>
      </w:pPr>
      <w:r w:rsidRPr="00650E42">
        <w:rPr>
          <w:b/>
          <w:i w:val="0"/>
          <w:color w:val="7030A0"/>
          <w:sz w:val="22"/>
        </w:rPr>
        <w:t xml:space="preserve">Table </w:t>
      </w:r>
      <w:r w:rsidRPr="00650E42">
        <w:rPr>
          <w:b/>
          <w:i w:val="0"/>
          <w:color w:val="7030A0"/>
          <w:sz w:val="22"/>
        </w:rPr>
        <w:fldChar w:fldCharType="begin"/>
      </w:r>
      <w:r w:rsidRPr="00650E42">
        <w:rPr>
          <w:b/>
          <w:i w:val="0"/>
          <w:color w:val="7030A0"/>
          <w:sz w:val="22"/>
        </w:rPr>
        <w:instrText xml:space="preserve"> SEQ Table \* ARABIC </w:instrText>
      </w:r>
      <w:r w:rsidRPr="00650E42">
        <w:rPr>
          <w:b/>
          <w:i w:val="0"/>
          <w:color w:val="7030A0"/>
          <w:sz w:val="22"/>
        </w:rPr>
        <w:fldChar w:fldCharType="separate"/>
      </w:r>
      <w:r w:rsidR="006F2E6B">
        <w:rPr>
          <w:b/>
          <w:i w:val="0"/>
          <w:noProof/>
          <w:color w:val="7030A0"/>
          <w:sz w:val="22"/>
        </w:rPr>
        <w:t>1</w:t>
      </w:r>
      <w:r w:rsidRPr="00650E42">
        <w:rPr>
          <w:b/>
          <w:i w:val="0"/>
          <w:color w:val="7030A0"/>
          <w:sz w:val="22"/>
        </w:rPr>
        <w:fldChar w:fldCharType="end"/>
      </w:r>
      <w:r w:rsidR="009662D0" w:rsidRPr="00650E42">
        <w:rPr>
          <w:rFonts w:cstheme="minorHAnsi"/>
          <w:bCs/>
          <w:i w:val="0"/>
          <w:color w:val="7030A0"/>
          <w:sz w:val="22"/>
        </w:rPr>
        <w:t>. Dataset Descriptions</w:t>
      </w:r>
      <w:bookmarkEnd w:id="12"/>
    </w:p>
    <w:tbl>
      <w:tblPr>
        <w:tblStyle w:val="ListTable3-Accent112"/>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392"/>
      </w:tblGrid>
      <w:tr w:rsidR="009662D0" w:rsidRPr="006941CA" w14:paraId="68DE0ABC" w14:textId="77777777" w:rsidTr="00251F35">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0C14FD71" w14:textId="77777777" w:rsidR="009662D0" w:rsidRPr="006941CA" w:rsidRDefault="009662D0" w:rsidP="00251F35">
            <w:pPr>
              <w:jc w:val="center"/>
            </w:pPr>
            <w:r w:rsidRPr="006941CA">
              <w:t>Dataset</w:t>
            </w:r>
          </w:p>
        </w:tc>
        <w:tc>
          <w:tcPr>
            <w:tcW w:w="3117" w:type="dxa"/>
          </w:tcPr>
          <w:p w14:paraId="1C4B7C8B" w14:textId="77777777" w:rsidR="009662D0" w:rsidRPr="006941CA" w:rsidRDefault="009662D0" w:rsidP="00251F35">
            <w:pPr>
              <w:jc w:val="center"/>
              <w:cnfStyle w:val="100000000000" w:firstRow="1" w:lastRow="0" w:firstColumn="0" w:lastColumn="0" w:oddVBand="0" w:evenVBand="0" w:oddHBand="0" w:evenHBand="0" w:firstRowFirstColumn="0" w:firstRowLastColumn="0" w:lastRowFirstColumn="0" w:lastRowLastColumn="0"/>
            </w:pPr>
            <w:r w:rsidRPr="006941CA">
              <w:t>Applicable Section in the Testing Attachment</w:t>
            </w:r>
          </w:p>
        </w:tc>
        <w:tc>
          <w:tcPr>
            <w:tcW w:w="3392" w:type="dxa"/>
          </w:tcPr>
          <w:p w14:paraId="16F5A595" w14:textId="77777777" w:rsidR="009662D0" w:rsidRPr="006941CA" w:rsidRDefault="009662D0" w:rsidP="00251F35">
            <w:pPr>
              <w:jc w:val="center"/>
              <w:cnfStyle w:val="100000000000" w:firstRow="1" w:lastRow="0" w:firstColumn="0" w:lastColumn="0" w:oddVBand="0" w:evenVBand="0" w:oddHBand="0" w:evenHBand="0" w:firstRowFirstColumn="0" w:firstRowLastColumn="0" w:lastRowFirstColumn="0" w:lastRowLastColumn="0"/>
            </w:pPr>
            <w:r w:rsidRPr="006941CA">
              <w:t>Description of Dataset</w:t>
            </w:r>
          </w:p>
        </w:tc>
      </w:tr>
      <w:tr w:rsidR="009662D0" w:rsidRPr="006941CA" w14:paraId="3076C833" w14:textId="77777777" w:rsidTr="00251F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94EC4AF" w14:textId="602C5540" w:rsidR="009662D0" w:rsidRPr="00E205B4" w:rsidRDefault="009662D0" w:rsidP="00251F35">
            <w:pPr>
              <w:jc w:val="center"/>
              <w:rPr>
                <w:color w:val="7030A0"/>
              </w:rPr>
            </w:pPr>
            <w:r w:rsidRPr="00E205B4">
              <w:rPr>
                <w:rFonts w:cstheme="minorHAnsi"/>
                <w:color w:val="7030A0"/>
              </w:rPr>
              <w:t>Development and Validation Datasets</w:t>
            </w:r>
            <w:r w:rsidR="00E205B4" w:rsidRPr="00E205B4">
              <w:rPr>
                <w:rFonts w:cstheme="minorHAnsi"/>
                <w:color w:val="7030A0"/>
              </w:rPr>
              <w:br/>
            </w:r>
            <w:r w:rsidRPr="00E205B4">
              <w:rPr>
                <w:rFonts w:cstheme="minorHAnsi"/>
                <w:color w:val="7030A0"/>
              </w:rPr>
              <w:t>(Medicare Fee-For-Service Administrative Claims Data)</w:t>
            </w:r>
          </w:p>
        </w:tc>
        <w:tc>
          <w:tcPr>
            <w:tcW w:w="3117" w:type="dxa"/>
          </w:tcPr>
          <w:p w14:paraId="4DDC471D" w14:textId="57AAC2D6" w:rsidR="009662D0" w:rsidRPr="00E205B4" w:rsidRDefault="009662D0" w:rsidP="00251F35">
            <w:pPr>
              <w:spacing w:after="24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Section 2b3 Risk Adjustment/Stratification</w:t>
            </w:r>
          </w:p>
          <w:p w14:paraId="16A0FFB3" w14:textId="77777777" w:rsidR="009662D0" w:rsidRPr="00E205B4" w:rsidRDefault="009662D0" w:rsidP="00251F35">
            <w:pPr>
              <w:spacing w:after="240"/>
              <w:cnfStyle w:val="000000100000" w:firstRow="0" w:lastRow="0" w:firstColumn="0" w:lastColumn="0" w:oddVBand="0" w:evenVBand="0" w:oddHBand="1" w:evenHBand="0" w:firstRowFirstColumn="0" w:firstRowLastColumn="0" w:lastRowFirstColumn="0" w:lastRowLastColumn="0"/>
              <w:rPr>
                <w:color w:val="7030A0"/>
              </w:rPr>
            </w:pPr>
            <w:r w:rsidRPr="00E205B4">
              <w:rPr>
                <w:rFonts w:cstheme="minorHAnsi"/>
                <w:b/>
                <w:bCs/>
                <w:color w:val="7030A0"/>
              </w:rPr>
              <w:t>2b3.6. Statistical Risk Model Discrimination Statistics</w:t>
            </w:r>
          </w:p>
          <w:p w14:paraId="3A722FDC" w14:textId="1FCF6A25" w:rsidR="009662D0" w:rsidRPr="00E205B4" w:rsidRDefault="009662D0" w:rsidP="00251F35">
            <w:pPr>
              <w:spacing w:after="240"/>
              <w:cnfStyle w:val="000000100000" w:firstRow="0" w:lastRow="0" w:firstColumn="0" w:lastColumn="0" w:oddVBand="0" w:evenVBand="0" w:oddHBand="1" w:evenHBand="0" w:firstRowFirstColumn="0" w:firstRowLastColumn="0" w:lastRowFirstColumn="0" w:lastRowLastColumn="0"/>
              <w:rPr>
                <w:rFonts w:cstheme="minorHAnsi"/>
                <w:b/>
                <w:bCs/>
                <w:color w:val="7030A0"/>
              </w:rPr>
            </w:pPr>
            <w:r w:rsidRPr="00E205B4">
              <w:rPr>
                <w:rFonts w:cstheme="minorHAnsi"/>
                <w:b/>
                <w:bCs/>
                <w:color w:val="7030A0"/>
              </w:rPr>
              <w:t>2b3.7. Statistical Risk Model Calibration Statistics</w:t>
            </w:r>
          </w:p>
        </w:tc>
        <w:tc>
          <w:tcPr>
            <w:tcW w:w="3392" w:type="dxa"/>
          </w:tcPr>
          <w:p w14:paraId="49A2E4C3" w14:textId="77777777" w:rsidR="009662D0" w:rsidRPr="00E205B4" w:rsidRDefault="009662D0" w:rsidP="00E205B4">
            <w:pPr>
              <w:spacing w:after="12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Entire Cohort:</w:t>
            </w:r>
          </w:p>
          <w:p w14:paraId="092EDE84" w14:textId="2E3335CA" w:rsidR="009662D0" w:rsidRPr="00E205B4" w:rsidRDefault="00DF686B" w:rsidP="00E205B4">
            <w:pPr>
              <w:spacing w:after="120"/>
              <w:cnfStyle w:val="000000100000" w:firstRow="0" w:lastRow="0" w:firstColumn="0" w:lastColumn="0" w:oddVBand="0" w:evenVBand="0" w:oddHBand="1" w:evenHBand="0" w:firstRowFirstColumn="0" w:firstRowLastColumn="0" w:lastRowFirstColumn="0" w:lastRowLastColumn="0"/>
              <w:rPr>
                <w:color w:val="7030A0"/>
              </w:rPr>
            </w:pPr>
            <w:r>
              <w:rPr>
                <w:color w:val="7030A0"/>
              </w:rPr>
              <w:t>Dates of Data: January 1, 2008 – December 31, 2008</w:t>
            </w:r>
          </w:p>
          <w:p w14:paraId="661B20FA" w14:textId="7B1A9200" w:rsidR="009662D0" w:rsidRPr="00E205B4" w:rsidRDefault="009662D0" w:rsidP="00E205B4">
            <w:pPr>
              <w:spacing w:after="12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Number of admissions = </w:t>
            </w:r>
            <w:r w:rsidR="00C4432A">
              <w:rPr>
                <w:color w:val="7030A0"/>
              </w:rPr>
              <w:t>296,224</w:t>
            </w:r>
          </w:p>
          <w:p w14:paraId="73E8CF49" w14:textId="3042DC0D" w:rsidR="009662D0" w:rsidRPr="00E205B4" w:rsidRDefault="009662D0" w:rsidP="00E205B4">
            <w:pPr>
              <w:spacing w:after="12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Number of measured hospitals: </w:t>
            </w:r>
            <w:r w:rsidR="006739F6" w:rsidRPr="00E205B4">
              <w:rPr>
                <w:color w:val="7030A0"/>
              </w:rPr>
              <w:t>3,</w:t>
            </w:r>
            <w:r w:rsidR="00DF686B">
              <w:rPr>
                <w:color w:val="7030A0"/>
              </w:rPr>
              <w:t>223</w:t>
            </w:r>
          </w:p>
          <w:p w14:paraId="45651E67" w14:textId="77777777" w:rsidR="009662D0" w:rsidRPr="00E205B4" w:rsidRDefault="009662D0" w:rsidP="00E205B4">
            <w:pPr>
              <w:spacing w:after="12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lastRenderedPageBreak/>
              <w:t>This cohort was randomly split for initial model testing.</w:t>
            </w:r>
          </w:p>
          <w:p w14:paraId="2C1CCFE4" w14:textId="77777777" w:rsidR="009662D0" w:rsidRPr="00E205B4" w:rsidRDefault="009662D0" w:rsidP="00E205B4">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First half of split sample</w:t>
            </w:r>
          </w:p>
          <w:p w14:paraId="686037D1" w14:textId="1DFD61B7" w:rsidR="009662D0" w:rsidRPr="00E205B4" w:rsidRDefault="009662D0" w:rsidP="00E205B4">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-Number of Admissions: </w:t>
            </w:r>
            <w:r w:rsidR="00DF686B">
              <w:rPr>
                <w:color w:val="7030A0"/>
              </w:rPr>
              <w:t>148,132</w:t>
            </w:r>
          </w:p>
          <w:p w14:paraId="4E4A2C89" w14:textId="4396DF1F" w:rsidR="009662D0" w:rsidRPr="00E205B4" w:rsidRDefault="009662D0" w:rsidP="00E205B4">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-Number of Measured Hospitals: </w:t>
            </w:r>
            <w:r w:rsidR="00DF686B">
              <w:rPr>
                <w:color w:val="7030A0"/>
              </w:rPr>
              <w:t>3,223</w:t>
            </w:r>
          </w:p>
          <w:p w14:paraId="78158A58" w14:textId="77777777" w:rsidR="009662D0" w:rsidRPr="00E205B4" w:rsidRDefault="009662D0" w:rsidP="00E205B4">
            <w:pPr>
              <w:spacing w:before="12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Second half of split sample</w:t>
            </w:r>
          </w:p>
          <w:p w14:paraId="6D693D0A" w14:textId="04970114" w:rsidR="009662D0" w:rsidRPr="00E205B4" w:rsidRDefault="009662D0" w:rsidP="00E205B4">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-Number of Admissions: </w:t>
            </w:r>
            <w:r w:rsidR="00DF686B">
              <w:rPr>
                <w:color w:val="7030A0"/>
              </w:rPr>
              <w:t>148,092</w:t>
            </w:r>
          </w:p>
          <w:p w14:paraId="79579833" w14:textId="504B4713" w:rsidR="009662D0" w:rsidRPr="00E205B4" w:rsidRDefault="009662D0" w:rsidP="00E205B4">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-Number of Measured Hospitals: </w:t>
            </w:r>
            <w:r w:rsidR="00225270" w:rsidRPr="00E205B4">
              <w:rPr>
                <w:color w:val="7030A0"/>
              </w:rPr>
              <w:t>3,</w:t>
            </w:r>
            <w:r w:rsidR="00DF686B">
              <w:rPr>
                <w:color w:val="7030A0"/>
              </w:rPr>
              <w:t>213</w:t>
            </w:r>
          </w:p>
        </w:tc>
      </w:tr>
      <w:tr w:rsidR="009662D0" w:rsidRPr="006941CA" w14:paraId="34C1B206" w14:textId="77777777" w:rsidTr="00251F35">
        <w:tc>
          <w:tcPr>
            <w:cnfStyle w:val="001000000000" w:firstRow="0" w:lastRow="0" w:firstColumn="1" w:lastColumn="0" w:oddVBand="0" w:evenVBand="0" w:oddHBand="0" w:evenHBand="0" w:firstRowFirstColumn="0" w:firstRowLastColumn="0" w:lastRowFirstColumn="0" w:lastRowLastColumn="0"/>
            <w:tcW w:w="3116" w:type="dxa"/>
          </w:tcPr>
          <w:p w14:paraId="57EB271D" w14:textId="77777777" w:rsidR="009662D0" w:rsidRPr="00E205B4" w:rsidRDefault="009662D0" w:rsidP="00251F35">
            <w:pPr>
              <w:jc w:val="center"/>
              <w:rPr>
                <w:rFonts w:cstheme="minorHAnsi"/>
                <w:color w:val="C00000"/>
              </w:rPr>
            </w:pPr>
            <w:r w:rsidRPr="00E205B4">
              <w:rPr>
                <w:rFonts w:cstheme="minorHAnsi"/>
                <w:color w:val="C00000"/>
              </w:rPr>
              <w:lastRenderedPageBreak/>
              <w:t>Testing Dataset</w:t>
            </w:r>
          </w:p>
          <w:p w14:paraId="73487486" w14:textId="77777777" w:rsidR="009662D0" w:rsidRPr="00E205B4" w:rsidRDefault="009662D0" w:rsidP="00251F35">
            <w:pPr>
              <w:jc w:val="center"/>
              <w:rPr>
                <w:rFonts w:cstheme="minorHAnsi"/>
                <w:color w:val="C00000"/>
              </w:rPr>
            </w:pPr>
            <w:r w:rsidRPr="00E205B4">
              <w:rPr>
                <w:rFonts w:cstheme="minorHAnsi"/>
                <w:color w:val="C00000"/>
              </w:rPr>
              <w:t>(Medicare Fee-For-Service Administrative Claims Data</w:t>
            </w:r>
          </w:p>
          <w:p w14:paraId="3DAB3596" w14:textId="02EE0186" w:rsidR="009662D0" w:rsidRPr="00BC6E2D" w:rsidRDefault="00DF686B" w:rsidP="00251F35">
            <w:pPr>
              <w:jc w:val="center"/>
              <w:rPr>
                <w:rFonts w:cstheme="minorHAnsi"/>
                <w:color w:val="FF0000"/>
              </w:rPr>
            </w:pPr>
            <w:r>
              <w:rPr>
                <w:rFonts w:cstheme="minorHAnsi"/>
                <w:color w:val="C00000"/>
              </w:rPr>
              <w:t>(July 1, 2016 – June 30, 2019</w:t>
            </w:r>
            <w:r w:rsidR="009662D0" w:rsidRPr="00E205B4">
              <w:rPr>
                <w:rFonts w:cstheme="minorHAnsi"/>
                <w:color w:val="C00000"/>
              </w:rPr>
              <w:t xml:space="preserve">) </w:t>
            </w:r>
          </w:p>
        </w:tc>
        <w:tc>
          <w:tcPr>
            <w:tcW w:w="3117" w:type="dxa"/>
          </w:tcPr>
          <w:p w14:paraId="6C338D89" w14:textId="77777777" w:rsidR="009662D0" w:rsidRPr="00E205B4" w:rsidRDefault="009662D0" w:rsidP="00E205B4">
            <w:pPr>
              <w:spacing w:after="12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Section 2a2 Reliability Testing</w:t>
            </w:r>
          </w:p>
          <w:p w14:paraId="26648923" w14:textId="77777777" w:rsidR="009662D0" w:rsidRPr="00E205B4" w:rsidRDefault="009662D0" w:rsidP="00E205B4">
            <w:pPr>
              <w:spacing w:after="12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Section 2b1 Validity Testing</w:t>
            </w:r>
          </w:p>
          <w:p w14:paraId="2FDBC180" w14:textId="77777777" w:rsidR="009662D0" w:rsidRPr="00E205B4" w:rsidRDefault="009662D0" w:rsidP="00E205B4">
            <w:pPr>
              <w:spacing w:after="12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Section 2b2 Testing of Measure Exclusion</w:t>
            </w:r>
          </w:p>
          <w:p w14:paraId="04312C18" w14:textId="44165198" w:rsidR="009662D0" w:rsidRPr="00E205B4" w:rsidRDefault="009662D0" w:rsidP="00E205B4">
            <w:pPr>
              <w:spacing w:after="12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Section 2b3 Risk Adjustment/Stratification</w:t>
            </w:r>
          </w:p>
          <w:p w14:paraId="6D755814" w14:textId="77777777" w:rsidR="009662D0" w:rsidRPr="00E205B4" w:rsidRDefault="009662D0" w:rsidP="00E205B4">
            <w:pPr>
              <w:spacing w:after="120"/>
              <w:cnfStyle w:val="000000000000" w:firstRow="0" w:lastRow="0" w:firstColumn="0" w:lastColumn="0" w:oddVBand="0" w:evenVBand="0" w:oddHBand="0" w:evenHBand="0" w:firstRowFirstColumn="0" w:firstRowLastColumn="0" w:lastRowFirstColumn="0" w:lastRowLastColumn="0"/>
              <w:rPr>
                <w:color w:val="C00000"/>
              </w:rPr>
            </w:pPr>
            <w:r w:rsidRPr="00E205B4">
              <w:rPr>
                <w:rFonts w:cstheme="minorHAnsi"/>
                <w:b/>
                <w:bCs/>
                <w:color w:val="C00000"/>
              </w:rPr>
              <w:t>2b3.6. Statistical Risk Model Discrimination Statistics</w:t>
            </w:r>
          </w:p>
          <w:p w14:paraId="2E4CDF4E" w14:textId="4D015F49" w:rsidR="009662D0" w:rsidRPr="00E205B4" w:rsidRDefault="009662D0" w:rsidP="00E205B4">
            <w:pPr>
              <w:spacing w:after="12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Section 2b4 Meaningful Differences</w:t>
            </w:r>
          </w:p>
        </w:tc>
        <w:tc>
          <w:tcPr>
            <w:tcW w:w="3392" w:type="dxa"/>
          </w:tcPr>
          <w:p w14:paraId="561F8B87" w14:textId="4ED09D5C" w:rsidR="009662D0" w:rsidRPr="00E205B4" w:rsidRDefault="009662D0" w:rsidP="00251F35">
            <w:pPr>
              <w:spacing w:after="24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Dates of Data: July 201</w:t>
            </w:r>
            <w:r w:rsidR="002B67FD" w:rsidRPr="00E205B4">
              <w:rPr>
                <w:color w:val="C00000"/>
              </w:rPr>
              <w:t>6</w:t>
            </w:r>
            <w:r w:rsidRPr="00E205B4">
              <w:rPr>
                <w:color w:val="C00000"/>
              </w:rPr>
              <w:t xml:space="preserve"> – June 201</w:t>
            </w:r>
            <w:r w:rsidR="002B67FD" w:rsidRPr="00E205B4">
              <w:rPr>
                <w:color w:val="C00000"/>
              </w:rPr>
              <w:t>9</w:t>
            </w:r>
          </w:p>
          <w:p w14:paraId="7B5A849C" w14:textId="7161B178" w:rsidR="009662D0" w:rsidRPr="00E205B4" w:rsidRDefault="009662D0" w:rsidP="002B67FD">
            <w:pPr>
              <w:spacing w:after="24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 xml:space="preserve">Number of admissions = </w:t>
            </w:r>
            <w:r w:rsidR="00CC424E" w:rsidRPr="00E205B4">
              <w:rPr>
                <w:color w:val="C00000"/>
              </w:rPr>
              <w:t>99</w:t>
            </w:r>
            <w:r w:rsidR="00D74F93" w:rsidRPr="00E205B4">
              <w:rPr>
                <w:color w:val="C00000"/>
              </w:rPr>
              <w:t>2</w:t>
            </w:r>
            <w:r w:rsidR="00CC424E" w:rsidRPr="00E205B4">
              <w:rPr>
                <w:color w:val="C00000"/>
              </w:rPr>
              <w:t>,</w:t>
            </w:r>
            <w:r w:rsidR="00D74F93" w:rsidRPr="00E205B4">
              <w:rPr>
                <w:color w:val="C00000"/>
              </w:rPr>
              <w:t>016</w:t>
            </w:r>
          </w:p>
          <w:p w14:paraId="04312979" w14:textId="0A6153A0" w:rsidR="009662D0" w:rsidRPr="00E205B4" w:rsidRDefault="009662D0" w:rsidP="00251F35">
            <w:pPr>
              <w:spacing w:after="24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Patient De</w:t>
            </w:r>
            <w:r w:rsidR="00DF686B">
              <w:rPr>
                <w:color w:val="C00000"/>
              </w:rPr>
              <w:t xml:space="preserve">scriptive Characteristics: mean </w:t>
            </w:r>
            <w:r w:rsidRPr="00E205B4">
              <w:rPr>
                <w:color w:val="C00000"/>
              </w:rPr>
              <w:t xml:space="preserve">age = </w:t>
            </w:r>
            <w:r w:rsidR="009E3745" w:rsidRPr="00E205B4">
              <w:rPr>
                <w:color w:val="C00000"/>
              </w:rPr>
              <w:t>73.8</w:t>
            </w:r>
            <w:r w:rsidRPr="00E205B4">
              <w:rPr>
                <w:color w:val="C00000"/>
              </w:rPr>
              <w:t xml:space="preserve"> years; % male = </w:t>
            </w:r>
            <w:r w:rsidR="009E3745" w:rsidRPr="00E205B4">
              <w:rPr>
                <w:color w:val="C00000"/>
              </w:rPr>
              <w:t>37.2</w:t>
            </w:r>
          </w:p>
          <w:p w14:paraId="6D10B376" w14:textId="2A58363A" w:rsidR="009662D0" w:rsidRPr="00E205B4" w:rsidRDefault="009662D0" w:rsidP="00251F35">
            <w:pPr>
              <w:spacing w:after="240"/>
              <w:cnfStyle w:val="000000000000" w:firstRow="0" w:lastRow="0" w:firstColumn="0" w:lastColumn="0" w:oddVBand="0" w:evenVBand="0" w:oddHBand="0" w:evenHBand="0" w:firstRowFirstColumn="0" w:firstRowLastColumn="0" w:lastRowFirstColumn="0" w:lastRowLastColumn="0"/>
              <w:rPr>
                <w:color w:val="C00000"/>
              </w:rPr>
            </w:pPr>
            <w:r w:rsidRPr="00E205B4">
              <w:rPr>
                <w:color w:val="C00000"/>
              </w:rPr>
              <w:t xml:space="preserve">Number of measured hospitals: </w:t>
            </w:r>
            <w:r w:rsidR="009E3745" w:rsidRPr="00E205B4">
              <w:rPr>
                <w:bCs/>
                <w:color w:val="C00000"/>
              </w:rPr>
              <w:t>3,412</w:t>
            </w:r>
          </w:p>
        </w:tc>
      </w:tr>
      <w:tr w:rsidR="009662D0" w:rsidRPr="006941CA" w14:paraId="05C9F131" w14:textId="77777777" w:rsidTr="00251F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5D76946" w14:textId="77777777" w:rsidR="009662D0" w:rsidRPr="00E205B4" w:rsidRDefault="009662D0" w:rsidP="00251F35">
            <w:pPr>
              <w:jc w:val="center"/>
              <w:rPr>
                <w:color w:val="7030A0"/>
              </w:rPr>
            </w:pPr>
            <w:r w:rsidRPr="00E205B4">
              <w:rPr>
                <w:rFonts w:cstheme="minorHAnsi"/>
                <w:color w:val="7030A0"/>
              </w:rPr>
              <w:t>The American Community Survey (ACS)</w:t>
            </w:r>
          </w:p>
        </w:tc>
        <w:tc>
          <w:tcPr>
            <w:tcW w:w="3117" w:type="dxa"/>
          </w:tcPr>
          <w:p w14:paraId="593758E4" w14:textId="57FC910C" w:rsidR="009662D0" w:rsidRPr="00E205B4" w:rsidRDefault="009662D0" w:rsidP="00E205B4">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Section 2b3: Risk adjustment/Stratification for Outcome or Resource Use Measures</w:t>
            </w:r>
          </w:p>
        </w:tc>
        <w:tc>
          <w:tcPr>
            <w:tcW w:w="3392" w:type="dxa"/>
          </w:tcPr>
          <w:p w14:paraId="3B5A13AC" w14:textId="77777777" w:rsidR="009662D0" w:rsidRPr="00E205B4" w:rsidRDefault="009662D0" w:rsidP="00251F35">
            <w:pPr>
              <w:spacing w:after="240"/>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Dates of Data: </w:t>
            </w:r>
            <w:r w:rsidRPr="00E205B4">
              <w:rPr>
                <w:color w:val="C00000"/>
              </w:rPr>
              <w:t>2013-2017</w:t>
            </w:r>
          </w:p>
          <w:p w14:paraId="780C2A91" w14:textId="02795040" w:rsidR="009662D0" w:rsidRPr="00E205B4" w:rsidRDefault="009662D0" w:rsidP="00251F35">
            <w:pPr>
              <w:cnfStyle w:val="000000100000" w:firstRow="0" w:lastRow="0" w:firstColumn="0" w:lastColumn="0" w:oddVBand="0" w:evenVBand="0" w:oddHBand="1" w:evenHBand="0" w:firstRowFirstColumn="0" w:firstRowLastColumn="0" w:lastRowFirstColumn="0" w:lastRowLastColumn="0"/>
              <w:rPr>
                <w:color w:val="7030A0"/>
              </w:rPr>
            </w:pPr>
            <w:r w:rsidRPr="00E205B4">
              <w:rPr>
                <w:color w:val="7030A0"/>
              </w:rPr>
              <w:t xml:space="preserve">We used the AHRQ SES index score derived from the American Community Survey (2013-2017) to study the association between the 30-day readmission outcome and </w:t>
            </w:r>
            <w:r w:rsidR="00292A9E">
              <w:rPr>
                <w:color w:val="7030A0"/>
              </w:rPr>
              <w:t>social risk factors (</w:t>
            </w:r>
            <w:r w:rsidRPr="00E205B4">
              <w:rPr>
                <w:color w:val="7030A0"/>
              </w:rPr>
              <w:t>SRFs</w:t>
            </w:r>
            <w:r w:rsidR="00292A9E">
              <w:rPr>
                <w:color w:val="7030A0"/>
              </w:rPr>
              <w:t>)</w:t>
            </w:r>
            <w:r w:rsidRPr="00E205B4">
              <w:rPr>
                <w:color w:val="7030A0"/>
              </w:rPr>
              <w:t>. The AHRQ SES index score is based on beneficiary 9-digit zip code level of residence and incorporates 7 census variables found in the American Community Survey.</w:t>
            </w:r>
          </w:p>
        </w:tc>
      </w:tr>
      <w:tr w:rsidR="009662D0" w:rsidRPr="006941CA" w14:paraId="4EA9B507" w14:textId="77777777" w:rsidTr="00251F35">
        <w:tc>
          <w:tcPr>
            <w:cnfStyle w:val="001000000000" w:firstRow="0" w:lastRow="0" w:firstColumn="1" w:lastColumn="0" w:oddVBand="0" w:evenVBand="0" w:oddHBand="0" w:evenHBand="0" w:firstRowFirstColumn="0" w:firstRowLastColumn="0" w:lastRowFirstColumn="0" w:lastRowLastColumn="0"/>
            <w:tcW w:w="3116" w:type="dxa"/>
          </w:tcPr>
          <w:p w14:paraId="2F36A9A9" w14:textId="77777777" w:rsidR="009662D0" w:rsidRPr="00E205B4" w:rsidRDefault="009662D0" w:rsidP="00251F35">
            <w:pPr>
              <w:jc w:val="center"/>
              <w:rPr>
                <w:rFonts w:cstheme="minorHAnsi"/>
                <w:color w:val="7030A0"/>
              </w:rPr>
            </w:pPr>
            <w:r w:rsidRPr="00E205B4">
              <w:rPr>
                <w:rFonts w:cstheme="minorHAnsi"/>
                <w:color w:val="7030A0"/>
              </w:rPr>
              <w:t>Master Beneficiary Summary File (MBSF)</w:t>
            </w:r>
          </w:p>
        </w:tc>
        <w:tc>
          <w:tcPr>
            <w:tcW w:w="3117" w:type="dxa"/>
          </w:tcPr>
          <w:p w14:paraId="25E77E41" w14:textId="4CF877CE" w:rsidR="009662D0" w:rsidRPr="00E205B4" w:rsidRDefault="009662D0" w:rsidP="00251F35">
            <w:pPr>
              <w:cnfStyle w:val="000000000000" w:firstRow="0" w:lastRow="0" w:firstColumn="0" w:lastColumn="0" w:oddVBand="0" w:evenVBand="0" w:oddHBand="0" w:evenHBand="0" w:firstRowFirstColumn="0" w:firstRowLastColumn="0" w:lastRowFirstColumn="0" w:lastRowLastColumn="0"/>
              <w:rPr>
                <w:color w:val="7030A0"/>
              </w:rPr>
            </w:pPr>
            <w:r w:rsidRPr="00E205B4">
              <w:rPr>
                <w:color w:val="7030A0"/>
              </w:rPr>
              <w:t>Section 2b3: Risk adjustment/Stratification for Outcome or Resource Use Measures</w:t>
            </w:r>
          </w:p>
        </w:tc>
        <w:tc>
          <w:tcPr>
            <w:tcW w:w="3392" w:type="dxa"/>
          </w:tcPr>
          <w:p w14:paraId="3CE35C07" w14:textId="4F04F0F2" w:rsidR="009662D0" w:rsidRPr="006941CA" w:rsidRDefault="009662D0" w:rsidP="00251F35">
            <w:pPr>
              <w:spacing w:after="240"/>
              <w:cnfStyle w:val="000000000000" w:firstRow="0" w:lastRow="0" w:firstColumn="0" w:lastColumn="0" w:oddVBand="0" w:evenVBand="0" w:oddHBand="0" w:evenHBand="0" w:firstRowFirstColumn="0" w:firstRowLastColumn="0" w:lastRowFirstColumn="0" w:lastRowLastColumn="0"/>
            </w:pPr>
            <w:r w:rsidRPr="00E205B4">
              <w:rPr>
                <w:color w:val="7030A0"/>
              </w:rPr>
              <w:t>Dates of Data:</w:t>
            </w:r>
            <w:r w:rsidRPr="006941CA">
              <w:t xml:space="preserve"> </w:t>
            </w:r>
            <w:r w:rsidRPr="00E205B4">
              <w:rPr>
                <w:color w:val="C00000"/>
              </w:rPr>
              <w:t>July 201</w:t>
            </w:r>
            <w:r w:rsidR="009E3745" w:rsidRPr="00E205B4">
              <w:rPr>
                <w:color w:val="C00000"/>
              </w:rPr>
              <w:t>6</w:t>
            </w:r>
            <w:r w:rsidRPr="00E205B4">
              <w:rPr>
                <w:color w:val="C00000"/>
              </w:rPr>
              <w:t xml:space="preserve"> – June 201</w:t>
            </w:r>
            <w:r w:rsidR="009E3745" w:rsidRPr="00E205B4">
              <w:rPr>
                <w:color w:val="C00000"/>
              </w:rPr>
              <w:t>9</w:t>
            </w:r>
          </w:p>
          <w:p w14:paraId="794E5F44" w14:textId="77777777" w:rsidR="009662D0" w:rsidRPr="006941CA" w:rsidRDefault="009662D0" w:rsidP="00251F35">
            <w:pPr>
              <w:cnfStyle w:val="000000000000" w:firstRow="0" w:lastRow="0" w:firstColumn="0" w:lastColumn="0" w:oddVBand="0" w:evenVBand="0" w:oddHBand="0" w:evenHBand="0" w:firstRowFirstColumn="0" w:firstRowLastColumn="0" w:lastRowFirstColumn="0" w:lastRowLastColumn="0"/>
            </w:pPr>
            <w:r w:rsidRPr="00E205B4">
              <w:rPr>
                <w:color w:val="7030A0"/>
              </w:rPr>
              <w:t>We used dual eligible status (for Medicare and Medicaid) derived from the MBSF to study the association between the 30-day measure outcome and dual-eligible status.</w:t>
            </w:r>
          </w:p>
        </w:tc>
      </w:tr>
    </w:tbl>
    <w:p w14:paraId="09510E0E" w14:textId="0946DCE9" w:rsidR="00E205B4" w:rsidRDefault="0021054A" w:rsidP="001D2BD8">
      <w:pPr>
        <w:autoSpaceDE w:val="0"/>
        <w:autoSpaceDN w:val="0"/>
        <w:adjustRightInd w:val="0"/>
        <w:spacing w:before="120" w:after="0" w:line="240" w:lineRule="auto"/>
        <w:rPr>
          <w:rFonts w:cstheme="minorHAnsi"/>
          <w:bCs/>
        </w:rPr>
      </w:pPr>
      <w:r w:rsidRPr="009C7513">
        <w:rPr>
          <w:rFonts w:cstheme="minorHAnsi"/>
          <w:b/>
          <w:bCs/>
        </w:rPr>
        <w:lastRenderedPageBreak/>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w:t>
      </w:r>
    </w:p>
    <w:p w14:paraId="78290109" w14:textId="7FCA00F4" w:rsidR="00D16049" w:rsidRDefault="008A1ACC" w:rsidP="00E205B4">
      <w:pPr>
        <w:autoSpaceDE w:val="0"/>
        <w:autoSpaceDN w:val="0"/>
        <w:adjustRightInd w:val="0"/>
        <w:spacing w:before="120" w:after="120" w:line="240" w:lineRule="auto"/>
        <w:rPr>
          <w:rFonts w:cstheme="minorHAnsi"/>
          <w:noProof/>
          <w:color w:val="C00000"/>
        </w:rPr>
      </w:pPr>
      <w:r w:rsidRPr="00E205B4">
        <w:rPr>
          <w:rFonts w:cstheme="minorHAnsi"/>
          <w:noProof/>
          <w:color w:val="C00000"/>
        </w:rPr>
        <w:t xml:space="preserve">We selected </w:t>
      </w:r>
      <w:r w:rsidRPr="00E205B4">
        <w:rPr>
          <w:color w:val="C00000"/>
        </w:rPr>
        <w:t>social risk factor</w:t>
      </w:r>
      <w:r w:rsidRPr="00E205B4" w:rsidDel="003905B8">
        <w:rPr>
          <w:rFonts w:cstheme="minorHAnsi"/>
          <w:noProof/>
          <w:color w:val="C00000"/>
        </w:rPr>
        <w:t xml:space="preserve"> </w:t>
      </w:r>
      <w:r w:rsidRPr="00E205B4">
        <w:rPr>
          <w:rFonts w:cstheme="minorHAnsi"/>
          <w:noProof/>
          <w:color w:val="C00000"/>
        </w:rPr>
        <w:t xml:space="preserve">(SRF) variables to analyze after reviewing the literature and examining available national data sources. </w:t>
      </w:r>
      <w:bookmarkStart w:id="13" w:name="_Hlk40359939"/>
      <w:r w:rsidR="002076EB" w:rsidRPr="00043DA7">
        <w:rPr>
          <w:rFonts w:cstheme="minorHAnsi"/>
          <w:noProof/>
          <w:color w:val="C00000"/>
        </w:rPr>
        <w:t>We sought to find variables that are consistently captured in a reliable fashion for all patients in this measure.</w:t>
      </w:r>
      <w:bookmarkEnd w:id="13"/>
      <w:r w:rsidR="00D16049">
        <w:rPr>
          <w:rFonts w:cstheme="minorHAnsi"/>
          <w:noProof/>
          <w:color w:val="C00000"/>
        </w:rPr>
        <w:t xml:space="preserve"> </w:t>
      </w:r>
      <w:r w:rsidRPr="00E205B4">
        <w:rPr>
          <w:rFonts w:cstheme="minorHAnsi"/>
          <w:noProof/>
          <w:color w:val="C00000"/>
        </w:rPr>
        <w:t xml:space="preserve">There is a large body of literature linking various </w:t>
      </w:r>
      <w:r w:rsidRPr="00E205B4">
        <w:rPr>
          <w:color w:val="C00000"/>
        </w:rPr>
        <w:t xml:space="preserve">SRFs </w:t>
      </w:r>
      <w:r w:rsidRPr="00E205B4">
        <w:rPr>
          <w:rFonts w:cstheme="minorHAnsi"/>
          <w:noProof/>
          <w:color w:val="C00000"/>
        </w:rPr>
        <w:t xml:space="preserve">to worse health status and higher readmissions over a lifetime. Income, education, and occupation are the most commonly examined SRFs studied. </w:t>
      </w:r>
      <w:r w:rsidR="00D16049" w:rsidRPr="00043DA7">
        <w:rPr>
          <w:rFonts w:cstheme="minorHAnsi"/>
          <w:noProof/>
          <w:color w:val="C00000"/>
        </w:rPr>
        <w:t xml:space="preserve">The causal pathways for SRF variable selection are described below in Section 2b3.3a. </w:t>
      </w:r>
      <w:bookmarkStart w:id="14" w:name="_Hlk40359976"/>
      <w:r w:rsidR="00D16049" w:rsidRPr="00043DA7">
        <w:rPr>
          <w:rFonts w:cstheme="minorHAnsi"/>
          <w:noProof/>
          <w:color w:val="C00000"/>
        </w:rPr>
        <w:t>Unfortunately these variables are not available at the patient level for this measure. Therefore proxy measures of income, education level</w:t>
      </w:r>
      <w:r w:rsidR="00DC692B">
        <w:rPr>
          <w:rFonts w:cstheme="minorHAnsi"/>
          <w:noProof/>
          <w:color w:val="C00000"/>
        </w:rPr>
        <w:t>,</w:t>
      </w:r>
      <w:r w:rsidR="00D16049" w:rsidRPr="00043DA7">
        <w:rPr>
          <w:rFonts w:cstheme="minorHAnsi"/>
          <w:noProof/>
          <w:color w:val="C00000"/>
        </w:rPr>
        <w:t xml:space="preserve"> and economic status were</w:t>
      </w:r>
      <w:r w:rsidR="00D16049">
        <w:rPr>
          <w:rFonts w:cstheme="minorHAnsi"/>
          <w:noProof/>
          <w:color w:val="C00000"/>
        </w:rPr>
        <w:t xml:space="preserve"> selected.</w:t>
      </w:r>
      <w:bookmarkEnd w:id="14"/>
    </w:p>
    <w:p w14:paraId="7BDC17B5" w14:textId="77777777" w:rsidR="00D16049" w:rsidRPr="00051129" w:rsidRDefault="00D16049" w:rsidP="00D16049">
      <w:pPr>
        <w:autoSpaceDE w:val="0"/>
        <w:autoSpaceDN w:val="0"/>
        <w:adjustRightInd w:val="0"/>
        <w:spacing w:before="120" w:after="120" w:line="240" w:lineRule="auto"/>
        <w:rPr>
          <w:rFonts w:cstheme="minorHAnsi"/>
          <w:noProof/>
          <w:color w:val="7030A0"/>
        </w:rPr>
      </w:pPr>
      <w:r w:rsidRPr="00051129">
        <w:rPr>
          <w:rFonts w:cstheme="minorHAnsi"/>
          <w:noProof/>
          <w:color w:val="7030A0"/>
        </w:rPr>
        <w:t>The SRF variables used for analysis were:</w:t>
      </w:r>
    </w:p>
    <w:p w14:paraId="45866FCB" w14:textId="3AA854A7" w:rsidR="00D16049" w:rsidRPr="00A859C3" w:rsidRDefault="00D16049" w:rsidP="005C4E30">
      <w:pPr>
        <w:pStyle w:val="ListParagraph"/>
        <w:numPr>
          <w:ilvl w:val="0"/>
          <w:numId w:val="33"/>
        </w:numPr>
        <w:autoSpaceDE w:val="0"/>
        <w:autoSpaceDN w:val="0"/>
        <w:adjustRightInd w:val="0"/>
        <w:spacing w:before="120" w:after="120" w:line="240" w:lineRule="auto"/>
        <w:ind w:left="187" w:hanging="187"/>
        <w:rPr>
          <w:rFonts w:cstheme="minorHAnsi"/>
          <w:noProof/>
          <w:color w:val="7030A0"/>
        </w:rPr>
      </w:pPr>
      <w:r w:rsidRPr="00A859C3">
        <w:rPr>
          <w:rFonts w:cstheme="minorHAnsi"/>
          <w:noProof/>
          <w:color w:val="7030A0"/>
        </w:rPr>
        <w:t xml:space="preserve">Dual eligible status: Dual eligible status (i.e., enrolled in both Medicare and Medicaid) patient-level data </w:t>
      </w:r>
      <w:r w:rsidR="005C4E30">
        <w:rPr>
          <w:rFonts w:cstheme="minorHAnsi"/>
          <w:noProof/>
          <w:color w:val="7030A0"/>
        </w:rPr>
        <w:t>are</w:t>
      </w:r>
      <w:r w:rsidRPr="00A859C3">
        <w:rPr>
          <w:rFonts w:cstheme="minorHAnsi"/>
          <w:noProof/>
          <w:color w:val="7030A0"/>
        </w:rPr>
        <w:t>is obtained from the CMS Master Beneficiary Summary File (MBSF)</w:t>
      </w:r>
    </w:p>
    <w:p w14:paraId="517B8E18" w14:textId="2B37E42C" w:rsidR="00D16049" w:rsidRDefault="00D16049" w:rsidP="00D16049">
      <w:pPr>
        <w:autoSpaceDE w:val="0"/>
        <w:autoSpaceDN w:val="0"/>
        <w:adjustRightInd w:val="0"/>
        <w:spacing w:before="120" w:after="120" w:line="240" w:lineRule="auto"/>
        <w:rPr>
          <w:rFonts w:cstheme="minorHAnsi"/>
          <w:noProof/>
          <w:color w:val="C00000"/>
        </w:rPr>
      </w:pPr>
      <w:bookmarkStart w:id="15" w:name="_Hlk40360025"/>
      <w:r w:rsidRPr="00043DA7">
        <w:rPr>
          <w:rFonts w:cstheme="minorHAnsi"/>
          <w:noProof/>
          <w:color w:val="C00000"/>
        </w:rPr>
        <w:t xml:space="preserve">Following guidance from </w:t>
      </w:r>
      <w:r w:rsidR="00292A9E" w:rsidRPr="00292A9E">
        <w:rPr>
          <w:rFonts w:cstheme="minorHAnsi"/>
          <w:noProof/>
          <w:color w:val="C00000"/>
        </w:rPr>
        <w:t xml:space="preserve">the </w:t>
      </w:r>
      <w:r w:rsidR="00292A9E" w:rsidRPr="00292A9E">
        <w:rPr>
          <w:iCs/>
          <w:color w:val="C00000"/>
        </w:rPr>
        <w:t>Office of the Assistant Secretary of Planning and Evaluation</w:t>
      </w:r>
      <w:r w:rsidR="00292A9E" w:rsidRPr="00292A9E">
        <w:rPr>
          <w:rFonts w:cstheme="minorHAnsi"/>
          <w:noProof/>
          <w:color w:val="C00000"/>
        </w:rPr>
        <w:t xml:space="preserve"> </w:t>
      </w:r>
      <w:r w:rsidR="00292A9E">
        <w:rPr>
          <w:rFonts w:cstheme="minorHAnsi"/>
          <w:noProof/>
          <w:color w:val="C00000"/>
        </w:rPr>
        <w:t>(</w:t>
      </w:r>
      <w:r w:rsidRPr="00043DA7">
        <w:rPr>
          <w:rFonts w:cstheme="minorHAnsi"/>
          <w:noProof/>
          <w:color w:val="C00000"/>
        </w:rPr>
        <w:t>ASPE</w:t>
      </w:r>
      <w:r w:rsidR="00292A9E">
        <w:rPr>
          <w:rFonts w:cstheme="minorHAnsi"/>
          <w:noProof/>
          <w:color w:val="C00000"/>
        </w:rPr>
        <w:t>)</w:t>
      </w:r>
      <w:r w:rsidRPr="00043DA7">
        <w:rPr>
          <w:rFonts w:cstheme="minorHAnsi"/>
          <w:noProof/>
          <w:color w:val="C00000"/>
        </w:rPr>
        <w:t xml:space="preserve"> and a body of literature demonstrating differential health care and health outcomes among dual eligible patients, we identified dual eligibility as a key variable (ASPE 2016</w:t>
      </w:r>
      <w:r w:rsidR="00403E98">
        <w:rPr>
          <w:rFonts w:cstheme="minorHAnsi"/>
          <w:noProof/>
          <w:color w:val="C00000"/>
        </w:rPr>
        <w:t>; ASPE 2020</w:t>
      </w:r>
      <w:r w:rsidRPr="00043DA7">
        <w:rPr>
          <w:rFonts w:cstheme="minorHAnsi"/>
          <w:noProof/>
          <w:color w:val="C00000"/>
        </w:rPr>
        <w:t xml:space="preserve">). </w:t>
      </w:r>
      <w:bookmarkEnd w:id="15"/>
      <w:r w:rsidRPr="00043DA7">
        <w:rPr>
          <w:rFonts w:cstheme="minorHAnsi"/>
          <w:noProof/>
          <w:color w:val="7030A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bookmarkStart w:id="16" w:name="_Hlk40360051"/>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bookmarkEnd w:id="16"/>
    <w:p w14:paraId="0C071646" w14:textId="1E01B80A" w:rsidR="00D16049" w:rsidRPr="00DF686B" w:rsidRDefault="00D16049" w:rsidP="00DF686B">
      <w:pPr>
        <w:pStyle w:val="ListParagraph"/>
        <w:numPr>
          <w:ilvl w:val="0"/>
          <w:numId w:val="33"/>
        </w:numPr>
        <w:autoSpaceDE w:val="0"/>
        <w:autoSpaceDN w:val="0"/>
        <w:adjustRightInd w:val="0"/>
        <w:spacing w:before="120" w:after="120" w:line="240" w:lineRule="auto"/>
        <w:ind w:left="180" w:hanging="180"/>
        <w:rPr>
          <w:rFonts w:cstheme="minorHAnsi"/>
          <w:noProof/>
          <w:color w:val="7030A0"/>
        </w:rPr>
      </w:pPr>
      <w:r w:rsidRPr="00DF686B">
        <w:rPr>
          <w:rFonts w:cstheme="minorHAnsi"/>
          <w:noProof/>
          <w:color w:val="7030A0"/>
        </w:rPr>
        <w:t>AHRQ-validated SES index score (summarizing the information from the following 7 variables): percentage of people in the labor force who are unemployed</w:t>
      </w:r>
      <w:r w:rsidR="00143342">
        <w:rPr>
          <w:rFonts w:cstheme="minorHAnsi"/>
          <w:noProof/>
          <w:color w:val="7030A0"/>
        </w:rPr>
        <w:t>;</w:t>
      </w:r>
      <w:r w:rsidRPr="00DF686B">
        <w:rPr>
          <w:rFonts w:cstheme="minorHAnsi"/>
          <w:noProof/>
          <w:color w:val="7030A0"/>
        </w:rPr>
        <w:t xml:space="preserve"> percentage of people living below poverty level</w:t>
      </w:r>
      <w:r w:rsidR="00143342">
        <w:rPr>
          <w:rFonts w:cstheme="minorHAnsi"/>
          <w:noProof/>
          <w:color w:val="7030A0"/>
        </w:rPr>
        <w:t>;</w:t>
      </w:r>
      <w:r w:rsidRPr="00DF686B">
        <w:rPr>
          <w:rFonts w:cstheme="minorHAnsi"/>
          <w:noProof/>
          <w:color w:val="7030A0"/>
        </w:rPr>
        <w:t xml:space="preserve"> median household income</w:t>
      </w:r>
      <w:r w:rsidR="00143342">
        <w:rPr>
          <w:rFonts w:cstheme="minorHAnsi"/>
          <w:noProof/>
          <w:color w:val="7030A0"/>
        </w:rPr>
        <w:t>;</w:t>
      </w:r>
      <w:r w:rsidRPr="00DF686B">
        <w:rPr>
          <w:rFonts w:cstheme="minorHAnsi"/>
          <w:noProof/>
          <w:color w:val="7030A0"/>
        </w:rPr>
        <w:t xml:space="preserve"> median value of owner-occupied dwellings</w:t>
      </w:r>
      <w:r w:rsidR="00143342">
        <w:rPr>
          <w:rFonts w:cstheme="minorHAnsi"/>
          <w:noProof/>
          <w:color w:val="7030A0"/>
        </w:rPr>
        <w:t>;</w:t>
      </w:r>
      <w:r w:rsidRPr="00DF686B">
        <w:rPr>
          <w:rFonts w:cstheme="minorHAnsi"/>
          <w:noProof/>
          <w:color w:val="7030A0"/>
        </w:rPr>
        <w:t xml:space="preserve"> percentage of people ≥25 years of age with less than a 12</w:t>
      </w:r>
      <w:r w:rsidRPr="00DF686B">
        <w:rPr>
          <w:rFonts w:cstheme="minorHAnsi"/>
          <w:noProof/>
          <w:color w:val="7030A0"/>
          <w:vertAlign w:val="superscript"/>
        </w:rPr>
        <w:t>th</w:t>
      </w:r>
      <w:r w:rsidRPr="00DF686B">
        <w:rPr>
          <w:rFonts w:cstheme="minorHAnsi"/>
          <w:noProof/>
          <w:color w:val="7030A0"/>
        </w:rPr>
        <w:t xml:space="preserve"> grade education</w:t>
      </w:r>
      <w:r w:rsidR="00143342">
        <w:rPr>
          <w:rFonts w:cstheme="minorHAnsi"/>
          <w:noProof/>
          <w:color w:val="7030A0"/>
        </w:rPr>
        <w:t>;</w:t>
      </w:r>
      <w:r w:rsidRPr="00DF686B">
        <w:rPr>
          <w:rFonts w:cstheme="minorHAnsi"/>
          <w:noProof/>
          <w:color w:val="7030A0"/>
        </w:rPr>
        <w:t xml:space="preserve"> percentage of people ≥25 years of age completing ≥4 years of college</w:t>
      </w:r>
      <w:r w:rsidR="00143342">
        <w:rPr>
          <w:rFonts w:cstheme="minorHAnsi"/>
          <w:noProof/>
          <w:color w:val="7030A0"/>
        </w:rPr>
        <w:t>;</w:t>
      </w:r>
      <w:r w:rsidRPr="00DF686B">
        <w:rPr>
          <w:rFonts w:cstheme="minorHAnsi"/>
          <w:noProof/>
          <w:color w:val="7030A0"/>
        </w:rPr>
        <w:t xml:space="preserve"> and percentage of households that average ≥1 people per room).</w:t>
      </w:r>
    </w:p>
    <w:p w14:paraId="06EE2FF5" w14:textId="3536F0D0" w:rsidR="00D16049" w:rsidRDefault="00D16049" w:rsidP="00D16049">
      <w:pPr>
        <w:autoSpaceDE w:val="0"/>
        <w:autoSpaceDN w:val="0"/>
        <w:adjustRightInd w:val="0"/>
        <w:spacing w:before="120" w:after="120" w:line="240" w:lineRule="auto"/>
        <w:rPr>
          <w:rFonts w:cstheme="minorHAnsi"/>
          <w:noProof/>
          <w:color w:val="7030A0"/>
        </w:rPr>
      </w:pPr>
      <w:r>
        <w:rPr>
          <w:rFonts w:cstheme="minorHAnsi"/>
          <w:noProof/>
          <w:color w:val="7030A0"/>
        </w:rPr>
        <w:t xml:space="preserve">Finally, </w:t>
      </w:r>
      <w:r w:rsidRPr="00043DA7">
        <w:rPr>
          <w:rFonts w:cstheme="minorHAnsi"/>
          <w:noProof/>
          <w:color w:val="7030A0"/>
        </w:rPr>
        <w:t>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patients live in.</w:t>
      </w:r>
      <w:r>
        <w:rPr>
          <w:rFonts w:cstheme="minorHAnsi"/>
          <w:noProof/>
        </w:rPr>
        <w:t xml:space="preserve"> </w:t>
      </w:r>
      <w:r w:rsidRPr="00043DA7">
        <w:rPr>
          <w:rFonts w:cstheme="minorHAnsi"/>
          <w:noProof/>
          <w:color w:val="C00000"/>
        </w:rPr>
        <w:t xml:space="preserve">We considered the area deprivation index (ADI) among many other potential indicators when we initially evaluated the impact of </w:t>
      </w:r>
      <w:r w:rsidR="00292A9E">
        <w:rPr>
          <w:rFonts w:cstheme="minorHAnsi"/>
          <w:noProof/>
          <w:color w:val="C00000"/>
        </w:rPr>
        <w:t xml:space="preserve">SRF </w:t>
      </w:r>
      <w:r w:rsidRPr="00043DA7">
        <w:rPr>
          <w:rFonts w:cstheme="minorHAnsi"/>
          <w:noProof/>
          <w:color w:val="C00000"/>
        </w:rPr>
        <w:t xml:space="preserve">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Pr="00043DA7">
        <w:rPr>
          <w:rFonts w:cstheme="minorHAnsi"/>
          <w:noProof/>
          <w:color w:val="7030A0"/>
        </w:rPr>
        <w:t xml:space="preserve">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w:t>
      </w:r>
      <w:r w:rsidRPr="00043DA7">
        <w:rPr>
          <w:rFonts w:cstheme="minorHAnsi"/>
          <w:noProof/>
          <w:color w:val="7030A0"/>
        </w:rPr>
        <w:lastRenderedPageBreak/>
        <w:t>census block groups that can be linked to 9-digit ZIP codes</w:t>
      </w:r>
      <w:r>
        <w:rPr>
          <w:rFonts w:cstheme="minorHAnsi"/>
          <w:noProof/>
          <w:color w:val="7030A0"/>
        </w:rPr>
        <w:t>.</w:t>
      </w:r>
      <w:r w:rsidR="00DF686B">
        <w:rPr>
          <w:rFonts w:cstheme="minorHAnsi"/>
          <w:noProof/>
          <w:color w:val="7030A0"/>
        </w:rPr>
        <w:t xml:space="preserve"> </w:t>
      </w:r>
      <w:r w:rsidR="00292A9E">
        <w:rPr>
          <w:rFonts w:cstheme="minorHAnsi"/>
          <w:bCs/>
          <w:color w:val="C00000"/>
        </w:rPr>
        <w:t xml:space="preserve">We used the </w:t>
      </w:r>
      <w:r w:rsidR="00DF686B">
        <w:rPr>
          <w:rFonts w:cstheme="minorHAnsi"/>
          <w:bCs/>
          <w:color w:val="C00000"/>
        </w:rPr>
        <w:t>percentage of patients with an AHRQ SES index score equal to or below 42.7 to define the lowest quartile of the AHRQ SES Index.</w:t>
      </w:r>
    </w:p>
    <w:p w14:paraId="173E95E1"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u w:val="single"/>
        </w:rPr>
        <w:t>References</w:t>
      </w:r>
      <w:r w:rsidRPr="005403F5">
        <w:rPr>
          <w:rFonts w:cstheme="minorHAnsi"/>
          <w:noProof/>
          <w:color w:val="7030A0"/>
        </w:rPr>
        <w:t>:</w:t>
      </w:r>
    </w:p>
    <w:p w14:paraId="233E7497"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Adler NE, Newman K. Socioeconomic disparities in health: pathways and policies. Health affairs (Project Hope). 2002; 21(2):60-76.</w:t>
      </w:r>
    </w:p>
    <w:p w14:paraId="3C2A0CC0"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Blum AB, Egorova NN, Sosunov EA, et al. Impact of socioeconomic status measures on hospital profiling in New York City. Circulation. Cardiovascular quality and outcomes. May 2014; 7(3):391-397.</w:t>
      </w:r>
    </w:p>
    <w:p w14:paraId="7665836F"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Bonito A, Bann C, Eicheldinger C, Carpenter L. Creation of new race-ethnicity codes and socioeconomic status (SES) indicators for Medicare beneficiaries. Final Report, Sub-Task. 2008;2.</w:t>
      </w:r>
    </w:p>
    <w:p w14:paraId="5CB637D2" w14:textId="33ECE369" w:rsidR="00D16049" w:rsidRPr="00403E98" w:rsidRDefault="008A1ACC" w:rsidP="00D16049">
      <w:pPr>
        <w:autoSpaceDE w:val="0"/>
        <w:autoSpaceDN w:val="0"/>
        <w:adjustRightInd w:val="0"/>
        <w:spacing w:before="120" w:after="120" w:line="240" w:lineRule="auto"/>
        <w:rPr>
          <w:iCs/>
          <w:color w:val="C00000"/>
        </w:rPr>
      </w:pPr>
      <w:r w:rsidRPr="00403E98">
        <w:rPr>
          <w:iCs/>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403E98">
          <w:rPr>
            <w:rStyle w:val="Hyperlink"/>
            <w:iCs/>
            <w:color w:val="C00000"/>
          </w:rPr>
          <w:t>https://aspe.hhs.gov/pdf-report/report-congress-social-risk-factors-and-performance-under-medicares-value-based-purchasing-programs</w:t>
        </w:r>
      </w:hyperlink>
      <w:r w:rsidRPr="00403E98">
        <w:rPr>
          <w:iCs/>
          <w:color w:val="C00000"/>
        </w:rPr>
        <w:t>. Accessed November 10, 2019.</w:t>
      </w:r>
    </w:p>
    <w:p w14:paraId="21DCF708" w14:textId="2DBBA51B" w:rsidR="00403E98" w:rsidRPr="00403E98" w:rsidRDefault="00403E98" w:rsidP="00D16049">
      <w:pPr>
        <w:autoSpaceDE w:val="0"/>
        <w:autoSpaceDN w:val="0"/>
        <w:adjustRightInd w:val="0"/>
        <w:spacing w:before="120" w:after="120" w:line="240" w:lineRule="auto"/>
        <w:rPr>
          <w:rFonts w:cstheme="minorHAnsi"/>
          <w:bCs/>
          <w:color w:val="C00000"/>
        </w:rPr>
      </w:pPr>
      <w:r w:rsidRPr="00403E98">
        <w:rPr>
          <w:rFonts w:cstheme="minorHAnsi"/>
          <w:bCs/>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14" w:history="1">
        <w:r w:rsidRPr="00185587">
          <w:rPr>
            <w:rStyle w:val="Hyperlink"/>
            <w:rFonts w:cstheme="minorHAnsi"/>
          </w:rPr>
          <w:t>https://aspe.hhs.gov/system/files/pdf/263676/Social-Risk-in-Medicare%E2%80%99s-VBP-2nd-Report.pdf</w:t>
        </w:r>
      </w:hyperlink>
      <w:r w:rsidRPr="00403E98">
        <w:rPr>
          <w:rFonts w:cstheme="minorHAnsi"/>
          <w:bCs/>
          <w:color w:val="C00000"/>
        </w:rPr>
        <w:t>. Accessed July 2, 2020.</w:t>
      </w:r>
    </w:p>
    <w:p w14:paraId="4D06204B"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Eapen ZJ, McCoy LA, Fonarow GC, Yancy CW, Miranda ML, Peterson ED, Califf RM, HernandezAF. Utility of socioeconomic status in predicting 30-day outcomes after heart failure hospitalization. Circ Heart Fail. May 2015; 8(3):473-80.</w:t>
      </w:r>
    </w:p>
    <w:p w14:paraId="3A5E8D7D"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Gilman M, Adams EK, Hockenberry JM, Wilson IB, Milstein AS, Becker ER. California safety-net hospitals likely to be penalized by ACA value, readmission, and meaningful-use programs. Health Aff (Millwood). Aug 2014; 33(8):1314-22.</w:t>
      </w:r>
    </w:p>
    <w:p w14:paraId="22FF73CD"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Glymour MM, Kosheleva A, Boden-Albala B. Birth and adult residence in the Stroke Belt independently predict stroke mortality. Neurology. Dec 1 2009;73(22):1858-1865.</w:t>
      </w:r>
    </w:p>
    <w:p w14:paraId="164368FD"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Howard VJ, Kleindorfer DO, Judd SE, et al. Disparities in stroke incidence contributing to disparities in stroke mortality. Ann Neurol 2011;69:619–627.</w:t>
      </w:r>
    </w:p>
    <w:p w14:paraId="429642E7"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Hu J, Gonsahn MD, Nerenz DR. Socioeconomic status and readmissions: evidence from an urban teaching hospital. Health affairs (Project Hope). 2014; 33(5):778-785.</w:t>
      </w:r>
      <w:bookmarkStart w:id="17" w:name="_Hlk23854720"/>
    </w:p>
    <w:p w14:paraId="5C33B8C9" w14:textId="77777777" w:rsidR="00D16049" w:rsidRDefault="008A1ACC" w:rsidP="00D16049">
      <w:pPr>
        <w:autoSpaceDE w:val="0"/>
        <w:autoSpaceDN w:val="0"/>
        <w:adjustRightInd w:val="0"/>
        <w:spacing w:before="120" w:after="120" w:line="240" w:lineRule="auto"/>
        <w:rPr>
          <w:rFonts w:cstheme="minorHAnsi"/>
          <w:bCs/>
        </w:rPr>
      </w:pPr>
      <w:r w:rsidRPr="00E205B4">
        <w:rPr>
          <w:rFonts w:cstheme="minorHAnsi"/>
          <w:noProof/>
          <w:color w:val="C00000"/>
        </w:rPr>
        <w:t>H. F. Chen, A. Nevola, T. M. Bird, et al. Understanding factors associated with readmission disparities among Delta region, Delta state, and other hospitals. Am J Manag Care May 2018.24 (5): e150-156.</w:t>
      </w:r>
      <w:bookmarkEnd w:id="17"/>
    </w:p>
    <w:p w14:paraId="79E82D6C" w14:textId="473CC45A" w:rsidR="00D16049" w:rsidRDefault="008A1ACC" w:rsidP="00D16049">
      <w:pPr>
        <w:autoSpaceDE w:val="0"/>
        <w:autoSpaceDN w:val="0"/>
        <w:adjustRightInd w:val="0"/>
        <w:spacing w:before="120" w:after="120" w:line="240" w:lineRule="auto"/>
        <w:rPr>
          <w:rFonts w:cstheme="minorHAnsi"/>
          <w:bCs/>
        </w:rPr>
      </w:pPr>
      <w:r w:rsidRPr="00E205B4">
        <w:rPr>
          <w:color w:val="C00000"/>
        </w:rPr>
        <w:t xml:space="preserve">Kaplan CM, Thompson MP, Waters TM. How Have 30-Day Readmission Penalties Affected Racial Disparities in </w:t>
      </w:r>
      <w:proofErr w:type="gramStart"/>
      <w:r w:rsidRPr="00E205B4">
        <w:rPr>
          <w:color w:val="C00000"/>
        </w:rPr>
        <w:t>Readmissions?:</w:t>
      </w:r>
      <w:proofErr w:type="gramEnd"/>
      <w:r w:rsidRPr="00E205B4">
        <w:rPr>
          <w:color w:val="C00000"/>
        </w:rPr>
        <w:t xml:space="preserve"> an Analysis from 2007 to 2014 in Five US States. </w:t>
      </w:r>
      <w:r w:rsidRPr="00E205B4">
        <w:rPr>
          <w:i/>
          <w:iCs/>
          <w:color w:val="C00000"/>
        </w:rPr>
        <w:t xml:space="preserve">J Gen Intern Med. </w:t>
      </w:r>
      <w:r w:rsidRPr="00E205B4">
        <w:rPr>
          <w:color w:val="C00000"/>
        </w:rPr>
        <w:t>2019;34(6):878-883.</w:t>
      </w:r>
      <w:r w:rsidR="00C208A4">
        <w:rPr>
          <w:color w:val="C00000"/>
        </w:rPr>
        <w:t xml:space="preserve"> </w:t>
      </w:r>
    </w:p>
    <w:p w14:paraId="0E198ED5"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Khan JA, Casper M, Asimos AW, et al. Geographic and sociodemographic disparities in drive times to Joint Commission-certified primary stroke centers in North Carolina, South Carolina, and Georgia. Preventing chronic disease. Jul 2011;8(4):A79.</w:t>
      </w:r>
    </w:p>
    <w:p w14:paraId="03496CA6"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Mackenbach JP, Cavelaars AE, Kunst AE, Groenhof F. Socioeconomic inequalities in cardiovascular disease mortality; an international study. European heart journal. 2000; 21(14):1141-1151.</w:t>
      </w:r>
    </w:p>
    <w:p w14:paraId="2B02A0D0" w14:textId="77777777" w:rsidR="00D16049"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lastRenderedPageBreak/>
        <w:t>Pedigo A, Seaver W, Odoi A. Identifying unique neighborhood characteristics to guide health planning for stroke and heart attack: fuzzy cluster and discriminant analyses approaches. PloS one. 2011;6(7):e22693.</w:t>
      </w:r>
    </w:p>
    <w:p w14:paraId="03B902FF" w14:textId="67B1CC97" w:rsidR="00AC080A" w:rsidRPr="005403F5" w:rsidRDefault="008A1ACC" w:rsidP="00D16049">
      <w:pPr>
        <w:autoSpaceDE w:val="0"/>
        <w:autoSpaceDN w:val="0"/>
        <w:adjustRightInd w:val="0"/>
        <w:spacing w:before="120" w:after="120" w:line="240" w:lineRule="auto"/>
        <w:rPr>
          <w:rFonts w:cstheme="minorHAnsi"/>
          <w:bCs/>
          <w:color w:val="7030A0"/>
        </w:rPr>
      </w:pPr>
      <w:r w:rsidRPr="005403F5">
        <w:rPr>
          <w:rFonts w:cstheme="minorHAnsi"/>
          <w:noProof/>
          <w:color w:val="7030A0"/>
        </w:rPr>
        <w:t>Tonne C, Schwartz J, Mittleman M, Melly S, Suh H, Goldberg R. Long-term survival after acute myocardial infarction is lower in more deprived neighborhoods. Circulation. Jun 14 2005; 111(23):3063-3070.</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3170D519" w14:textId="77777777" w:rsidR="005403F5" w:rsidRDefault="00092566" w:rsidP="005403F5">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964C2">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bookmarkStart w:id="18" w:name="_Hlk33452167"/>
    </w:p>
    <w:p w14:paraId="490D7C2C"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u w:val="single"/>
        </w:rPr>
        <w:t>Measure Score Reliability</w:t>
      </w:r>
    </w:p>
    <w:p w14:paraId="5AAA3B5C" w14:textId="087A4C94" w:rsidR="005403F5" w:rsidRDefault="005964C2" w:rsidP="005403F5">
      <w:pPr>
        <w:autoSpaceDE w:val="0"/>
        <w:autoSpaceDN w:val="0"/>
        <w:adjustRightInd w:val="0"/>
        <w:spacing w:before="120" w:after="120" w:line="240" w:lineRule="auto"/>
        <w:rPr>
          <w:rFonts w:cstheme="minorHAnsi"/>
          <w:bCs/>
          <w:color w:val="C00000"/>
        </w:rPr>
      </w:pPr>
      <w:r w:rsidRPr="00E205B4">
        <w:rPr>
          <w:rFonts w:cstheme="minorHAnsi"/>
          <w:noProof/>
          <w:color w:val="C00000"/>
        </w:rPr>
        <w:t xml:space="preserve">We performed two types of reliability testing. First, we estimated the overall measure score reliability by calculating the intra-class correlation coefficient (ICC) using a split sample (i.e. test-retest) method. </w:t>
      </w:r>
      <w:r w:rsidRPr="00E205B4">
        <w:rPr>
          <w:rFonts w:cstheme="minorHAnsi"/>
          <w:bCs/>
          <w:color w:val="C00000"/>
        </w:rPr>
        <w:t>Second, we estimate</w:t>
      </w:r>
      <w:r w:rsidR="00A9431E">
        <w:rPr>
          <w:rFonts w:cstheme="minorHAnsi"/>
          <w:bCs/>
          <w:color w:val="C00000"/>
        </w:rPr>
        <w:t>d</w:t>
      </w:r>
      <w:r w:rsidRPr="00E205B4">
        <w:rPr>
          <w:rFonts w:cstheme="minorHAnsi"/>
          <w:bCs/>
          <w:color w:val="C00000"/>
        </w:rPr>
        <w:t xml:space="preserve"> the facility-level reliability (signal-to-noise reliability).</w:t>
      </w:r>
      <w:bookmarkStart w:id="19" w:name="_Hlk9237220"/>
    </w:p>
    <w:p w14:paraId="440F5629"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u w:val="single"/>
        </w:rPr>
        <w:t>Split-Sample Reliability</w:t>
      </w:r>
      <w:bookmarkEnd w:id="19"/>
    </w:p>
    <w:p w14:paraId="5FCC9E89"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79A67B8F" w14:textId="71A3FC55"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t xml:space="preserve">For </w:t>
      </w:r>
      <w:r w:rsidR="00A9471A">
        <w:rPr>
          <w:rFonts w:cstheme="minorHAnsi"/>
          <w:noProof/>
          <w:color w:val="C00000"/>
        </w:rPr>
        <w:t>split-sample</w:t>
      </w:r>
      <w:r w:rsidRPr="00E205B4">
        <w:rPr>
          <w:rFonts w:cstheme="minorHAnsi"/>
          <w:noProof/>
          <w:color w:val="C00000"/>
        </w:rPr>
        <w:t xml:space="preserve"> reliability of the measure in</w:t>
      </w:r>
      <w:r w:rsidR="00AF211B">
        <w:rPr>
          <w:rFonts w:cstheme="minorHAnsi"/>
          <w:noProof/>
          <w:color w:val="C00000"/>
        </w:rPr>
        <w:t xml:space="preserve"> patients</w:t>
      </w:r>
      <w:r w:rsidRPr="00E205B4">
        <w:rPr>
          <w:rFonts w:cstheme="minorHAnsi"/>
          <w:noProof/>
          <w:color w:val="C00000"/>
        </w:rPr>
        <w:t xml:space="preserve"> aged 65 years and older,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(Landis &amp; Koch, 1977). Specifically, we used a combined 2016-2019 sample,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p>
    <w:p w14:paraId="2F4D2C63" w14:textId="033152EE"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lastRenderedPageBreak/>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E205B4">
        <w:rPr>
          <w:color w:val="C00000"/>
        </w:rPr>
        <w:t xml:space="preserve"> </w:t>
      </w:r>
      <w:r w:rsidRPr="00E205B4">
        <w:rPr>
          <w:rFonts w:cstheme="minorHAnsi"/>
          <w:noProof/>
          <w:color w:val="C00000"/>
        </w:rPr>
        <w:t>This leads to an underestimate in the actual test-retest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041B1B71"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u w:val="single"/>
        </w:rPr>
        <w:t>Signal-to-Noise</w:t>
      </w:r>
    </w:p>
    <w:p w14:paraId="5D4DB9EA" w14:textId="62CD5563" w:rsidR="005403F5" w:rsidRPr="00C208A4" w:rsidRDefault="005964C2" w:rsidP="005403F5">
      <w:pPr>
        <w:autoSpaceDE w:val="0"/>
        <w:autoSpaceDN w:val="0"/>
        <w:adjustRightInd w:val="0"/>
        <w:spacing w:before="120" w:after="120" w:line="240" w:lineRule="auto"/>
        <w:rPr>
          <w:rFonts w:ascii="Calibri" w:eastAsia="Times New Roman" w:hAnsi="Calibri" w:cs="Calibri"/>
          <w:color w:val="C00000"/>
        </w:rPr>
      </w:pPr>
      <w:r w:rsidRPr="00E205B4">
        <w:rPr>
          <w:rFonts w:ascii="Calibri" w:eastAsia="Times New Roman" w:hAnsi="Calibri" w:cs="Calibri"/>
          <w:color w:val="C00000"/>
        </w:rPr>
        <w:t xml:space="preserve">We estimated the signal to noise reliability (facility-level reliability), which is the reliability with which individual units (hospitals) are measured. </w:t>
      </w:r>
      <w:r w:rsidRPr="00E205B4">
        <w:rPr>
          <w:rFonts w:cstheme="minorHAnsi"/>
          <w:bCs/>
          <w:color w:val="C00000"/>
        </w:rPr>
        <w:t xml:space="preserve">While test re-test reliability is the most relevant metric from the perspective of overall measure reliability, it is also meaningful to consider the separate notion of “unit” reliability, that is, the reliability with which individual units (here, hospitals) are measured. </w:t>
      </w:r>
      <w:r w:rsidRPr="00E205B4">
        <w:rPr>
          <w:rFonts w:ascii="Calibri" w:eastAsia="Times New Roman" w:hAnsi="Calibri" w:cs="Calibri"/>
          <w:color w:val="C00000"/>
        </w:rPr>
        <w:t xml:space="preserve">The reliability of any one facility’s measure score will vary depending on the number of patients admitted for </w:t>
      </w:r>
      <w:r w:rsidR="008A1ACC" w:rsidRPr="00E205B4">
        <w:rPr>
          <w:rFonts w:ascii="Calibri" w:eastAsia="Times New Roman" w:hAnsi="Calibri" w:cs="Calibri"/>
          <w:color w:val="C00000"/>
        </w:rPr>
        <w:t>THA/TKA</w:t>
      </w:r>
      <w:r w:rsidRPr="00E205B4">
        <w:rPr>
          <w:rFonts w:ascii="Calibri" w:eastAsia="Times New Roman" w:hAnsi="Calibri" w:cs="Calibri"/>
          <w:color w:val="C00000"/>
        </w:rPr>
        <w:t>. Facilities with more volume (i.e., with more patients) will tend to have more reliable scores, while facilities with less volume will tend to have less reliable scores. Therefore, we used the formula presented by Adams and colleagues (2010) to calculate facility-level reliability.</w:t>
      </w:r>
    </w:p>
    <w:p w14:paraId="62EABEA3" w14:textId="54667825" w:rsidR="005403F5" w:rsidRDefault="005964C2" w:rsidP="005403F5">
      <w:pPr>
        <w:autoSpaceDE w:val="0"/>
        <w:autoSpaceDN w:val="0"/>
        <w:adjustRightInd w:val="0"/>
        <w:spacing w:before="120" w:after="120" w:line="240" w:lineRule="auto"/>
        <w:rPr>
          <w:rFonts w:cstheme="minorHAnsi"/>
          <w:bCs/>
        </w:rPr>
      </w:pPr>
      <w:r w:rsidRPr="00E205B4">
        <w:rPr>
          <w:rFonts w:ascii="Calibri" w:eastAsia="Times New Roman" w:hAnsi="Calibri" w:cs="Calibri"/>
          <w:color w:val="C00000"/>
        </w:rPr>
        <w:t>Where facility-to-facility variance is estimated from the hierarchical logistic regression model, n is equal to each facility’s observed case size, and the facility error variance is estimated using the variance of the logistic distribution (</w:t>
      </w:r>
      <w:r w:rsidR="005403F5">
        <w:rPr>
          <w:rFonts w:ascii="Calibri" w:eastAsia="Times New Roman" w:hAnsi="Calibri" w:cs="Calibri"/>
          <w:color w:val="C00000"/>
        </w:rPr>
        <w:t>π</w:t>
      </w:r>
      <w:r w:rsidRPr="00E205B4">
        <w:rPr>
          <w:rFonts w:ascii="Calibri" w:eastAsia="Times New Roman" w:hAnsi="Calibri" w:cs="Calibri"/>
          <w:color w:val="C00000"/>
        </w:rPr>
        <w:t>^2/3). The facility-level reliability testing is limited to facilities with at least 25 admissions for public reporting.</w:t>
      </w:r>
      <w:bookmarkStart w:id="20" w:name="_Hlk536089328"/>
    </w:p>
    <w:p w14:paraId="614BB439" w14:textId="77777777" w:rsidR="005403F5" w:rsidRDefault="005964C2" w:rsidP="005403F5">
      <w:pPr>
        <w:autoSpaceDE w:val="0"/>
        <w:autoSpaceDN w:val="0"/>
        <w:adjustRightInd w:val="0"/>
        <w:spacing w:before="120" w:after="120" w:line="240" w:lineRule="auto"/>
        <w:rPr>
          <w:rFonts w:cstheme="minorHAnsi"/>
          <w:bCs/>
        </w:rPr>
      </w:pPr>
      <w:r w:rsidRPr="00E205B4">
        <w:rPr>
          <w:rFonts w:ascii="Calibri" w:hAnsi="Calibri" w:cs="Calibri"/>
          <w:color w:val="C00000"/>
        </w:rPr>
        <w:t>Signal to noise reliability scores can range from 0 to 1. A reliability of zero implies that all the variability in a measure is attributable to measurement error. A reliability of one implies that all the variability is attributable to real difference in performance.</w:t>
      </w:r>
      <w:bookmarkEnd w:id="20"/>
    </w:p>
    <w:p w14:paraId="1DA7807B"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bCs/>
          <w:color w:val="C00000"/>
          <w:u w:val="single"/>
        </w:rPr>
        <w:t>Additional Information</w:t>
      </w:r>
    </w:p>
    <w:p w14:paraId="4F431F62"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p>
    <w:p w14:paraId="42D4821C"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bCs/>
          <w:color w:val="C00000"/>
        </w:rPr>
        <w:t>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our measures, including diagnosis and procedure codes and other elements that are consequential to payment.</w:t>
      </w:r>
    </w:p>
    <w:p w14:paraId="6E214CB0"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bCs/>
          <w:color w:val="C00000"/>
        </w:rPr>
        <w:t>Furthermore, we assessed the variation in the frequency of the variables over time: Detailed information is presented in the measure’s 2020 Condition-Specific Measure Updates and Specifications Report cited below.</w:t>
      </w:r>
    </w:p>
    <w:p w14:paraId="20A37D0B"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u w:val="single"/>
        </w:rPr>
        <w:t>References</w:t>
      </w:r>
    </w:p>
    <w:p w14:paraId="0CBB4ABA"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t>Adams J, Mehrota, A, Thoman J, McGlynn, E. (2010). Physician cost profiling – reliability and risk of misclassification. NEJM, 362(11): 1014-1021.</w:t>
      </w:r>
    </w:p>
    <w:p w14:paraId="324CC978"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lastRenderedPageBreak/>
        <w:t>Brown, W. (1910). Some experimental results in the correlation of mental abilities. British Journal of Psychology, 3, 296–322.</w:t>
      </w:r>
    </w:p>
    <w:p w14:paraId="0E7646D8"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t>Landis J, Koch G, The measurement of observer agreement for categorical data, Biometrics, 1977;33:159-174.</w:t>
      </w:r>
    </w:p>
    <w:p w14:paraId="25DD902D" w14:textId="77777777" w:rsidR="005403F5" w:rsidRDefault="005964C2" w:rsidP="005403F5">
      <w:pPr>
        <w:autoSpaceDE w:val="0"/>
        <w:autoSpaceDN w:val="0"/>
        <w:adjustRightInd w:val="0"/>
        <w:spacing w:before="120" w:after="120" w:line="240" w:lineRule="auto"/>
        <w:rPr>
          <w:rFonts w:cstheme="minorHAnsi"/>
          <w:noProof/>
          <w:color w:val="C00000"/>
        </w:rPr>
      </w:pPr>
      <w:r w:rsidRPr="00E205B4">
        <w:rPr>
          <w:rFonts w:cstheme="minorHAnsi"/>
          <w:noProof/>
          <w:color w:val="C00000"/>
        </w:rPr>
        <w:t>Rousson V, Gasser T, Seifert B. "Assessing intrarater, interrater and test–retest reliability of continuous measurements," Statistics in Medicine, 2002, 21:3431-3446.</w:t>
      </w:r>
    </w:p>
    <w:p w14:paraId="61698FB1" w14:textId="77777777" w:rsidR="005403F5" w:rsidRDefault="005964C2" w:rsidP="005403F5">
      <w:pPr>
        <w:autoSpaceDE w:val="0"/>
        <w:autoSpaceDN w:val="0"/>
        <w:adjustRightInd w:val="0"/>
        <w:spacing w:before="120" w:after="120" w:line="240" w:lineRule="auto"/>
        <w:rPr>
          <w:rFonts w:cstheme="minorHAnsi"/>
          <w:bCs/>
        </w:rPr>
      </w:pPr>
      <w:r w:rsidRPr="00E205B4">
        <w:rPr>
          <w:rFonts w:cstheme="minorHAnsi"/>
          <w:noProof/>
          <w:color w:val="C00000"/>
        </w:rPr>
        <w:t>Shrout P, Fleiss J. Intraclass correlations: uses in assessing rater reliability. Psychological Bulletin, 1979, 86, 420-3428.</w:t>
      </w:r>
    </w:p>
    <w:p w14:paraId="00544B73" w14:textId="77777777" w:rsidR="005403F5" w:rsidRPr="00DC71AD" w:rsidRDefault="00DC34A1" w:rsidP="005403F5">
      <w:pPr>
        <w:autoSpaceDE w:val="0"/>
        <w:autoSpaceDN w:val="0"/>
        <w:adjustRightInd w:val="0"/>
        <w:spacing w:before="120" w:after="120" w:line="240" w:lineRule="auto"/>
        <w:rPr>
          <w:rFonts w:cstheme="minorHAnsi"/>
          <w:bCs/>
          <w:color w:val="7030A0"/>
        </w:rPr>
      </w:pPr>
      <w:r w:rsidRPr="00DC71AD">
        <w:rPr>
          <w:rFonts w:cstheme="minorHAnsi"/>
          <w:iCs/>
          <w:color w:val="7030A0"/>
        </w:rPr>
        <w:t>Spearman, Charles, C. (1910). Correlation calculated from faulty data. British Journal of Psychology, 3, 271–295.</w:t>
      </w:r>
      <w:bookmarkEnd w:id="18"/>
    </w:p>
    <w:p w14:paraId="63EEC401" w14:textId="79A66A98" w:rsidR="005964C2" w:rsidRPr="005403F5" w:rsidRDefault="005964C2" w:rsidP="005403F5">
      <w:pPr>
        <w:autoSpaceDE w:val="0"/>
        <w:autoSpaceDN w:val="0"/>
        <w:adjustRightInd w:val="0"/>
        <w:spacing w:before="120" w:after="120" w:line="240" w:lineRule="auto"/>
        <w:rPr>
          <w:rFonts w:cstheme="minorHAnsi"/>
          <w:bCs/>
        </w:rPr>
      </w:pPr>
      <w:proofErr w:type="spellStart"/>
      <w:r w:rsidRPr="00E205B4">
        <w:rPr>
          <w:color w:val="C00000"/>
        </w:rPr>
        <w:t>DeBuhr</w:t>
      </w:r>
      <w:proofErr w:type="spellEnd"/>
      <w:r w:rsidRPr="00E205B4">
        <w:rPr>
          <w:color w:val="C00000"/>
        </w:rPr>
        <w:t xml:space="preserve"> J, McDowell K, Grady, J et al., 2020 </w:t>
      </w:r>
      <w:r w:rsidRPr="00E205B4">
        <w:rPr>
          <w:rFonts w:cstheme="minorHAnsi"/>
          <w:bCs/>
          <w:color w:val="C00000"/>
        </w:rPr>
        <w:t>Condition-Specific Measures Updates and Specifications Report</w:t>
      </w:r>
      <w:r w:rsidRPr="00E205B4">
        <w:rPr>
          <w:color w:val="C00000"/>
        </w:rPr>
        <w:t xml:space="preserve"> </w:t>
      </w:r>
      <w:r w:rsidRPr="00E205B4">
        <w:rPr>
          <w:rFonts w:cstheme="minorHAnsi"/>
          <w:bCs/>
          <w:color w:val="C00000"/>
        </w:rPr>
        <w:t xml:space="preserve">- Available at: </w:t>
      </w:r>
      <w:hyperlink r:id="rId15" w:history="1">
        <w:r>
          <w:rPr>
            <w:rStyle w:val="Hyperlink"/>
          </w:rPr>
          <w:t>https://www.qualitynet.org/inpatient/measures/readmission/methodology</w:t>
        </w:r>
      </w:hyperlink>
    </w:p>
    <w:p w14:paraId="4A3F2310" w14:textId="6350C1E8" w:rsidR="00D1459A" w:rsidRDefault="00092566" w:rsidP="00D1459A">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C208A4">
        <w:rPr>
          <w:rFonts w:cstheme="minorHAnsi"/>
          <w:bCs/>
        </w:rPr>
        <w:t xml:space="preserve"> </w:t>
      </w:r>
      <w:r w:rsidR="00AA5213" w:rsidRPr="00A25024">
        <w:rPr>
          <w:rFonts w:cstheme="minorHAnsi"/>
          <w:bCs/>
        </w:rPr>
        <w:t>(e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bookmarkStart w:id="21" w:name="_Hlk33452525"/>
    </w:p>
    <w:p w14:paraId="1FE2EC91" w14:textId="77777777" w:rsidR="00D1459A" w:rsidRDefault="00C24C7D" w:rsidP="00D1459A">
      <w:pPr>
        <w:autoSpaceDE w:val="0"/>
        <w:autoSpaceDN w:val="0"/>
        <w:adjustRightInd w:val="0"/>
        <w:spacing w:before="120" w:after="120" w:line="240" w:lineRule="auto"/>
        <w:rPr>
          <w:rFonts w:ascii="Calibri" w:hAnsi="Calibri" w:cs="Calibri"/>
          <w:color w:val="C00000"/>
          <w:u w:val="single"/>
        </w:rPr>
      </w:pPr>
      <w:r w:rsidRPr="00E205B4">
        <w:rPr>
          <w:rFonts w:ascii="Calibri" w:hAnsi="Calibri" w:cs="Calibri"/>
          <w:color w:val="C00000"/>
          <w:u w:val="single"/>
        </w:rPr>
        <w:t>Measure Score Reliability Results</w:t>
      </w:r>
    </w:p>
    <w:p w14:paraId="15E1F196" w14:textId="77777777" w:rsidR="00D1459A" w:rsidRDefault="00C24C7D" w:rsidP="00D1459A">
      <w:pPr>
        <w:autoSpaceDE w:val="0"/>
        <w:autoSpaceDN w:val="0"/>
        <w:adjustRightInd w:val="0"/>
        <w:spacing w:before="120" w:after="120" w:line="240" w:lineRule="auto"/>
        <w:rPr>
          <w:rFonts w:cstheme="minorHAnsi"/>
          <w:bCs/>
        </w:rPr>
      </w:pPr>
      <w:r w:rsidRPr="00E205B4">
        <w:rPr>
          <w:rFonts w:cstheme="minorHAnsi"/>
          <w:noProof/>
          <w:color w:val="C00000"/>
          <w:u w:val="single"/>
        </w:rPr>
        <w:t>Split-Sample Reliability</w:t>
      </w:r>
      <w:bookmarkStart w:id="22" w:name="_Hlk534172501"/>
    </w:p>
    <w:p w14:paraId="159FCA24" w14:textId="3E813961" w:rsidR="00D1459A" w:rsidRDefault="00C106CB" w:rsidP="00D1459A">
      <w:pPr>
        <w:autoSpaceDE w:val="0"/>
        <w:autoSpaceDN w:val="0"/>
        <w:adjustRightInd w:val="0"/>
        <w:spacing w:before="120" w:after="120" w:line="240" w:lineRule="auto"/>
        <w:rPr>
          <w:rFonts w:cstheme="minorHAnsi"/>
          <w:bCs/>
        </w:rPr>
      </w:pPr>
      <w:r w:rsidRPr="00E205B4">
        <w:rPr>
          <w:rFonts w:cstheme="minorHAnsi"/>
          <w:bCs/>
          <w:color w:val="C00000"/>
        </w:rPr>
        <w:t xml:space="preserve">In total, 992,016 admissions were included in the analysis, using </w:t>
      </w:r>
      <w:r w:rsidR="00F11F21">
        <w:rPr>
          <w:rFonts w:cstheme="minorHAnsi"/>
          <w:bCs/>
          <w:color w:val="C00000"/>
        </w:rPr>
        <w:t>three</w:t>
      </w:r>
      <w:r w:rsidRPr="00E205B4">
        <w:rPr>
          <w:rFonts w:cstheme="minorHAnsi"/>
          <w:bCs/>
          <w:color w:val="C00000"/>
        </w:rPr>
        <w:t xml:space="preserve"> years of data. After randomly splitting the sample into two halves, there were 495,162 admissions from 3,362 hospitals in one half and 496,854 admissions from 3,412 hospitals in the other half. As a metric of agreement, we calculated the ICC for hospitals with 25 admissions or more. Using the Spearman-Brown prediction formula, the agreement between the two independent assessments of the RSRR for each hospital was 0.454.</w:t>
      </w:r>
      <w:bookmarkEnd w:id="22"/>
    </w:p>
    <w:p w14:paraId="77E21FCB" w14:textId="77777777" w:rsidR="00D1459A" w:rsidRDefault="00C24C7D" w:rsidP="00D1459A">
      <w:pPr>
        <w:autoSpaceDE w:val="0"/>
        <w:autoSpaceDN w:val="0"/>
        <w:adjustRightInd w:val="0"/>
        <w:spacing w:before="120" w:after="120" w:line="240" w:lineRule="auto"/>
        <w:rPr>
          <w:rFonts w:cstheme="minorHAnsi"/>
          <w:bCs/>
        </w:rPr>
      </w:pPr>
      <w:r w:rsidRPr="00E205B4">
        <w:rPr>
          <w:rFonts w:ascii="Calibri" w:hAnsi="Calibri" w:cs="Calibri"/>
          <w:color w:val="C00000"/>
          <w:u w:val="single"/>
        </w:rPr>
        <w:t>Signal-to-Noise</w:t>
      </w:r>
    </w:p>
    <w:p w14:paraId="1178149B" w14:textId="329FE972" w:rsidR="00D1459A" w:rsidRDefault="00F85F7A" w:rsidP="00D1459A">
      <w:pPr>
        <w:autoSpaceDE w:val="0"/>
        <w:autoSpaceDN w:val="0"/>
        <w:adjustRightInd w:val="0"/>
        <w:spacing w:before="120" w:after="120" w:line="240" w:lineRule="auto"/>
        <w:rPr>
          <w:rFonts w:cstheme="minorHAnsi"/>
          <w:bCs/>
        </w:rPr>
      </w:pPr>
      <w:r w:rsidRPr="00E205B4">
        <w:rPr>
          <w:rFonts w:ascii="Calibri" w:hAnsi="Calibri" w:cs="Calibri"/>
          <w:color w:val="C00000"/>
        </w:rPr>
        <w:t xml:space="preserve">We calculated the signal-to-noise reliability score for each hospital with at least 25 admissions* (see </w:t>
      </w:r>
      <w:hyperlink w:anchor="Table2" w:history="1">
        <w:r w:rsidR="006132D0" w:rsidRPr="00340E91">
          <w:rPr>
            <w:rStyle w:val="Hyperlink"/>
            <w:rFonts w:ascii="Calibri" w:hAnsi="Calibri" w:cs="Calibri"/>
          </w:rPr>
          <w:t>Table 2</w:t>
        </w:r>
      </w:hyperlink>
      <w:r w:rsidRPr="00E205B4">
        <w:rPr>
          <w:rFonts w:ascii="Calibri" w:hAnsi="Calibri" w:cs="Calibri"/>
          <w:color w:val="C00000"/>
        </w:rPr>
        <w:t xml:space="preserve"> below). The median reliability score was 0.77, ranging from 0.29 to 0.99. The 25th and 75th percentiles were 0.58 and 0.88, respectively. The median reliability score demonstrates </w:t>
      </w:r>
      <w:r w:rsidR="00C208A4">
        <w:rPr>
          <w:rFonts w:ascii="Calibri" w:hAnsi="Calibri" w:cs="Calibri"/>
          <w:color w:val="C00000"/>
        </w:rPr>
        <w:t>substantial</w:t>
      </w:r>
      <w:r w:rsidRPr="00E205B4">
        <w:rPr>
          <w:rFonts w:ascii="Calibri" w:hAnsi="Calibri" w:cs="Calibri"/>
          <w:color w:val="C00000"/>
        </w:rPr>
        <w:t xml:space="preserve"> </w:t>
      </w:r>
      <w:r w:rsidR="007D6ACA">
        <w:rPr>
          <w:rFonts w:ascii="Calibri" w:hAnsi="Calibri" w:cs="Calibri"/>
          <w:color w:val="C00000"/>
        </w:rPr>
        <w:t>agreement</w:t>
      </w:r>
      <w:r w:rsidRPr="00E205B4">
        <w:rPr>
          <w:rFonts w:ascii="Calibri" w:hAnsi="Calibri" w:cs="Calibri"/>
          <w:color w:val="C00000"/>
        </w:rPr>
        <w:t>.</w:t>
      </w:r>
    </w:p>
    <w:p w14:paraId="40FDCC99" w14:textId="4513A662" w:rsidR="00A859C3" w:rsidRPr="00650E42" w:rsidRDefault="00650E42" w:rsidP="00650E42">
      <w:pPr>
        <w:pStyle w:val="Caption"/>
        <w:rPr>
          <w:rFonts w:ascii="Calibri" w:hAnsi="Calibri" w:cs="Calibri"/>
          <w:i w:val="0"/>
          <w:color w:val="C00000"/>
          <w:sz w:val="22"/>
        </w:rPr>
      </w:pPr>
      <w:bookmarkStart w:id="23" w:name="Table2"/>
      <w:r w:rsidRPr="00650E42">
        <w:rPr>
          <w:b/>
          <w:i w:val="0"/>
          <w:color w:val="C00000"/>
          <w:sz w:val="22"/>
        </w:rPr>
        <w:t xml:space="preserve">Table </w:t>
      </w:r>
      <w:r w:rsidRPr="00650E42">
        <w:rPr>
          <w:b/>
          <w:i w:val="0"/>
          <w:color w:val="C00000"/>
          <w:sz w:val="22"/>
        </w:rPr>
        <w:fldChar w:fldCharType="begin"/>
      </w:r>
      <w:r w:rsidRPr="00650E42">
        <w:rPr>
          <w:b/>
          <w:i w:val="0"/>
          <w:color w:val="C00000"/>
          <w:sz w:val="22"/>
        </w:rPr>
        <w:instrText xml:space="preserve"> SEQ Table \* ARABIC </w:instrText>
      </w:r>
      <w:r w:rsidRPr="00650E42">
        <w:rPr>
          <w:b/>
          <w:i w:val="0"/>
          <w:color w:val="C00000"/>
          <w:sz w:val="22"/>
        </w:rPr>
        <w:fldChar w:fldCharType="separate"/>
      </w:r>
      <w:r w:rsidR="006F2E6B">
        <w:rPr>
          <w:b/>
          <w:i w:val="0"/>
          <w:noProof/>
          <w:color w:val="C00000"/>
          <w:sz w:val="22"/>
        </w:rPr>
        <w:t>2</w:t>
      </w:r>
      <w:r w:rsidRPr="00650E42">
        <w:rPr>
          <w:b/>
          <w:i w:val="0"/>
          <w:color w:val="C00000"/>
          <w:sz w:val="22"/>
        </w:rPr>
        <w:fldChar w:fldCharType="end"/>
      </w:r>
      <w:r w:rsidR="00A24EB2" w:rsidRPr="00650E42">
        <w:rPr>
          <w:rFonts w:ascii="Calibri" w:hAnsi="Calibri" w:cs="Calibri"/>
          <w:b/>
          <w:i w:val="0"/>
          <w:color w:val="C00000"/>
          <w:sz w:val="22"/>
        </w:rPr>
        <w:t>.</w:t>
      </w:r>
      <w:r w:rsidR="00A24EB2" w:rsidRPr="00650E42">
        <w:rPr>
          <w:rFonts w:ascii="Calibri" w:hAnsi="Calibri" w:cs="Calibri"/>
          <w:i w:val="0"/>
          <w:color w:val="C00000"/>
          <w:sz w:val="22"/>
        </w:rPr>
        <w:t xml:space="preserve"> </w:t>
      </w:r>
      <w:bookmarkEnd w:id="23"/>
      <w:r w:rsidR="00A24EB2" w:rsidRPr="00650E42">
        <w:rPr>
          <w:rFonts w:ascii="Calibri" w:hAnsi="Calibri" w:cs="Calibri"/>
          <w:i w:val="0"/>
          <w:color w:val="C00000"/>
          <w:sz w:val="22"/>
        </w:rPr>
        <w:t xml:space="preserve">Signal-to-noise reliability distribution for </w:t>
      </w:r>
      <w:r w:rsidR="005A42C3" w:rsidRPr="00650E42">
        <w:rPr>
          <w:rFonts w:ascii="Calibri" w:hAnsi="Calibri" w:cs="Calibri"/>
          <w:i w:val="0"/>
          <w:color w:val="C00000"/>
          <w:sz w:val="22"/>
        </w:rPr>
        <w:t>THA/TKA</w:t>
      </w:r>
      <w:r w:rsidR="00A24EB2" w:rsidRPr="00650E42">
        <w:rPr>
          <w:rFonts w:ascii="Calibri" w:hAnsi="Calibri" w:cs="Calibri"/>
          <w:i w:val="0"/>
          <w:color w:val="C00000"/>
          <w:sz w:val="22"/>
        </w:rPr>
        <w:t xml:space="preserve"> </w:t>
      </w:r>
      <w:r w:rsidR="00897A3E" w:rsidRPr="00650E42">
        <w:rPr>
          <w:rFonts w:ascii="Calibri" w:hAnsi="Calibri" w:cs="Calibri"/>
          <w:i w:val="0"/>
          <w:color w:val="C00000"/>
          <w:sz w:val="22"/>
        </w:rPr>
        <w:t>readmission</w:t>
      </w:r>
    </w:p>
    <w:tbl>
      <w:tblPr>
        <w:tblW w:w="10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29"/>
        <w:gridCol w:w="586"/>
        <w:gridCol w:w="1139"/>
        <w:gridCol w:w="1139"/>
        <w:gridCol w:w="1139"/>
        <w:gridCol w:w="1015"/>
        <w:gridCol w:w="1139"/>
        <w:gridCol w:w="1139"/>
        <w:gridCol w:w="1153"/>
        <w:gridCol w:w="696"/>
      </w:tblGrid>
      <w:tr w:rsidR="006132D0" w:rsidRPr="001E1B68" w14:paraId="20DDD43C" w14:textId="77777777" w:rsidTr="006132D0">
        <w:trPr>
          <w:trHeight w:val="118"/>
        </w:trPr>
        <w:tc>
          <w:tcPr>
            <w:tcW w:w="740" w:type="dxa"/>
            <w:shd w:val="clear" w:color="000000" w:fill="F2F2F2"/>
            <w:noWrap/>
            <w:vAlign w:val="center"/>
            <w:hideMark/>
          </w:tcPr>
          <w:p w14:paraId="340C0A8B"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Mean</w:t>
            </w:r>
          </w:p>
        </w:tc>
        <w:tc>
          <w:tcPr>
            <w:tcW w:w="624" w:type="dxa"/>
            <w:shd w:val="clear" w:color="000000" w:fill="F2F2F2"/>
            <w:noWrap/>
            <w:vAlign w:val="center"/>
            <w:hideMark/>
          </w:tcPr>
          <w:p w14:paraId="4CFD51D5"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Std</w:t>
            </w:r>
            <w:r>
              <w:rPr>
                <w:rFonts w:eastAsia="Times New Roman" w:cstheme="minorHAnsi"/>
                <w:b/>
                <w:bCs/>
                <w:color w:val="000000"/>
              </w:rPr>
              <w:t xml:space="preserve"> Dev.</w:t>
            </w:r>
          </w:p>
        </w:tc>
        <w:tc>
          <w:tcPr>
            <w:tcW w:w="586" w:type="dxa"/>
            <w:shd w:val="clear" w:color="000000" w:fill="F2F2F2"/>
            <w:noWrap/>
            <w:vAlign w:val="center"/>
            <w:hideMark/>
          </w:tcPr>
          <w:p w14:paraId="2D394254"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Min</w:t>
            </w:r>
          </w:p>
        </w:tc>
        <w:tc>
          <w:tcPr>
            <w:tcW w:w="1131" w:type="dxa"/>
            <w:shd w:val="clear" w:color="000000" w:fill="F2F2F2"/>
            <w:noWrap/>
            <w:vAlign w:val="center"/>
            <w:hideMark/>
          </w:tcPr>
          <w:p w14:paraId="08B26437" w14:textId="77777777" w:rsidR="006132D0" w:rsidRPr="001E1B68" w:rsidRDefault="006132D0" w:rsidP="00A81E54">
            <w:pPr>
              <w:jc w:val="center"/>
              <w:rPr>
                <w:rFonts w:eastAsia="Times New Roman" w:cstheme="minorHAnsi"/>
                <w:b/>
                <w:bCs/>
                <w:color w:val="000000"/>
              </w:rPr>
            </w:pPr>
            <w:r w:rsidRPr="00C80565">
              <w:rPr>
                <w:rFonts w:eastAsia="Times New Roman" w:cstheme="minorHAnsi"/>
                <w:b/>
                <w:bCs/>
                <w:color w:val="000000"/>
              </w:rPr>
              <w:t>5</w:t>
            </w:r>
            <w:r w:rsidRPr="00C80565">
              <w:rPr>
                <w:rFonts w:eastAsia="Times New Roman" w:cstheme="minorHAnsi"/>
                <w:b/>
                <w:bCs/>
                <w:color w:val="000000"/>
                <w:vertAlign w:val="superscript"/>
              </w:rPr>
              <w:t>th</w:t>
            </w:r>
            <w:r w:rsidRPr="00C80565">
              <w:rPr>
                <w:rFonts w:eastAsia="Times New Roman" w:cstheme="minorHAnsi"/>
                <w:b/>
                <w:bCs/>
                <w:color w:val="000000"/>
              </w:rPr>
              <w:t xml:space="preserve"> Percentile</w:t>
            </w:r>
          </w:p>
        </w:tc>
        <w:tc>
          <w:tcPr>
            <w:tcW w:w="1131" w:type="dxa"/>
            <w:shd w:val="clear" w:color="000000" w:fill="F2F2F2"/>
            <w:noWrap/>
            <w:vAlign w:val="center"/>
            <w:hideMark/>
          </w:tcPr>
          <w:p w14:paraId="3EBB4156"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10</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31" w:type="dxa"/>
            <w:shd w:val="clear" w:color="000000" w:fill="F2F2F2"/>
            <w:noWrap/>
            <w:vAlign w:val="center"/>
            <w:hideMark/>
          </w:tcPr>
          <w:p w14:paraId="30C6524A"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25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015" w:type="dxa"/>
            <w:shd w:val="clear" w:color="000000" w:fill="F2F2F2"/>
            <w:noWrap/>
            <w:vAlign w:val="center"/>
            <w:hideMark/>
          </w:tcPr>
          <w:p w14:paraId="434FB6C0" w14:textId="77777777" w:rsidR="006132D0" w:rsidRPr="001E1B68" w:rsidRDefault="006132D0" w:rsidP="00A81E54">
            <w:pPr>
              <w:jc w:val="center"/>
              <w:rPr>
                <w:rFonts w:eastAsia="Times New Roman" w:cstheme="minorHAnsi"/>
                <w:b/>
                <w:bCs/>
                <w:color w:val="000000"/>
              </w:rPr>
            </w:pPr>
            <w:r w:rsidRPr="00C80565">
              <w:rPr>
                <w:rFonts w:eastAsia="Times New Roman" w:cstheme="minorHAnsi"/>
                <w:b/>
                <w:bCs/>
                <w:color w:val="000000"/>
              </w:rPr>
              <w:t>Median</w:t>
            </w:r>
          </w:p>
        </w:tc>
        <w:tc>
          <w:tcPr>
            <w:tcW w:w="1131" w:type="dxa"/>
            <w:shd w:val="clear" w:color="000000" w:fill="F2F2F2"/>
            <w:noWrap/>
            <w:vAlign w:val="center"/>
            <w:hideMark/>
          </w:tcPr>
          <w:p w14:paraId="6422C3BB"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75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31" w:type="dxa"/>
            <w:shd w:val="clear" w:color="000000" w:fill="F2F2F2"/>
            <w:noWrap/>
            <w:vAlign w:val="center"/>
            <w:hideMark/>
          </w:tcPr>
          <w:p w14:paraId="24BBD0ED"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90</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1153" w:type="dxa"/>
            <w:shd w:val="clear" w:color="000000" w:fill="F2F2F2"/>
            <w:noWrap/>
            <w:vAlign w:val="center"/>
            <w:hideMark/>
          </w:tcPr>
          <w:p w14:paraId="544ACE77"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95</w:t>
            </w:r>
            <w:r w:rsidRPr="001E1B68">
              <w:rPr>
                <w:rFonts w:eastAsia="Times New Roman" w:cstheme="minorHAnsi"/>
                <w:b/>
                <w:bCs/>
                <w:color w:val="000000"/>
                <w:vertAlign w:val="superscript"/>
              </w:rPr>
              <w:t>th</w:t>
            </w:r>
            <w:r w:rsidRPr="00C80565">
              <w:rPr>
                <w:rFonts w:eastAsia="Times New Roman" w:cstheme="minorHAnsi"/>
                <w:b/>
                <w:bCs/>
                <w:color w:val="000000"/>
              </w:rPr>
              <w:t xml:space="preserve"> </w:t>
            </w:r>
            <w:r w:rsidRPr="001E1B68">
              <w:rPr>
                <w:rFonts w:eastAsia="Times New Roman" w:cstheme="minorHAnsi"/>
                <w:b/>
                <w:bCs/>
                <w:color w:val="000000"/>
              </w:rPr>
              <w:t>Percentile</w:t>
            </w:r>
          </w:p>
        </w:tc>
        <w:tc>
          <w:tcPr>
            <w:tcW w:w="696" w:type="dxa"/>
            <w:shd w:val="clear" w:color="000000" w:fill="F2F2F2"/>
            <w:noWrap/>
            <w:vAlign w:val="center"/>
            <w:hideMark/>
          </w:tcPr>
          <w:p w14:paraId="54DF982D" w14:textId="77777777" w:rsidR="006132D0" w:rsidRPr="001E1B68" w:rsidRDefault="006132D0" w:rsidP="00A81E54">
            <w:pPr>
              <w:jc w:val="center"/>
              <w:rPr>
                <w:rFonts w:eastAsia="Times New Roman" w:cstheme="minorHAnsi"/>
                <w:b/>
                <w:bCs/>
                <w:color w:val="000000"/>
              </w:rPr>
            </w:pPr>
            <w:r w:rsidRPr="001E1B68">
              <w:rPr>
                <w:rFonts w:eastAsia="Times New Roman" w:cstheme="minorHAnsi"/>
                <w:b/>
                <w:bCs/>
                <w:color w:val="000000"/>
              </w:rPr>
              <w:t>Max</w:t>
            </w:r>
          </w:p>
        </w:tc>
      </w:tr>
      <w:tr w:rsidR="006132D0" w:rsidRPr="001E1B68" w14:paraId="3BA2AC82" w14:textId="77777777" w:rsidTr="00F11F21">
        <w:trPr>
          <w:trHeight w:val="332"/>
        </w:trPr>
        <w:tc>
          <w:tcPr>
            <w:tcW w:w="740" w:type="dxa"/>
            <w:shd w:val="clear" w:color="auto" w:fill="auto"/>
            <w:noWrap/>
            <w:vAlign w:val="bottom"/>
            <w:hideMark/>
          </w:tcPr>
          <w:p w14:paraId="7923CC1F" w14:textId="472042FB" w:rsidR="006132D0" w:rsidRPr="00DC189C" w:rsidRDefault="006132D0" w:rsidP="00F11F21">
            <w:pPr>
              <w:jc w:val="center"/>
              <w:rPr>
                <w:rFonts w:eastAsia="Times New Roman" w:cstheme="minorHAnsi"/>
                <w:color w:val="C00000"/>
              </w:rPr>
            </w:pPr>
            <w:r w:rsidRPr="00DC189C">
              <w:rPr>
                <w:color w:val="C00000"/>
                <w:sz w:val="20"/>
                <w:szCs w:val="20"/>
              </w:rPr>
              <w:t>0.72</w:t>
            </w:r>
          </w:p>
        </w:tc>
        <w:tc>
          <w:tcPr>
            <w:tcW w:w="624" w:type="dxa"/>
            <w:shd w:val="clear" w:color="auto" w:fill="auto"/>
            <w:noWrap/>
            <w:vAlign w:val="bottom"/>
            <w:hideMark/>
          </w:tcPr>
          <w:p w14:paraId="6D5AC8A8" w14:textId="615A0201" w:rsidR="006132D0" w:rsidRPr="00DC189C" w:rsidRDefault="006132D0" w:rsidP="00F11F21">
            <w:pPr>
              <w:jc w:val="center"/>
              <w:rPr>
                <w:rFonts w:eastAsia="Times New Roman" w:cstheme="minorHAnsi"/>
                <w:color w:val="C00000"/>
              </w:rPr>
            </w:pPr>
            <w:r w:rsidRPr="00DC189C">
              <w:rPr>
                <w:color w:val="C00000"/>
                <w:sz w:val="20"/>
                <w:szCs w:val="20"/>
              </w:rPr>
              <w:t>0.19</w:t>
            </w:r>
          </w:p>
        </w:tc>
        <w:tc>
          <w:tcPr>
            <w:tcW w:w="586" w:type="dxa"/>
            <w:shd w:val="clear" w:color="auto" w:fill="auto"/>
            <w:noWrap/>
            <w:vAlign w:val="bottom"/>
            <w:hideMark/>
          </w:tcPr>
          <w:p w14:paraId="4ED0B790" w14:textId="418B052E" w:rsidR="006132D0" w:rsidRPr="00DC189C" w:rsidRDefault="006132D0" w:rsidP="00F11F21">
            <w:pPr>
              <w:jc w:val="center"/>
              <w:rPr>
                <w:rFonts w:eastAsia="Times New Roman" w:cstheme="minorHAnsi"/>
                <w:color w:val="C00000"/>
              </w:rPr>
            </w:pPr>
            <w:r w:rsidRPr="00DC189C">
              <w:rPr>
                <w:color w:val="C00000"/>
                <w:sz w:val="20"/>
                <w:szCs w:val="20"/>
              </w:rPr>
              <w:t>0.29</w:t>
            </w:r>
          </w:p>
        </w:tc>
        <w:tc>
          <w:tcPr>
            <w:tcW w:w="1131" w:type="dxa"/>
            <w:shd w:val="clear" w:color="auto" w:fill="auto"/>
            <w:noWrap/>
            <w:vAlign w:val="bottom"/>
            <w:hideMark/>
          </w:tcPr>
          <w:p w14:paraId="381EE3C2" w14:textId="3120BF81" w:rsidR="006132D0" w:rsidRPr="00DC189C" w:rsidRDefault="006132D0" w:rsidP="00F11F21">
            <w:pPr>
              <w:jc w:val="center"/>
              <w:rPr>
                <w:rFonts w:eastAsia="Times New Roman" w:cstheme="minorHAnsi"/>
                <w:color w:val="C00000"/>
              </w:rPr>
            </w:pPr>
            <w:r w:rsidRPr="00DC189C">
              <w:rPr>
                <w:color w:val="C00000"/>
                <w:sz w:val="20"/>
                <w:szCs w:val="20"/>
              </w:rPr>
              <w:t>0.36</w:t>
            </w:r>
          </w:p>
        </w:tc>
        <w:tc>
          <w:tcPr>
            <w:tcW w:w="1131" w:type="dxa"/>
            <w:shd w:val="clear" w:color="auto" w:fill="auto"/>
            <w:noWrap/>
            <w:vAlign w:val="bottom"/>
            <w:hideMark/>
          </w:tcPr>
          <w:p w14:paraId="14145827" w14:textId="79212934" w:rsidR="006132D0" w:rsidRPr="00DC189C" w:rsidRDefault="006132D0" w:rsidP="00F11F21">
            <w:pPr>
              <w:jc w:val="center"/>
              <w:rPr>
                <w:rFonts w:eastAsia="Times New Roman" w:cstheme="minorHAnsi"/>
                <w:color w:val="C00000"/>
              </w:rPr>
            </w:pPr>
            <w:r w:rsidRPr="00DC189C">
              <w:rPr>
                <w:color w:val="C00000"/>
                <w:sz w:val="20"/>
                <w:szCs w:val="20"/>
              </w:rPr>
              <w:t>0.42</w:t>
            </w:r>
          </w:p>
        </w:tc>
        <w:tc>
          <w:tcPr>
            <w:tcW w:w="1131" w:type="dxa"/>
            <w:shd w:val="clear" w:color="auto" w:fill="auto"/>
            <w:noWrap/>
            <w:vAlign w:val="bottom"/>
            <w:hideMark/>
          </w:tcPr>
          <w:p w14:paraId="6B869F5D" w14:textId="33F4A724" w:rsidR="006132D0" w:rsidRPr="00DC189C" w:rsidRDefault="006132D0" w:rsidP="00F11F21">
            <w:pPr>
              <w:jc w:val="center"/>
              <w:rPr>
                <w:rFonts w:eastAsia="Times New Roman" w:cstheme="minorHAnsi"/>
                <w:color w:val="C00000"/>
              </w:rPr>
            </w:pPr>
            <w:r w:rsidRPr="00DC189C">
              <w:rPr>
                <w:color w:val="C00000"/>
                <w:sz w:val="20"/>
                <w:szCs w:val="20"/>
              </w:rPr>
              <w:t>0.58</w:t>
            </w:r>
          </w:p>
        </w:tc>
        <w:tc>
          <w:tcPr>
            <w:tcW w:w="1015" w:type="dxa"/>
            <w:shd w:val="clear" w:color="auto" w:fill="auto"/>
            <w:noWrap/>
            <w:vAlign w:val="bottom"/>
            <w:hideMark/>
          </w:tcPr>
          <w:p w14:paraId="269CB2C4" w14:textId="27A92217" w:rsidR="006132D0" w:rsidRPr="00DC189C" w:rsidRDefault="006132D0" w:rsidP="00F11F21">
            <w:pPr>
              <w:jc w:val="center"/>
              <w:rPr>
                <w:rFonts w:eastAsia="Times New Roman" w:cstheme="minorHAnsi"/>
                <w:color w:val="C00000"/>
              </w:rPr>
            </w:pPr>
            <w:r w:rsidRPr="00DC189C">
              <w:rPr>
                <w:color w:val="C00000"/>
                <w:sz w:val="20"/>
                <w:szCs w:val="20"/>
              </w:rPr>
              <w:t>0.77</w:t>
            </w:r>
          </w:p>
        </w:tc>
        <w:tc>
          <w:tcPr>
            <w:tcW w:w="1131" w:type="dxa"/>
            <w:shd w:val="clear" w:color="auto" w:fill="auto"/>
            <w:noWrap/>
            <w:vAlign w:val="bottom"/>
            <w:hideMark/>
          </w:tcPr>
          <w:p w14:paraId="6482C5F8" w14:textId="3919D5C3" w:rsidR="006132D0" w:rsidRPr="00DC189C" w:rsidRDefault="006132D0" w:rsidP="00F11F21">
            <w:pPr>
              <w:jc w:val="center"/>
              <w:rPr>
                <w:rFonts w:eastAsia="Times New Roman" w:cstheme="minorHAnsi"/>
                <w:color w:val="C00000"/>
              </w:rPr>
            </w:pPr>
            <w:r w:rsidRPr="00DC189C">
              <w:rPr>
                <w:color w:val="C00000"/>
                <w:sz w:val="20"/>
                <w:szCs w:val="20"/>
              </w:rPr>
              <w:t>0.88</w:t>
            </w:r>
          </w:p>
        </w:tc>
        <w:tc>
          <w:tcPr>
            <w:tcW w:w="1131" w:type="dxa"/>
            <w:shd w:val="clear" w:color="auto" w:fill="auto"/>
            <w:noWrap/>
            <w:vAlign w:val="bottom"/>
            <w:hideMark/>
          </w:tcPr>
          <w:p w14:paraId="07F1A0DA" w14:textId="09D89512" w:rsidR="006132D0" w:rsidRPr="00DC189C" w:rsidRDefault="006132D0" w:rsidP="00F11F21">
            <w:pPr>
              <w:jc w:val="center"/>
              <w:rPr>
                <w:rFonts w:eastAsia="Times New Roman" w:cstheme="minorHAnsi"/>
                <w:color w:val="C00000"/>
              </w:rPr>
            </w:pPr>
            <w:r w:rsidRPr="00DC189C">
              <w:rPr>
                <w:color w:val="C00000"/>
                <w:sz w:val="20"/>
                <w:szCs w:val="20"/>
              </w:rPr>
              <w:t>0.93</w:t>
            </w:r>
          </w:p>
        </w:tc>
        <w:tc>
          <w:tcPr>
            <w:tcW w:w="1153" w:type="dxa"/>
            <w:shd w:val="clear" w:color="auto" w:fill="auto"/>
            <w:noWrap/>
            <w:vAlign w:val="bottom"/>
            <w:hideMark/>
          </w:tcPr>
          <w:p w14:paraId="5BB471EF" w14:textId="02A12F9B" w:rsidR="006132D0" w:rsidRPr="00DC189C" w:rsidRDefault="006132D0" w:rsidP="00F11F21">
            <w:pPr>
              <w:jc w:val="center"/>
              <w:rPr>
                <w:rFonts w:eastAsia="Times New Roman" w:cstheme="minorHAnsi"/>
                <w:color w:val="C00000"/>
              </w:rPr>
            </w:pPr>
            <w:r w:rsidRPr="00DC189C">
              <w:rPr>
                <w:color w:val="C00000"/>
                <w:sz w:val="20"/>
                <w:szCs w:val="20"/>
              </w:rPr>
              <w:t>0.95</w:t>
            </w:r>
          </w:p>
        </w:tc>
        <w:tc>
          <w:tcPr>
            <w:tcW w:w="696" w:type="dxa"/>
            <w:shd w:val="clear" w:color="auto" w:fill="auto"/>
            <w:noWrap/>
            <w:vAlign w:val="bottom"/>
            <w:hideMark/>
          </w:tcPr>
          <w:p w14:paraId="3483B425" w14:textId="6E8446BC" w:rsidR="006132D0" w:rsidRPr="00DC189C" w:rsidRDefault="006132D0" w:rsidP="00F11F21">
            <w:pPr>
              <w:jc w:val="center"/>
              <w:rPr>
                <w:rFonts w:eastAsia="Times New Roman" w:cstheme="minorHAnsi"/>
                <w:color w:val="C00000"/>
              </w:rPr>
            </w:pPr>
            <w:r w:rsidRPr="00DC189C">
              <w:rPr>
                <w:color w:val="C00000"/>
                <w:sz w:val="20"/>
                <w:szCs w:val="20"/>
              </w:rPr>
              <w:t>0.99</w:t>
            </w:r>
          </w:p>
        </w:tc>
      </w:tr>
    </w:tbl>
    <w:p w14:paraId="3AF384BE" w14:textId="57080F0E" w:rsidR="00C24C7D" w:rsidRPr="00D1459A" w:rsidRDefault="00C24C7D" w:rsidP="00D1459A">
      <w:pPr>
        <w:autoSpaceDE w:val="0"/>
        <w:autoSpaceDN w:val="0"/>
        <w:adjustRightInd w:val="0"/>
        <w:spacing w:before="120" w:after="120" w:line="240" w:lineRule="auto"/>
        <w:rPr>
          <w:rFonts w:cstheme="minorHAnsi"/>
          <w:bCs/>
        </w:rPr>
      </w:pPr>
      <w:r w:rsidRPr="00E205B4">
        <w:rPr>
          <w:rFonts w:ascii="Calibri" w:hAnsi="Calibri" w:cs="Calibri"/>
          <w:color w:val="C00000"/>
        </w:rPr>
        <w:t xml:space="preserve">*Hospital measure scores are calculated for all hospitals (including those that have fewer than 25 admissions) but only </w:t>
      </w:r>
      <w:r w:rsidR="00C208A4">
        <w:rPr>
          <w:rFonts w:ascii="Calibri" w:hAnsi="Calibri" w:cs="Calibri"/>
          <w:color w:val="C00000"/>
        </w:rPr>
        <w:t xml:space="preserve">publicly </w:t>
      </w:r>
      <w:r w:rsidRPr="00E205B4">
        <w:rPr>
          <w:rFonts w:ascii="Calibri" w:hAnsi="Calibri" w:cs="Calibri"/>
          <w:color w:val="C00000"/>
        </w:rPr>
        <w:t>reported for those that have at least 25 admissions to ensure hospital results are reliable.</w:t>
      </w:r>
    </w:p>
    <w:bookmarkEnd w:id="21"/>
    <w:p w14:paraId="5C9B8A8B" w14:textId="77777777" w:rsidR="002E353E" w:rsidRDefault="00092566" w:rsidP="002E353E">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bookmarkStart w:id="24" w:name="_Hlk33452550"/>
    </w:p>
    <w:p w14:paraId="7B2776CE" w14:textId="77777777" w:rsidR="002E353E" w:rsidRDefault="00C24C7D" w:rsidP="002E353E">
      <w:pPr>
        <w:autoSpaceDE w:val="0"/>
        <w:autoSpaceDN w:val="0"/>
        <w:adjustRightInd w:val="0"/>
        <w:spacing w:before="120" w:after="120" w:line="240" w:lineRule="auto"/>
        <w:rPr>
          <w:rFonts w:cstheme="minorHAnsi"/>
          <w:bCs/>
        </w:rPr>
      </w:pPr>
      <w:r w:rsidRPr="00E205B4">
        <w:rPr>
          <w:rFonts w:cstheme="minorHAnsi"/>
          <w:noProof/>
          <w:color w:val="C00000"/>
          <w:u w:val="single"/>
        </w:rPr>
        <w:t>Measure Score Reliability Results</w:t>
      </w:r>
    </w:p>
    <w:p w14:paraId="4AF38B1C" w14:textId="77777777" w:rsidR="002E353E" w:rsidRDefault="001812A7" w:rsidP="002E353E">
      <w:pPr>
        <w:autoSpaceDE w:val="0"/>
        <w:autoSpaceDN w:val="0"/>
        <w:adjustRightInd w:val="0"/>
        <w:spacing w:before="120" w:after="120" w:line="240" w:lineRule="auto"/>
        <w:rPr>
          <w:rFonts w:cstheme="minorHAnsi"/>
          <w:bCs/>
        </w:rPr>
      </w:pPr>
      <w:r w:rsidRPr="00E205B4">
        <w:rPr>
          <w:rFonts w:cstheme="minorHAnsi"/>
          <w:bCs/>
          <w:color w:val="C00000"/>
        </w:rPr>
        <w:lastRenderedPageBreak/>
        <w:t>The split-sample reliability score of 0.454, discussed in the previous section, represents the lower bound of estimate of the true measure reliability.</w:t>
      </w:r>
    </w:p>
    <w:p w14:paraId="7D8CCC32" w14:textId="6EBE426C" w:rsidR="002E353E" w:rsidRDefault="001812A7" w:rsidP="002E353E">
      <w:pPr>
        <w:autoSpaceDE w:val="0"/>
        <w:autoSpaceDN w:val="0"/>
        <w:adjustRightInd w:val="0"/>
        <w:spacing w:before="120" w:after="120" w:line="240" w:lineRule="auto"/>
        <w:rPr>
          <w:rFonts w:cstheme="minorHAnsi"/>
          <w:bCs/>
        </w:rPr>
      </w:pPr>
      <w:r w:rsidRPr="00E205B4">
        <w:rPr>
          <w:rFonts w:cstheme="minorHAnsi"/>
          <w:bCs/>
          <w:color w:val="C00000"/>
        </w:rPr>
        <w:t>Using the approach used by Adams et. al.</w:t>
      </w:r>
      <w:r w:rsidR="00A9471A">
        <w:rPr>
          <w:rFonts w:cstheme="minorHAnsi"/>
          <w:bCs/>
          <w:color w:val="C00000"/>
        </w:rPr>
        <w:t xml:space="preserve"> and Yu et al.</w:t>
      </w:r>
      <w:r w:rsidRPr="00E205B4">
        <w:rPr>
          <w:rFonts w:cstheme="minorHAnsi"/>
          <w:bCs/>
          <w:color w:val="C00000"/>
        </w:rPr>
        <w:t xml:space="preserve">, we obtained the median signal-to-noise reliability score of 0.77, which demonstrates substantial </w:t>
      </w:r>
      <w:r w:rsidR="00130700">
        <w:rPr>
          <w:rFonts w:cstheme="minorHAnsi"/>
          <w:bCs/>
          <w:color w:val="C00000"/>
        </w:rPr>
        <w:t>agreement</w:t>
      </w:r>
      <w:r w:rsidRPr="00E205B4">
        <w:rPr>
          <w:rFonts w:cstheme="minorHAnsi"/>
          <w:bCs/>
          <w:color w:val="C00000"/>
        </w:rPr>
        <w:t>.</w:t>
      </w:r>
    </w:p>
    <w:p w14:paraId="2D01E7A5" w14:textId="77777777" w:rsidR="002E353E" w:rsidRDefault="00C24C7D" w:rsidP="002E353E">
      <w:pPr>
        <w:autoSpaceDE w:val="0"/>
        <w:autoSpaceDN w:val="0"/>
        <w:adjustRightInd w:val="0"/>
        <w:spacing w:before="120" w:after="120" w:line="240" w:lineRule="auto"/>
        <w:rPr>
          <w:rFonts w:cstheme="minorHAnsi"/>
          <w:bCs/>
        </w:rPr>
      </w:pPr>
      <w:r w:rsidRPr="00E205B4">
        <w:rPr>
          <w:rFonts w:cstheme="minorHAnsi"/>
          <w:bCs/>
          <w:color w:val="C00000"/>
        </w:rPr>
        <w:t>Our interpretation of the results is based on the standards established by Landis and Koch (1977):</w:t>
      </w:r>
    </w:p>
    <w:p w14:paraId="04508111" w14:textId="7777777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&lt; 0 – Less than chance agreement;</w:t>
      </w:r>
    </w:p>
    <w:p w14:paraId="7051DBCF" w14:textId="7777777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0 – 0.2 Slight agreement;</w:t>
      </w:r>
    </w:p>
    <w:p w14:paraId="01490CE7" w14:textId="7777777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0.21 – 0.39 Fair agreement;</w:t>
      </w:r>
    </w:p>
    <w:p w14:paraId="113AC204" w14:textId="7777777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0.4 – 0.59 Moderate agreement;</w:t>
      </w:r>
    </w:p>
    <w:p w14:paraId="1E1A2247" w14:textId="7777777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 xml:space="preserve">0.6 – 0.79 Substantial agreement; </w:t>
      </w:r>
    </w:p>
    <w:p w14:paraId="3F44F8BD" w14:textId="7777777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0.8 – 0.99 Almost Perfect agreement; and</w:t>
      </w:r>
    </w:p>
    <w:p w14:paraId="2360E233" w14:textId="642C0CC7" w:rsidR="002E353E" w:rsidRDefault="00C24C7D" w:rsidP="002E353E">
      <w:pPr>
        <w:autoSpaceDE w:val="0"/>
        <w:autoSpaceDN w:val="0"/>
        <w:adjustRightInd w:val="0"/>
        <w:spacing w:after="0" w:line="240" w:lineRule="auto"/>
        <w:rPr>
          <w:rFonts w:cstheme="minorHAnsi"/>
          <w:bCs/>
        </w:rPr>
      </w:pPr>
      <w:r w:rsidRPr="00E205B4">
        <w:rPr>
          <w:rFonts w:cstheme="minorHAnsi"/>
          <w:bCs/>
          <w:color w:val="C00000"/>
        </w:rPr>
        <w:t>1 Perfect agreement</w:t>
      </w:r>
    </w:p>
    <w:p w14:paraId="0DD87FC5" w14:textId="1C78EE4B" w:rsidR="002E353E" w:rsidRDefault="00C24C7D" w:rsidP="002E353E">
      <w:pPr>
        <w:autoSpaceDE w:val="0"/>
        <w:autoSpaceDN w:val="0"/>
        <w:adjustRightInd w:val="0"/>
        <w:spacing w:before="120" w:after="120" w:line="240" w:lineRule="auto"/>
        <w:rPr>
          <w:rFonts w:cstheme="minorHAnsi"/>
          <w:bCs/>
        </w:rPr>
      </w:pPr>
      <w:r w:rsidRPr="00E205B4">
        <w:rPr>
          <w:rFonts w:cstheme="minorHAnsi"/>
          <w:bCs/>
          <w:color w:val="C00000"/>
        </w:rPr>
        <w:t xml:space="preserve">Taken together, these results indicate that there is </w:t>
      </w:r>
      <w:r w:rsidR="003033D5">
        <w:rPr>
          <w:rFonts w:cstheme="minorHAnsi"/>
          <w:bCs/>
          <w:color w:val="C00000"/>
        </w:rPr>
        <w:t>substantial</w:t>
      </w:r>
      <w:r w:rsidRPr="00E205B4">
        <w:rPr>
          <w:rFonts w:cstheme="minorHAnsi"/>
          <w:bCs/>
          <w:color w:val="C00000"/>
        </w:rPr>
        <w:t xml:space="preserve"> reliability in the measure score.</w:t>
      </w:r>
    </w:p>
    <w:p w14:paraId="4CFBFAF0" w14:textId="77777777" w:rsidR="002E353E" w:rsidRDefault="00C24C7D" w:rsidP="002E353E">
      <w:pPr>
        <w:autoSpaceDE w:val="0"/>
        <w:autoSpaceDN w:val="0"/>
        <w:adjustRightInd w:val="0"/>
        <w:spacing w:before="120" w:after="120" w:line="240" w:lineRule="auto"/>
        <w:rPr>
          <w:rFonts w:cstheme="minorHAnsi"/>
          <w:bCs/>
        </w:rPr>
      </w:pPr>
      <w:r w:rsidRPr="00E205B4">
        <w:rPr>
          <w:rFonts w:cstheme="minorHAnsi"/>
          <w:bCs/>
          <w:noProof/>
          <w:color w:val="C00000"/>
          <w:u w:val="single"/>
        </w:rPr>
        <w:t>References:</w:t>
      </w:r>
    </w:p>
    <w:p w14:paraId="71A60797" w14:textId="77777777" w:rsidR="002E353E" w:rsidRDefault="00C24C7D" w:rsidP="002E353E">
      <w:pPr>
        <w:autoSpaceDE w:val="0"/>
        <w:autoSpaceDN w:val="0"/>
        <w:adjustRightInd w:val="0"/>
        <w:spacing w:before="120" w:after="120" w:line="240" w:lineRule="auto"/>
        <w:rPr>
          <w:rFonts w:cstheme="minorHAnsi"/>
          <w:bCs/>
        </w:rPr>
      </w:pPr>
      <w:r w:rsidRPr="00E205B4">
        <w:rPr>
          <w:rFonts w:cstheme="minorHAnsi"/>
          <w:bCs/>
          <w:noProof/>
          <w:color w:val="C00000"/>
        </w:rPr>
        <w:t>Landis J, Koch G. The measurement of observer agreement for categorical data, Biometrics 1977;33:159-174.</w:t>
      </w:r>
    </w:p>
    <w:p w14:paraId="28B5DEAB" w14:textId="77777777" w:rsidR="002E353E" w:rsidRDefault="00C24C7D" w:rsidP="002E353E">
      <w:pPr>
        <w:autoSpaceDE w:val="0"/>
        <w:autoSpaceDN w:val="0"/>
        <w:adjustRightInd w:val="0"/>
        <w:spacing w:before="120" w:after="120" w:line="240" w:lineRule="auto"/>
        <w:rPr>
          <w:rFonts w:cstheme="minorHAnsi"/>
          <w:bCs/>
        </w:rPr>
      </w:pPr>
      <w:r w:rsidRPr="00E205B4">
        <w:rPr>
          <w:rFonts w:cstheme="minorHAnsi"/>
          <w:bCs/>
          <w:noProof/>
          <w:color w:val="C00000"/>
        </w:rPr>
        <w:t>Adams J, Mehrota, A, Thoman J, McGlynn, E. (2010). Physician cost profiling – reliability and risk of misclassification. NEJM, 362(11): 1014-1021.</w:t>
      </w:r>
    </w:p>
    <w:p w14:paraId="0B0D5946" w14:textId="452B49AA" w:rsidR="00C24C7D" w:rsidRPr="002E353E" w:rsidRDefault="00C24C7D" w:rsidP="002E353E">
      <w:pPr>
        <w:autoSpaceDE w:val="0"/>
        <w:autoSpaceDN w:val="0"/>
        <w:adjustRightInd w:val="0"/>
        <w:spacing w:before="120" w:after="120" w:line="240" w:lineRule="auto"/>
        <w:rPr>
          <w:rFonts w:cstheme="minorHAnsi"/>
          <w:bCs/>
        </w:rPr>
      </w:pPr>
      <w:r w:rsidRPr="00E205B4">
        <w:rPr>
          <w:rFonts w:cstheme="minorHAnsi"/>
          <w:bCs/>
          <w:noProof/>
          <w:color w:val="C00000"/>
        </w:rPr>
        <w:t>Yu, H, Mehrota, A, Adams J. (2013). Reliability of utilization measures for primary care physician profiling. Healthcare, 1, 22-29.</w:t>
      </w:r>
    </w:p>
    <w:bookmarkEnd w:id="24"/>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3063510A" w:rsidR="00696262" w:rsidRPr="00A25024" w:rsidRDefault="00AE389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24C7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6C7599A" w:rsidR="000574AB" w:rsidRPr="00A25024" w:rsidRDefault="00AE389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C24C7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C24C7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w:t>
      </w:r>
      <w:r w:rsidR="00C208A4">
        <w:rPr>
          <w:rFonts w:eastAsia="MS Gothic" w:cstheme="minorHAnsi"/>
          <w:bCs/>
        </w:rPr>
        <w:t xml:space="preserve"> </w:t>
      </w:r>
      <w:r w:rsidR="00275563">
        <w:rPr>
          <w:rFonts w:eastAsia="MS Gothic" w:cstheme="minorHAnsi"/>
          <w:bCs/>
        </w:rPr>
        <w:t>Empirical validity testing is expected at time of maintenance review; if not possible, justification is required.</w:t>
      </w:r>
    </w:p>
    <w:p w14:paraId="121F0213" w14:textId="797AFB42" w:rsidR="002E353E" w:rsidRDefault="009C7513" w:rsidP="0086690E">
      <w:pPr>
        <w:autoSpaceDE w:val="0"/>
        <w:autoSpaceDN w:val="0"/>
        <w:adjustRightInd w:val="0"/>
        <w:spacing w:before="120"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00BECA46" w14:textId="77777777" w:rsidR="002E353E" w:rsidRDefault="00C24C7D" w:rsidP="002E353E">
      <w:pPr>
        <w:autoSpaceDE w:val="0"/>
        <w:autoSpaceDN w:val="0"/>
        <w:adjustRightInd w:val="0"/>
        <w:spacing w:before="120" w:after="120" w:line="240" w:lineRule="auto"/>
        <w:rPr>
          <w:rFonts w:cstheme="minorHAnsi"/>
          <w:bCs/>
        </w:rPr>
      </w:pPr>
      <w:r w:rsidRPr="00E205B4">
        <w:rPr>
          <w:color w:val="C00000"/>
          <w:u w:val="single"/>
        </w:rPr>
        <w:t>Empirical Validity</w:t>
      </w:r>
    </w:p>
    <w:p w14:paraId="72582222" w14:textId="77777777" w:rsidR="002E353E" w:rsidRDefault="00C24C7D" w:rsidP="002E353E">
      <w:pPr>
        <w:autoSpaceDE w:val="0"/>
        <w:autoSpaceDN w:val="0"/>
        <w:adjustRightInd w:val="0"/>
        <w:spacing w:before="120" w:after="120" w:line="240" w:lineRule="auto"/>
        <w:rPr>
          <w:rFonts w:cstheme="minorHAnsi"/>
          <w:bCs/>
        </w:rPr>
      </w:pPr>
      <w:r w:rsidRPr="00E205B4">
        <w:rPr>
          <w:color w:val="C00000"/>
        </w:rPr>
        <w:t xml:space="preserve">Stewards of NQF-endorsed measures going through the re-endorsement process are required to demonstrate external validity testing at the time of maintenance review, or if this is not possible, justify the use of face validity only. To meet this requirement for the </w:t>
      </w:r>
      <w:r w:rsidR="008A1ACC" w:rsidRPr="00E205B4">
        <w:rPr>
          <w:rFonts w:ascii="Calibri" w:eastAsia="Times New Roman" w:hAnsi="Calibri" w:cs="Calibri"/>
          <w:color w:val="C00000"/>
        </w:rPr>
        <w:t>THA/TKA</w:t>
      </w:r>
      <w:r w:rsidR="008A1ACC" w:rsidRPr="00E205B4">
        <w:rPr>
          <w:color w:val="C00000"/>
        </w:rPr>
        <w:t xml:space="preserve"> </w:t>
      </w:r>
      <w:r w:rsidRPr="00E205B4">
        <w:rPr>
          <w:color w:val="C00000"/>
        </w:rPr>
        <w:t xml:space="preserve">readmission measure, we identified and assessed the measure’s correlation with other measures that target the same domain of quality (e.g. complications, safety, or post-procedure utilization) for the same or similar populations. The goal was to identify if better performance in this measure was related to better performance on other relevant structural or outcomes measures. After literature review and consultations with measures </w:t>
      </w:r>
      <w:r w:rsidRPr="00E205B4">
        <w:rPr>
          <w:color w:val="C00000"/>
        </w:rPr>
        <w:lastRenderedPageBreak/>
        <w:t>experts in the field, there were very few measures identified that assess the same domains of quality. Given that challenge, we selected the following to use for validity testing.</w:t>
      </w:r>
    </w:p>
    <w:p w14:paraId="78ED9B33" w14:textId="75108564" w:rsidR="002E353E" w:rsidRPr="002E353E" w:rsidRDefault="00C24C7D" w:rsidP="002E353E">
      <w:pPr>
        <w:pStyle w:val="ListParagraph"/>
        <w:numPr>
          <w:ilvl w:val="0"/>
          <w:numId w:val="32"/>
        </w:numPr>
        <w:autoSpaceDE w:val="0"/>
        <w:autoSpaceDN w:val="0"/>
        <w:adjustRightInd w:val="0"/>
        <w:spacing w:before="120" w:after="120" w:line="240" w:lineRule="auto"/>
        <w:rPr>
          <w:color w:val="C00000"/>
        </w:rPr>
      </w:pPr>
      <w:r w:rsidRPr="002E353E">
        <w:rPr>
          <w:color w:val="C00000"/>
        </w:rPr>
        <w:t>Hospital Star Rating readmission group score:</w:t>
      </w:r>
      <w:r w:rsidR="00C208A4">
        <w:rPr>
          <w:color w:val="C00000"/>
        </w:rPr>
        <w:t xml:space="preserve"> </w:t>
      </w:r>
      <w:r w:rsidRPr="002E353E">
        <w:rPr>
          <w:color w:val="C00000"/>
        </w:rPr>
        <w:t xml:space="preserve">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w:t>
      </w:r>
      <w:r w:rsidR="00F4621F">
        <w:rPr>
          <w:color w:val="C00000"/>
        </w:rPr>
        <w:t xml:space="preserve">and </w:t>
      </w:r>
      <w:r w:rsidRPr="002E353E">
        <w:rPr>
          <w:color w:val="C00000"/>
        </w:rPr>
        <w:t>timeliness of care).</w:t>
      </w:r>
      <w:r w:rsidR="00C208A4">
        <w:rPr>
          <w:color w:val="C00000"/>
        </w:rPr>
        <w:t xml:space="preserve"> </w:t>
      </w:r>
      <w:r w:rsidRPr="002E353E">
        <w:rPr>
          <w:color w:val="C00000"/>
        </w:rPr>
        <w:t>The readmission group is comprised of the readmission measures that are publicly reported on Hospital Compare.</w:t>
      </w:r>
      <w:r w:rsidR="00C208A4">
        <w:rPr>
          <w:color w:val="C00000"/>
        </w:rPr>
        <w:t xml:space="preserve"> </w:t>
      </w:r>
      <w:r w:rsidRPr="002E353E">
        <w:rPr>
          <w:color w:val="C00000"/>
        </w:rPr>
        <w:t xml:space="preserve">The readmission group score is derived from a latent-variable model that identifies an underlying quality trait for that group. For the validity testing presented in this testing form, we used readmission group scores from </w:t>
      </w:r>
      <w:r w:rsidR="00176366" w:rsidRPr="002E353E">
        <w:rPr>
          <w:color w:val="C00000"/>
        </w:rPr>
        <w:t>3,412</w:t>
      </w:r>
      <w:r w:rsidRPr="002E353E">
        <w:rPr>
          <w:color w:val="C00000"/>
        </w:rPr>
        <w:t xml:space="preserve"> Medicare FFS hospitals from July 2019. The full methodology for the Overall Hospital Star Rating can be found at: </w:t>
      </w:r>
      <w:hyperlink r:id="rId16" w:history="1">
        <w:r w:rsidR="007D1B1B">
          <w:rPr>
            <w:color w:val="0000FF" w:themeColor="hyperlink"/>
            <w:u w:val="single"/>
          </w:rPr>
          <w:t>https://www.qualitynet.org/inpatient/public-reporting/overall-ratings/resources</w:t>
        </w:r>
      </w:hyperlink>
      <w:r w:rsidR="002E353E" w:rsidRPr="002E353E">
        <w:rPr>
          <w:color w:val="C00000"/>
        </w:rPr>
        <w:t>.</w:t>
      </w:r>
    </w:p>
    <w:p w14:paraId="0E451772" w14:textId="6084EFBD" w:rsidR="002E353E" w:rsidRDefault="00C24C7D" w:rsidP="002E353E">
      <w:pPr>
        <w:pStyle w:val="ListParagraph"/>
        <w:numPr>
          <w:ilvl w:val="0"/>
          <w:numId w:val="32"/>
        </w:numPr>
        <w:autoSpaceDE w:val="0"/>
        <w:autoSpaceDN w:val="0"/>
        <w:adjustRightInd w:val="0"/>
        <w:spacing w:before="120" w:after="120" w:line="240" w:lineRule="auto"/>
        <w:rPr>
          <w:color w:val="C00000"/>
        </w:rPr>
      </w:pPr>
      <w:r w:rsidRPr="002E353E">
        <w:rPr>
          <w:color w:val="C00000"/>
        </w:rPr>
        <w:t>Overall Hospital Star Rating:</w:t>
      </w:r>
      <w:r w:rsidR="00C208A4">
        <w:rPr>
          <w:color w:val="C00000"/>
        </w:rPr>
        <w:t xml:space="preserve"> </w:t>
      </w:r>
      <w:r w:rsidRPr="002E353E">
        <w:rPr>
          <w:color w:val="C00000"/>
        </w:rPr>
        <w:t xml:space="preserve">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w:t>
      </w:r>
      <w:r w:rsidR="00F4621F">
        <w:rPr>
          <w:color w:val="C00000"/>
        </w:rPr>
        <w:t xml:space="preserve">and </w:t>
      </w:r>
      <w:r w:rsidRPr="002E353E">
        <w:rPr>
          <w:color w:val="C00000"/>
        </w:rPr>
        <w:t>timeliness of care).</w:t>
      </w:r>
      <w:r w:rsidR="00C208A4">
        <w:rPr>
          <w:color w:val="C00000"/>
        </w:rPr>
        <w:t xml:space="preserve"> </w:t>
      </w:r>
      <w:r w:rsidRPr="002E353E">
        <w:rPr>
          <w:color w:val="C00000"/>
        </w:rPr>
        <w:t>Each group has within it, measures that are reported on Hospital Compare.</w:t>
      </w:r>
      <w:r w:rsidR="00C208A4">
        <w:rPr>
          <w:color w:val="C00000"/>
        </w:rPr>
        <w:t xml:space="preserve"> </w:t>
      </w:r>
      <w:r w:rsidRPr="002E353E">
        <w:rPr>
          <w:color w:val="C00000"/>
        </w:rPr>
        <w:t>Group scores for each individual group are derived from latent-variable models that identify an underlying quality trait for each group.</w:t>
      </w:r>
      <w:r w:rsidR="00C208A4">
        <w:rPr>
          <w:color w:val="C00000"/>
        </w:rPr>
        <w:t xml:space="preserve"> </w:t>
      </w:r>
      <w:r w:rsidRPr="002E353E">
        <w:rPr>
          <w:color w:val="C00000"/>
        </w:rPr>
        <w:t>Group scores are combined into an overall hospital score using fixed weights; overall hospital scores are then clustered, using k-means clustering, into five groups and are assigned one-to-five stars (the hospital’s Star Rating).</w:t>
      </w:r>
      <w:r w:rsidR="00C208A4">
        <w:rPr>
          <w:color w:val="C00000"/>
        </w:rPr>
        <w:t xml:space="preserve"> </w:t>
      </w:r>
      <w:r w:rsidRPr="002E353E">
        <w:rPr>
          <w:color w:val="C00000"/>
        </w:rPr>
        <w:t xml:space="preserve">For the validity testing presented in this testing form, we used hospital’s Star Ratings from </w:t>
      </w:r>
      <w:r w:rsidR="00176366" w:rsidRPr="002E353E">
        <w:rPr>
          <w:color w:val="C00000"/>
        </w:rPr>
        <w:t>3,412</w:t>
      </w:r>
      <w:r w:rsidRPr="002E353E">
        <w:rPr>
          <w:color w:val="C00000"/>
        </w:rPr>
        <w:t xml:space="preserve"> Medicare FFS hospitals from July 2019. The full methodology for the Overall Hospital Star Rating can be found at </w:t>
      </w:r>
      <w:hyperlink r:id="rId17" w:history="1">
        <w:r w:rsidR="007D1B1B">
          <w:rPr>
            <w:color w:val="0000FF" w:themeColor="hyperlink"/>
            <w:u w:val="single"/>
          </w:rPr>
          <w:t>https://www.qualitynet.org/inpatient/public-reporting/overall-ratings/resources</w:t>
        </w:r>
      </w:hyperlink>
      <w:r w:rsidRPr="002E353E">
        <w:rPr>
          <w:color w:val="C00000"/>
        </w:rPr>
        <w:t>.</w:t>
      </w:r>
    </w:p>
    <w:p w14:paraId="08792AEA" w14:textId="2C5E3418" w:rsidR="00250682" w:rsidRPr="00A21FCC" w:rsidRDefault="00250682" w:rsidP="00250682">
      <w:pPr>
        <w:pStyle w:val="ListParagraph"/>
        <w:numPr>
          <w:ilvl w:val="0"/>
          <w:numId w:val="32"/>
        </w:numPr>
        <w:autoSpaceDE w:val="0"/>
        <w:autoSpaceDN w:val="0"/>
        <w:adjustRightInd w:val="0"/>
        <w:spacing w:before="120" w:after="120" w:line="240" w:lineRule="auto"/>
        <w:rPr>
          <w:color w:val="C00000"/>
        </w:rPr>
      </w:pPr>
      <w:r>
        <w:rPr>
          <w:color w:val="C00000"/>
        </w:rPr>
        <w:t>Hospital THA/TKA Surgical Volume</w:t>
      </w:r>
      <w:r w:rsidRPr="00043DA7">
        <w:rPr>
          <w:color w:val="C00000"/>
        </w:rPr>
        <w:t xml:space="preserve">: </w:t>
      </w:r>
      <w:r>
        <w:rPr>
          <w:color w:val="C00000"/>
        </w:rPr>
        <w:t xml:space="preserve">There is evidence that surgical readmission rates for providers (both surgeons and hospitals) decline with increasing volume (Sibley et al., 2017; Murphy et al., 2019; Courtney et al., 2018). </w:t>
      </w:r>
      <w:r w:rsidRPr="00924130">
        <w:rPr>
          <w:color w:val="C00000"/>
        </w:rPr>
        <w:t xml:space="preserve">Thus, we assessed validity of the measure by examining the relationship between volume and the measure score for hospitals. To establish validity, we expect scores to be correlated with case volume at the </w:t>
      </w:r>
      <w:r>
        <w:rPr>
          <w:color w:val="C00000"/>
        </w:rPr>
        <w:t>hospital</w:t>
      </w:r>
      <w:r w:rsidR="00F4621F">
        <w:rPr>
          <w:color w:val="C00000"/>
        </w:rPr>
        <w:t xml:space="preserve"> level.</w:t>
      </w:r>
    </w:p>
    <w:p w14:paraId="726498AE" w14:textId="358CFC08" w:rsidR="002E353E" w:rsidRDefault="00C24C7D" w:rsidP="002E353E">
      <w:pPr>
        <w:autoSpaceDE w:val="0"/>
        <w:autoSpaceDN w:val="0"/>
        <w:adjustRightInd w:val="0"/>
        <w:spacing w:before="120" w:after="120" w:line="240" w:lineRule="auto"/>
        <w:rPr>
          <w:color w:val="C00000"/>
        </w:rPr>
      </w:pPr>
      <w:r w:rsidRPr="002E353E">
        <w:rPr>
          <w:color w:val="C00000"/>
        </w:rPr>
        <w:t xml:space="preserve">We examined the relationship of performance the </w:t>
      </w:r>
      <w:r w:rsidR="008A1ACC" w:rsidRPr="002E353E">
        <w:rPr>
          <w:rFonts w:ascii="Calibri" w:eastAsia="Times New Roman" w:hAnsi="Calibri" w:cs="Calibri"/>
          <w:color w:val="C00000"/>
        </w:rPr>
        <w:t>THA/TKA</w:t>
      </w:r>
      <w:r w:rsidR="008A1ACC" w:rsidRPr="002E353E">
        <w:rPr>
          <w:color w:val="C00000"/>
        </w:rPr>
        <w:t xml:space="preserve"> </w:t>
      </w:r>
      <w:r w:rsidRPr="002E353E">
        <w:rPr>
          <w:color w:val="C00000"/>
        </w:rPr>
        <w:t>readmission measure scores (RSRR) with each of the external measures of hospital quality</w:t>
      </w:r>
      <w:r w:rsidR="00250682">
        <w:rPr>
          <w:color w:val="C00000"/>
        </w:rPr>
        <w:t xml:space="preserve"> and volume</w:t>
      </w:r>
      <w:r w:rsidRPr="002E353E">
        <w:rPr>
          <w:color w:val="C00000"/>
        </w:rPr>
        <w:t>.</w:t>
      </w:r>
      <w:r w:rsidR="00C208A4">
        <w:rPr>
          <w:color w:val="C00000"/>
        </w:rPr>
        <w:t xml:space="preserve"> </w:t>
      </w:r>
      <w:r w:rsidRPr="002E353E">
        <w:rPr>
          <w:color w:val="C00000"/>
        </w:rPr>
        <w:t>For the external measures, the comparison was against performance within quartiles of the readmission group score, or in the case of Star Ratings, to the Star Rating category (1-5 Stars).</w:t>
      </w:r>
      <w:r w:rsidR="007D6ACA">
        <w:rPr>
          <w:color w:val="C00000"/>
        </w:rPr>
        <w:t xml:space="preserve"> We predicted the THA/TKA readmission scores would be more strongly associated with the Hospital Star Rating readmission group score than the Overall Star Ratings scores, with lower RSRRs associated with better Star Ratings.</w:t>
      </w:r>
      <w:r w:rsidR="00130700">
        <w:rPr>
          <w:color w:val="C00000"/>
        </w:rPr>
        <w:t xml:space="preserve"> With THA/TKA surgical volume, we assume that lower RSRRs will be moderately associated with higher volume hospitals.</w:t>
      </w:r>
    </w:p>
    <w:p w14:paraId="0374E7EF" w14:textId="0497788B" w:rsidR="007D6ACA" w:rsidRDefault="007D6ACA" w:rsidP="007D6ACA">
      <w:pPr>
        <w:spacing w:line="240" w:lineRule="auto"/>
        <w:rPr>
          <w:rFonts w:cstheme="minorHAnsi"/>
          <w:color w:val="C00000"/>
        </w:rPr>
      </w:pPr>
      <w:bookmarkStart w:id="25" w:name="_Hlk43219061"/>
      <w:r w:rsidRPr="003A144F">
        <w:rPr>
          <w:rFonts w:cstheme="minorHAnsi"/>
          <w:color w:val="C00000"/>
        </w:rPr>
        <w:t>In addition to providing empirical evidence, we have found multiple sources that support that readmissions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Hospitals that have adopted strategies to improve care processes such as discharge planning, patient education, and transitions of care, tend to perform better on these measures (e.g. </w:t>
      </w:r>
      <w:r>
        <w:rPr>
          <w:rFonts w:cstheme="minorHAnsi"/>
          <w:color w:val="C00000"/>
        </w:rPr>
        <w:t xml:space="preserve">Borza et al., 2019; </w:t>
      </w:r>
      <w:proofErr w:type="spellStart"/>
      <w:r>
        <w:rPr>
          <w:rFonts w:cstheme="minorHAnsi"/>
          <w:color w:val="C00000"/>
        </w:rPr>
        <w:t>Cyriac</w:t>
      </w:r>
      <w:proofErr w:type="spellEnd"/>
      <w:r>
        <w:rPr>
          <w:rFonts w:cstheme="minorHAnsi"/>
          <w:color w:val="C00000"/>
        </w:rPr>
        <w:t xml:space="preserve">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proofErr w:type="spellStart"/>
      <w:r w:rsidRPr="00FF07A5">
        <w:rPr>
          <w:color w:val="C00000"/>
        </w:rPr>
        <w:t>Leppin</w:t>
      </w:r>
      <w:proofErr w:type="spellEnd"/>
      <w:r w:rsidRPr="00FF07A5">
        <w:rPr>
          <w:color w:val="C00000"/>
        </w:rPr>
        <w:t xml:space="preserve"> et al., 2014</w:t>
      </w:r>
      <w:r>
        <w:rPr>
          <w:color w:val="C00000"/>
        </w:rPr>
        <w:t xml:space="preserve">; Patel et al., 2018; </w:t>
      </w:r>
      <w:proofErr w:type="spellStart"/>
      <w:r>
        <w:rPr>
          <w:color w:val="C00000"/>
        </w:rPr>
        <w:t>Ohar</w:t>
      </w:r>
      <w:proofErr w:type="spellEnd"/>
      <w:r>
        <w:rPr>
          <w:color w:val="C00000"/>
        </w:rPr>
        <w:t xml:space="preserve"> et al., 2018; Wright et al., 2019</w:t>
      </w:r>
      <w:r w:rsidRPr="00FF07A5">
        <w:rPr>
          <w:rFonts w:cstheme="minorHAnsi"/>
          <w:color w:val="C00000"/>
        </w:rPr>
        <w:t>).</w:t>
      </w:r>
    </w:p>
    <w:p w14:paraId="4CA9304A" w14:textId="475382F5" w:rsidR="008A6880" w:rsidRPr="008A6880" w:rsidRDefault="008A6880" w:rsidP="007D6ACA">
      <w:pPr>
        <w:spacing w:line="240" w:lineRule="auto"/>
        <w:rPr>
          <w:rFonts w:cstheme="minorHAnsi"/>
          <w:color w:val="00B0F0"/>
        </w:rPr>
      </w:pPr>
      <w:r w:rsidRPr="008A6880">
        <w:rPr>
          <w:rFonts w:cstheme="minorHAnsi"/>
          <w:color w:val="00B0F0"/>
          <w:u w:val="single"/>
        </w:rPr>
        <w:t>Validity of the Outcome</w:t>
      </w:r>
      <w:r w:rsidRPr="008A6880">
        <w:rPr>
          <w:rFonts w:cstheme="minorHAnsi"/>
          <w:color w:val="00B0F0"/>
        </w:rPr>
        <w:t>:</w:t>
      </w:r>
    </w:p>
    <w:p w14:paraId="645B5A45" w14:textId="41BE6A5C" w:rsidR="008A6880" w:rsidRPr="008A6880" w:rsidRDefault="008A6880" w:rsidP="008A6880">
      <w:pPr>
        <w:spacing w:line="240" w:lineRule="auto"/>
        <w:rPr>
          <w:rFonts w:cstheme="minorHAnsi"/>
          <w:color w:val="00B0F0"/>
        </w:rPr>
      </w:pPr>
      <w:r w:rsidRPr="008A6880">
        <w:rPr>
          <w:rFonts w:cstheme="minorHAnsi"/>
          <w:color w:val="00B0F0"/>
        </w:rPr>
        <w:lastRenderedPageBreak/>
        <w:t>In past analyses</w:t>
      </w:r>
      <w:r>
        <w:rPr>
          <w:rFonts w:cstheme="minorHAnsi"/>
          <w:color w:val="00B0F0"/>
        </w:rPr>
        <w:t>,</w:t>
      </w:r>
      <w:r w:rsidRPr="008A6880">
        <w:rPr>
          <w:rFonts w:cstheme="minorHAnsi"/>
          <w:color w:val="00B0F0"/>
        </w:rPr>
        <w:t xml:space="preserve"> we have examined the top reasons (diagnosis discharge</w:t>
      </w:r>
      <w:r>
        <w:rPr>
          <w:rFonts w:cstheme="minorHAnsi"/>
          <w:color w:val="00B0F0"/>
        </w:rPr>
        <w:t xml:space="preserve"> category or CCS) related to a</w:t>
      </w:r>
      <w:r w:rsidRPr="008A6880">
        <w:rPr>
          <w:rFonts w:cstheme="minorHAnsi"/>
          <w:color w:val="00B0F0"/>
        </w:rPr>
        <w:t xml:space="preserve"> readmissio</w:t>
      </w:r>
      <w:r>
        <w:rPr>
          <w:rFonts w:cstheme="minorHAnsi"/>
          <w:color w:val="00B0F0"/>
        </w:rPr>
        <w:t>n following a THA/TKA procedure</w:t>
      </w:r>
      <w:r w:rsidRPr="008A6880">
        <w:rPr>
          <w:rFonts w:cstheme="minorHAnsi"/>
          <w:color w:val="00B0F0"/>
        </w:rPr>
        <w:t xml:space="preserve">.  </w:t>
      </w:r>
      <w:r>
        <w:rPr>
          <w:rFonts w:cstheme="minorHAnsi"/>
          <w:color w:val="00B0F0"/>
        </w:rPr>
        <w:t xml:space="preserve">For this analysis, we used </w:t>
      </w:r>
      <w:r w:rsidRPr="008A6880">
        <w:rPr>
          <w:rFonts w:cstheme="minorHAnsi"/>
          <w:color w:val="00B0F0"/>
        </w:rPr>
        <w:t>claims dat</w:t>
      </w:r>
      <w:r>
        <w:rPr>
          <w:rFonts w:cstheme="minorHAnsi"/>
          <w:color w:val="00B0F0"/>
        </w:rPr>
        <w:t>a for Medicare FFS patients from 2013-2016 and calculated the frequency of discharge</w:t>
      </w:r>
      <w:r w:rsidRPr="008A6880">
        <w:rPr>
          <w:color w:val="00B0F0"/>
        </w:rPr>
        <w:t xml:space="preserve"> diagnosis categories (CCSs) for Medicare FFFS patients readmitted to hospitals within 30 days </w:t>
      </w:r>
      <w:r>
        <w:rPr>
          <w:color w:val="00B0F0"/>
        </w:rPr>
        <w:t>following a THA or TKA procedure.</w:t>
      </w:r>
    </w:p>
    <w:bookmarkEnd w:id="25"/>
    <w:p w14:paraId="637C3B2C" w14:textId="24609FA8" w:rsidR="002E353E" w:rsidRPr="002E353E" w:rsidRDefault="00C24C7D" w:rsidP="002E353E">
      <w:pPr>
        <w:autoSpaceDE w:val="0"/>
        <w:autoSpaceDN w:val="0"/>
        <w:adjustRightInd w:val="0"/>
        <w:spacing w:before="120" w:after="120" w:line="240" w:lineRule="auto"/>
        <w:rPr>
          <w:rFonts w:cstheme="minorHAnsi"/>
          <w:bCs/>
          <w:color w:val="7030A0"/>
        </w:rPr>
      </w:pPr>
      <w:r w:rsidRPr="002E353E">
        <w:rPr>
          <w:color w:val="7030A0"/>
          <w:u w:val="single"/>
        </w:rPr>
        <w:t>Face Validity as Determined by TEP:</w:t>
      </w:r>
    </w:p>
    <w:p w14:paraId="491816F0" w14:textId="77777777" w:rsidR="002E353E" w:rsidRPr="002E353E" w:rsidRDefault="00C24C7D" w:rsidP="002E353E">
      <w:pPr>
        <w:autoSpaceDE w:val="0"/>
        <w:autoSpaceDN w:val="0"/>
        <w:adjustRightInd w:val="0"/>
        <w:spacing w:before="120" w:after="120" w:line="240" w:lineRule="auto"/>
        <w:rPr>
          <w:rFonts w:cstheme="minorHAnsi"/>
          <w:bCs/>
          <w:color w:val="7030A0"/>
        </w:rPr>
      </w:pPr>
      <w:r w:rsidRPr="002E353E">
        <w:rPr>
          <w:color w:val="7030A0"/>
        </w:rPr>
        <w:t>One means of confirming the validity of this measure was face validity assessed by our TEP.</w:t>
      </w:r>
    </w:p>
    <w:p w14:paraId="52C96F6B" w14:textId="77777777" w:rsidR="002E353E" w:rsidRPr="002E353E" w:rsidRDefault="00C24C7D" w:rsidP="002E353E">
      <w:pPr>
        <w:autoSpaceDE w:val="0"/>
        <w:autoSpaceDN w:val="0"/>
        <w:adjustRightInd w:val="0"/>
        <w:spacing w:before="120" w:after="120" w:line="240" w:lineRule="auto"/>
        <w:rPr>
          <w:rFonts w:cstheme="minorHAnsi"/>
          <w:bCs/>
          <w:color w:val="7030A0"/>
        </w:rPr>
      </w:pPr>
      <w:r w:rsidRPr="002E353E">
        <w:rPr>
          <w:color w:val="7030A0"/>
          <w:u w:val="single"/>
        </w:rPr>
        <w:t>List of TEP Members:</w:t>
      </w:r>
    </w:p>
    <w:p w14:paraId="14DBCB44" w14:textId="3FB09F3A" w:rsidR="002E353E" w:rsidRPr="002E353E" w:rsidRDefault="00C24C7D" w:rsidP="002E353E">
      <w:pPr>
        <w:autoSpaceDE w:val="0"/>
        <w:autoSpaceDN w:val="0"/>
        <w:adjustRightInd w:val="0"/>
        <w:spacing w:before="120" w:after="120" w:line="240" w:lineRule="auto"/>
        <w:rPr>
          <w:color w:val="7030A0"/>
        </w:rPr>
      </w:pPr>
      <w:r w:rsidRPr="002E353E">
        <w:rPr>
          <w:color w:val="7030A0"/>
        </w:rPr>
        <w:t>Mark L. Francis, MD</w:t>
      </w:r>
      <w:r w:rsidR="002E353E">
        <w:rPr>
          <w:color w:val="7030A0"/>
        </w:rPr>
        <w:t xml:space="preserve"> </w:t>
      </w:r>
      <w:r w:rsidRPr="002E353E">
        <w:rPr>
          <w:color w:val="7030A0"/>
        </w:rPr>
        <w:t>Professor of Medicine and Biomedical Sciences, Chief, Division of Rheumatology, Department of Internal Medicine, Texas Tech University Health Sciences Center</w:t>
      </w:r>
    </w:p>
    <w:p w14:paraId="52F8D989"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 xml:space="preserve">Cynthia </w:t>
      </w:r>
      <w:proofErr w:type="spellStart"/>
      <w:r w:rsidRPr="002E353E">
        <w:rPr>
          <w:color w:val="7030A0"/>
        </w:rPr>
        <w:t>Jacelon</w:t>
      </w:r>
      <w:proofErr w:type="spellEnd"/>
      <w:r w:rsidRPr="002E353E">
        <w:rPr>
          <w:color w:val="7030A0"/>
        </w:rPr>
        <w:t>, PhD, RN, CRRN Associate Professor, School of Nursing, University of Massachusetts Association of Rehabilitation Nurses</w:t>
      </w:r>
    </w:p>
    <w:p w14:paraId="1EF88357"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 xml:space="preserve">Norman </w:t>
      </w:r>
      <w:proofErr w:type="spellStart"/>
      <w:r w:rsidRPr="002E353E">
        <w:rPr>
          <w:color w:val="7030A0"/>
        </w:rPr>
        <w:t>Johanson</w:t>
      </w:r>
      <w:proofErr w:type="spellEnd"/>
      <w:r w:rsidRPr="002E353E">
        <w:rPr>
          <w:color w:val="7030A0"/>
        </w:rPr>
        <w:t>, MD Chairman, Orthopedic Surgery, Drexel University College of Medicine</w:t>
      </w:r>
    </w:p>
    <w:p w14:paraId="6E6A16AA"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 xml:space="preserve">C. Kent </w:t>
      </w:r>
      <w:proofErr w:type="spellStart"/>
      <w:r w:rsidRPr="002E353E">
        <w:rPr>
          <w:color w:val="7030A0"/>
        </w:rPr>
        <w:t>Kwoh</w:t>
      </w:r>
      <w:proofErr w:type="spellEnd"/>
      <w:r w:rsidRPr="002E353E">
        <w:rPr>
          <w:color w:val="7030A0"/>
        </w:rPr>
        <w:t>, MD Professor of Medicine, Associate Chief and Director of Clinical Research, Division of Rheumatology and Clinical Immunology University of Pittsburgh</w:t>
      </w:r>
    </w:p>
    <w:p w14:paraId="44AEFFC7"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 xml:space="preserve">Courtland G. Lewis, MD American Association of </w:t>
      </w:r>
      <w:proofErr w:type="spellStart"/>
      <w:r w:rsidRPr="002E353E">
        <w:rPr>
          <w:color w:val="7030A0"/>
        </w:rPr>
        <w:t>Orthopaedic</w:t>
      </w:r>
      <w:proofErr w:type="spellEnd"/>
      <w:r w:rsidRPr="002E353E">
        <w:rPr>
          <w:color w:val="7030A0"/>
        </w:rPr>
        <w:t xml:space="preserve"> Surgeons</w:t>
      </w:r>
    </w:p>
    <w:p w14:paraId="400BAAB6"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Jay Lieberman, MD Professor and Chairman, Department of Orthopedic Surgery, University of Connecticut Health Center; Director, New England Musculoskeletal Institute</w:t>
      </w:r>
    </w:p>
    <w:p w14:paraId="3ECFA4E3"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Peter Lindenauer, MD, M.Sc. Hospitalist and Health Services Researcher, Baystate Medical Center; Professor of Medicine, Tufts University</w:t>
      </w:r>
    </w:p>
    <w:p w14:paraId="3FA14FA9"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Russell Robbins, MD, MBA Principal, Mercer's Total Health Management</w:t>
      </w:r>
    </w:p>
    <w:p w14:paraId="61C15B7F"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Barbara Schaffer THA Patient</w:t>
      </w:r>
    </w:p>
    <w:p w14:paraId="6F8D4237"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 xml:space="preserve">Nelson </w:t>
      </w:r>
      <w:proofErr w:type="spellStart"/>
      <w:r w:rsidRPr="002E353E">
        <w:rPr>
          <w:color w:val="7030A0"/>
        </w:rPr>
        <w:t>SooHoo</w:t>
      </w:r>
      <w:proofErr w:type="spellEnd"/>
      <w:r w:rsidRPr="002E353E">
        <w:rPr>
          <w:color w:val="7030A0"/>
        </w:rPr>
        <w:t>, MD, MPH Professor, University of California at Los Angeles</w:t>
      </w:r>
    </w:p>
    <w:p w14:paraId="757616BD" w14:textId="77777777" w:rsidR="002E353E" w:rsidRPr="002E353E" w:rsidRDefault="00C24C7D" w:rsidP="002E353E">
      <w:pPr>
        <w:autoSpaceDE w:val="0"/>
        <w:autoSpaceDN w:val="0"/>
        <w:adjustRightInd w:val="0"/>
        <w:spacing w:before="120" w:after="120" w:line="240" w:lineRule="auto"/>
        <w:rPr>
          <w:color w:val="7030A0"/>
        </w:rPr>
      </w:pPr>
      <w:r w:rsidRPr="002E353E">
        <w:rPr>
          <w:color w:val="7030A0"/>
        </w:rPr>
        <w:t>Steven H. Stern, MD Vice President, Cardiology &amp; Orthopedics/ Neuroscience, UnitedHealthcare</w:t>
      </w:r>
    </w:p>
    <w:p w14:paraId="64C406FB" w14:textId="77777777" w:rsidR="002E353E" w:rsidRPr="002E353E" w:rsidRDefault="00C24C7D" w:rsidP="002E353E">
      <w:pPr>
        <w:autoSpaceDE w:val="0"/>
        <w:autoSpaceDN w:val="0"/>
        <w:adjustRightInd w:val="0"/>
        <w:spacing w:before="120" w:after="120" w:line="240" w:lineRule="auto"/>
        <w:rPr>
          <w:rFonts w:cstheme="minorHAnsi"/>
          <w:bCs/>
          <w:color w:val="7030A0"/>
        </w:rPr>
      </w:pPr>
      <w:r w:rsidRPr="002E353E">
        <w:rPr>
          <w:color w:val="7030A0"/>
        </w:rPr>
        <w:t>Richard E. White, Jr., MD American Association of Hip and Knee Surgeons</w:t>
      </w:r>
    </w:p>
    <w:p w14:paraId="7B4A72E1" w14:textId="363B5D9F" w:rsidR="002E353E" w:rsidRPr="00C208A4" w:rsidRDefault="00C208A4" w:rsidP="002E353E">
      <w:pPr>
        <w:autoSpaceDE w:val="0"/>
        <w:autoSpaceDN w:val="0"/>
        <w:adjustRightInd w:val="0"/>
        <w:spacing w:before="120" w:after="120" w:line="240" w:lineRule="auto"/>
        <w:rPr>
          <w:rFonts w:cstheme="minorHAnsi"/>
          <w:bCs/>
          <w:color w:val="7030A0"/>
        </w:rPr>
      </w:pPr>
      <w:r>
        <w:rPr>
          <w:color w:val="7030A0"/>
          <w:u w:val="single"/>
        </w:rPr>
        <w:t>References</w:t>
      </w:r>
      <w:r>
        <w:rPr>
          <w:color w:val="7030A0"/>
        </w:rPr>
        <w:t>:</w:t>
      </w:r>
    </w:p>
    <w:p w14:paraId="6FF0541E" w14:textId="77777777" w:rsidR="00A9471A" w:rsidRPr="00FF07A5" w:rsidRDefault="00A9471A" w:rsidP="00A9471A">
      <w:pPr>
        <w:spacing w:before="120" w:line="240" w:lineRule="auto"/>
        <w:ind w:right="140"/>
        <w:rPr>
          <w:b/>
          <w:iCs/>
        </w:rPr>
      </w:pPr>
      <w:r w:rsidRPr="003526A7">
        <w:rPr>
          <w:rFonts w:cstheme="minorHAnsi"/>
          <w:color w:val="C00000"/>
          <w:shd w:val="clear" w:color="auto" w:fill="FFFFFF"/>
        </w:rPr>
        <w:t xml:space="preserve">Borza T, </w:t>
      </w:r>
      <w:proofErr w:type="spellStart"/>
      <w:r w:rsidRPr="003526A7">
        <w:rPr>
          <w:rFonts w:cstheme="minorHAnsi"/>
          <w:color w:val="C00000"/>
          <w:shd w:val="clear" w:color="auto" w:fill="FFFFFF"/>
        </w:rPr>
        <w:t>Oerline</w:t>
      </w:r>
      <w:proofErr w:type="spellEnd"/>
      <w:r w:rsidRPr="003526A7">
        <w:rPr>
          <w:rFonts w:cstheme="minorHAnsi"/>
          <w:color w:val="C00000"/>
          <w:shd w:val="clear" w:color="auto" w:fill="FFFFFF"/>
        </w:rPr>
        <w:t xml:space="preserve"> MK, </w:t>
      </w:r>
      <w:proofErr w:type="spellStart"/>
      <w:r w:rsidRPr="003526A7">
        <w:rPr>
          <w:rFonts w:cstheme="minorHAnsi"/>
          <w:color w:val="C00000"/>
          <w:shd w:val="clear" w:color="auto" w:fill="FFFFFF"/>
        </w:rPr>
        <w:t>Skolarus</w:t>
      </w:r>
      <w:proofErr w:type="spellEnd"/>
      <w:r w:rsidRPr="003526A7">
        <w:rPr>
          <w:rFonts w:cstheme="minorHAnsi"/>
          <w:color w:val="C00000"/>
          <w:shd w:val="clear" w:color="auto" w:fill="FFFFFF"/>
        </w:rPr>
        <w:t xml:space="preserve"> TA, et al. Association Between Hospital Participation in Medicare Shared Savings Program Accountable Care Organizations and Readm</w:t>
      </w:r>
      <w:r>
        <w:rPr>
          <w:rFonts w:cstheme="minorHAnsi"/>
          <w:color w:val="C00000"/>
          <w:shd w:val="clear" w:color="auto" w:fill="FFFFFF"/>
        </w:rPr>
        <w:t xml:space="preserve">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2019;269(5):873‐878. doi:10.1097/SLA.0000000000002737</w:t>
      </w:r>
      <w:r>
        <w:rPr>
          <w:rFonts w:cstheme="minorHAnsi"/>
          <w:color w:val="C00000"/>
          <w:shd w:val="clear" w:color="auto" w:fill="FFFFFF"/>
        </w:rPr>
        <w:t>.</w:t>
      </w:r>
    </w:p>
    <w:p w14:paraId="7424770F" w14:textId="76ECF6C1" w:rsidR="00A9471A" w:rsidRPr="00A9471A" w:rsidRDefault="00A9471A" w:rsidP="00A9471A">
      <w:pPr>
        <w:spacing w:line="240" w:lineRule="auto"/>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w:t>
      </w:r>
      <w:r>
        <w:rPr>
          <w:rFonts w:cstheme="minorHAnsi"/>
          <w:color w:val="C00000"/>
          <w:shd w:val="clear" w:color="auto" w:fill="FFFFFF"/>
        </w:rPr>
        <w:t xml:space="preserve">or patients with heart failure. </w:t>
      </w:r>
      <w:r w:rsidRPr="00FF07A5">
        <w:rPr>
          <w:rFonts w:cstheme="minorHAnsi"/>
          <w:i/>
          <w:iCs/>
          <w:color w:val="C00000"/>
          <w:shd w:val="clear" w:color="auto" w:fill="FFFFFF"/>
        </w:rPr>
        <w:t>Circ Cardiovasc Qual Outcomes</w:t>
      </w:r>
      <w:r w:rsidRPr="00FF07A5">
        <w:rPr>
          <w:rFonts w:cstheme="minorHAnsi"/>
          <w:color w:val="C00000"/>
          <w:shd w:val="clear" w:color="auto" w:fill="FFFFFF"/>
        </w:rPr>
        <w:t>. 2013;6(4):444-450. doi:10.1161/CIRCOUTCOMES.111.000101</w:t>
      </w:r>
      <w:r>
        <w:rPr>
          <w:rFonts w:cstheme="minorHAnsi"/>
          <w:color w:val="C00000"/>
          <w:shd w:val="clear" w:color="auto" w:fill="FFFFFF"/>
        </w:rPr>
        <w:t>.</w:t>
      </w:r>
    </w:p>
    <w:p w14:paraId="77942244" w14:textId="33C0A4FB" w:rsidR="002E353E" w:rsidRDefault="00C24C7D" w:rsidP="002E353E">
      <w:pPr>
        <w:autoSpaceDE w:val="0"/>
        <w:autoSpaceDN w:val="0"/>
        <w:adjustRightInd w:val="0"/>
        <w:spacing w:before="120" w:after="120" w:line="240" w:lineRule="auto"/>
        <w:rPr>
          <w:color w:val="7030A0"/>
        </w:rPr>
      </w:pPr>
      <w:proofErr w:type="spellStart"/>
      <w:r w:rsidRPr="002E353E">
        <w:rPr>
          <w:color w:val="7030A0"/>
        </w:rPr>
        <w:t>Bratzler</w:t>
      </w:r>
      <w:proofErr w:type="spellEnd"/>
      <w:r w:rsidRPr="002E353E">
        <w:rPr>
          <w:color w:val="7030A0"/>
        </w:rPr>
        <w:t xml:space="preserve"> DW, Normand SL, Wang Y, et al. An administrative claims model for profiling hospital 30-day mortality rates for pneumonia patients. </w:t>
      </w:r>
      <w:proofErr w:type="spellStart"/>
      <w:r w:rsidRPr="002E353E">
        <w:rPr>
          <w:color w:val="7030A0"/>
        </w:rPr>
        <w:t>PLoS</w:t>
      </w:r>
      <w:proofErr w:type="spellEnd"/>
      <w:r w:rsidRPr="002E353E">
        <w:rPr>
          <w:color w:val="7030A0"/>
        </w:rPr>
        <w:t xml:space="preserve"> One 2011;6(4</w:t>
      </w:r>
      <w:r w:rsidR="0099777F" w:rsidRPr="002E353E">
        <w:rPr>
          <w:color w:val="7030A0"/>
        </w:rPr>
        <w:t>): e</w:t>
      </w:r>
      <w:r w:rsidRPr="002E353E">
        <w:rPr>
          <w:color w:val="7030A0"/>
        </w:rPr>
        <w:t>17401.</w:t>
      </w:r>
    </w:p>
    <w:p w14:paraId="3B91C98A" w14:textId="77777777" w:rsidR="00A9471A" w:rsidRPr="00130700" w:rsidRDefault="00A9471A" w:rsidP="00A9471A">
      <w:pPr>
        <w:autoSpaceDE w:val="0"/>
        <w:autoSpaceDN w:val="0"/>
        <w:adjustRightInd w:val="0"/>
        <w:spacing w:before="120" w:after="120" w:line="240" w:lineRule="auto"/>
        <w:rPr>
          <w:rFonts w:cstheme="minorHAnsi"/>
          <w:color w:val="C00000"/>
        </w:rPr>
      </w:pPr>
      <w:r w:rsidRPr="00FF07A5">
        <w:rPr>
          <w:rFonts w:cstheme="minorHAnsi"/>
          <w:color w:val="C00000"/>
        </w:rPr>
        <w:t xml:space="preserve">Courtney M, Frisch N, </w:t>
      </w:r>
      <w:proofErr w:type="spellStart"/>
      <w:r w:rsidRPr="00FF07A5">
        <w:rPr>
          <w:rFonts w:cstheme="minorHAnsi"/>
          <w:color w:val="C00000"/>
        </w:rPr>
        <w:t>Bohl</w:t>
      </w:r>
      <w:proofErr w:type="spellEnd"/>
      <w:r w:rsidRPr="00FF07A5">
        <w:rPr>
          <w:rFonts w:cstheme="minorHAnsi"/>
          <w:color w:val="C00000"/>
        </w:rPr>
        <w:t xml:space="preserve"> D, Della Valle C. Improving Value in Total Hip and Knee Arthroplasty: The Role of High Volume Hospitals. </w:t>
      </w:r>
      <w:r w:rsidRPr="00FF07A5">
        <w:rPr>
          <w:rFonts w:cstheme="minorHAnsi"/>
          <w:i/>
          <w:color w:val="C00000"/>
        </w:rPr>
        <w:t>The Journal of Arthroplasty.</w:t>
      </w:r>
      <w:r w:rsidRPr="00FF07A5">
        <w:rPr>
          <w:rFonts w:cstheme="minorHAnsi"/>
          <w:color w:val="C00000"/>
        </w:rPr>
        <w:t xml:space="preserve"> 2018;33(1):1-5. </w:t>
      </w:r>
      <w:hyperlink r:id="rId18" w:history="1">
        <w:r w:rsidRPr="00FF07A5">
          <w:rPr>
            <w:rStyle w:val="Hyperlink"/>
            <w:rFonts w:cstheme="minorHAnsi"/>
            <w:color w:val="C00000"/>
          </w:rPr>
          <w:t>https://doi.org/10.1016/j.arth.2017.07.040</w:t>
        </w:r>
      </w:hyperlink>
      <w:r w:rsidRPr="00FF07A5">
        <w:rPr>
          <w:rFonts w:cstheme="minorHAnsi"/>
          <w:color w:val="C00000"/>
        </w:rPr>
        <w:t>.</w:t>
      </w:r>
    </w:p>
    <w:p w14:paraId="62ED8780" w14:textId="0D89C2B0" w:rsidR="00A9471A" w:rsidRDefault="00A9471A" w:rsidP="00A9471A">
      <w:pPr>
        <w:spacing w:line="240" w:lineRule="auto"/>
        <w:rPr>
          <w:rFonts w:cstheme="minorHAnsi"/>
          <w:color w:val="C00000"/>
          <w:shd w:val="clear" w:color="auto" w:fill="FFFFFF"/>
        </w:rPr>
      </w:pPr>
      <w:r w:rsidRPr="00FF07A5">
        <w:rPr>
          <w:rFonts w:cstheme="minorHAnsi"/>
          <w:color w:val="C00000"/>
          <w:shd w:val="clear" w:color="auto" w:fill="FFFFFF"/>
        </w:rPr>
        <w:lastRenderedPageBreak/>
        <w:t>Curry LA, Spatz E, Cherlin E, et al. What distinguishes top-performing hospitals in acute myocardial infarction mortal</w:t>
      </w:r>
      <w:r>
        <w:rPr>
          <w:rFonts w:cstheme="minorHAnsi"/>
          <w:color w:val="C00000"/>
          <w:shd w:val="clear" w:color="auto" w:fill="FFFFFF"/>
        </w:rPr>
        <w:t xml:space="preserve">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2011;154(6):384-390. doi:10.7326/0003-4819-154-6-201103150-00003</w:t>
      </w:r>
      <w:r w:rsidR="00292A9E">
        <w:rPr>
          <w:rFonts w:cstheme="minorHAnsi"/>
          <w:color w:val="C00000"/>
          <w:shd w:val="clear" w:color="auto" w:fill="FFFFFF"/>
        </w:rPr>
        <w:t>.</w:t>
      </w:r>
    </w:p>
    <w:p w14:paraId="0085F8E5" w14:textId="64E0C3C4" w:rsidR="00A9471A" w:rsidRDefault="00A9471A" w:rsidP="00A9471A">
      <w:pPr>
        <w:spacing w:before="120" w:line="240" w:lineRule="auto"/>
        <w:ind w:right="140"/>
        <w:rPr>
          <w:rFonts w:cstheme="minorHAnsi"/>
          <w:color w:val="C00000"/>
          <w:shd w:val="clear" w:color="auto" w:fill="FFFFFF"/>
        </w:rPr>
      </w:pPr>
      <w:proofErr w:type="spellStart"/>
      <w:r w:rsidRPr="00583096">
        <w:rPr>
          <w:rFonts w:cstheme="minorHAnsi"/>
          <w:color w:val="C00000"/>
          <w:shd w:val="clear" w:color="auto" w:fill="FFFFFF"/>
        </w:rPr>
        <w:t>Cyriac</w:t>
      </w:r>
      <w:proofErr w:type="spellEnd"/>
      <w:r w:rsidRPr="00583096">
        <w:rPr>
          <w:rFonts w:cstheme="minorHAnsi"/>
          <w:color w:val="C00000"/>
          <w:shd w:val="clear" w:color="auto" w:fill="FFFFFF"/>
        </w:rPr>
        <w:t xml:space="preserve">, James MD; Garson, Leslie MD; Schwarzkopf, Ran MD; </w:t>
      </w:r>
      <w:proofErr w:type="spellStart"/>
      <w:r w:rsidRPr="00583096">
        <w:rPr>
          <w:rFonts w:cstheme="minorHAnsi"/>
          <w:color w:val="C00000"/>
          <w:shd w:val="clear" w:color="auto" w:fill="FFFFFF"/>
        </w:rPr>
        <w:t>Ahn</w:t>
      </w:r>
      <w:proofErr w:type="spellEnd"/>
      <w:r w:rsidRPr="00583096">
        <w:rPr>
          <w:rFonts w:cstheme="minorHAnsi"/>
          <w:color w:val="C00000"/>
          <w:shd w:val="clear" w:color="auto" w:fill="FFFFFF"/>
        </w:rPr>
        <w:t xml:space="preserve">, Kyle MD; Rinehart, Joseph MD; </w:t>
      </w:r>
      <w:proofErr w:type="spellStart"/>
      <w:r w:rsidRPr="00583096">
        <w:rPr>
          <w:rFonts w:cstheme="minorHAnsi"/>
          <w:color w:val="C00000"/>
          <w:shd w:val="clear" w:color="auto" w:fill="FFFFFF"/>
        </w:rPr>
        <w:t>Vakharia</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Shermeen</w:t>
      </w:r>
      <w:proofErr w:type="spellEnd"/>
      <w:r w:rsidRPr="00583096">
        <w:rPr>
          <w:rFonts w:cstheme="minorHAnsi"/>
          <w:color w:val="C00000"/>
          <w:shd w:val="clear" w:color="auto" w:fill="FFFFFF"/>
        </w:rPr>
        <w:t xml:space="preserve"> MD, MBA; </w:t>
      </w:r>
      <w:proofErr w:type="spellStart"/>
      <w:r w:rsidRPr="00583096">
        <w:rPr>
          <w:rFonts w:cstheme="minorHAnsi"/>
          <w:color w:val="C00000"/>
          <w:shd w:val="clear" w:color="auto" w:fill="FFFFFF"/>
        </w:rPr>
        <w:t>Cannesson</w:t>
      </w:r>
      <w:proofErr w:type="spellEnd"/>
      <w:r w:rsidRPr="00583096">
        <w:rPr>
          <w:rFonts w:cstheme="minorHAnsi"/>
          <w:color w:val="C00000"/>
          <w:shd w:val="clear" w:color="auto" w:fill="FFFFFF"/>
        </w:rPr>
        <w:t xml:space="preserve">, Maxime MD, PhD; </w:t>
      </w:r>
      <w:proofErr w:type="spellStart"/>
      <w:r w:rsidRPr="00583096">
        <w:rPr>
          <w:rFonts w:cstheme="minorHAnsi"/>
          <w:color w:val="C00000"/>
          <w:shd w:val="clear" w:color="auto" w:fill="FFFFFF"/>
        </w:rPr>
        <w:t>Kain</w:t>
      </w:r>
      <w:proofErr w:type="spellEnd"/>
      <w:r w:rsidRPr="00583096">
        <w:rPr>
          <w:rFonts w:cstheme="minorHAnsi"/>
          <w:color w:val="C00000"/>
          <w:shd w:val="clear" w:color="auto" w:fill="FFFFFF"/>
        </w:rPr>
        <w:t xml:space="preserve">, </w:t>
      </w:r>
      <w:proofErr w:type="spellStart"/>
      <w:r w:rsidRPr="00583096">
        <w:rPr>
          <w:rFonts w:cstheme="minorHAnsi"/>
          <w:color w:val="C00000"/>
          <w:shd w:val="clear" w:color="auto" w:fill="FFFFFF"/>
        </w:rPr>
        <w:t>Zeev</w:t>
      </w:r>
      <w:proofErr w:type="spellEnd"/>
      <w:r w:rsidRPr="00583096">
        <w:rPr>
          <w:rFonts w:cstheme="minorHAnsi"/>
          <w:color w:val="C00000"/>
          <w:shd w:val="clear" w:color="auto" w:fill="FFFFFF"/>
        </w:rPr>
        <w:t xml:space="preserve"> MD, MBA</w:t>
      </w:r>
      <w:r>
        <w:rPr>
          <w:rFonts w:cstheme="minorHAnsi"/>
          <w:color w:val="C00000"/>
          <w:shd w:val="clear" w:color="auto" w:fill="FFFFFF"/>
        </w:rPr>
        <w:t xml:space="preserve">. </w:t>
      </w:r>
      <w:r w:rsidRPr="00583096">
        <w:rPr>
          <w:rFonts w:cstheme="minorHAnsi"/>
          <w:color w:val="C00000"/>
          <w:shd w:val="clear" w:color="auto" w:fill="FFFFFF"/>
        </w:rPr>
        <w:t xml:space="preserve">Total Joint Replacement Perioperative Surgical Home Program: 2-Year Follow-Up, Anesthesia &amp; Analgesia: July 2016 - Volume 123 - Issue 1 - p 51-62 </w:t>
      </w:r>
      <w:proofErr w:type="spellStart"/>
      <w:r w:rsidRPr="00583096">
        <w:rPr>
          <w:rFonts w:cstheme="minorHAnsi"/>
          <w:color w:val="C00000"/>
          <w:shd w:val="clear" w:color="auto" w:fill="FFFFFF"/>
        </w:rPr>
        <w:t>doi</w:t>
      </w:r>
      <w:proofErr w:type="spellEnd"/>
      <w:r w:rsidRPr="00583096">
        <w:rPr>
          <w:rFonts w:cstheme="minorHAnsi"/>
          <w:color w:val="C00000"/>
          <w:shd w:val="clear" w:color="auto" w:fill="FFFFFF"/>
        </w:rPr>
        <w:t>: 10.1213/ANE.0000000000001308.</w:t>
      </w:r>
    </w:p>
    <w:p w14:paraId="1ADD3451" w14:textId="77777777" w:rsidR="00A9471A" w:rsidRPr="00FF07A5" w:rsidRDefault="00A9471A" w:rsidP="00A9471A">
      <w:pPr>
        <w:spacing w:line="240" w:lineRule="auto"/>
        <w:rPr>
          <w:rFonts w:cstheme="minorHAnsi"/>
          <w:color w:val="C00000"/>
          <w:shd w:val="clear" w:color="auto" w:fill="FFFFFF"/>
        </w:rPr>
      </w:pPr>
      <w:r w:rsidRPr="00FF07A5">
        <w:rPr>
          <w:rFonts w:cstheme="minorHAnsi"/>
          <w:color w:val="C00000"/>
          <w:shd w:val="clear" w:color="auto" w:fill="FFFFFF"/>
        </w:rPr>
        <w:t xml:space="preserve">Harrison PL, Hara PA, Pope JE, Young MC, </w:t>
      </w:r>
      <w:proofErr w:type="spellStart"/>
      <w:r w:rsidRPr="00FF07A5">
        <w:rPr>
          <w:rFonts w:cstheme="minorHAnsi"/>
          <w:color w:val="C00000"/>
          <w:shd w:val="clear" w:color="auto" w:fill="FFFFFF"/>
        </w:rPr>
        <w:t>Rula</w:t>
      </w:r>
      <w:proofErr w:type="spellEnd"/>
      <w:r w:rsidRPr="00FF07A5">
        <w:rPr>
          <w:rFonts w:cstheme="minorHAnsi"/>
          <w:color w:val="C00000"/>
          <w:shd w:val="clear" w:color="auto" w:fill="FFFFFF"/>
        </w:rPr>
        <w:t xml:space="preserve"> EY. The impact of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telephonic foll</w:t>
      </w:r>
      <w:r>
        <w:rPr>
          <w:rFonts w:cstheme="minorHAnsi"/>
          <w:color w:val="C00000"/>
          <w:shd w:val="clear" w:color="auto" w:fill="FFFFFF"/>
        </w:rPr>
        <w:t xml:space="preserve">ow-up on hospital readmissions. </w:t>
      </w:r>
      <w:proofErr w:type="spellStart"/>
      <w:r w:rsidRPr="00FF07A5">
        <w:rPr>
          <w:rFonts w:cstheme="minorHAnsi"/>
          <w:i/>
          <w:iCs/>
          <w:color w:val="C00000"/>
          <w:shd w:val="clear" w:color="auto" w:fill="FFFFFF"/>
        </w:rPr>
        <w:t>Popul</w:t>
      </w:r>
      <w:proofErr w:type="spellEnd"/>
      <w:r w:rsidRPr="00FF07A5">
        <w:rPr>
          <w:rFonts w:cstheme="minorHAnsi"/>
          <w:i/>
          <w:iCs/>
          <w:color w:val="C00000"/>
          <w:shd w:val="clear" w:color="auto" w:fill="FFFFFF"/>
        </w:rPr>
        <w:t xml:space="preserve"> Health </w:t>
      </w:r>
      <w:proofErr w:type="spellStart"/>
      <w:r w:rsidRPr="00FF07A5">
        <w:rPr>
          <w:rFonts w:cstheme="minorHAnsi"/>
          <w:i/>
          <w:iCs/>
          <w:color w:val="C00000"/>
          <w:shd w:val="clear" w:color="auto" w:fill="FFFFFF"/>
        </w:rPr>
        <w:t>Manag</w:t>
      </w:r>
      <w:proofErr w:type="spellEnd"/>
      <w:r w:rsidRPr="00FF07A5">
        <w:rPr>
          <w:rFonts w:cstheme="minorHAnsi"/>
          <w:color w:val="C00000"/>
          <w:shd w:val="clear" w:color="auto" w:fill="FFFFFF"/>
        </w:rPr>
        <w:t>. 2011;14(1):27-32. doi:10.1089/pop.2009.0076</w:t>
      </w:r>
    </w:p>
    <w:p w14:paraId="332CB80E" w14:textId="77777777" w:rsidR="00A9471A" w:rsidRPr="00FF07A5" w:rsidRDefault="00A9471A" w:rsidP="00A9471A">
      <w:pPr>
        <w:spacing w:line="240" w:lineRule="auto"/>
        <w:rPr>
          <w:rFonts w:cstheme="minorHAnsi"/>
          <w:color w:val="C00000"/>
          <w:shd w:val="clear" w:color="auto" w:fill="FFFFFF"/>
        </w:rPr>
      </w:pPr>
      <w:r w:rsidRPr="00FF07A5">
        <w:rPr>
          <w:rFonts w:cstheme="minorHAnsi"/>
          <w:color w:val="C00000"/>
          <w:shd w:val="clear" w:color="auto" w:fill="FFFFFF"/>
        </w:rPr>
        <w:t xml:space="preserve">Hernandez AF, Greiner MA, </w:t>
      </w:r>
      <w:proofErr w:type="spellStart"/>
      <w:r w:rsidRPr="00FF07A5">
        <w:rPr>
          <w:rFonts w:cstheme="minorHAnsi"/>
          <w:color w:val="C00000"/>
          <w:shd w:val="clear" w:color="auto" w:fill="FFFFFF"/>
        </w:rPr>
        <w:t>Fonarow</w:t>
      </w:r>
      <w:proofErr w:type="spellEnd"/>
      <w:r w:rsidRPr="00FF07A5">
        <w:rPr>
          <w:rFonts w:cstheme="minorHAnsi"/>
          <w:color w:val="C00000"/>
          <w:shd w:val="clear" w:color="auto" w:fill="FFFFFF"/>
        </w:rPr>
        <w:t xml:space="preserve"> GC, et al. Relationship between early physician follow-up and 30-day readmission among Medicare beneficiaries </w:t>
      </w:r>
      <w:r>
        <w:rPr>
          <w:rFonts w:cstheme="minorHAnsi"/>
          <w:color w:val="C00000"/>
          <w:shd w:val="clear" w:color="auto" w:fill="FFFFFF"/>
        </w:rPr>
        <w:t xml:space="preserve">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559DC681" w14:textId="77777777" w:rsidR="00A9471A" w:rsidRDefault="00A9471A" w:rsidP="00A9471A">
      <w:pPr>
        <w:spacing w:before="120" w:after="120" w:line="240" w:lineRule="auto"/>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1DC326D3" w14:textId="6F3C636F" w:rsidR="00A9471A" w:rsidRPr="00A9471A" w:rsidRDefault="00A9471A" w:rsidP="00A9471A">
      <w:pPr>
        <w:spacing w:before="120" w:line="240" w:lineRule="auto"/>
        <w:rPr>
          <w:rFonts w:cstheme="minorHAnsi"/>
          <w:iCs/>
          <w:color w:val="C00000"/>
        </w:rPr>
      </w:pPr>
      <w:r w:rsidRPr="003E6F36">
        <w:rPr>
          <w:rFonts w:cstheme="minorHAnsi"/>
          <w:iCs/>
          <w:color w:val="C00000"/>
        </w:rPr>
        <w:t xml:space="preserve">Kao, D.P., J. Lindenfeld, D. Macaulay, H.G. Birnbaum, J.L. Jarvis, U.S. Desai, and R.L. Page, 2nd, Impact of a Telehealth and Care Management Program on All-Cause Mortality and Healthcare Utilization in Patients with Heart Failure. </w:t>
      </w:r>
      <w:proofErr w:type="spellStart"/>
      <w:r w:rsidRPr="003E6F36">
        <w:rPr>
          <w:rFonts w:cstheme="minorHAnsi"/>
          <w:iCs/>
          <w:color w:val="C00000"/>
        </w:rPr>
        <w:t>Telemed</w:t>
      </w:r>
      <w:proofErr w:type="spellEnd"/>
      <w:r w:rsidRPr="003E6F36">
        <w:rPr>
          <w:rFonts w:cstheme="minorHAnsi"/>
          <w:iCs/>
          <w:color w:val="C00000"/>
        </w:rPr>
        <w:t xml:space="preserve"> J E Health, 2016. 22(1): p. 2-11.</w:t>
      </w:r>
    </w:p>
    <w:p w14:paraId="69D4935F" w14:textId="7CDBE6B3" w:rsidR="002E353E" w:rsidRDefault="00C24C7D" w:rsidP="002E353E">
      <w:pPr>
        <w:autoSpaceDE w:val="0"/>
        <w:autoSpaceDN w:val="0"/>
        <w:adjustRightInd w:val="0"/>
        <w:spacing w:before="120" w:after="120" w:line="240" w:lineRule="auto"/>
        <w:rPr>
          <w:color w:val="7030A0"/>
        </w:rPr>
      </w:pPr>
      <w:r w:rsidRPr="002E353E">
        <w:rPr>
          <w:color w:val="7030A0"/>
        </w:rPr>
        <w:t xml:space="preserve">Keenan PS, Normand SL, Lin Z, et al. </w:t>
      </w:r>
      <w:proofErr w:type="gramStart"/>
      <w:r w:rsidRPr="002E353E">
        <w:rPr>
          <w:color w:val="7030A0"/>
        </w:rPr>
        <w:t>An administrative claims</w:t>
      </w:r>
      <w:proofErr w:type="gramEnd"/>
      <w:r w:rsidRPr="002E353E">
        <w:rPr>
          <w:color w:val="7030A0"/>
        </w:rPr>
        <w:t xml:space="preserve"> measure suitable for profiling hospital performance on the basis of 30-day all-cause readmission rates among patients with heart failure. Circulation 2008;1(1):29-37.</w:t>
      </w:r>
    </w:p>
    <w:p w14:paraId="1B2E54A5" w14:textId="415D3131" w:rsidR="00A9471A" w:rsidRPr="00A9471A" w:rsidRDefault="00A9471A" w:rsidP="00A9471A">
      <w:pPr>
        <w:spacing w:line="240" w:lineRule="auto"/>
        <w:rPr>
          <w:rFonts w:cstheme="minorHAnsi"/>
          <w:color w:val="C00000"/>
          <w:shd w:val="clear" w:color="auto" w:fill="FFFFFF"/>
        </w:rPr>
      </w:pPr>
      <w:r w:rsidRPr="00FF07A5">
        <w:rPr>
          <w:rFonts w:cstheme="minorHAnsi"/>
          <w:color w:val="C00000"/>
          <w:shd w:val="clear" w:color="auto" w:fill="FFFFFF"/>
        </w:rPr>
        <w:t xml:space="preserve">Koehler BE, Richter KM, Youngblood L, et al. Reduction of 30-day </w:t>
      </w:r>
      <w:proofErr w:type="spellStart"/>
      <w:r w:rsidRPr="00FF07A5">
        <w:rPr>
          <w:rFonts w:cstheme="minorHAnsi"/>
          <w:color w:val="C00000"/>
          <w:shd w:val="clear" w:color="auto" w:fill="FFFFFF"/>
        </w:rPr>
        <w:t>postdischarge</w:t>
      </w:r>
      <w:proofErr w:type="spellEnd"/>
      <w:r w:rsidRPr="00FF07A5">
        <w:rPr>
          <w:rFonts w:cstheme="minorHAnsi"/>
          <w:color w:val="C00000"/>
          <w:shd w:val="clear" w:color="auto" w:fill="FFFFFF"/>
        </w:rPr>
        <w:t xml:space="preserve"> hospital readmission or emergency department (ED) visit rates in high-risk elderly medical patients through deli</w:t>
      </w:r>
      <w:r>
        <w:rPr>
          <w:rFonts w:cstheme="minorHAnsi"/>
          <w:color w:val="C00000"/>
          <w:shd w:val="clear" w:color="auto" w:fill="FFFFFF"/>
        </w:rPr>
        <w:t xml:space="preserve">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2009;4(4):211-218. doi:10.1002/jhm.427</w:t>
      </w:r>
      <w:r>
        <w:rPr>
          <w:rFonts w:cstheme="minorHAnsi"/>
          <w:color w:val="C00000"/>
          <w:shd w:val="clear" w:color="auto" w:fill="FFFFFF"/>
        </w:rPr>
        <w:t>.</w:t>
      </w:r>
    </w:p>
    <w:p w14:paraId="1A73A25C" w14:textId="6ED18846" w:rsidR="002E353E" w:rsidRDefault="00C24C7D" w:rsidP="002E353E">
      <w:pPr>
        <w:autoSpaceDE w:val="0"/>
        <w:autoSpaceDN w:val="0"/>
        <w:adjustRightInd w:val="0"/>
        <w:spacing w:before="120" w:after="120" w:line="240" w:lineRule="auto"/>
        <w:rPr>
          <w:color w:val="7030A0"/>
        </w:rPr>
      </w:pPr>
      <w:r w:rsidRPr="002E353E">
        <w:rPr>
          <w:color w:val="7030A0"/>
        </w:rPr>
        <w:t xml:space="preserve">Krumholz HM, </w:t>
      </w:r>
      <w:proofErr w:type="spellStart"/>
      <w:r w:rsidRPr="002E353E">
        <w:rPr>
          <w:color w:val="7030A0"/>
        </w:rPr>
        <w:t>Brindis</w:t>
      </w:r>
      <w:proofErr w:type="spellEnd"/>
      <w:r w:rsidRPr="002E353E">
        <w:rPr>
          <w:color w:val="7030A0"/>
        </w:rPr>
        <w:t xml:space="preserve"> </w:t>
      </w:r>
      <w:r w:rsidR="0099777F" w:rsidRPr="002E353E">
        <w:rPr>
          <w:color w:val="7030A0"/>
        </w:rPr>
        <w:t>RG, Brush</w:t>
      </w:r>
      <w:r w:rsidRPr="002E353E">
        <w:rPr>
          <w:color w:val="7030A0"/>
        </w:rPr>
        <w:t xml:space="preserve">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2C56C77B" w14:textId="77777777" w:rsidR="002E353E" w:rsidRPr="002E353E" w:rsidRDefault="00C24C7D" w:rsidP="002E353E">
      <w:pPr>
        <w:autoSpaceDE w:val="0"/>
        <w:autoSpaceDN w:val="0"/>
        <w:adjustRightInd w:val="0"/>
        <w:spacing w:before="120" w:after="120" w:line="240" w:lineRule="auto"/>
        <w:rPr>
          <w:rFonts w:cstheme="minorHAnsi"/>
          <w:bCs/>
          <w:color w:val="7030A0"/>
        </w:rPr>
      </w:pPr>
      <w:r w:rsidRPr="002E353E">
        <w:rPr>
          <w:color w:val="7030A0"/>
        </w:rPr>
        <w:t>Krumholz HM, Wang Y, Mattera JA, et al. An administrative claims model suitable for profiling hospital performance based on 30-day mortality rates among patients with an acute myocardial infarction. Circulation 2006;113(13):1683-92.</w:t>
      </w:r>
    </w:p>
    <w:p w14:paraId="3930DD5C" w14:textId="4F77F75D" w:rsidR="00A9471A" w:rsidRDefault="00C24C7D" w:rsidP="002E353E">
      <w:pPr>
        <w:autoSpaceDE w:val="0"/>
        <w:autoSpaceDN w:val="0"/>
        <w:adjustRightInd w:val="0"/>
        <w:spacing w:before="120" w:after="120" w:line="240" w:lineRule="auto"/>
        <w:rPr>
          <w:color w:val="7030A0"/>
        </w:rPr>
      </w:pPr>
      <w:r w:rsidRPr="002E353E">
        <w:rPr>
          <w:color w:val="7030A0"/>
        </w:rPr>
        <w:t xml:space="preserve">Krumholz HM, Wang Y, Mattera JA, et al. An administrative claims model suitable for profiling hospital performance based on 30-day mortality rates among patients with heart failure. Circulation </w:t>
      </w:r>
      <w:r w:rsidR="001C75D2" w:rsidRPr="002E353E">
        <w:rPr>
          <w:color w:val="7030A0"/>
        </w:rPr>
        <w:t>2006; 113:1693</w:t>
      </w:r>
      <w:r w:rsidRPr="002E353E">
        <w:rPr>
          <w:color w:val="7030A0"/>
        </w:rPr>
        <w:t>-1701.</w:t>
      </w:r>
    </w:p>
    <w:p w14:paraId="1A9E0A05" w14:textId="47FADA93" w:rsidR="00A9471A" w:rsidRDefault="00A9471A" w:rsidP="00A9471A">
      <w:pPr>
        <w:spacing w:before="120" w:after="120" w:line="240" w:lineRule="auto"/>
        <w:rPr>
          <w:rFonts w:cstheme="minorHAnsi"/>
          <w:color w:val="C00000"/>
        </w:rPr>
      </w:pPr>
      <w:proofErr w:type="spellStart"/>
      <w:r w:rsidRPr="00FF07A5">
        <w:rPr>
          <w:rFonts w:cstheme="minorHAnsi"/>
          <w:color w:val="C00000"/>
        </w:rPr>
        <w:t>Leppin</w:t>
      </w:r>
      <w:proofErr w:type="spellEnd"/>
      <w:r w:rsidRPr="00FF07A5">
        <w:rPr>
          <w:rFonts w:cstheme="minorHAnsi"/>
          <w:color w:val="C00000"/>
        </w:rPr>
        <w:t xml:space="preserve"> AL, </w:t>
      </w:r>
      <w:proofErr w:type="spellStart"/>
      <w:r w:rsidRPr="00FF07A5">
        <w:rPr>
          <w:rFonts w:cstheme="minorHAnsi"/>
          <w:color w:val="C00000"/>
        </w:rPr>
        <w:t>Gionfriddo</w:t>
      </w:r>
      <w:proofErr w:type="spellEnd"/>
      <w:r w:rsidRPr="00FF07A5">
        <w:rPr>
          <w:rFonts w:cstheme="minorHAnsi"/>
          <w:color w:val="C00000"/>
        </w:rPr>
        <w:t xml:space="preserve"> MR, Kessler M, et al. Preventing 30-day hospital readmissions: a systematic review and meta-analysis of randomized trials. JAMA Internal Med. 2014; 174(7):1095-107.</w:t>
      </w:r>
    </w:p>
    <w:p w14:paraId="7DA019AF" w14:textId="1D49F03B" w:rsidR="00A9471A" w:rsidRPr="00A9471A" w:rsidRDefault="00A9471A" w:rsidP="00A9471A">
      <w:pPr>
        <w:autoSpaceDE w:val="0"/>
        <w:autoSpaceDN w:val="0"/>
        <w:adjustRightInd w:val="0"/>
        <w:spacing w:before="120" w:after="120" w:line="240" w:lineRule="auto"/>
        <w:rPr>
          <w:rFonts w:cstheme="minorHAnsi"/>
          <w:color w:val="C00000"/>
          <w:shd w:val="clear" w:color="auto" w:fill="FFFFFF"/>
        </w:rPr>
      </w:pPr>
      <w:r w:rsidRPr="00FF07A5">
        <w:rPr>
          <w:rFonts w:cstheme="minorHAnsi"/>
          <w:color w:val="C00000"/>
          <w:shd w:val="clear" w:color="auto" w:fill="FFFFFF"/>
        </w:rPr>
        <w:t>Murphy WS, Cheng T, Lin B, Terry D, Murphy SB. Higher Volume Surgeons Have Lower Medicare Payments, Readmis</w:t>
      </w:r>
      <w:r>
        <w:rPr>
          <w:rFonts w:cstheme="minorHAnsi"/>
          <w:color w:val="C00000"/>
          <w:shd w:val="clear" w:color="auto" w:fill="FFFFFF"/>
        </w:rPr>
        <w:t xml:space="preserve">sions, and Mortality After THA. </w:t>
      </w:r>
      <w:proofErr w:type="spellStart"/>
      <w:r w:rsidRPr="00FF07A5">
        <w:rPr>
          <w:rFonts w:cstheme="minorHAnsi"/>
          <w:i/>
          <w:iCs/>
          <w:color w:val="C00000"/>
          <w:shd w:val="clear" w:color="auto" w:fill="FFFFFF"/>
        </w:rPr>
        <w:t>Clin</w:t>
      </w:r>
      <w:proofErr w:type="spellEnd"/>
      <w:r w:rsidRPr="00FF07A5">
        <w:rPr>
          <w:rFonts w:cstheme="minorHAnsi"/>
          <w:i/>
          <w:iCs/>
          <w:color w:val="C00000"/>
          <w:shd w:val="clear" w:color="auto" w:fill="FFFFFF"/>
        </w:rPr>
        <w:t xml:space="preserve"> </w:t>
      </w:r>
      <w:proofErr w:type="spellStart"/>
      <w:r w:rsidRPr="00FF07A5">
        <w:rPr>
          <w:rFonts w:cstheme="minorHAnsi"/>
          <w:i/>
          <w:iCs/>
          <w:color w:val="C00000"/>
          <w:shd w:val="clear" w:color="auto" w:fill="FFFFFF"/>
        </w:rPr>
        <w:t>Orthop</w:t>
      </w:r>
      <w:proofErr w:type="spellEnd"/>
      <w:r w:rsidRPr="00FF07A5">
        <w:rPr>
          <w:rFonts w:cstheme="minorHAnsi"/>
          <w:i/>
          <w:iCs/>
          <w:color w:val="C00000"/>
          <w:shd w:val="clear" w:color="auto" w:fill="FFFFFF"/>
        </w:rPr>
        <w:t xml:space="preserve"> </w:t>
      </w:r>
      <w:proofErr w:type="spellStart"/>
      <w:r w:rsidRPr="00FF07A5">
        <w:rPr>
          <w:rFonts w:cstheme="minorHAnsi"/>
          <w:i/>
          <w:iCs/>
          <w:color w:val="C00000"/>
          <w:shd w:val="clear" w:color="auto" w:fill="FFFFFF"/>
        </w:rPr>
        <w:t>Relat</w:t>
      </w:r>
      <w:proofErr w:type="spellEnd"/>
      <w:r w:rsidRPr="00FF07A5">
        <w:rPr>
          <w:rFonts w:cstheme="minorHAnsi"/>
          <w:i/>
          <w:iCs/>
          <w:color w:val="C00000"/>
          <w:shd w:val="clear" w:color="auto" w:fill="FFFFFF"/>
        </w:rPr>
        <w:t xml:space="preserve"> Res</w:t>
      </w:r>
      <w:r w:rsidRPr="00FF07A5">
        <w:rPr>
          <w:rFonts w:cstheme="minorHAnsi"/>
          <w:color w:val="C00000"/>
          <w:shd w:val="clear" w:color="auto" w:fill="FFFFFF"/>
        </w:rPr>
        <w:t>. 2019;477(2):334‐341. doi:10.1097/CORR.0000000000000370.</w:t>
      </w:r>
    </w:p>
    <w:p w14:paraId="02756C5C" w14:textId="323C640D" w:rsidR="002E353E" w:rsidRDefault="00C24C7D" w:rsidP="002E353E">
      <w:pPr>
        <w:autoSpaceDE w:val="0"/>
        <w:autoSpaceDN w:val="0"/>
        <w:adjustRightInd w:val="0"/>
        <w:spacing w:before="120" w:after="120" w:line="240" w:lineRule="auto"/>
        <w:rPr>
          <w:color w:val="7030A0"/>
        </w:rPr>
      </w:pPr>
      <w:r w:rsidRPr="002E353E">
        <w:rPr>
          <w:color w:val="7030A0"/>
        </w:rPr>
        <w:lastRenderedPageBreak/>
        <w:t>National Quality Forum. National voluntary consensus standards for patient outcomes, first report for phases 1 and 2: A consensus report http://www.qualityforum.org/projects/Patient_Outcome_Measures_Phases1-2.aspx. Accessed August 19, 2010.</w:t>
      </w:r>
    </w:p>
    <w:p w14:paraId="51D71CAA" w14:textId="227A71C8" w:rsidR="00A9471A" w:rsidRPr="00A9471A" w:rsidRDefault="00A9471A" w:rsidP="00A9471A">
      <w:pPr>
        <w:spacing w:before="120" w:after="120" w:line="240" w:lineRule="auto"/>
        <w:rPr>
          <w:b/>
          <w:color w:val="C00000"/>
        </w:rPr>
      </w:pPr>
      <w:proofErr w:type="spellStart"/>
      <w:r w:rsidRPr="00D71FEB">
        <w:rPr>
          <w:color w:val="C00000"/>
        </w:rPr>
        <w:t>Ohar</w:t>
      </w:r>
      <w:proofErr w:type="spellEnd"/>
      <w:r w:rsidRPr="00D71FEB">
        <w:rPr>
          <w:color w:val="C00000"/>
        </w:rPr>
        <w:t xml:space="preserve"> JA, Loh CH, Lenoir KM, Wells BJ, Peters SP. A comprehensive care plan that reduces readmissions after acute exacerbations of COPD. </w:t>
      </w:r>
      <w:r w:rsidRPr="00D71FEB">
        <w:rPr>
          <w:i/>
          <w:iCs/>
          <w:color w:val="C00000"/>
        </w:rPr>
        <w:t xml:space="preserve">Respir Med. </w:t>
      </w:r>
      <w:r>
        <w:rPr>
          <w:color w:val="C00000"/>
        </w:rPr>
        <w:t>2018; 141:20-25.</w:t>
      </w:r>
    </w:p>
    <w:p w14:paraId="02477E56" w14:textId="77777777" w:rsidR="00A9471A" w:rsidRPr="00FF07A5" w:rsidRDefault="00A9471A" w:rsidP="00A9471A">
      <w:pPr>
        <w:spacing w:before="120" w:after="120" w:line="240" w:lineRule="auto"/>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w:t>
      </w:r>
      <w:r>
        <w:rPr>
          <w:rFonts w:cstheme="minorHAnsi"/>
          <w:color w:val="C00000"/>
          <w:shd w:val="clear" w:color="auto" w:fill="FFFFFF"/>
        </w:rPr>
        <w:t xml:space="preserve">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0BC64D96" w14:textId="77777777" w:rsidR="00A9471A" w:rsidRDefault="00A9471A" w:rsidP="00A9471A">
      <w:pPr>
        <w:spacing w:before="120" w:after="120" w:line="240" w:lineRule="auto"/>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w:t>
      </w:r>
      <w:proofErr w:type="spellStart"/>
      <w:r w:rsidRPr="00FF07A5">
        <w:rPr>
          <w:rFonts w:cstheme="minorHAnsi"/>
          <w:i/>
          <w:iCs/>
          <w:color w:val="C00000"/>
        </w:rPr>
        <w:t>Saf</w:t>
      </w:r>
      <w:proofErr w:type="spellEnd"/>
      <w:r w:rsidRPr="00FF07A5">
        <w:rPr>
          <w:rFonts w:cstheme="minorHAnsi"/>
          <w:i/>
          <w:iCs/>
          <w:color w:val="C00000"/>
        </w:rPr>
        <w:t xml:space="preserve">. </w:t>
      </w:r>
      <w:r w:rsidRPr="00FF07A5">
        <w:rPr>
          <w:rFonts w:cstheme="minorHAnsi"/>
          <w:color w:val="C00000"/>
        </w:rPr>
        <w:t>2018;14(1): e3-e5.</w:t>
      </w:r>
    </w:p>
    <w:p w14:paraId="519B2AA4" w14:textId="77777777" w:rsidR="00A9471A" w:rsidRDefault="00A9471A" w:rsidP="00A9471A">
      <w:pPr>
        <w:autoSpaceDE w:val="0"/>
        <w:autoSpaceDN w:val="0"/>
        <w:adjustRightInd w:val="0"/>
        <w:spacing w:before="120" w:after="120" w:line="240" w:lineRule="auto"/>
        <w:rPr>
          <w:rFonts w:cstheme="minorHAnsi"/>
          <w:color w:val="C00000"/>
        </w:rPr>
      </w:pPr>
      <w:r w:rsidRPr="00FF07A5">
        <w:rPr>
          <w:rFonts w:cstheme="minorHAnsi"/>
          <w:color w:val="C00000"/>
        </w:rPr>
        <w:t xml:space="preserve">Sibley R, </w:t>
      </w:r>
      <w:proofErr w:type="spellStart"/>
      <w:r w:rsidRPr="00FF07A5">
        <w:rPr>
          <w:rFonts w:cstheme="minorHAnsi"/>
          <w:color w:val="C00000"/>
        </w:rPr>
        <w:t>Charumbhumi</w:t>
      </w:r>
      <w:proofErr w:type="spellEnd"/>
      <w:r w:rsidRPr="00FF07A5">
        <w:rPr>
          <w:rFonts w:cstheme="minorHAnsi"/>
          <w:color w:val="C00000"/>
        </w:rPr>
        <w:t xml:space="preserve">, V, </w:t>
      </w:r>
      <w:proofErr w:type="spellStart"/>
      <w:r w:rsidRPr="00FF07A5">
        <w:rPr>
          <w:rFonts w:cstheme="minorHAnsi"/>
          <w:color w:val="C00000"/>
        </w:rPr>
        <w:t>Hutzler</w:t>
      </w:r>
      <w:proofErr w:type="spellEnd"/>
      <w:r w:rsidRPr="00FF07A5">
        <w:rPr>
          <w:rFonts w:cstheme="minorHAnsi"/>
          <w:color w:val="C00000"/>
        </w:rPr>
        <w:t xml:space="preserve"> L, Paoli A, Bosco, J. Joint Replacement Volume Positively Correlates </w:t>
      </w:r>
      <w:proofErr w:type="gramStart"/>
      <w:r w:rsidRPr="00FF07A5">
        <w:rPr>
          <w:rFonts w:cstheme="minorHAnsi"/>
          <w:color w:val="C00000"/>
        </w:rPr>
        <w:t>With</w:t>
      </w:r>
      <w:proofErr w:type="gramEnd"/>
      <w:r w:rsidRPr="00FF07A5">
        <w:rPr>
          <w:rFonts w:cstheme="minorHAnsi"/>
          <w:color w:val="C00000"/>
        </w:rPr>
        <w:t xml:space="preserve"> Improved Hospital Performance on Centers for Medicare and Medicaid Services Quality Metrics. </w:t>
      </w:r>
      <w:r w:rsidRPr="00FF07A5">
        <w:rPr>
          <w:rFonts w:cstheme="minorHAnsi"/>
          <w:i/>
          <w:color w:val="C00000"/>
        </w:rPr>
        <w:t>The Journal of Arthroplasty</w:t>
      </w:r>
      <w:r w:rsidRPr="00FF07A5">
        <w:rPr>
          <w:rFonts w:cstheme="minorHAnsi"/>
          <w:color w:val="C00000"/>
        </w:rPr>
        <w:t xml:space="preserve">. 2017;32(5):1409-1413. </w:t>
      </w:r>
      <w:hyperlink r:id="rId19" w:history="1">
        <w:r w:rsidRPr="00FF07A5">
          <w:rPr>
            <w:rStyle w:val="Hyperlink"/>
            <w:rFonts w:cstheme="minorHAnsi"/>
            <w:color w:val="C00000"/>
          </w:rPr>
          <w:t>https://doi.org/10.1016/j.arth.2016.12.010</w:t>
        </w:r>
      </w:hyperlink>
      <w:r w:rsidRPr="00FF07A5">
        <w:rPr>
          <w:rFonts w:cstheme="minorHAnsi"/>
          <w:color w:val="C00000"/>
        </w:rPr>
        <w:t>.</w:t>
      </w:r>
    </w:p>
    <w:p w14:paraId="0FB79B56" w14:textId="459A2701" w:rsidR="00A9471A" w:rsidRPr="00A9471A" w:rsidRDefault="00A9471A" w:rsidP="00A9471A">
      <w:pPr>
        <w:spacing w:before="120" w:line="240" w:lineRule="auto"/>
        <w:rPr>
          <w:rFonts w:cstheme="minorHAnsi"/>
          <w:color w:val="C00000"/>
        </w:rPr>
      </w:pPr>
      <w:r w:rsidRPr="00D71FEB">
        <w:rPr>
          <w:color w:val="C00000"/>
        </w:rPr>
        <w:t xml:space="preserve">Wright EA, Graham JH, </w:t>
      </w:r>
      <w:proofErr w:type="spellStart"/>
      <w:r w:rsidRPr="00D71FEB">
        <w:rPr>
          <w:color w:val="C00000"/>
        </w:rPr>
        <w:t>Maeng</w:t>
      </w:r>
      <w:proofErr w:type="spellEnd"/>
      <w:r w:rsidRPr="00D71FEB">
        <w:rPr>
          <w:color w:val="C00000"/>
        </w:rPr>
        <w:t xml:space="preserve"> D, et al. Reductions in 30-day readmission, mortality, and costs with inpatient-to-community pharmacist follow-up. </w:t>
      </w:r>
      <w:r w:rsidRPr="00D71FEB">
        <w:rPr>
          <w:i/>
          <w:iCs/>
          <w:color w:val="C00000"/>
        </w:rPr>
        <w:t xml:space="preserve">J Am Pharm Assoc (2003). </w:t>
      </w:r>
      <w:r>
        <w:rPr>
          <w:color w:val="C00000"/>
        </w:rPr>
        <w:t>2019;59(2):178-186.</w:t>
      </w:r>
    </w:p>
    <w:p w14:paraId="459D715E" w14:textId="77777777" w:rsidR="002E353E" w:rsidRDefault="009C7513" w:rsidP="002E353E">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5A2C8B07" w14:textId="62D2335B" w:rsidR="00C208A4" w:rsidRPr="00C208A4" w:rsidRDefault="00C208A4" w:rsidP="00C208A4">
      <w:pPr>
        <w:autoSpaceDE w:val="0"/>
        <w:autoSpaceDN w:val="0"/>
        <w:adjustRightInd w:val="0"/>
        <w:spacing w:before="120" w:after="120"/>
        <w:rPr>
          <w:rFonts w:cstheme="minorHAnsi"/>
          <w:bCs/>
          <w:color w:val="C00000"/>
          <w:u w:val="single"/>
        </w:rPr>
      </w:pPr>
      <w:bookmarkStart w:id="26" w:name="_Hlk42099732"/>
      <w:r w:rsidRPr="002B4433">
        <w:rPr>
          <w:rFonts w:cstheme="minorHAnsi"/>
          <w:bCs/>
          <w:color w:val="C00000"/>
          <w:u w:val="single"/>
        </w:rPr>
        <w:t>Correlation between</w:t>
      </w:r>
      <w:r>
        <w:rPr>
          <w:rFonts w:cstheme="minorHAnsi"/>
          <w:bCs/>
          <w:color w:val="C00000"/>
          <w:u w:val="single"/>
        </w:rPr>
        <w:t xml:space="preserve"> THA/TKA RSRRs and Star-Rating</w:t>
      </w:r>
      <w:r w:rsidRPr="002B4433">
        <w:rPr>
          <w:rFonts w:cstheme="minorHAnsi"/>
          <w:bCs/>
          <w:color w:val="C00000"/>
          <w:u w:val="single"/>
        </w:rPr>
        <w:t xml:space="preserve"> Readmission Group Scores</w:t>
      </w:r>
      <w:bookmarkEnd w:id="26"/>
    </w:p>
    <w:p w14:paraId="1AA2200E" w14:textId="190B324E" w:rsidR="002E353E" w:rsidRDefault="00AE389F" w:rsidP="002E353E">
      <w:pPr>
        <w:autoSpaceDE w:val="0"/>
        <w:autoSpaceDN w:val="0"/>
        <w:adjustRightInd w:val="0"/>
        <w:spacing w:before="120" w:after="120" w:line="240" w:lineRule="auto"/>
        <w:rPr>
          <w:rFonts w:cstheme="minorHAnsi"/>
          <w:bCs/>
        </w:rPr>
      </w:pPr>
      <w:hyperlink w:anchor="Figure1" w:history="1">
        <w:r w:rsidR="00AF5D83" w:rsidRPr="00055EB3">
          <w:rPr>
            <w:rStyle w:val="Hyperlink"/>
            <w:rFonts w:cstheme="minorHAnsi"/>
          </w:rPr>
          <w:t xml:space="preserve">Figure </w:t>
        </w:r>
        <w:r w:rsidR="00130700" w:rsidRPr="00055EB3">
          <w:rPr>
            <w:rStyle w:val="Hyperlink"/>
            <w:rFonts w:cstheme="minorHAnsi"/>
          </w:rPr>
          <w:t>1</w:t>
        </w:r>
      </w:hyperlink>
      <w:r w:rsidR="00AF5D83" w:rsidRPr="00E205B4">
        <w:rPr>
          <w:rFonts w:cstheme="minorHAnsi"/>
          <w:bCs/>
          <w:color w:val="C00000"/>
        </w:rPr>
        <w:t xml:space="preserve"> shows the box-whisker plots of the THA/TKA readmission measure RSRRs within each quartile of Star-Rating readmission scores. The blue circles represent the mean RSRRs of Star-Rating readmission score quartiles. The correlation between </w:t>
      </w:r>
      <w:r w:rsidR="00FE19D7" w:rsidRPr="00E205B4">
        <w:rPr>
          <w:rFonts w:cstheme="minorHAnsi"/>
          <w:bCs/>
          <w:color w:val="C00000"/>
        </w:rPr>
        <w:t>THA/TKA</w:t>
      </w:r>
      <w:r w:rsidR="00AF5D83" w:rsidRPr="00E205B4">
        <w:rPr>
          <w:rFonts w:cstheme="minorHAnsi"/>
          <w:bCs/>
          <w:color w:val="C00000"/>
        </w:rPr>
        <w:t xml:space="preserve"> RSRRs and Star-Rating readmissions score is </w:t>
      </w:r>
      <w:r w:rsidR="00717C48">
        <w:rPr>
          <w:color w:val="C00000"/>
        </w:rPr>
        <w:t>-0.301</w:t>
      </w:r>
      <w:r w:rsidR="00AF5D83" w:rsidRPr="00E205B4">
        <w:rPr>
          <w:rFonts w:cstheme="minorHAnsi"/>
          <w:bCs/>
          <w:color w:val="C00000"/>
        </w:rPr>
        <w:t xml:space="preserve">, which suggests that hospitals with lower </w:t>
      </w:r>
      <w:r w:rsidR="00FE19D7" w:rsidRPr="00E205B4">
        <w:rPr>
          <w:rFonts w:cstheme="minorHAnsi"/>
          <w:bCs/>
          <w:color w:val="C00000"/>
        </w:rPr>
        <w:t xml:space="preserve">THA/TKA </w:t>
      </w:r>
      <w:r w:rsidR="00AF5D83" w:rsidRPr="00E205B4">
        <w:rPr>
          <w:rFonts w:cstheme="minorHAnsi"/>
          <w:bCs/>
          <w:color w:val="C00000"/>
        </w:rPr>
        <w:t>RSRRs are more likely to have higher Star-Rating readmission scores.</w:t>
      </w:r>
    </w:p>
    <w:p w14:paraId="3056DB58" w14:textId="2935C97A" w:rsidR="002E353E" w:rsidRPr="00650E42" w:rsidRDefault="00650E42" w:rsidP="00650E42">
      <w:pPr>
        <w:pStyle w:val="Caption"/>
        <w:rPr>
          <w:i w:val="0"/>
          <w:noProof/>
          <w:color w:val="C00000"/>
          <w:sz w:val="32"/>
          <w:szCs w:val="24"/>
        </w:rPr>
      </w:pPr>
      <w:bookmarkStart w:id="27" w:name="Figure1"/>
      <w:r w:rsidRPr="00650E42">
        <w:rPr>
          <w:b/>
          <w:i w:val="0"/>
          <w:color w:val="C00000"/>
          <w:sz w:val="22"/>
        </w:rPr>
        <w:t xml:space="preserve">Figure </w:t>
      </w:r>
      <w:r w:rsidRPr="00650E42">
        <w:rPr>
          <w:b/>
          <w:i w:val="0"/>
          <w:color w:val="C00000"/>
          <w:sz w:val="22"/>
        </w:rPr>
        <w:fldChar w:fldCharType="begin"/>
      </w:r>
      <w:r w:rsidRPr="00650E42">
        <w:rPr>
          <w:b/>
          <w:i w:val="0"/>
          <w:color w:val="C00000"/>
          <w:sz w:val="22"/>
        </w:rPr>
        <w:instrText xml:space="preserve"> SEQ Figure \* ARABIC </w:instrText>
      </w:r>
      <w:r w:rsidRPr="00650E42">
        <w:rPr>
          <w:b/>
          <w:i w:val="0"/>
          <w:color w:val="C00000"/>
          <w:sz w:val="22"/>
        </w:rPr>
        <w:fldChar w:fldCharType="separate"/>
      </w:r>
      <w:r w:rsidR="002E3841">
        <w:rPr>
          <w:b/>
          <w:i w:val="0"/>
          <w:noProof/>
          <w:color w:val="C00000"/>
          <w:sz w:val="22"/>
        </w:rPr>
        <w:t>1</w:t>
      </w:r>
      <w:r w:rsidRPr="00650E42">
        <w:rPr>
          <w:b/>
          <w:i w:val="0"/>
          <w:color w:val="C00000"/>
          <w:sz w:val="22"/>
        </w:rPr>
        <w:fldChar w:fldCharType="end"/>
      </w:r>
      <w:bookmarkEnd w:id="27"/>
      <w:r w:rsidR="002E353E" w:rsidRPr="00650E42">
        <w:rPr>
          <w:rFonts w:cstheme="minorHAnsi"/>
          <w:b/>
          <w:bCs/>
          <w:i w:val="0"/>
          <w:color w:val="C00000"/>
          <w:sz w:val="22"/>
        </w:rPr>
        <w:t xml:space="preserve"> - </w:t>
      </w:r>
      <w:r w:rsidR="002E353E" w:rsidRPr="00650E42">
        <w:rPr>
          <w:rFonts w:cstheme="minorHAnsi"/>
          <w:bCs/>
          <w:i w:val="0"/>
          <w:color w:val="C00000"/>
          <w:sz w:val="22"/>
        </w:rPr>
        <w:t>Box-whisker plots of the THA/TKA readmission measure RSRRs within each quartile of Star-Rating readmission scores</w:t>
      </w:r>
    </w:p>
    <w:p w14:paraId="389ED04E" w14:textId="000FF484" w:rsidR="00C208A4" w:rsidRDefault="00717C48" w:rsidP="002E353E">
      <w:pPr>
        <w:autoSpaceDE w:val="0"/>
        <w:autoSpaceDN w:val="0"/>
        <w:adjustRightInd w:val="0"/>
        <w:spacing w:before="120" w:after="120" w:line="240" w:lineRule="auto"/>
        <w:rPr>
          <w:rFonts w:cstheme="minorHAnsi"/>
          <w:bCs/>
          <w:color w:val="C00000"/>
        </w:rPr>
      </w:pPr>
      <w:r>
        <w:rPr>
          <w:rFonts w:cstheme="minorHAnsi"/>
          <w:bCs/>
          <w:noProof/>
          <w:color w:val="C00000"/>
        </w:rPr>
        <w:lastRenderedPageBreak/>
        <w:drawing>
          <wp:inline distT="0" distB="0" distL="0" distR="0" wp14:anchorId="0C63C5BF" wp14:editId="5CCDA7E9">
            <wp:extent cx="4889500" cy="3668905"/>
            <wp:effectExtent l="0" t="0" r="6350" b="8255"/>
            <wp:docPr id="2" name="Picture 2" descr="Figure 1 shows the box-whisker plots of the THA/TKA readmission measure RSRRs within each quartile of Star-Rating readmission scores. The blue circles represent the mean RSRRs of Star-Rating readmission score quartiles. The correlation between THA/TKA RSRRs and Star-Rating readmissions score is -0.301, which suggests that hospitals with lower THA/TKA RSRRs are more likely to have higher Star-Rating readmission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91763" cy="3670603"/>
                    </a:xfrm>
                    <a:prstGeom prst="rect">
                      <a:avLst/>
                    </a:prstGeom>
                    <a:noFill/>
                  </pic:spPr>
                </pic:pic>
              </a:graphicData>
            </a:graphic>
          </wp:inline>
        </w:drawing>
      </w:r>
    </w:p>
    <w:p w14:paraId="5B06CB54" w14:textId="15B8C32D" w:rsidR="00C208A4" w:rsidRPr="00C208A4" w:rsidRDefault="00C208A4" w:rsidP="00C208A4">
      <w:pPr>
        <w:autoSpaceDE w:val="0"/>
        <w:autoSpaceDN w:val="0"/>
        <w:adjustRightInd w:val="0"/>
        <w:spacing w:before="24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THA/TKA</w:t>
      </w:r>
      <w:r w:rsidRPr="002B4433">
        <w:rPr>
          <w:rFonts w:cstheme="minorHAnsi"/>
          <w:bCs/>
          <w:color w:val="C00000"/>
          <w:u w:val="single"/>
        </w:rPr>
        <w:t xml:space="preserve"> RSRRs and</w:t>
      </w:r>
      <w:r>
        <w:rPr>
          <w:rFonts w:cstheme="minorHAnsi"/>
          <w:bCs/>
          <w:color w:val="C00000"/>
          <w:u w:val="single"/>
        </w:rPr>
        <w:t xml:space="preserve"> Overall Star-Rating </w:t>
      </w:r>
      <w:r w:rsidRPr="002B4433">
        <w:rPr>
          <w:rFonts w:cstheme="minorHAnsi"/>
          <w:bCs/>
          <w:color w:val="C00000"/>
          <w:u w:val="single"/>
        </w:rPr>
        <w:t>Scores</w:t>
      </w:r>
    </w:p>
    <w:p w14:paraId="3C0C0265" w14:textId="05B5B60E" w:rsidR="002E353E" w:rsidRDefault="00AE389F" w:rsidP="002E353E">
      <w:pPr>
        <w:autoSpaceDE w:val="0"/>
        <w:autoSpaceDN w:val="0"/>
        <w:adjustRightInd w:val="0"/>
        <w:spacing w:before="120" w:after="120" w:line="240" w:lineRule="auto"/>
        <w:rPr>
          <w:rFonts w:cstheme="minorHAnsi"/>
          <w:bCs/>
        </w:rPr>
      </w:pPr>
      <w:hyperlink w:anchor="Figure2" w:history="1">
        <w:r w:rsidR="00AF5D83" w:rsidRPr="00055EB3">
          <w:rPr>
            <w:rStyle w:val="Hyperlink"/>
            <w:rFonts w:cstheme="minorHAnsi"/>
          </w:rPr>
          <w:t xml:space="preserve">Figure </w:t>
        </w:r>
        <w:r w:rsidR="00130700" w:rsidRPr="00055EB3">
          <w:rPr>
            <w:rStyle w:val="Hyperlink"/>
            <w:rFonts w:cstheme="minorHAnsi"/>
          </w:rPr>
          <w:t>2</w:t>
        </w:r>
      </w:hyperlink>
      <w:r w:rsidR="00AF5D83" w:rsidRPr="00E205B4">
        <w:rPr>
          <w:rFonts w:cstheme="minorHAnsi"/>
          <w:bCs/>
          <w:color w:val="C00000"/>
        </w:rPr>
        <w:t xml:space="preserve"> shows the Box-whisker plots of the </w:t>
      </w:r>
      <w:r w:rsidR="00FE19D7" w:rsidRPr="00E205B4">
        <w:rPr>
          <w:rFonts w:cstheme="minorHAnsi"/>
          <w:bCs/>
          <w:color w:val="C00000"/>
        </w:rPr>
        <w:t xml:space="preserve">THA/TKA </w:t>
      </w:r>
      <w:r w:rsidR="00AF5D83" w:rsidRPr="00E205B4">
        <w:rPr>
          <w:rFonts w:cstheme="minorHAnsi"/>
          <w:bCs/>
          <w:color w:val="C00000"/>
        </w:rPr>
        <w:t xml:space="preserve">readmission measure RSRRs within each quartile of Star-Rating summary scores. The blue circles represent the mean RSRRs of Star-Rating summary score quartiles. The correlation between </w:t>
      </w:r>
      <w:r w:rsidR="00FE19D7" w:rsidRPr="00E205B4">
        <w:rPr>
          <w:rFonts w:cstheme="minorHAnsi"/>
          <w:bCs/>
          <w:color w:val="C00000"/>
        </w:rPr>
        <w:t xml:space="preserve">THA/TKA </w:t>
      </w:r>
      <w:r w:rsidR="00AF5D83" w:rsidRPr="00E205B4">
        <w:rPr>
          <w:rFonts w:cstheme="minorHAnsi"/>
          <w:bCs/>
          <w:color w:val="C00000"/>
        </w:rPr>
        <w:t xml:space="preserve">RSRRs and Star-Rating summary score is </w:t>
      </w:r>
      <w:r w:rsidR="00717C48">
        <w:rPr>
          <w:color w:val="C00000"/>
        </w:rPr>
        <w:t>-0.239</w:t>
      </w:r>
      <w:r w:rsidR="00AF5D83" w:rsidRPr="00E205B4">
        <w:rPr>
          <w:rFonts w:cstheme="minorHAnsi"/>
          <w:bCs/>
          <w:color w:val="C00000"/>
        </w:rPr>
        <w:t xml:space="preserve">, which suggests that hospitals with lower </w:t>
      </w:r>
      <w:r w:rsidR="00FE19D7" w:rsidRPr="00E205B4">
        <w:rPr>
          <w:rFonts w:cstheme="minorHAnsi"/>
          <w:bCs/>
          <w:color w:val="C00000"/>
        </w:rPr>
        <w:t xml:space="preserve">THA/TKA </w:t>
      </w:r>
      <w:r w:rsidR="00AF5D83" w:rsidRPr="00E205B4">
        <w:rPr>
          <w:rFonts w:cstheme="minorHAnsi"/>
          <w:bCs/>
          <w:color w:val="C00000"/>
        </w:rPr>
        <w:t>RSRRs are more likely to have higher Star-Rating summary scores.</w:t>
      </w:r>
    </w:p>
    <w:p w14:paraId="4564D810" w14:textId="6869AB0C" w:rsidR="00C208A4" w:rsidRPr="00650E42" w:rsidRDefault="00650E42" w:rsidP="00650E42">
      <w:pPr>
        <w:pStyle w:val="Caption"/>
        <w:rPr>
          <w:i w:val="0"/>
          <w:noProof/>
          <w:color w:val="C00000"/>
          <w:sz w:val="32"/>
          <w:szCs w:val="24"/>
        </w:rPr>
      </w:pPr>
      <w:bookmarkStart w:id="28" w:name="Figure2"/>
      <w:r w:rsidRPr="00650E42">
        <w:rPr>
          <w:b/>
          <w:i w:val="0"/>
          <w:color w:val="C00000"/>
          <w:sz w:val="22"/>
        </w:rPr>
        <w:t xml:space="preserve">Figure </w:t>
      </w:r>
      <w:r w:rsidRPr="00650E42">
        <w:rPr>
          <w:b/>
          <w:i w:val="0"/>
          <w:color w:val="C00000"/>
          <w:sz w:val="22"/>
        </w:rPr>
        <w:fldChar w:fldCharType="begin"/>
      </w:r>
      <w:r w:rsidRPr="00650E42">
        <w:rPr>
          <w:b/>
          <w:i w:val="0"/>
          <w:color w:val="C00000"/>
          <w:sz w:val="22"/>
        </w:rPr>
        <w:instrText xml:space="preserve"> SEQ Figure \* ARABIC </w:instrText>
      </w:r>
      <w:r w:rsidRPr="00650E42">
        <w:rPr>
          <w:b/>
          <w:i w:val="0"/>
          <w:color w:val="C00000"/>
          <w:sz w:val="22"/>
        </w:rPr>
        <w:fldChar w:fldCharType="separate"/>
      </w:r>
      <w:r w:rsidR="002E3841">
        <w:rPr>
          <w:b/>
          <w:i w:val="0"/>
          <w:noProof/>
          <w:color w:val="C00000"/>
          <w:sz w:val="22"/>
        </w:rPr>
        <w:t>2</w:t>
      </w:r>
      <w:r w:rsidRPr="00650E42">
        <w:rPr>
          <w:b/>
          <w:i w:val="0"/>
          <w:color w:val="C00000"/>
          <w:sz w:val="22"/>
        </w:rPr>
        <w:fldChar w:fldCharType="end"/>
      </w:r>
      <w:bookmarkEnd w:id="28"/>
      <w:r w:rsidR="002E353E" w:rsidRPr="00650E42">
        <w:rPr>
          <w:rFonts w:cstheme="minorHAnsi"/>
          <w:b/>
          <w:bCs/>
          <w:i w:val="0"/>
          <w:color w:val="C00000"/>
          <w:sz w:val="22"/>
        </w:rPr>
        <w:t xml:space="preserve"> - </w:t>
      </w:r>
      <w:r w:rsidR="00696D11" w:rsidRPr="00650E42">
        <w:rPr>
          <w:rFonts w:cstheme="minorHAnsi"/>
          <w:bCs/>
          <w:i w:val="0"/>
          <w:color w:val="C00000"/>
          <w:sz w:val="22"/>
        </w:rPr>
        <w:t>Box-whisker plots of the THA/TKA readmission measure RSRRs within each quartile of Star-Rating summary scores</w:t>
      </w:r>
    </w:p>
    <w:p w14:paraId="23E2F87E" w14:textId="77BCF4A8" w:rsidR="00AF5D83" w:rsidRDefault="00717C48" w:rsidP="002E353E">
      <w:pPr>
        <w:autoSpaceDE w:val="0"/>
        <w:autoSpaceDN w:val="0"/>
        <w:adjustRightInd w:val="0"/>
        <w:spacing w:before="120" w:after="120" w:line="240" w:lineRule="auto"/>
        <w:rPr>
          <w:rFonts w:cstheme="minorHAnsi"/>
          <w:bCs/>
        </w:rPr>
      </w:pPr>
      <w:r>
        <w:rPr>
          <w:rFonts w:cstheme="minorHAnsi"/>
          <w:bCs/>
          <w:noProof/>
        </w:rPr>
        <w:lastRenderedPageBreak/>
        <w:drawing>
          <wp:inline distT="0" distB="0" distL="0" distR="0" wp14:anchorId="5872EE58" wp14:editId="6F805154">
            <wp:extent cx="4908284" cy="3683000"/>
            <wp:effectExtent l="0" t="0" r="6985" b="0"/>
            <wp:docPr id="3" name="Picture 3" descr="Figure 2 shows the Box-whisker plots of the THA/TKA readmission measure RSRRs within each quartile of Star-Rating summary scores. The blue circles represent the mean RSRRs of Star-Rating summary score quartiles. The correlation between THA/TKA RSRRs and Star-Rating summary score is -0.239, which suggests that hospitals with lower THA/TKA RSRRs are more likely to have higher Star-Rating summary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0313" cy="3684523"/>
                    </a:xfrm>
                    <a:prstGeom prst="rect">
                      <a:avLst/>
                    </a:prstGeom>
                    <a:noFill/>
                  </pic:spPr>
                </pic:pic>
              </a:graphicData>
            </a:graphic>
          </wp:inline>
        </w:drawing>
      </w:r>
    </w:p>
    <w:p w14:paraId="3134B201" w14:textId="1A55E5C3" w:rsidR="00A81E54" w:rsidRDefault="00A81E54" w:rsidP="00A81E54">
      <w:pPr>
        <w:autoSpaceDE w:val="0"/>
        <w:autoSpaceDN w:val="0"/>
        <w:adjustRightInd w:val="0"/>
        <w:spacing w:before="24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THA/TKA</w:t>
      </w:r>
      <w:r w:rsidRPr="002B4433">
        <w:rPr>
          <w:rFonts w:cstheme="minorHAnsi"/>
          <w:bCs/>
          <w:color w:val="C00000"/>
          <w:u w:val="single"/>
        </w:rPr>
        <w:t xml:space="preserve"> RSRRs and</w:t>
      </w:r>
      <w:r>
        <w:rPr>
          <w:rFonts w:cstheme="minorHAnsi"/>
          <w:bCs/>
          <w:color w:val="C00000"/>
          <w:u w:val="single"/>
        </w:rPr>
        <w:t xml:space="preserve"> Hospital THA/TKA Admission Volume</w:t>
      </w:r>
    </w:p>
    <w:p w14:paraId="520C97B7" w14:textId="67C67137" w:rsidR="00A81E54" w:rsidRPr="00A81E54" w:rsidRDefault="00AE389F" w:rsidP="00A81E54">
      <w:pPr>
        <w:autoSpaceDE w:val="0"/>
        <w:autoSpaceDN w:val="0"/>
        <w:adjustRightInd w:val="0"/>
        <w:spacing w:before="240" w:after="120" w:line="240" w:lineRule="auto"/>
        <w:rPr>
          <w:rFonts w:cstheme="minorHAnsi"/>
          <w:bCs/>
          <w:color w:val="C00000"/>
        </w:rPr>
      </w:pPr>
      <w:hyperlink w:anchor="Table3" w:history="1">
        <w:r w:rsidR="008A6880" w:rsidRPr="008A6880">
          <w:rPr>
            <w:rStyle w:val="Hyperlink"/>
            <w:rFonts w:cstheme="minorHAnsi"/>
          </w:rPr>
          <w:t>Table 3</w:t>
        </w:r>
      </w:hyperlink>
      <w:r w:rsidR="00A81E54">
        <w:rPr>
          <w:rFonts w:cstheme="minorHAnsi"/>
          <w:bCs/>
          <w:color w:val="C00000"/>
        </w:rPr>
        <w:t xml:space="preserve"> shows the relationship between THA/TKA RSRRs and hospital THA/TKA admission volume among hospitals with more than 25 THA/TKA admissions. Results show that mean RSRRs are slightly lower among high volume hospitals comp</w:t>
      </w:r>
      <w:r w:rsidR="008B4D52">
        <w:rPr>
          <w:rFonts w:cstheme="minorHAnsi"/>
          <w:bCs/>
          <w:color w:val="C00000"/>
        </w:rPr>
        <w:t>ared to lower volume hospitals.</w:t>
      </w:r>
    </w:p>
    <w:p w14:paraId="019CEDA5" w14:textId="77777777" w:rsidR="008A6880" w:rsidRDefault="008A6880" w:rsidP="00650E42">
      <w:pPr>
        <w:pStyle w:val="Caption"/>
        <w:rPr>
          <w:b/>
          <w:i w:val="0"/>
          <w:color w:val="C00000"/>
          <w:sz w:val="22"/>
        </w:rPr>
      </w:pPr>
      <w:bookmarkStart w:id="29" w:name="Table3"/>
    </w:p>
    <w:p w14:paraId="0B9A8F13" w14:textId="77777777" w:rsidR="008A6880" w:rsidRDefault="008A6880" w:rsidP="00650E42">
      <w:pPr>
        <w:pStyle w:val="Caption"/>
        <w:rPr>
          <w:b/>
          <w:i w:val="0"/>
          <w:color w:val="C00000"/>
          <w:sz w:val="22"/>
        </w:rPr>
      </w:pPr>
    </w:p>
    <w:p w14:paraId="1E69096A" w14:textId="77777777" w:rsidR="008A6880" w:rsidRDefault="008A6880" w:rsidP="00650E42">
      <w:pPr>
        <w:pStyle w:val="Caption"/>
        <w:rPr>
          <w:b/>
          <w:i w:val="0"/>
          <w:color w:val="C00000"/>
          <w:sz w:val="22"/>
        </w:rPr>
      </w:pPr>
    </w:p>
    <w:p w14:paraId="24354EDB" w14:textId="77777777" w:rsidR="008A6880" w:rsidRDefault="008A6880" w:rsidP="00650E42">
      <w:pPr>
        <w:pStyle w:val="Caption"/>
        <w:rPr>
          <w:b/>
          <w:i w:val="0"/>
          <w:color w:val="C00000"/>
          <w:sz w:val="22"/>
        </w:rPr>
      </w:pPr>
    </w:p>
    <w:p w14:paraId="3CF5D62C" w14:textId="77777777" w:rsidR="008A6880" w:rsidRDefault="008A6880" w:rsidP="00650E42">
      <w:pPr>
        <w:pStyle w:val="Caption"/>
        <w:rPr>
          <w:b/>
          <w:i w:val="0"/>
          <w:color w:val="C00000"/>
          <w:sz w:val="22"/>
        </w:rPr>
      </w:pPr>
    </w:p>
    <w:p w14:paraId="5F2BF5BB" w14:textId="77777777" w:rsidR="008A6880" w:rsidRDefault="008A6880" w:rsidP="00650E42">
      <w:pPr>
        <w:pStyle w:val="Caption"/>
        <w:rPr>
          <w:b/>
          <w:i w:val="0"/>
          <w:color w:val="C00000"/>
          <w:sz w:val="22"/>
        </w:rPr>
      </w:pPr>
    </w:p>
    <w:p w14:paraId="22F800DD" w14:textId="77777777" w:rsidR="008A6880" w:rsidRDefault="008A6880" w:rsidP="00650E42">
      <w:pPr>
        <w:pStyle w:val="Caption"/>
        <w:rPr>
          <w:b/>
          <w:i w:val="0"/>
          <w:color w:val="C00000"/>
          <w:sz w:val="22"/>
        </w:rPr>
      </w:pPr>
    </w:p>
    <w:p w14:paraId="3CEFB5EE" w14:textId="77777777" w:rsidR="008A6880" w:rsidRDefault="008A6880" w:rsidP="00650E42">
      <w:pPr>
        <w:pStyle w:val="Caption"/>
        <w:rPr>
          <w:b/>
          <w:i w:val="0"/>
          <w:color w:val="C00000"/>
          <w:sz w:val="22"/>
        </w:rPr>
      </w:pPr>
    </w:p>
    <w:p w14:paraId="3DA6BE94" w14:textId="71BEB9ED" w:rsidR="00A81E54" w:rsidRPr="00650E42" w:rsidRDefault="00650E42" w:rsidP="00650E42">
      <w:pPr>
        <w:pStyle w:val="Caption"/>
        <w:rPr>
          <w:rFonts w:cstheme="minorHAnsi"/>
          <w:bCs/>
          <w:i w:val="0"/>
          <w:color w:val="C00000"/>
          <w:sz w:val="22"/>
        </w:rPr>
      </w:pPr>
      <w:r w:rsidRPr="00055EB3">
        <w:rPr>
          <w:b/>
          <w:i w:val="0"/>
          <w:color w:val="C00000"/>
          <w:sz w:val="22"/>
        </w:rPr>
        <w:t xml:space="preserve">Table </w:t>
      </w:r>
      <w:bookmarkEnd w:id="29"/>
      <w:r w:rsidR="008A6880">
        <w:rPr>
          <w:b/>
          <w:i w:val="0"/>
          <w:color w:val="C00000"/>
          <w:sz w:val="22"/>
        </w:rPr>
        <w:t>3</w:t>
      </w:r>
      <w:r w:rsidRPr="00055EB3">
        <w:rPr>
          <w:rFonts w:cstheme="minorHAnsi"/>
          <w:b/>
          <w:bCs/>
          <w:i w:val="0"/>
          <w:color w:val="C00000"/>
          <w:sz w:val="22"/>
        </w:rPr>
        <w:t>.</w:t>
      </w:r>
      <w:r w:rsidR="00977EE9">
        <w:rPr>
          <w:rFonts w:cstheme="minorHAnsi"/>
          <w:bCs/>
          <w:i w:val="0"/>
          <w:color w:val="C00000"/>
          <w:sz w:val="22"/>
        </w:rPr>
        <w:t xml:space="preserve"> Relationship between THA/TKA RSRRs and hospital THA/TKA admission volume among hospitals with more than 25 THA/TKA admissions</w:t>
      </w:r>
    </w:p>
    <w:tbl>
      <w:tblPr>
        <w:tblW w:w="9729" w:type="dxa"/>
        <w:tblInd w:w="-1" w:type="dxa"/>
        <w:tblCellMar>
          <w:left w:w="0" w:type="dxa"/>
          <w:right w:w="0" w:type="dxa"/>
        </w:tblCellMar>
        <w:tblLook w:val="04A0" w:firstRow="1" w:lastRow="0" w:firstColumn="1" w:lastColumn="0" w:noHBand="0" w:noVBand="1"/>
      </w:tblPr>
      <w:tblGrid>
        <w:gridCol w:w="4750"/>
        <w:gridCol w:w="1707"/>
        <w:gridCol w:w="1824"/>
        <w:gridCol w:w="1448"/>
      </w:tblGrid>
      <w:tr w:rsidR="000131C6" w14:paraId="785737C1" w14:textId="77777777" w:rsidTr="00130700">
        <w:trPr>
          <w:cantSplit/>
          <w:trHeight w:val="200"/>
          <w:tblHeader/>
        </w:trPr>
        <w:tc>
          <w:tcPr>
            <w:tcW w:w="4750"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hideMark/>
          </w:tcPr>
          <w:p w14:paraId="2B93BBAB" w14:textId="0C964D49" w:rsidR="000131C6" w:rsidRPr="00A81E54" w:rsidRDefault="00844066" w:rsidP="000131C6">
            <w:pPr>
              <w:rPr>
                <w:color w:val="C00000"/>
              </w:rPr>
            </w:pPr>
            <w:r w:rsidRPr="00844066">
              <w:rPr>
                <w:color w:val="D9D9D9" w:themeColor="background1" w:themeShade="D9"/>
              </w:rPr>
              <w:lastRenderedPageBreak/>
              <w:t>-</w:t>
            </w:r>
          </w:p>
        </w:tc>
        <w:tc>
          <w:tcPr>
            <w:tcW w:w="4979" w:type="dxa"/>
            <w:gridSpan w:val="3"/>
            <w:tcBorders>
              <w:top w:val="single" w:sz="8" w:space="0" w:color="auto"/>
              <w:left w:val="nil"/>
              <w:bottom w:val="single" w:sz="8" w:space="0" w:color="auto"/>
              <w:right w:val="single" w:sz="8" w:space="0" w:color="000000"/>
            </w:tcBorders>
            <w:shd w:val="clear" w:color="auto" w:fill="D9D9D9"/>
            <w:tcMar>
              <w:top w:w="0" w:type="dxa"/>
              <w:left w:w="108" w:type="dxa"/>
              <w:bottom w:w="0" w:type="dxa"/>
              <w:right w:w="108" w:type="dxa"/>
            </w:tcMar>
            <w:vAlign w:val="center"/>
            <w:hideMark/>
          </w:tcPr>
          <w:p w14:paraId="5D935600" w14:textId="79E960B6" w:rsidR="000131C6" w:rsidRPr="00A81E54" w:rsidRDefault="000131C6" w:rsidP="000131C6">
            <w:pPr>
              <w:jc w:val="center"/>
              <w:rPr>
                <w:b/>
                <w:bCs/>
                <w:color w:val="C00000"/>
              </w:rPr>
            </w:pPr>
            <w:r w:rsidRPr="00A81E54">
              <w:rPr>
                <w:rFonts w:ascii="Calibri" w:hAnsi="Calibri"/>
                <w:b/>
                <w:bCs/>
                <w:color w:val="C00000"/>
              </w:rPr>
              <w:t>25≤N</w:t>
            </w:r>
            <w:r w:rsidRPr="00A81E54">
              <w:rPr>
                <w:rFonts w:ascii="Calibri" w:hAnsi="Calibri"/>
                <w:b/>
                <w:bCs/>
                <w:color w:val="C00000"/>
              </w:rPr>
              <w:br/>
              <w:t>(N=2,761)</w:t>
            </w:r>
          </w:p>
        </w:tc>
      </w:tr>
      <w:tr w:rsidR="000131C6" w14:paraId="71B3212D" w14:textId="77777777" w:rsidTr="00130700">
        <w:trPr>
          <w:cantSplit/>
          <w:trHeight w:val="368"/>
          <w:tblHeader/>
        </w:trPr>
        <w:tc>
          <w:tcPr>
            <w:tcW w:w="4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2EDAF" w14:textId="46408D2E" w:rsidR="000131C6" w:rsidRPr="00A81E54" w:rsidRDefault="000131C6" w:rsidP="000131C6">
            <w:pPr>
              <w:spacing w:line="240" w:lineRule="auto"/>
              <w:rPr>
                <w:b/>
                <w:bCs/>
                <w:color w:val="C00000"/>
              </w:rPr>
            </w:pPr>
            <w:r w:rsidRPr="00A81E54">
              <w:rPr>
                <w:b/>
                <w:bCs/>
                <w:color w:val="C00000"/>
              </w:rPr>
              <w:t>Correlation coefficient</w:t>
            </w:r>
            <w:r w:rsidRPr="00A81E54">
              <w:rPr>
                <w:b/>
                <w:bCs/>
                <w:color w:val="C00000"/>
              </w:rPr>
              <w:br/>
              <w:t>between admission volumes and RSRRs</w:t>
            </w:r>
          </w:p>
        </w:tc>
        <w:tc>
          <w:tcPr>
            <w:tcW w:w="4979"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65351B" w14:textId="16E1CD79" w:rsidR="000131C6" w:rsidRPr="00A81E54" w:rsidRDefault="000131C6" w:rsidP="000131C6">
            <w:pPr>
              <w:spacing w:line="240" w:lineRule="auto"/>
              <w:jc w:val="center"/>
              <w:rPr>
                <w:color w:val="C00000"/>
              </w:rPr>
            </w:pPr>
            <w:r w:rsidRPr="00A81E54">
              <w:rPr>
                <w:rFonts w:ascii="Calibri" w:hAnsi="Calibri"/>
                <w:color w:val="C00000"/>
              </w:rPr>
              <w:t>-0.23756</w:t>
            </w:r>
            <w:r w:rsidRPr="00A81E54">
              <w:rPr>
                <w:rFonts w:ascii="Calibri" w:hAnsi="Calibri"/>
                <w:color w:val="C00000"/>
              </w:rPr>
              <w:br/>
              <w:t>&lt;.0001</w:t>
            </w:r>
          </w:p>
        </w:tc>
      </w:tr>
      <w:tr w:rsidR="000131C6" w14:paraId="7B9BBB6E" w14:textId="77777777" w:rsidTr="00130700">
        <w:trPr>
          <w:cantSplit/>
          <w:trHeight w:val="76"/>
          <w:tblHeader/>
        </w:trPr>
        <w:tc>
          <w:tcPr>
            <w:tcW w:w="4750"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hideMark/>
          </w:tcPr>
          <w:p w14:paraId="000CA96C" w14:textId="77777777" w:rsidR="000131C6" w:rsidRPr="00A81E54" w:rsidRDefault="000131C6" w:rsidP="00A81E54">
            <w:pPr>
              <w:spacing w:line="240" w:lineRule="auto"/>
              <w:rPr>
                <w:b/>
                <w:bCs/>
                <w:color w:val="C00000"/>
              </w:rPr>
            </w:pPr>
            <w:r w:rsidRPr="00A81E54">
              <w:rPr>
                <w:b/>
                <w:bCs/>
                <w:color w:val="C00000"/>
              </w:rPr>
              <w:t>Deciles of volume</w:t>
            </w:r>
          </w:p>
        </w:tc>
        <w:tc>
          <w:tcPr>
            <w:tcW w:w="1707"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00CC4145" w14:textId="77777777" w:rsidR="000131C6" w:rsidRPr="00A81E54" w:rsidRDefault="000131C6" w:rsidP="00A81E54">
            <w:pPr>
              <w:spacing w:line="240" w:lineRule="auto"/>
              <w:jc w:val="center"/>
              <w:rPr>
                <w:b/>
                <w:bCs/>
                <w:color w:val="C00000"/>
              </w:rPr>
            </w:pPr>
            <w:r w:rsidRPr="00A81E54">
              <w:rPr>
                <w:b/>
                <w:bCs/>
                <w:color w:val="C00000"/>
              </w:rPr>
              <w:t># of Hospitals</w:t>
            </w:r>
          </w:p>
        </w:tc>
        <w:tc>
          <w:tcPr>
            <w:tcW w:w="182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36F0ADEA" w14:textId="77777777" w:rsidR="000131C6" w:rsidRPr="00A81E54" w:rsidRDefault="000131C6" w:rsidP="00A81E54">
            <w:pPr>
              <w:spacing w:line="240" w:lineRule="auto"/>
              <w:jc w:val="center"/>
              <w:rPr>
                <w:b/>
                <w:bCs/>
                <w:color w:val="C00000"/>
              </w:rPr>
            </w:pPr>
            <w:r w:rsidRPr="00A81E54">
              <w:rPr>
                <w:b/>
                <w:bCs/>
                <w:color w:val="C00000"/>
              </w:rPr>
              <w:t>Volume Range</w:t>
            </w:r>
          </w:p>
        </w:tc>
        <w:tc>
          <w:tcPr>
            <w:tcW w:w="1447"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hideMark/>
          </w:tcPr>
          <w:p w14:paraId="4A4CB3D4" w14:textId="65B691F5" w:rsidR="000131C6" w:rsidRPr="00A81E54" w:rsidRDefault="000131C6" w:rsidP="00A81E54">
            <w:pPr>
              <w:spacing w:line="240" w:lineRule="auto"/>
              <w:jc w:val="center"/>
              <w:rPr>
                <w:b/>
                <w:bCs/>
                <w:color w:val="C00000"/>
              </w:rPr>
            </w:pPr>
            <w:r w:rsidRPr="00A81E54">
              <w:rPr>
                <w:b/>
                <w:bCs/>
                <w:color w:val="C00000"/>
              </w:rPr>
              <w:t>Mean RSRR</w:t>
            </w:r>
          </w:p>
        </w:tc>
      </w:tr>
      <w:tr w:rsidR="000131C6" w14:paraId="69BF3A35" w14:textId="77777777" w:rsidTr="00130700">
        <w:trPr>
          <w:cantSplit/>
          <w:trHeight w:val="16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726EFD" w14:textId="77777777" w:rsidR="000131C6" w:rsidRPr="00A81E54" w:rsidRDefault="000131C6" w:rsidP="000131C6">
            <w:pPr>
              <w:spacing w:line="240" w:lineRule="auto"/>
              <w:jc w:val="center"/>
              <w:rPr>
                <w:b/>
                <w:bCs/>
                <w:color w:val="C00000"/>
              </w:rPr>
            </w:pPr>
            <w:r w:rsidRPr="00A81E54">
              <w:rPr>
                <w:b/>
                <w:bCs/>
                <w:color w:val="C00000"/>
              </w:rPr>
              <w:t>0%~10%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18957B" w14:textId="21B8E59C" w:rsidR="000131C6" w:rsidRPr="00A81E54" w:rsidRDefault="000131C6" w:rsidP="000131C6">
            <w:pPr>
              <w:spacing w:line="240" w:lineRule="auto"/>
              <w:jc w:val="center"/>
              <w:rPr>
                <w:color w:val="C00000"/>
              </w:rPr>
            </w:pPr>
            <w:r w:rsidRPr="00A81E54">
              <w:rPr>
                <w:rFonts w:ascii="Calibri" w:hAnsi="Calibri"/>
                <w:color w:val="C00000"/>
              </w:rPr>
              <w:t>269</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2B8B05" w14:textId="2984E76B" w:rsidR="000131C6" w:rsidRPr="00A81E54" w:rsidRDefault="000131C6" w:rsidP="000131C6">
            <w:pPr>
              <w:spacing w:line="240" w:lineRule="auto"/>
              <w:jc w:val="center"/>
              <w:rPr>
                <w:color w:val="C00000"/>
              </w:rPr>
            </w:pPr>
            <w:r w:rsidRPr="00A81E54">
              <w:rPr>
                <w:rFonts w:ascii="Calibri" w:hAnsi="Calibri"/>
                <w:color w:val="C00000"/>
              </w:rPr>
              <w:t>25-43</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80F18B" w14:textId="4A22E9D2" w:rsidR="000131C6" w:rsidRPr="00A81E54" w:rsidRDefault="000131C6" w:rsidP="000131C6">
            <w:pPr>
              <w:spacing w:line="240" w:lineRule="auto"/>
              <w:jc w:val="center"/>
              <w:rPr>
                <w:color w:val="C00000"/>
              </w:rPr>
            </w:pPr>
            <w:r w:rsidRPr="00A81E54">
              <w:rPr>
                <w:rFonts w:ascii="Calibri" w:hAnsi="Calibri"/>
                <w:color w:val="C00000"/>
              </w:rPr>
              <w:t>4.05</w:t>
            </w:r>
          </w:p>
        </w:tc>
      </w:tr>
      <w:tr w:rsidR="000131C6" w14:paraId="1F6F2007"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82905DA" w14:textId="77777777" w:rsidR="000131C6" w:rsidRPr="00A81E54" w:rsidRDefault="000131C6" w:rsidP="000131C6">
            <w:pPr>
              <w:spacing w:line="240" w:lineRule="auto"/>
              <w:jc w:val="center"/>
              <w:rPr>
                <w:b/>
                <w:bCs/>
                <w:color w:val="C00000"/>
              </w:rPr>
            </w:pPr>
            <w:r w:rsidRPr="00A81E54">
              <w:rPr>
                <w:b/>
                <w:bCs/>
                <w:color w:val="C00000"/>
              </w:rPr>
              <w:t>10%~20%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D26D0A" w14:textId="62D946BC" w:rsidR="000131C6" w:rsidRPr="00A81E54" w:rsidRDefault="000131C6" w:rsidP="000131C6">
            <w:pPr>
              <w:spacing w:line="240" w:lineRule="auto"/>
              <w:jc w:val="center"/>
              <w:rPr>
                <w:color w:val="C00000"/>
              </w:rPr>
            </w:pPr>
            <w:r w:rsidRPr="00A81E54">
              <w:rPr>
                <w:rFonts w:ascii="Calibri" w:hAnsi="Calibri"/>
                <w:color w:val="C00000"/>
              </w:rPr>
              <w:t>285</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ADE13E" w14:textId="4FCCCCC1" w:rsidR="000131C6" w:rsidRPr="00A81E54" w:rsidRDefault="000131C6" w:rsidP="000131C6">
            <w:pPr>
              <w:spacing w:line="240" w:lineRule="auto"/>
              <w:jc w:val="center"/>
              <w:rPr>
                <w:color w:val="C00000"/>
              </w:rPr>
            </w:pPr>
            <w:r w:rsidRPr="00A81E54">
              <w:rPr>
                <w:rFonts w:ascii="Calibri" w:hAnsi="Calibri"/>
                <w:color w:val="C00000"/>
              </w:rPr>
              <w:t>44-69</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A6BB60" w14:textId="3EC1543F" w:rsidR="000131C6" w:rsidRPr="00A81E54" w:rsidRDefault="000131C6" w:rsidP="000131C6">
            <w:pPr>
              <w:spacing w:line="240" w:lineRule="auto"/>
              <w:jc w:val="center"/>
              <w:rPr>
                <w:color w:val="C00000"/>
              </w:rPr>
            </w:pPr>
            <w:r w:rsidRPr="00A81E54">
              <w:rPr>
                <w:rFonts w:ascii="Calibri" w:hAnsi="Calibri"/>
                <w:color w:val="C00000"/>
              </w:rPr>
              <w:t>4.04</w:t>
            </w:r>
          </w:p>
        </w:tc>
      </w:tr>
      <w:tr w:rsidR="000131C6" w14:paraId="2A730C05"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2C7155" w14:textId="77777777" w:rsidR="000131C6" w:rsidRPr="00A81E54" w:rsidRDefault="000131C6" w:rsidP="000131C6">
            <w:pPr>
              <w:spacing w:line="240" w:lineRule="auto"/>
              <w:jc w:val="center"/>
              <w:rPr>
                <w:b/>
                <w:bCs/>
                <w:color w:val="C00000"/>
              </w:rPr>
            </w:pPr>
            <w:r w:rsidRPr="00A81E54">
              <w:rPr>
                <w:b/>
                <w:bCs/>
                <w:color w:val="C00000"/>
              </w:rPr>
              <w:t>20%~30%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04739E" w14:textId="6F4E78C1" w:rsidR="000131C6" w:rsidRPr="00A81E54" w:rsidRDefault="000131C6" w:rsidP="000131C6">
            <w:pPr>
              <w:spacing w:line="240" w:lineRule="auto"/>
              <w:jc w:val="center"/>
              <w:rPr>
                <w:color w:val="C00000"/>
              </w:rPr>
            </w:pPr>
            <w:r w:rsidRPr="00A81E54">
              <w:rPr>
                <w:rFonts w:ascii="Calibri" w:hAnsi="Calibri"/>
                <w:color w:val="C00000"/>
              </w:rPr>
              <w:t>277</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D42E8A" w14:textId="0D50AC05" w:rsidR="000131C6" w:rsidRPr="00A81E54" w:rsidRDefault="000131C6" w:rsidP="000131C6">
            <w:pPr>
              <w:spacing w:line="240" w:lineRule="auto"/>
              <w:jc w:val="center"/>
              <w:rPr>
                <w:color w:val="C00000"/>
              </w:rPr>
            </w:pPr>
            <w:r w:rsidRPr="00A81E54">
              <w:rPr>
                <w:rFonts w:ascii="Calibri" w:hAnsi="Calibri"/>
                <w:color w:val="C00000"/>
              </w:rPr>
              <w:t>70-101</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0A6289" w14:textId="48709E9D" w:rsidR="000131C6" w:rsidRPr="00A81E54" w:rsidRDefault="000131C6" w:rsidP="000131C6">
            <w:pPr>
              <w:spacing w:line="240" w:lineRule="auto"/>
              <w:jc w:val="center"/>
              <w:rPr>
                <w:color w:val="C00000"/>
              </w:rPr>
            </w:pPr>
            <w:r w:rsidRPr="00A81E54">
              <w:rPr>
                <w:rFonts w:ascii="Calibri" w:hAnsi="Calibri"/>
                <w:color w:val="C00000"/>
              </w:rPr>
              <w:t>4.07</w:t>
            </w:r>
          </w:p>
        </w:tc>
      </w:tr>
      <w:tr w:rsidR="000131C6" w14:paraId="375A5FAD"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A0E52C" w14:textId="77777777" w:rsidR="000131C6" w:rsidRPr="00A81E54" w:rsidRDefault="000131C6" w:rsidP="000131C6">
            <w:pPr>
              <w:spacing w:line="240" w:lineRule="auto"/>
              <w:jc w:val="center"/>
              <w:rPr>
                <w:b/>
                <w:bCs/>
                <w:color w:val="C00000"/>
              </w:rPr>
            </w:pPr>
            <w:r w:rsidRPr="00A81E54">
              <w:rPr>
                <w:b/>
                <w:bCs/>
                <w:color w:val="C00000"/>
              </w:rPr>
              <w:t>30%~40%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849C28" w14:textId="42C8E74B" w:rsidR="000131C6" w:rsidRPr="00A81E54" w:rsidRDefault="000131C6" w:rsidP="000131C6">
            <w:pPr>
              <w:spacing w:line="240" w:lineRule="auto"/>
              <w:jc w:val="center"/>
              <w:rPr>
                <w:color w:val="C00000"/>
              </w:rPr>
            </w:pPr>
            <w:r w:rsidRPr="00A81E54">
              <w:rPr>
                <w:rFonts w:ascii="Calibri" w:hAnsi="Calibri"/>
                <w:color w:val="C00000"/>
              </w:rPr>
              <w:t>271</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6775D5" w14:textId="1E6F3B1A" w:rsidR="000131C6" w:rsidRPr="00A81E54" w:rsidRDefault="000131C6" w:rsidP="000131C6">
            <w:pPr>
              <w:spacing w:line="240" w:lineRule="auto"/>
              <w:jc w:val="center"/>
              <w:rPr>
                <w:color w:val="C00000"/>
              </w:rPr>
            </w:pPr>
            <w:r w:rsidRPr="00A81E54">
              <w:rPr>
                <w:rFonts w:ascii="Calibri" w:hAnsi="Calibri"/>
                <w:color w:val="C00000"/>
              </w:rPr>
              <w:t>102-146</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205B46" w14:textId="72189E78" w:rsidR="000131C6" w:rsidRPr="00A81E54" w:rsidRDefault="000131C6" w:rsidP="000131C6">
            <w:pPr>
              <w:spacing w:line="240" w:lineRule="auto"/>
              <w:jc w:val="center"/>
              <w:rPr>
                <w:color w:val="C00000"/>
              </w:rPr>
            </w:pPr>
            <w:r w:rsidRPr="00A81E54">
              <w:rPr>
                <w:rFonts w:ascii="Calibri" w:hAnsi="Calibri"/>
                <w:color w:val="C00000"/>
              </w:rPr>
              <w:t>4.14</w:t>
            </w:r>
          </w:p>
        </w:tc>
      </w:tr>
      <w:tr w:rsidR="000131C6" w14:paraId="23E64F32"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115421F" w14:textId="77777777" w:rsidR="000131C6" w:rsidRPr="00A81E54" w:rsidRDefault="000131C6" w:rsidP="000131C6">
            <w:pPr>
              <w:spacing w:line="240" w:lineRule="auto"/>
              <w:jc w:val="center"/>
              <w:rPr>
                <w:b/>
                <w:bCs/>
                <w:color w:val="C00000"/>
              </w:rPr>
            </w:pPr>
            <w:r w:rsidRPr="00A81E54">
              <w:rPr>
                <w:b/>
                <w:bCs/>
                <w:color w:val="C00000"/>
              </w:rPr>
              <w:t>40%~50%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663AC" w14:textId="316C6F15" w:rsidR="000131C6" w:rsidRPr="00A81E54" w:rsidRDefault="000131C6" w:rsidP="000131C6">
            <w:pPr>
              <w:spacing w:line="240" w:lineRule="auto"/>
              <w:jc w:val="center"/>
              <w:rPr>
                <w:color w:val="C00000"/>
              </w:rPr>
            </w:pPr>
            <w:r w:rsidRPr="00A81E54">
              <w:rPr>
                <w:rFonts w:ascii="Calibri" w:hAnsi="Calibri"/>
                <w:color w:val="C00000"/>
              </w:rPr>
              <w:t>278</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7A911A" w14:textId="7CCA782B" w:rsidR="000131C6" w:rsidRPr="00A81E54" w:rsidRDefault="000131C6" w:rsidP="000131C6">
            <w:pPr>
              <w:spacing w:line="240" w:lineRule="auto"/>
              <w:jc w:val="center"/>
              <w:rPr>
                <w:color w:val="C00000"/>
              </w:rPr>
            </w:pPr>
            <w:r w:rsidRPr="00A81E54">
              <w:rPr>
                <w:rFonts w:ascii="Calibri" w:hAnsi="Calibri"/>
                <w:color w:val="C00000"/>
              </w:rPr>
              <w:t>147-205</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D878F" w14:textId="501466AC" w:rsidR="000131C6" w:rsidRPr="00A81E54" w:rsidRDefault="000131C6" w:rsidP="000131C6">
            <w:pPr>
              <w:spacing w:line="240" w:lineRule="auto"/>
              <w:jc w:val="center"/>
              <w:rPr>
                <w:color w:val="C00000"/>
              </w:rPr>
            </w:pPr>
            <w:r w:rsidRPr="00A81E54">
              <w:rPr>
                <w:rFonts w:ascii="Calibri" w:hAnsi="Calibri"/>
                <w:color w:val="C00000"/>
              </w:rPr>
              <w:t>4.06</w:t>
            </w:r>
          </w:p>
        </w:tc>
      </w:tr>
      <w:tr w:rsidR="000131C6" w14:paraId="3A826681"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578E743" w14:textId="77777777" w:rsidR="000131C6" w:rsidRPr="00A81E54" w:rsidRDefault="000131C6" w:rsidP="000131C6">
            <w:pPr>
              <w:spacing w:line="240" w:lineRule="auto"/>
              <w:jc w:val="center"/>
              <w:rPr>
                <w:b/>
                <w:bCs/>
                <w:color w:val="C00000"/>
              </w:rPr>
            </w:pPr>
            <w:r w:rsidRPr="00A81E54">
              <w:rPr>
                <w:b/>
                <w:bCs/>
                <w:color w:val="C00000"/>
              </w:rPr>
              <w:t>50%~60%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4CD4BA" w14:textId="40E24D68" w:rsidR="000131C6" w:rsidRPr="00A81E54" w:rsidRDefault="000131C6" w:rsidP="000131C6">
            <w:pPr>
              <w:spacing w:line="240" w:lineRule="auto"/>
              <w:jc w:val="center"/>
              <w:rPr>
                <w:color w:val="C00000"/>
              </w:rPr>
            </w:pPr>
            <w:r w:rsidRPr="00A81E54">
              <w:rPr>
                <w:rFonts w:ascii="Calibri" w:hAnsi="Calibri"/>
                <w:color w:val="C00000"/>
              </w:rPr>
              <w:t>277</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899FD1" w14:textId="23103DBB" w:rsidR="000131C6" w:rsidRPr="00A81E54" w:rsidRDefault="000131C6" w:rsidP="000131C6">
            <w:pPr>
              <w:spacing w:line="240" w:lineRule="auto"/>
              <w:jc w:val="center"/>
              <w:rPr>
                <w:color w:val="C00000"/>
              </w:rPr>
            </w:pPr>
            <w:r w:rsidRPr="00A81E54">
              <w:rPr>
                <w:rFonts w:ascii="Calibri" w:hAnsi="Calibri"/>
                <w:color w:val="C00000"/>
              </w:rPr>
              <w:t>206-282</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C4C9E7" w14:textId="0F290529" w:rsidR="000131C6" w:rsidRPr="00A81E54" w:rsidRDefault="000131C6" w:rsidP="000131C6">
            <w:pPr>
              <w:spacing w:line="240" w:lineRule="auto"/>
              <w:jc w:val="center"/>
              <w:rPr>
                <w:color w:val="C00000"/>
              </w:rPr>
            </w:pPr>
            <w:r w:rsidRPr="00A81E54">
              <w:rPr>
                <w:rFonts w:ascii="Calibri" w:hAnsi="Calibri"/>
                <w:color w:val="C00000"/>
              </w:rPr>
              <w:t>4.09</w:t>
            </w:r>
          </w:p>
        </w:tc>
      </w:tr>
      <w:tr w:rsidR="000131C6" w14:paraId="6B004D64"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7A3368F" w14:textId="77777777" w:rsidR="000131C6" w:rsidRPr="00A81E54" w:rsidRDefault="000131C6" w:rsidP="000131C6">
            <w:pPr>
              <w:spacing w:line="240" w:lineRule="auto"/>
              <w:jc w:val="center"/>
              <w:rPr>
                <w:b/>
                <w:bCs/>
                <w:color w:val="C00000"/>
              </w:rPr>
            </w:pPr>
            <w:r w:rsidRPr="00A81E54">
              <w:rPr>
                <w:b/>
                <w:bCs/>
                <w:color w:val="C00000"/>
              </w:rPr>
              <w:t>60%~70%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70E1AC" w14:textId="290EA5FE" w:rsidR="000131C6" w:rsidRPr="00A81E54" w:rsidRDefault="000131C6" w:rsidP="000131C6">
            <w:pPr>
              <w:spacing w:line="240" w:lineRule="auto"/>
              <w:jc w:val="center"/>
              <w:rPr>
                <w:color w:val="C00000"/>
              </w:rPr>
            </w:pPr>
            <w:r w:rsidRPr="00A81E54">
              <w:rPr>
                <w:rFonts w:ascii="Calibri" w:hAnsi="Calibri"/>
                <w:color w:val="C00000"/>
              </w:rPr>
              <w:t>278</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8E2F2C" w14:textId="32CAB724" w:rsidR="000131C6" w:rsidRPr="00A81E54" w:rsidRDefault="000131C6" w:rsidP="000131C6">
            <w:pPr>
              <w:spacing w:line="240" w:lineRule="auto"/>
              <w:jc w:val="center"/>
              <w:rPr>
                <w:color w:val="C00000"/>
              </w:rPr>
            </w:pPr>
            <w:r w:rsidRPr="00A81E54">
              <w:rPr>
                <w:rFonts w:ascii="Calibri" w:hAnsi="Calibri"/>
                <w:color w:val="C00000"/>
              </w:rPr>
              <w:t>283-392</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B45A7D" w14:textId="35162E69" w:rsidR="000131C6" w:rsidRPr="00A81E54" w:rsidRDefault="000131C6" w:rsidP="000131C6">
            <w:pPr>
              <w:spacing w:line="240" w:lineRule="auto"/>
              <w:jc w:val="center"/>
              <w:rPr>
                <w:color w:val="C00000"/>
              </w:rPr>
            </w:pPr>
            <w:r w:rsidRPr="00A81E54">
              <w:rPr>
                <w:rFonts w:ascii="Calibri" w:hAnsi="Calibri"/>
                <w:color w:val="C00000"/>
              </w:rPr>
              <w:t>4.07</w:t>
            </w:r>
          </w:p>
        </w:tc>
      </w:tr>
      <w:tr w:rsidR="000131C6" w14:paraId="7F3259A7"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A5E952" w14:textId="77777777" w:rsidR="000131C6" w:rsidRPr="00A81E54" w:rsidRDefault="000131C6" w:rsidP="000131C6">
            <w:pPr>
              <w:spacing w:line="240" w:lineRule="auto"/>
              <w:jc w:val="center"/>
              <w:rPr>
                <w:b/>
                <w:bCs/>
                <w:color w:val="C00000"/>
              </w:rPr>
            </w:pPr>
            <w:r w:rsidRPr="00A81E54">
              <w:rPr>
                <w:b/>
                <w:bCs/>
                <w:color w:val="C00000"/>
              </w:rPr>
              <w:t>70%~80%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4A928" w14:textId="1404495C" w:rsidR="000131C6" w:rsidRPr="00A81E54" w:rsidRDefault="000131C6" w:rsidP="000131C6">
            <w:pPr>
              <w:spacing w:line="240" w:lineRule="auto"/>
              <w:jc w:val="center"/>
              <w:rPr>
                <w:color w:val="C00000"/>
              </w:rPr>
            </w:pPr>
            <w:r w:rsidRPr="00A81E54">
              <w:rPr>
                <w:rFonts w:ascii="Calibri" w:hAnsi="Calibri"/>
                <w:color w:val="C00000"/>
              </w:rPr>
              <w:t>274</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0A5079" w14:textId="3A44E88E" w:rsidR="000131C6" w:rsidRPr="00A81E54" w:rsidRDefault="000131C6" w:rsidP="000131C6">
            <w:pPr>
              <w:spacing w:line="240" w:lineRule="auto"/>
              <w:jc w:val="center"/>
              <w:rPr>
                <w:color w:val="C00000"/>
              </w:rPr>
            </w:pPr>
            <w:r w:rsidRPr="00A81E54">
              <w:rPr>
                <w:rFonts w:ascii="Calibri" w:hAnsi="Calibri"/>
                <w:color w:val="C00000"/>
              </w:rPr>
              <w:t>393-548</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E3635" w14:textId="3E585171" w:rsidR="000131C6" w:rsidRPr="00A81E54" w:rsidRDefault="000131C6" w:rsidP="000131C6">
            <w:pPr>
              <w:spacing w:line="240" w:lineRule="auto"/>
              <w:jc w:val="center"/>
              <w:rPr>
                <w:color w:val="C00000"/>
              </w:rPr>
            </w:pPr>
            <w:r w:rsidRPr="00A81E54">
              <w:rPr>
                <w:rFonts w:ascii="Calibri" w:hAnsi="Calibri"/>
                <w:color w:val="C00000"/>
              </w:rPr>
              <w:t>3.92</w:t>
            </w:r>
          </w:p>
        </w:tc>
      </w:tr>
      <w:tr w:rsidR="000131C6" w14:paraId="683B097F"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9A66A08" w14:textId="77777777" w:rsidR="000131C6" w:rsidRPr="00A81E54" w:rsidRDefault="000131C6" w:rsidP="000131C6">
            <w:pPr>
              <w:spacing w:line="240" w:lineRule="auto"/>
              <w:jc w:val="center"/>
              <w:rPr>
                <w:b/>
                <w:bCs/>
                <w:color w:val="C00000"/>
              </w:rPr>
            </w:pPr>
            <w:r w:rsidRPr="00A81E54">
              <w:rPr>
                <w:b/>
                <w:bCs/>
                <w:color w:val="C00000"/>
              </w:rPr>
              <w:t>80%~90%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E933F" w14:textId="7878F614" w:rsidR="000131C6" w:rsidRPr="00A81E54" w:rsidRDefault="000131C6" w:rsidP="000131C6">
            <w:pPr>
              <w:spacing w:line="240" w:lineRule="auto"/>
              <w:jc w:val="center"/>
              <w:rPr>
                <w:color w:val="C00000"/>
              </w:rPr>
            </w:pPr>
            <w:r w:rsidRPr="00A81E54">
              <w:rPr>
                <w:rFonts w:ascii="Calibri" w:hAnsi="Calibri"/>
                <w:color w:val="C00000"/>
              </w:rPr>
              <w:t>276</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A37F4C" w14:textId="3EEC6FEE" w:rsidR="000131C6" w:rsidRPr="00A81E54" w:rsidRDefault="000131C6" w:rsidP="000131C6">
            <w:pPr>
              <w:spacing w:line="240" w:lineRule="auto"/>
              <w:jc w:val="center"/>
              <w:rPr>
                <w:color w:val="C00000"/>
              </w:rPr>
            </w:pPr>
            <w:r w:rsidRPr="00A81E54">
              <w:rPr>
                <w:rFonts w:ascii="Calibri" w:hAnsi="Calibri"/>
                <w:color w:val="C00000"/>
              </w:rPr>
              <w:t>550-838</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577547" w14:textId="745128E0" w:rsidR="000131C6" w:rsidRPr="00A81E54" w:rsidRDefault="000131C6" w:rsidP="000131C6">
            <w:pPr>
              <w:spacing w:line="240" w:lineRule="auto"/>
              <w:jc w:val="center"/>
              <w:rPr>
                <w:color w:val="C00000"/>
              </w:rPr>
            </w:pPr>
            <w:r w:rsidRPr="00A81E54">
              <w:rPr>
                <w:rFonts w:ascii="Calibri" w:hAnsi="Calibri"/>
                <w:color w:val="C00000"/>
              </w:rPr>
              <w:t>3.92</w:t>
            </w:r>
          </w:p>
        </w:tc>
      </w:tr>
      <w:tr w:rsidR="000131C6" w14:paraId="65008E6A" w14:textId="77777777" w:rsidTr="00130700">
        <w:trPr>
          <w:cantSplit/>
          <w:trHeight w:val="76"/>
          <w:tblHeader/>
        </w:trPr>
        <w:tc>
          <w:tcPr>
            <w:tcW w:w="475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BE82BC6" w14:textId="77777777" w:rsidR="000131C6" w:rsidRPr="00A81E54" w:rsidRDefault="000131C6" w:rsidP="000131C6">
            <w:pPr>
              <w:spacing w:line="240" w:lineRule="auto"/>
              <w:jc w:val="center"/>
              <w:rPr>
                <w:b/>
                <w:bCs/>
                <w:color w:val="C00000"/>
              </w:rPr>
            </w:pPr>
            <w:r w:rsidRPr="00A81E54">
              <w:rPr>
                <w:b/>
                <w:bCs/>
                <w:color w:val="C00000"/>
              </w:rPr>
              <w:t>90%~100%</w:t>
            </w:r>
          </w:p>
        </w:tc>
        <w:tc>
          <w:tcPr>
            <w:tcW w:w="170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E40E37" w14:textId="7B9A6B83" w:rsidR="000131C6" w:rsidRPr="00A81E54" w:rsidRDefault="000131C6" w:rsidP="000131C6">
            <w:pPr>
              <w:spacing w:line="240" w:lineRule="auto"/>
              <w:jc w:val="center"/>
              <w:rPr>
                <w:color w:val="C00000"/>
              </w:rPr>
            </w:pPr>
            <w:r w:rsidRPr="00A81E54">
              <w:rPr>
                <w:rFonts w:ascii="Calibri" w:hAnsi="Calibri"/>
                <w:color w:val="C00000"/>
              </w:rPr>
              <w:t>276</w:t>
            </w:r>
          </w:p>
        </w:tc>
        <w:tc>
          <w:tcPr>
            <w:tcW w:w="182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02322A" w14:textId="2DB8F9A2" w:rsidR="000131C6" w:rsidRPr="00A81E54" w:rsidRDefault="000131C6" w:rsidP="000131C6">
            <w:pPr>
              <w:spacing w:line="240" w:lineRule="auto"/>
              <w:jc w:val="center"/>
              <w:rPr>
                <w:color w:val="C00000"/>
              </w:rPr>
            </w:pPr>
            <w:r w:rsidRPr="00A81E54">
              <w:rPr>
                <w:rFonts w:ascii="Calibri" w:hAnsi="Calibri"/>
                <w:color w:val="C00000"/>
              </w:rPr>
              <w:t>840-9285</w:t>
            </w:r>
          </w:p>
        </w:tc>
        <w:tc>
          <w:tcPr>
            <w:tcW w:w="14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4B5B77" w14:textId="35860F38" w:rsidR="000131C6" w:rsidRPr="00A81E54" w:rsidRDefault="000131C6" w:rsidP="000131C6">
            <w:pPr>
              <w:spacing w:line="240" w:lineRule="auto"/>
              <w:jc w:val="center"/>
              <w:rPr>
                <w:color w:val="C00000"/>
              </w:rPr>
            </w:pPr>
            <w:r w:rsidRPr="00A81E54">
              <w:rPr>
                <w:rFonts w:ascii="Calibri" w:hAnsi="Calibri"/>
                <w:color w:val="C00000"/>
              </w:rPr>
              <w:t>3.72</w:t>
            </w:r>
          </w:p>
        </w:tc>
      </w:tr>
    </w:tbl>
    <w:p w14:paraId="700E4B16" w14:textId="77777777" w:rsidR="008A6880" w:rsidRDefault="008A6880" w:rsidP="008A6880">
      <w:pPr>
        <w:spacing w:line="240" w:lineRule="auto"/>
        <w:rPr>
          <w:rFonts w:cstheme="minorHAnsi"/>
          <w:b/>
          <w:bCs/>
        </w:rPr>
      </w:pPr>
    </w:p>
    <w:p w14:paraId="6F45FBEE" w14:textId="77777777" w:rsidR="008A6880" w:rsidRPr="008A6880" w:rsidRDefault="008A6880" w:rsidP="008A6880">
      <w:pPr>
        <w:spacing w:line="240" w:lineRule="auto"/>
        <w:rPr>
          <w:rFonts w:cstheme="minorHAnsi"/>
          <w:color w:val="00B0F0"/>
          <w:u w:val="single"/>
        </w:rPr>
      </w:pPr>
      <w:r w:rsidRPr="008A6880">
        <w:rPr>
          <w:rFonts w:cstheme="minorHAnsi"/>
          <w:color w:val="00B0F0"/>
          <w:u w:val="single"/>
        </w:rPr>
        <w:t>Validity of the Outcome</w:t>
      </w:r>
    </w:p>
    <w:p w14:paraId="0BF271D7" w14:textId="4C4EB077" w:rsidR="008A6880" w:rsidRPr="008A6880" w:rsidRDefault="008A6880" w:rsidP="008A6880">
      <w:pPr>
        <w:spacing w:line="240" w:lineRule="auto"/>
        <w:rPr>
          <w:rFonts w:cstheme="minorHAnsi"/>
          <w:color w:val="00B0F0"/>
        </w:rPr>
      </w:pPr>
      <w:r>
        <w:rPr>
          <w:rFonts w:cstheme="minorHAnsi"/>
          <w:color w:val="00B0F0"/>
        </w:rPr>
        <w:t>As described earlier, i</w:t>
      </w:r>
      <w:r w:rsidRPr="008A6880">
        <w:rPr>
          <w:rFonts w:cstheme="minorHAnsi"/>
          <w:color w:val="00B0F0"/>
        </w:rPr>
        <w:t>n past analyses</w:t>
      </w:r>
      <w:r>
        <w:rPr>
          <w:rFonts w:cstheme="minorHAnsi"/>
          <w:color w:val="00B0F0"/>
        </w:rPr>
        <w:t xml:space="preserve"> we </w:t>
      </w:r>
      <w:r w:rsidRPr="008A6880">
        <w:rPr>
          <w:rFonts w:cstheme="minorHAnsi"/>
          <w:color w:val="00B0F0"/>
        </w:rPr>
        <w:t>examined the top reasons (diagnosis discharge</w:t>
      </w:r>
      <w:r>
        <w:rPr>
          <w:rFonts w:cstheme="minorHAnsi"/>
          <w:color w:val="00B0F0"/>
        </w:rPr>
        <w:t xml:space="preserve"> category or CCS) related to a</w:t>
      </w:r>
      <w:r w:rsidRPr="008A6880">
        <w:rPr>
          <w:rFonts w:cstheme="minorHAnsi"/>
          <w:color w:val="00B0F0"/>
        </w:rPr>
        <w:t xml:space="preserve"> readmissio</w:t>
      </w:r>
      <w:r>
        <w:rPr>
          <w:rFonts w:cstheme="minorHAnsi"/>
          <w:color w:val="00B0F0"/>
        </w:rPr>
        <w:t>n following a THA/TKA procedure (Table 4)</w:t>
      </w:r>
      <w:r w:rsidRPr="008A6880">
        <w:rPr>
          <w:rFonts w:cstheme="minorHAnsi"/>
          <w:color w:val="00B0F0"/>
        </w:rPr>
        <w:t xml:space="preserve">.  These results suggest that more than half of the reasons for return to the hospital were related to a complication from the procedure. </w:t>
      </w:r>
    </w:p>
    <w:p w14:paraId="6F05EAB8" w14:textId="49097ABA" w:rsidR="008A6880" w:rsidRPr="008A6880" w:rsidRDefault="008A6880" w:rsidP="008A6880">
      <w:pPr>
        <w:pStyle w:val="Caption"/>
        <w:keepNext/>
        <w:rPr>
          <w:color w:val="00B0F0"/>
        </w:rPr>
      </w:pPr>
      <w:r w:rsidRPr="008A6880">
        <w:rPr>
          <w:i w:val="0"/>
          <w:color w:val="00B0F0"/>
          <w:sz w:val="22"/>
          <w:szCs w:val="22"/>
        </w:rPr>
        <w:t xml:space="preserve">Table </w:t>
      </w:r>
      <w:r>
        <w:rPr>
          <w:i w:val="0"/>
          <w:color w:val="00B0F0"/>
          <w:sz w:val="22"/>
          <w:szCs w:val="22"/>
        </w:rPr>
        <w:t>4</w:t>
      </w:r>
      <w:r w:rsidRPr="008A6880">
        <w:rPr>
          <w:i w:val="0"/>
          <w:color w:val="00B0F0"/>
          <w:sz w:val="22"/>
          <w:szCs w:val="22"/>
        </w:rPr>
        <w:t>. Discharge diagnosis categories (CCSs) for Medicare FFFS patients readmitted to hospitals within 30 days following THA or TKA procedure (2013-2016)</w:t>
      </w:r>
    </w:p>
    <w:tbl>
      <w:tblPr>
        <w:tblStyle w:val="TableGrid"/>
        <w:tblW w:w="0" w:type="auto"/>
        <w:tblLook w:val="04A0" w:firstRow="1" w:lastRow="0" w:firstColumn="1" w:lastColumn="0" w:noHBand="0" w:noVBand="1"/>
      </w:tblPr>
      <w:tblGrid>
        <w:gridCol w:w="1075"/>
        <w:gridCol w:w="1439"/>
        <w:gridCol w:w="2052"/>
        <w:gridCol w:w="4784"/>
      </w:tblGrid>
      <w:tr w:rsidR="008A6880" w:rsidRPr="008A6880" w14:paraId="041C7976" w14:textId="77777777" w:rsidTr="008A6880">
        <w:trPr>
          <w:trHeight w:val="300"/>
        </w:trPr>
        <w:tc>
          <w:tcPr>
            <w:tcW w:w="1075" w:type="dxa"/>
            <w:shd w:val="clear" w:color="auto" w:fill="D9D9D9" w:themeFill="background1" w:themeFillShade="D9"/>
            <w:noWrap/>
            <w:hideMark/>
          </w:tcPr>
          <w:p w14:paraId="510A75BA" w14:textId="77777777" w:rsidR="008A6880" w:rsidRPr="008A6880" w:rsidRDefault="008A6880" w:rsidP="008A6880">
            <w:pPr>
              <w:jc w:val="center"/>
              <w:rPr>
                <w:b/>
                <w:color w:val="00B0F0"/>
              </w:rPr>
            </w:pPr>
            <w:bookmarkStart w:id="30" w:name="RANGE!A1:D31"/>
            <w:r w:rsidRPr="008A6880">
              <w:rPr>
                <w:b/>
                <w:color w:val="00B0F0"/>
              </w:rPr>
              <w:t>COUNT</w:t>
            </w:r>
            <w:bookmarkEnd w:id="30"/>
          </w:p>
        </w:tc>
        <w:tc>
          <w:tcPr>
            <w:tcW w:w="1439" w:type="dxa"/>
            <w:shd w:val="clear" w:color="auto" w:fill="D9D9D9" w:themeFill="background1" w:themeFillShade="D9"/>
            <w:noWrap/>
            <w:hideMark/>
          </w:tcPr>
          <w:p w14:paraId="1953352B" w14:textId="77777777" w:rsidR="008A6880" w:rsidRPr="008A6880" w:rsidRDefault="008A6880" w:rsidP="008A6880">
            <w:pPr>
              <w:jc w:val="center"/>
              <w:rPr>
                <w:b/>
                <w:color w:val="00B0F0"/>
              </w:rPr>
            </w:pPr>
            <w:r w:rsidRPr="008A6880">
              <w:rPr>
                <w:b/>
                <w:color w:val="00B0F0"/>
              </w:rPr>
              <w:t>PERCENT (%)</w:t>
            </w:r>
          </w:p>
        </w:tc>
        <w:tc>
          <w:tcPr>
            <w:tcW w:w="2052" w:type="dxa"/>
            <w:shd w:val="clear" w:color="auto" w:fill="D9D9D9" w:themeFill="background1" w:themeFillShade="D9"/>
            <w:noWrap/>
            <w:hideMark/>
          </w:tcPr>
          <w:p w14:paraId="282B68DF" w14:textId="77777777" w:rsidR="008A6880" w:rsidRPr="008A6880" w:rsidRDefault="008A6880" w:rsidP="008A6880">
            <w:pPr>
              <w:jc w:val="center"/>
              <w:rPr>
                <w:b/>
                <w:color w:val="00B0F0"/>
              </w:rPr>
            </w:pPr>
            <w:r w:rsidRPr="008A6880">
              <w:rPr>
                <w:b/>
                <w:color w:val="00B0F0"/>
              </w:rPr>
              <w:t>CCS_CATEGORY</w:t>
            </w:r>
          </w:p>
        </w:tc>
        <w:tc>
          <w:tcPr>
            <w:tcW w:w="4784" w:type="dxa"/>
            <w:shd w:val="clear" w:color="auto" w:fill="D9D9D9" w:themeFill="background1" w:themeFillShade="D9"/>
            <w:noWrap/>
            <w:hideMark/>
          </w:tcPr>
          <w:p w14:paraId="2462F9F9" w14:textId="77777777" w:rsidR="008A6880" w:rsidRPr="008A6880" w:rsidRDefault="008A6880" w:rsidP="008A6880">
            <w:pPr>
              <w:rPr>
                <w:b/>
                <w:color w:val="00B0F0"/>
              </w:rPr>
            </w:pPr>
            <w:r w:rsidRPr="008A6880">
              <w:rPr>
                <w:b/>
                <w:color w:val="00B0F0"/>
              </w:rPr>
              <w:t>CCS_CATEGORY_DESCRIPTION</w:t>
            </w:r>
          </w:p>
        </w:tc>
      </w:tr>
      <w:tr w:rsidR="008A6880" w:rsidRPr="008A6880" w14:paraId="70C8227B" w14:textId="77777777" w:rsidTr="008A6880">
        <w:trPr>
          <w:trHeight w:val="300"/>
        </w:trPr>
        <w:tc>
          <w:tcPr>
            <w:tcW w:w="1075" w:type="dxa"/>
            <w:noWrap/>
            <w:hideMark/>
          </w:tcPr>
          <w:p w14:paraId="536C5997" w14:textId="77777777" w:rsidR="008A6880" w:rsidRPr="008A6880" w:rsidRDefault="008A6880" w:rsidP="008A6880">
            <w:pPr>
              <w:jc w:val="center"/>
              <w:rPr>
                <w:color w:val="00B0F0"/>
              </w:rPr>
            </w:pPr>
            <w:r w:rsidRPr="008A6880">
              <w:rPr>
                <w:color w:val="00B0F0"/>
              </w:rPr>
              <w:t>3584</w:t>
            </w:r>
          </w:p>
        </w:tc>
        <w:tc>
          <w:tcPr>
            <w:tcW w:w="1439" w:type="dxa"/>
            <w:noWrap/>
            <w:hideMark/>
          </w:tcPr>
          <w:p w14:paraId="7EB5D8C2" w14:textId="77777777" w:rsidR="008A6880" w:rsidRPr="008A6880" w:rsidRDefault="008A6880" w:rsidP="008A6880">
            <w:pPr>
              <w:jc w:val="center"/>
              <w:rPr>
                <w:color w:val="00B0F0"/>
              </w:rPr>
            </w:pPr>
            <w:r w:rsidRPr="008A6880">
              <w:rPr>
                <w:color w:val="00B0F0"/>
              </w:rPr>
              <w:t>25</w:t>
            </w:r>
          </w:p>
        </w:tc>
        <w:tc>
          <w:tcPr>
            <w:tcW w:w="2052" w:type="dxa"/>
            <w:noWrap/>
            <w:hideMark/>
          </w:tcPr>
          <w:p w14:paraId="214981B1" w14:textId="77777777" w:rsidR="008A6880" w:rsidRPr="008A6880" w:rsidRDefault="008A6880" w:rsidP="008A6880">
            <w:pPr>
              <w:jc w:val="center"/>
              <w:rPr>
                <w:color w:val="00B0F0"/>
              </w:rPr>
            </w:pPr>
            <w:r w:rsidRPr="008A6880">
              <w:rPr>
                <w:color w:val="00B0F0"/>
              </w:rPr>
              <w:t>237</w:t>
            </w:r>
          </w:p>
        </w:tc>
        <w:tc>
          <w:tcPr>
            <w:tcW w:w="4784" w:type="dxa"/>
            <w:noWrap/>
            <w:hideMark/>
          </w:tcPr>
          <w:p w14:paraId="1C01167B" w14:textId="77777777" w:rsidR="008A6880" w:rsidRPr="008A6880" w:rsidRDefault="008A6880" w:rsidP="008A6880">
            <w:pPr>
              <w:rPr>
                <w:color w:val="00B0F0"/>
              </w:rPr>
            </w:pPr>
            <w:r w:rsidRPr="008A6880">
              <w:rPr>
                <w:color w:val="00B0F0"/>
              </w:rPr>
              <w:t>Complication of device; implant or graft</w:t>
            </w:r>
          </w:p>
        </w:tc>
      </w:tr>
      <w:tr w:rsidR="008A6880" w:rsidRPr="008A6880" w14:paraId="4ACC4144" w14:textId="77777777" w:rsidTr="008A6880">
        <w:trPr>
          <w:trHeight w:val="300"/>
        </w:trPr>
        <w:tc>
          <w:tcPr>
            <w:tcW w:w="1075" w:type="dxa"/>
            <w:noWrap/>
            <w:hideMark/>
          </w:tcPr>
          <w:p w14:paraId="48DFB28F" w14:textId="77777777" w:rsidR="008A6880" w:rsidRPr="008A6880" w:rsidRDefault="008A6880" w:rsidP="008A6880">
            <w:pPr>
              <w:jc w:val="center"/>
              <w:rPr>
                <w:color w:val="00B0F0"/>
              </w:rPr>
            </w:pPr>
            <w:r w:rsidRPr="008A6880">
              <w:rPr>
                <w:color w:val="00B0F0"/>
              </w:rPr>
              <w:t>2027</w:t>
            </w:r>
          </w:p>
        </w:tc>
        <w:tc>
          <w:tcPr>
            <w:tcW w:w="1439" w:type="dxa"/>
            <w:noWrap/>
            <w:hideMark/>
          </w:tcPr>
          <w:p w14:paraId="48D1E4C0" w14:textId="77777777" w:rsidR="008A6880" w:rsidRPr="008A6880" w:rsidRDefault="008A6880" w:rsidP="008A6880">
            <w:pPr>
              <w:jc w:val="center"/>
              <w:rPr>
                <w:color w:val="00B0F0"/>
              </w:rPr>
            </w:pPr>
            <w:r w:rsidRPr="008A6880">
              <w:rPr>
                <w:color w:val="00B0F0"/>
              </w:rPr>
              <w:t>14</w:t>
            </w:r>
          </w:p>
        </w:tc>
        <w:tc>
          <w:tcPr>
            <w:tcW w:w="2052" w:type="dxa"/>
            <w:noWrap/>
            <w:hideMark/>
          </w:tcPr>
          <w:p w14:paraId="37417A8F" w14:textId="77777777" w:rsidR="008A6880" w:rsidRPr="008A6880" w:rsidRDefault="008A6880" w:rsidP="008A6880">
            <w:pPr>
              <w:jc w:val="center"/>
              <w:rPr>
                <w:color w:val="00B0F0"/>
              </w:rPr>
            </w:pPr>
            <w:r w:rsidRPr="008A6880">
              <w:rPr>
                <w:color w:val="00B0F0"/>
              </w:rPr>
              <w:t>238</w:t>
            </w:r>
          </w:p>
        </w:tc>
        <w:tc>
          <w:tcPr>
            <w:tcW w:w="4784" w:type="dxa"/>
            <w:noWrap/>
            <w:hideMark/>
          </w:tcPr>
          <w:p w14:paraId="66078D7F" w14:textId="77777777" w:rsidR="008A6880" w:rsidRPr="008A6880" w:rsidRDefault="008A6880" w:rsidP="008A6880">
            <w:pPr>
              <w:rPr>
                <w:color w:val="00B0F0"/>
              </w:rPr>
            </w:pPr>
            <w:r w:rsidRPr="008A6880">
              <w:rPr>
                <w:color w:val="00B0F0"/>
              </w:rPr>
              <w:t>Complications of surgical procedures or medical care</w:t>
            </w:r>
          </w:p>
        </w:tc>
      </w:tr>
      <w:tr w:rsidR="008A6880" w:rsidRPr="008A6880" w14:paraId="542C13A4" w14:textId="77777777" w:rsidTr="008A6880">
        <w:trPr>
          <w:trHeight w:val="300"/>
        </w:trPr>
        <w:tc>
          <w:tcPr>
            <w:tcW w:w="1075" w:type="dxa"/>
            <w:noWrap/>
            <w:hideMark/>
          </w:tcPr>
          <w:p w14:paraId="18F09869" w14:textId="77777777" w:rsidR="008A6880" w:rsidRPr="008A6880" w:rsidRDefault="008A6880" w:rsidP="008A6880">
            <w:pPr>
              <w:jc w:val="center"/>
              <w:rPr>
                <w:color w:val="00B0F0"/>
              </w:rPr>
            </w:pPr>
            <w:r w:rsidRPr="008A6880">
              <w:rPr>
                <w:color w:val="00B0F0"/>
              </w:rPr>
              <w:t>785</w:t>
            </w:r>
          </w:p>
        </w:tc>
        <w:tc>
          <w:tcPr>
            <w:tcW w:w="1439" w:type="dxa"/>
            <w:noWrap/>
            <w:hideMark/>
          </w:tcPr>
          <w:p w14:paraId="6113AB4A" w14:textId="77777777" w:rsidR="008A6880" w:rsidRPr="008A6880" w:rsidRDefault="008A6880" w:rsidP="008A6880">
            <w:pPr>
              <w:jc w:val="center"/>
              <w:rPr>
                <w:color w:val="00B0F0"/>
              </w:rPr>
            </w:pPr>
            <w:r w:rsidRPr="008A6880">
              <w:rPr>
                <w:color w:val="00B0F0"/>
              </w:rPr>
              <w:t>5</w:t>
            </w:r>
          </w:p>
        </w:tc>
        <w:tc>
          <w:tcPr>
            <w:tcW w:w="2052" w:type="dxa"/>
            <w:noWrap/>
            <w:hideMark/>
          </w:tcPr>
          <w:p w14:paraId="4A9F2A19" w14:textId="77777777" w:rsidR="008A6880" w:rsidRPr="008A6880" w:rsidRDefault="008A6880" w:rsidP="008A6880">
            <w:pPr>
              <w:jc w:val="center"/>
              <w:rPr>
                <w:color w:val="00B0F0"/>
              </w:rPr>
            </w:pPr>
            <w:r w:rsidRPr="008A6880">
              <w:rPr>
                <w:color w:val="00B0F0"/>
              </w:rPr>
              <w:t>2</w:t>
            </w:r>
          </w:p>
        </w:tc>
        <w:tc>
          <w:tcPr>
            <w:tcW w:w="4784" w:type="dxa"/>
            <w:noWrap/>
            <w:hideMark/>
          </w:tcPr>
          <w:p w14:paraId="571ED05B" w14:textId="77777777" w:rsidR="008A6880" w:rsidRPr="008A6880" w:rsidRDefault="008A6880" w:rsidP="008A6880">
            <w:pPr>
              <w:rPr>
                <w:color w:val="00B0F0"/>
              </w:rPr>
            </w:pPr>
            <w:r w:rsidRPr="008A6880">
              <w:rPr>
                <w:color w:val="00B0F0"/>
              </w:rPr>
              <w:t>Septicemia (except in labor)</w:t>
            </w:r>
          </w:p>
        </w:tc>
      </w:tr>
      <w:tr w:rsidR="008A6880" w:rsidRPr="008A6880" w14:paraId="41E45397" w14:textId="77777777" w:rsidTr="008A6880">
        <w:trPr>
          <w:trHeight w:val="300"/>
        </w:trPr>
        <w:tc>
          <w:tcPr>
            <w:tcW w:w="1075" w:type="dxa"/>
            <w:noWrap/>
            <w:hideMark/>
          </w:tcPr>
          <w:p w14:paraId="39FA5997" w14:textId="77777777" w:rsidR="008A6880" w:rsidRPr="008A6880" w:rsidRDefault="008A6880" w:rsidP="008A6880">
            <w:pPr>
              <w:jc w:val="center"/>
              <w:rPr>
                <w:color w:val="00B0F0"/>
              </w:rPr>
            </w:pPr>
            <w:r w:rsidRPr="008A6880">
              <w:rPr>
                <w:color w:val="00B0F0"/>
              </w:rPr>
              <w:t>517</w:t>
            </w:r>
          </w:p>
        </w:tc>
        <w:tc>
          <w:tcPr>
            <w:tcW w:w="1439" w:type="dxa"/>
            <w:noWrap/>
            <w:hideMark/>
          </w:tcPr>
          <w:p w14:paraId="544BB59E" w14:textId="77777777" w:rsidR="008A6880" w:rsidRPr="008A6880" w:rsidRDefault="008A6880" w:rsidP="008A6880">
            <w:pPr>
              <w:jc w:val="center"/>
              <w:rPr>
                <w:color w:val="00B0F0"/>
              </w:rPr>
            </w:pPr>
            <w:r w:rsidRPr="008A6880">
              <w:rPr>
                <w:color w:val="00B0F0"/>
              </w:rPr>
              <w:t>4</w:t>
            </w:r>
          </w:p>
        </w:tc>
        <w:tc>
          <w:tcPr>
            <w:tcW w:w="2052" w:type="dxa"/>
            <w:noWrap/>
            <w:hideMark/>
          </w:tcPr>
          <w:p w14:paraId="77835E57" w14:textId="77777777" w:rsidR="008A6880" w:rsidRPr="008A6880" w:rsidRDefault="008A6880" w:rsidP="008A6880">
            <w:pPr>
              <w:jc w:val="center"/>
              <w:rPr>
                <w:color w:val="00B0F0"/>
              </w:rPr>
            </w:pPr>
            <w:r w:rsidRPr="008A6880">
              <w:rPr>
                <w:color w:val="00B0F0"/>
              </w:rPr>
              <w:t>153</w:t>
            </w:r>
          </w:p>
        </w:tc>
        <w:tc>
          <w:tcPr>
            <w:tcW w:w="4784" w:type="dxa"/>
            <w:noWrap/>
            <w:hideMark/>
          </w:tcPr>
          <w:p w14:paraId="05C717AF" w14:textId="77777777" w:rsidR="008A6880" w:rsidRPr="008A6880" w:rsidRDefault="008A6880" w:rsidP="008A6880">
            <w:pPr>
              <w:rPr>
                <w:color w:val="00B0F0"/>
              </w:rPr>
            </w:pPr>
            <w:r w:rsidRPr="008A6880">
              <w:rPr>
                <w:color w:val="00B0F0"/>
              </w:rPr>
              <w:t>Gastrointestinal hemorrhage</w:t>
            </w:r>
          </w:p>
        </w:tc>
      </w:tr>
      <w:tr w:rsidR="008A6880" w:rsidRPr="008A6880" w14:paraId="443FBE78" w14:textId="77777777" w:rsidTr="008A6880">
        <w:trPr>
          <w:trHeight w:val="300"/>
        </w:trPr>
        <w:tc>
          <w:tcPr>
            <w:tcW w:w="1075" w:type="dxa"/>
            <w:noWrap/>
            <w:hideMark/>
          </w:tcPr>
          <w:p w14:paraId="6F67987A" w14:textId="77777777" w:rsidR="008A6880" w:rsidRPr="008A6880" w:rsidRDefault="008A6880" w:rsidP="008A6880">
            <w:pPr>
              <w:jc w:val="center"/>
              <w:rPr>
                <w:color w:val="00B0F0"/>
              </w:rPr>
            </w:pPr>
            <w:r w:rsidRPr="008A6880">
              <w:rPr>
                <w:color w:val="00B0F0"/>
              </w:rPr>
              <w:t>506</w:t>
            </w:r>
          </w:p>
        </w:tc>
        <w:tc>
          <w:tcPr>
            <w:tcW w:w="1439" w:type="dxa"/>
            <w:noWrap/>
            <w:hideMark/>
          </w:tcPr>
          <w:p w14:paraId="74516B3D" w14:textId="77777777" w:rsidR="008A6880" w:rsidRPr="008A6880" w:rsidRDefault="008A6880" w:rsidP="008A6880">
            <w:pPr>
              <w:jc w:val="center"/>
              <w:rPr>
                <w:color w:val="00B0F0"/>
              </w:rPr>
            </w:pPr>
            <w:r w:rsidRPr="008A6880">
              <w:rPr>
                <w:color w:val="00B0F0"/>
              </w:rPr>
              <w:t>4</w:t>
            </w:r>
          </w:p>
        </w:tc>
        <w:tc>
          <w:tcPr>
            <w:tcW w:w="2052" w:type="dxa"/>
            <w:noWrap/>
            <w:hideMark/>
          </w:tcPr>
          <w:p w14:paraId="728C0B27" w14:textId="77777777" w:rsidR="008A6880" w:rsidRPr="008A6880" w:rsidRDefault="008A6880" w:rsidP="008A6880">
            <w:pPr>
              <w:jc w:val="center"/>
              <w:rPr>
                <w:color w:val="00B0F0"/>
              </w:rPr>
            </w:pPr>
            <w:r w:rsidRPr="008A6880">
              <w:rPr>
                <w:color w:val="00B0F0"/>
              </w:rPr>
              <w:t>106</w:t>
            </w:r>
          </w:p>
        </w:tc>
        <w:tc>
          <w:tcPr>
            <w:tcW w:w="4784" w:type="dxa"/>
            <w:noWrap/>
            <w:hideMark/>
          </w:tcPr>
          <w:p w14:paraId="0194CB16" w14:textId="77777777" w:rsidR="008A6880" w:rsidRPr="008A6880" w:rsidRDefault="008A6880" w:rsidP="008A6880">
            <w:pPr>
              <w:rPr>
                <w:color w:val="00B0F0"/>
              </w:rPr>
            </w:pPr>
            <w:r w:rsidRPr="008A6880">
              <w:rPr>
                <w:color w:val="00B0F0"/>
              </w:rPr>
              <w:t>Cardiac dysrhythmias</w:t>
            </w:r>
          </w:p>
        </w:tc>
      </w:tr>
      <w:tr w:rsidR="008A6880" w:rsidRPr="008A6880" w14:paraId="426E38FE" w14:textId="77777777" w:rsidTr="008A6880">
        <w:trPr>
          <w:trHeight w:val="300"/>
        </w:trPr>
        <w:tc>
          <w:tcPr>
            <w:tcW w:w="1075" w:type="dxa"/>
            <w:noWrap/>
            <w:hideMark/>
          </w:tcPr>
          <w:p w14:paraId="5C7AD344" w14:textId="77777777" w:rsidR="008A6880" w:rsidRPr="008A6880" w:rsidRDefault="008A6880" w:rsidP="008A6880">
            <w:pPr>
              <w:jc w:val="center"/>
              <w:rPr>
                <w:color w:val="00B0F0"/>
              </w:rPr>
            </w:pPr>
            <w:r w:rsidRPr="008A6880">
              <w:rPr>
                <w:color w:val="00B0F0"/>
              </w:rPr>
              <w:t>429</w:t>
            </w:r>
          </w:p>
        </w:tc>
        <w:tc>
          <w:tcPr>
            <w:tcW w:w="1439" w:type="dxa"/>
            <w:noWrap/>
            <w:hideMark/>
          </w:tcPr>
          <w:p w14:paraId="6F07BC8E" w14:textId="77777777" w:rsidR="008A6880" w:rsidRPr="008A6880" w:rsidRDefault="008A6880" w:rsidP="008A6880">
            <w:pPr>
              <w:jc w:val="center"/>
              <w:rPr>
                <w:color w:val="00B0F0"/>
              </w:rPr>
            </w:pPr>
            <w:r w:rsidRPr="008A6880">
              <w:rPr>
                <w:color w:val="00B0F0"/>
              </w:rPr>
              <w:t>3</w:t>
            </w:r>
          </w:p>
        </w:tc>
        <w:tc>
          <w:tcPr>
            <w:tcW w:w="2052" w:type="dxa"/>
            <w:noWrap/>
            <w:hideMark/>
          </w:tcPr>
          <w:p w14:paraId="16D98029" w14:textId="77777777" w:rsidR="008A6880" w:rsidRPr="008A6880" w:rsidRDefault="008A6880" w:rsidP="008A6880">
            <w:pPr>
              <w:jc w:val="center"/>
              <w:rPr>
                <w:color w:val="00B0F0"/>
              </w:rPr>
            </w:pPr>
            <w:r w:rsidRPr="008A6880">
              <w:rPr>
                <w:color w:val="00B0F0"/>
              </w:rPr>
              <w:t>226</w:t>
            </w:r>
          </w:p>
        </w:tc>
        <w:tc>
          <w:tcPr>
            <w:tcW w:w="4784" w:type="dxa"/>
            <w:noWrap/>
            <w:hideMark/>
          </w:tcPr>
          <w:p w14:paraId="31166004" w14:textId="77777777" w:rsidR="008A6880" w:rsidRPr="008A6880" w:rsidRDefault="008A6880" w:rsidP="008A6880">
            <w:pPr>
              <w:rPr>
                <w:color w:val="00B0F0"/>
              </w:rPr>
            </w:pPr>
            <w:r w:rsidRPr="008A6880">
              <w:rPr>
                <w:color w:val="00B0F0"/>
              </w:rPr>
              <w:t>Fracture of neck of femur (hip)</w:t>
            </w:r>
          </w:p>
        </w:tc>
      </w:tr>
      <w:tr w:rsidR="008A6880" w:rsidRPr="008A6880" w14:paraId="466E6947" w14:textId="77777777" w:rsidTr="008A6880">
        <w:trPr>
          <w:trHeight w:val="300"/>
        </w:trPr>
        <w:tc>
          <w:tcPr>
            <w:tcW w:w="1075" w:type="dxa"/>
            <w:noWrap/>
            <w:hideMark/>
          </w:tcPr>
          <w:p w14:paraId="198D4350" w14:textId="77777777" w:rsidR="008A6880" w:rsidRPr="008A6880" w:rsidRDefault="008A6880" w:rsidP="008A6880">
            <w:pPr>
              <w:jc w:val="center"/>
              <w:rPr>
                <w:color w:val="00B0F0"/>
              </w:rPr>
            </w:pPr>
            <w:r w:rsidRPr="008A6880">
              <w:rPr>
                <w:color w:val="00B0F0"/>
              </w:rPr>
              <w:t>412</w:t>
            </w:r>
          </w:p>
        </w:tc>
        <w:tc>
          <w:tcPr>
            <w:tcW w:w="1439" w:type="dxa"/>
            <w:noWrap/>
            <w:hideMark/>
          </w:tcPr>
          <w:p w14:paraId="5B5C2223" w14:textId="77777777" w:rsidR="008A6880" w:rsidRPr="008A6880" w:rsidRDefault="008A6880" w:rsidP="008A6880">
            <w:pPr>
              <w:jc w:val="center"/>
              <w:rPr>
                <w:color w:val="00B0F0"/>
              </w:rPr>
            </w:pPr>
            <w:r w:rsidRPr="008A6880">
              <w:rPr>
                <w:color w:val="00B0F0"/>
              </w:rPr>
              <w:t>3</w:t>
            </w:r>
          </w:p>
        </w:tc>
        <w:tc>
          <w:tcPr>
            <w:tcW w:w="2052" w:type="dxa"/>
            <w:noWrap/>
            <w:hideMark/>
          </w:tcPr>
          <w:p w14:paraId="78967CE4" w14:textId="77777777" w:rsidR="008A6880" w:rsidRPr="008A6880" w:rsidRDefault="008A6880" w:rsidP="008A6880">
            <w:pPr>
              <w:jc w:val="center"/>
              <w:rPr>
                <w:color w:val="00B0F0"/>
              </w:rPr>
            </w:pPr>
            <w:r w:rsidRPr="008A6880">
              <w:rPr>
                <w:color w:val="00B0F0"/>
              </w:rPr>
              <w:t>108</w:t>
            </w:r>
          </w:p>
        </w:tc>
        <w:tc>
          <w:tcPr>
            <w:tcW w:w="4784" w:type="dxa"/>
            <w:noWrap/>
            <w:hideMark/>
          </w:tcPr>
          <w:p w14:paraId="40423169" w14:textId="77777777" w:rsidR="008A6880" w:rsidRPr="008A6880" w:rsidRDefault="008A6880" w:rsidP="008A6880">
            <w:pPr>
              <w:rPr>
                <w:color w:val="00B0F0"/>
              </w:rPr>
            </w:pPr>
            <w:r w:rsidRPr="008A6880">
              <w:rPr>
                <w:color w:val="00B0F0"/>
              </w:rPr>
              <w:t xml:space="preserve">Congestive heart failure; </w:t>
            </w:r>
            <w:proofErr w:type="spellStart"/>
            <w:r w:rsidRPr="008A6880">
              <w:rPr>
                <w:color w:val="00B0F0"/>
              </w:rPr>
              <w:t>nonhypertensive</w:t>
            </w:r>
            <w:proofErr w:type="spellEnd"/>
          </w:p>
        </w:tc>
      </w:tr>
      <w:tr w:rsidR="008A6880" w:rsidRPr="008A6880" w14:paraId="27149C85" w14:textId="77777777" w:rsidTr="008A6880">
        <w:trPr>
          <w:trHeight w:val="300"/>
        </w:trPr>
        <w:tc>
          <w:tcPr>
            <w:tcW w:w="1075" w:type="dxa"/>
            <w:noWrap/>
            <w:hideMark/>
          </w:tcPr>
          <w:p w14:paraId="14C9A45C" w14:textId="77777777" w:rsidR="008A6880" w:rsidRPr="008A6880" w:rsidRDefault="008A6880" w:rsidP="008A6880">
            <w:pPr>
              <w:jc w:val="center"/>
              <w:rPr>
                <w:color w:val="00B0F0"/>
              </w:rPr>
            </w:pPr>
            <w:r w:rsidRPr="008A6880">
              <w:rPr>
                <w:color w:val="00B0F0"/>
              </w:rPr>
              <w:t>337</w:t>
            </w:r>
          </w:p>
        </w:tc>
        <w:tc>
          <w:tcPr>
            <w:tcW w:w="1439" w:type="dxa"/>
            <w:noWrap/>
            <w:hideMark/>
          </w:tcPr>
          <w:p w14:paraId="16B30F8D" w14:textId="77777777" w:rsidR="008A6880" w:rsidRPr="008A6880" w:rsidRDefault="008A6880" w:rsidP="008A6880">
            <w:pPr>
              <w:jc w:val="center"/>
              <w:rPr>
                <w:color w:val="00B0F0"/>
              </w:rPr>
            </w:pPr>
            <w:r w:rsidRPr="008A6880">
              <w:rPr>
                <w:color w:val="00B0F0"/>
              </w:rPr>
              <w:t>2</w:t>
            </w:r>
          </w:p>
        </w:tc>
        <w:tc>
          <w:tcPr>
            <w:tcW w:w="2052" w:type="dxa"/>
            <w:noWrap/>
            <w:hideMark/>
          </w:tcPr>
          <w:p w14:paraId="6E685B8D" w14:textId="77777777" w:rsidR="008A6880" w:rsidRPr="008A6880" w:rsidRDefault="008A6880" w:rsidP="008A6880">
            <w:pPr>
              <w:jc w:val="center"/>
              <w:rPr>
                <w:color w:val="00B0F0"/>
              </w:rPr>
            </w:pPr>
            <w:r w:rsidRPr="008A6880">
              <w:rPr>
                <w:color w:val="00B0F0"/>
              </w:rPr>
              <w:t>122</w:t>
            </w:r>
          </w:p>
        </w:tc>
        <w:tc>
          <w:tcPr>
            <w:tcW w:w="4784" w:type="dxa"/>
            <w:noWrap/>
            <w:hideMark/>
          </w:tcPr>
          <w:p w14:paraId="348D2D6E" w14:textId="77777777" w:rsidR="008A6880" w:rsidRPr="008A6880" w:rsidRDefault="008A6880" w:rsidP="008A6880">
            <w:pPr>
              <w:rPr>
                <w:color w:val="00B0F0"/>
              </w:rPr>
            </w:pPr>
            <w:r w:rsidRPr="008A6880">
              <w:rPr>
                <w:color w:val="00B0F0"/>
              </w:rPr>
              <w:t>Pneumonia (except that caused by tuberculosis or sexually transmitted disease)</w:t>
            </w:r>
          </w:p>
        </w:tc>
      </w:tr>
      <w:tr w:rsidR="008A6880" w:rsidRPr="008A6880" w14:paraId="16BE8F9F" w14:textId="77777777" w:rsidTr="008A6880">
        <w:trPr>
          <w:trHeight w:val="300"/>
        </w:trPr>
        <w:tc>
          <w:tcPr>
            <w:tcW w:w="1075" w:type="dxa"/>
            <w:noWrap/>
            <w:hideMark/>
          </w:tcPr>
          <w:p w14:paraId="5CC55FB3" w14:textId="77777777" w:rsidR="008A6880" w:rsidRPr="008A6880" w:rsidRDefault="008A6880" w:rsidP="008A6880">
            <w:pPr>
              <w:jc w:val="center"/>
              <w:rPr>
                <w:color w:val="00B0F0"/>
              </w:rPr>
            </w:pPr>
            <w:r w:rsidRPr="008A6880">
              <w:rPr>
                <w:color w:val="00B0F0"/>
              </w:rPr>
              <w:lastRenderedPageBreak/>
              <w:t>287</w:t>
            </w:r>
          </w:p>
        </w:tc>
        <w:tc>
          <w:tcPr>
            <w:tcW w:w="1439" w:type="dxa"/>
            <w:noWrap/>
            <w:hideMark/>
          </w:tcPr>
          <w:p w14:paraId="1AF53783" w14:textId="77777777" w:rsidR="008A6880" w:rsidRPr="008A6880" w:rsidRDefault="008A6880" w:rsidP="008A6880">
            <w:pPr>
              <w:jc w:val="center"/>
              <w:rPr>
                <w:color w:val="00B0F0"/>
              </w:rPr>
            </w:pPr>
            <w:r w:rsidRPr="008A6880">
              <w:rPr>
                <w:color w:val="00B0F0"/>
              </w:rPr>
              <w:t>2</w:t>
            </w:r>
          </w:p>
        </w:tc>
        <w:tc>
          <w:tcPr>
            <w:tcW w:w="2052" w:type="dxa"/>
            <w:noWrap/>
            <w:hideMark/>
          </w:tcPr>
          <w:p w14:paraId="4C5F5C21" w14:textId="77777777" w:rsidR="008A6880" w:rsidRPr="008A6880" w:rsidRDefault="008A6880" w:rsidP="008A6880">
            <w:pPr>
              <w:jc w:val="center"/>
              <w:rPr>
                <w:color w:val="00B0F0"/>
              </w:rPr>
            </w:pPr>
            <w:r w:rsidRPr="008A6880">
              <w:rPr>
                <w:color w:val="00B0F0"/>
              </w:rPr>
              <w:t>157</w:t>
            </w:r>
          </w:p>
        </w:tc>
        <w:tc>
          <w:tcPr>
            <w:tcW w:w="4784" w:type="dxa"/>
            <w:noWrap/>
            <w:hideMark/>
          </w:tcPr>
          <w:p w14:paraId="015E3908" w14:textId="77777777" w:rsidR="008A6880" w:rsidRPr="008A6880" w:rsidRDefault="008A6880" w:rsidP="008A6880">
            <w:pPr>
              <w:rPr>
                <w:color w:val="00B0F0"/>
              </w:rPr>
            </w:pPr>
            <w:r w:rsidRPr="008A6880">
              <w:rPr>
                <w:color w:val="00B0F0"/>
              </w:rPr>
              <w:t>Acute and unspecified renal failure</w:t>
            </w:r>
          </w:p>
        </w:tc>
      </w:tr>
      <w:tr w:rsidR="008A6880" w:rsidRPr="008A6880" w14:paraId="3814D582" w14:textId="77777777" w:rsidTr="008A6880">
        <w:trPr>
          <w:trHeight w:val="300"/>
        </w:trPr>
        <w:tc>
          <w:tcPr>
            <w:tcW w:w="1075" w:type="dxa"/>
            <w:noWrap/>
            <w:hideMark/>
          </w:tcPr>
          <w:p w14:paraId="27988495" w14:textId="77777777" w:rsidR="008A6880" w:rsidRPr="008A6880" w:rsidRDefault="008A6880" w:rsidP="008A6880">
            <w:pPr>
              <w:jc w:val="center"/>
              <w:rPr>
                <w:color w:val="00B0F0"/>
              </w:rPr>
            </w:pPr>
            <w:r w:rsidRPr="008A6880">
              <w:rPr>
                <w:color w:val="00B0F0"/>
              </w:rPr>
              <w:t>276</w:t>
            </w:r>
          </w:p>
        </w:tc>
        <w:tc>
          <w:tcPr>
            <w:tcW w:w="1439" w:type="dxa"/>
            <w:noWrap/>
            <w:hideMark/>
          </w:tcPr>
          <w:p w14:paraId="2123017D" w14:textId="77777777" w:rsidR="008A6880" w:rsidRPr="008A6880" w:rsidRDefault="008A6880" w:rsidP="008A6880">
            <w:pPr>
              <w:jc w:val="center"/>
              <w:rPr>
                <w:color w:val="00B0F0"/>
              </w:rPr>
            </w:pPr>
            <w:r w:rsidRPr="008A6880">
              <w:rPr>
                <w:color w:val="00B0F0"/>
              </w:rPr>
              <w:t>2</w:t>
            </w:r>
          </w:p>
        </w:tc>
        <w:tc>
          <w:tcPr>
            <w:tcW w:w="2052" w:type="dxa"/>
            <w:noWrap/>
            <w:hideMark/>
          </w:tcPr>
          <w:p w14:paraId="56FCE0D4" w14:textId="77777777" w:rsidR="008A6880" w:rsidRPr="008A6880" w:rsidRDefault="008A6880" w:rsidP="008A6880">
            <w:pPr>
              <w:jc w:val="center"/>
              <w:rPr>
                <w:color w:val="00B0F0"/>
              </w:rPr>
            </w:pPr>
            <w:r w:rsidRPr="008A6880">
              <w:rPr>
                <w:color w:val="00B0F0"/>
              </w:rPr>
              <w:t>145</w:t>
            </w:r>
          </w:p>
        </w:tc>
        <w:tc>
          <w:tcPr>
            <w:tcW w:w="4784" w:type="dxa"/>
            <w:noWrap/>
            <w:hideMark/>
          </w:tcPr>
          <w:p w14:paraId="3E4A00FE" w14:textId="77777777" w:rsidR="008A6880" w:rsidRPr="008A6880" w:rsidRDefault="008A6880" w:rsidP="008A6880">
            <w:pPr>
              <w:rPr>
                <w:color w:val="00B0F0"/>
              </w:rPr>
            </w:pPr>
            <w:r w:rsidRPr="008A6880">
              <w:rPr>
                <w:color w:val="00B0F0"/>
              </w:rPr>
              <w:t>Intestinal obstruction without hernia</w:t>
            </w:r>
          </w:p>
        </w:tc>
      </w:tr>
      <w:tr w:rsidR="008A6880" w:rsidRPr="008A6880" w14:paraId="5B821E94" w14:textId="77777777" w:rsidTr="008A6880">
        <w:trPr>
          <w:trHeight w:val="300"/>
        </w:trPr>
        <w:tc>
          <w:tcPr>
            <w:tcW w:w="1075" w:type="dxa"/>
            <w:noWrap/>
            <w:hideMark/>
          </w:tcPr>
          <w:p w14:paraId="124FAFC6" w14:textId="77777777" w:rsidR="008A6880" w:rsidRPr="008A6880" w:rsidRDefault="008A6880" w:rsidP="008A6880">
            <w:pPr>
              <w:jc w:val="center"/>
              <w:rPr>
                <w:color w:val="00B0F0"/>
              </w:rPr>
            </w:pPr>
            <w:r w:rsidRPr="008A6880">
              <w:rPr>
                <w:color w:val="00B0F0"/>
              </w:rPr>
              <w:t>268</w:t>
            </w:r>
          </w:p>
        </w:tc>
        <w:tc>
          <w:tcPr>
            <w:tcW w:w="1439" w:type="dxa"/>
            <w:noWrap/>
            <w:hideMark/>
          </w:tcPr>
          <w:p w14:paraId="161706B7" w14:textId="77777777" w:rsidR="008A6880" w:rsidRPr="008A6880" w:rsidRDefault="008A6880" w:rsidP="008A6880">
            <w:pPr>
              <w:jc w:val="center"/>
              <w:rPr>
                <w:color w:val="00B0F0"/>
              </w:rPr>
            </w:pPr>
            <w:r w:rsidRPr="008A6880">
              <w:rPr>
                <w:color w:val="00B0F0"/>
              </w:rPr>
              <w:t>2</w:t>
            </w:r>
          </w:p>
        </w:tc>
        <w:tc>
          <w:tcPr>
            <w:tcW w:w="2052" w:type="dxa"/>
            <w:noWrap/>
            <w:hideMark/>
          </w:tcPr>
          <w:p w14:paraId="0C694E69" w14:textId="77777777" w:rsidR="008A6880" w:rsidRPr="008A6880" w:rsidRDefault="008A6880" w:rsidP="008A6880">
            <w:pPr>
              <w:jc w:val="center"/>
              <w:rPr>
                <w:color w:val="00B0F0"/>
              </w:rPr>
            </w:pPr>
            <w:r w:rsidRPr="008A6880">
              <w:rPr>
                <w:color w:val="00B0F0"/>
              </w:rPr>
              <w:t>103</w:t>
            </w:r>
          </w:p>
        </w:tc>
        <w:tc>
          <w:tcPr>
            <w:tcW w:w="4784" w:type="dxa"/>
            <w:noWrap/>
            <w:hideMark/>
          </w:tcPr>
          <w:p w14:paraId="3EF1C0E6" w14:textId="77777777" w:rsidR="008A6880" w:rsidRPr="008A6880" w:rsidRDefault="008A6880" w:rsidP="008A6880">
            <w:pPr>
              <w:rPr>
                <w:color w:val="00B0F0"/>
              </w:rPr>
            </w:pPr>
            <w:r w:rsidRPr="008A6880">
              <w:rPr>
                <w:color w:val="00B0F0"/>
              </w:rPr>
              <w:t>Pulmonary heart disease</w:t>
            </w:r>
          </w:p>
        </w:tc>
      </w:tr>
      <w:tr w:rsidR="008A6880" w:rsidRPr="008A6880" w14:paraId="57803B0A" w14:textId="77777777" w:rsidTr="008A6880">
        <w:trPr>
          <w:trHeight w:val="300"/>
        </w:trPr>
        <w:tc>
          <w:tcPr>
            <w:tcW w:w="1075" w:type="dxa"/>
            <w:noWrap/>
            <w:hideMark/>
          </w:tcPr>
          <w:p w14:paraId="29DC0A9B" w14:textId="77777777" w:rsidR="008A6880" w:rsidRPr="008A6880" w:rsidRDefault="008A6880" w:rsidP="008A6880">
            <w:pPr>
              <w:jc w:val="center"/>
              <w:rPr>
                <w:color w:val="00B0F0"/>
              </w:rPr>
            </w:pPr>
            <w:r w:rsidRPr="008A6880">
              <w:rPr>
                <w:color w:val="00B0F0"/>
              </w:rPr>
              <w:t>266</w:t>
            </w:r>
          </w:p>
        </w:tc>
        <w:tc>
          <w:tcPr>
            <w:tcW w:w="1439" w:type="dxa"/>
            <w:noWrap/>
            <w:hideMark/>
          </w:tcPr>
          <w:p w14:paraId="798F92EE" w14:textId="77777777" w:rsidR="008A6880" w:rsidRPr="008A6880" w:rsidRDefault="008A6880" w:rsidP="008A6880">
            <w:pPr>
              <w:jc w:val="center"/>
              <w:rPr>
                <w:color w:val="00B0F0"/>
              </w:rPr>
            </w:pPr>
            <w:r w:rsidRPr="008A6880">
              <w:rPr>
                <w:color w:val="00B0F0"/>
              </w:rPr>
              <w:t>2</w:t>
            </w:r>
          </w:p>
        </w:tc>
        <w:tc>
          <w:tcPr>
            <w:tcW w:w="2052" w:type="dxa"/>
            <w:noWrap/>
            <w:hideMark/>
          </w:tcPr>
          <w:p w14:paraId="14049E43" w14:textId="77777777" w:rsidR="008A6880" w:rsidRPr="008A6880" w:rsidRDefault="008A6880" w:rsidP="008A6880">
            <w:pPr>
              <w:jc w:val="center"/>
              <w:rPr>
                <w:color w:val="00B0F0"/>
              </w:rPr>
            </w:pPr>
            <w:r w:rsidRPr="008A6880">
              <w:rPr>
                <w:color w:val="00B0F0"/>
              </w:rPr>
              <w:t>100</w:t>
            </w:r>
          </w:p>
        </w:tc>
        <w:tc>
          <w:tcPr>
            <w:tcW w:w="4784" w:type="dxa"/>
            <w:noWrap/>
            <w:hideMark/>
          </w:tcPr>
          <w:p w14:paraId="1038361A" w14:textId="77777777" w:rsidR="008A6880" w:rsidRPr="008A6880" w:rsidRDefault="008A6880" w:rsidP="008A6880">
            <w:pPr>
              <w:rPr>
                <w:color w:val="00B0F0"/>
              </w:rPr>
            </w:pPr>
            <w:r w:rsidRPr="008A6880">
              <w:rPr>
                <w:color w:val="00B0F0"/>
              </w:rPr>
              <w:t>Acute myocardial infarction</w:t>
            </w:r>
          </w:p>
        </w:tc>
      </w:tr>
      <w:tr w:rsidR="008A6880" w:rsidRPr="008A6880" w14:paraId="55C75D37" w14:textId="77777777" w:rsidTr="008A6880">
        <w:trPr>
          <w:trHeight w:val="300"/>
        </w:trPr>
        <w:tc>
          <w:tcPr>
            <w:tcW w:w="1075" w:type="dxa"/>
            <w:noWrap/>
            <w:hideMark/>
          </w:tcPr>
          <w:p w14:paraId="6D65E64A" w14:textId="77777777" w:rsidR="008A6880" w:rsidRPr="008A6880" w:rsidRDefault="008A6880" w:rsidP="008A6880">
            <w:pPr>
              <w:jc w:val="center"/>
              <w:rPr>
                <w:color w:val="00B0F0"/>
              </w:rPr>
            </w:pPr>
            <w:r w:rsidRPr="008A6880">
              <w:rPr>
                <w:color w:val="00B0F0"/>
              </w:rPr>
              <w:t>256</w:t>
            </w:r>
          </w:p>
        </w:tc>
        <w:tc>
          <w:tcPr>
            <w:tcW w:w="1439" w:type="dxa"/>
            <w:noWrap/>
            <w:hideMark/>
          </w:tcPr>
          <w:p w14:paraId="7940A827" w14:textId="77777777" w:rsidR="008A6880" w:rsidRPr="008A6880" w:rsidRDefault="008A6880" w:rsidP="008A6880">
            <w:pPr>
              <w:jc w:val="center"/>
              <w:rPr>
                <w:color w:val="00B0F0"/>
              </w:rPr>
            </w:pPr>
            <w:r w:rsidRPr="008A6880">
              <w:rPr>
                <w:color w:val="00B0F0"/>
              </w:rPr>
              <w:t>2</w:t>
            </w:r>
          </w:p>
        </w:tc>
        <w:tc>
          <w:tcPr>
            <w:tcW w:w="2052" w:type="dxa"/>
            <w:noWrap/>
            <w:hideMark/>
          </w:tcPr>
          <w:p w14:paraId="407FE95D" w14:textId="77777777" w:rsidR="008A6880" w:rsidRPr="008A6880" w:rsidRDefault="008A6880" w:rsidP="008A6880">
            <w:pPr>
              <w:jc w:val="center"/>
              <w:rPr>
                <w:color w:val="00B0F0"/>
              </w:rPr>
            </w:pPr>
            <w:r w:rsidRPr="008A6880">
              <w:rPr>
                <w:color w:val="00B0F0"/>
              </w:rPr>
              <w:t>197</w:t>
            </w:r>
          </w:p>
        </w:tc>
        <w:tc>
          <w:tcPr>
            <w:tcW w:w="4784" w:type="dxa"/>
            <w:noWrap/>
            <w:hideMark/>
          </w:tcPr>
          <w:p w14:paraId="06285EBE" w14:textId="77777777" w:rsidR="008A6880" w:rsidRPr="008A6880" w:rsidRDefault="008A6880" w:rsidP="008A6880">
            <w:pPr>
              <w:rPr>
                <w:color w:val="00B0F0"/>
              </w:rPr>
            </w:pPr>
            <w:r w:rsidRPr="008A6880">
              <w:rPr>
                <w:color w:val="00B0F0"/>
              </w:rPr>
              <w:t>Skin and subcutaneous tissue infections</w:t>
            </w:r>
          </w:p>
        </w:tc>
      </w:tr>
      <w:tr w:rsidR="008A6880" w:rsidRPr="008A6880" w14:paraId="2B9B94FF" w14:textId="77777777" w:rsidTr="008A6880">
        <w:trPr>
          <w:trHeight w:val="300"/>
        </w:trPr>
        <w:tc>
          <w:tcPr>
            <w:tcW w:w="1075" w:type="dxa"/>
            <w:noWrap/>
            <w:hideMark/>
          </w:tcPr>
          <w:p w14:paraId="5C4FD7AD" w14:textId="77777777" w:rsidR="008A6880" w:rsidRPr="008A6880" w:rsidRDefault="008A6880" w:rsidP="008A6880">
            <w:pPr>
              <w:jc w:val="center"/>
              <w:rPr>
                <w:color w:val="00B0F0"/>
              </w:rPr>
            </w:pPr>
            <w:r w:rsidRPr="008A6880">
              <w:rPr>
                <w:color w:val="00B0F0"/>
              </w:rPr>
              <w:t>242</w:t>
            </w:r>
          </w:p>
        </w:tc>
        <w:tc>
          <w:tcPr>
            <w:tcW w:w="1439" w:type="dxa"/>
            <w:noWrap/>
            <w:hideMark/>
          </w:tcPr>
          <w:p w14:paraId="7E11F9BC" w14:textId="77777777" w:rsidR="008A6880" w:rsidRPr="008A6880" w:rsidRDefault="008A6880" w:rsidP="008A6880">
            <w:pPr>
              <w:jc w:val="center"/>
              <w:rPr>
                <w:color w:val="00B0F0"/>
              </w:rPr>
            </w:pPr>
            <w:r w:rsidRPr="008A6880">
              <w:rPr>
                <w:color w:val="00B0F0"/>
              </w:rPr>
              <w:t>2</w:t>
            </w:r>
          </w:p>
        </w:tc>
        <w:tc>
          <w:tcPr>
            <w:tcW w:w="2052" w:type="dxa"/>
            <w:noWrap/>
            <w:hideMark/>
          </w:tcPr>
          <w:p w14:paraId="12A6A519" w14:textId="77777777" w:rsidR="008A6880" w:rsidRPr="008A6880" w:rsidRDefault="008A6880" w:rsidP="008A6880">
            <w:pPr>
              <w:jc w:val="center"/>
              <w:rPr>
                <w:color w:val="00B0F0"/>
              </w:rPr>
            </w:pPr>
            <w:r w:rsidRPr="008A6880">
              <w:rPr>
                <w:color w:val="00B0F0"/>
              </w:rPr>
              <w:t>159</w:t>
            </w:r>
          </w:p>
        </w:tc>
        <w:tc>
          <w:tcPr>
            <w:tcW w:w="4784" w:type="dxa"/>
            <w:noWrap/>
            <w:hideMark/>
          </w:tcPr>
          <w:p w14:paraId="1E18770B" w14:textId="77777777" w:rsidR="008A6880" w:rsidRPr="008A6880" w:rsidRDefault="008A6880" w:rsidP="008A6880">
            <w:pPr>
              <w:rPr>
                <w:color w:val="00B0F0"/>
              </w:rPr>
            </w:pPr>
            <w:r w:rsidRPr="008A6880">
              <w:rPr>
                <w:color w:val="00B0F0"/>
              </w:rPr>
              <w:t>Urinary tract infections</w:t>
            </w:r>
          </w:p>
        </w:tc>
      </w:tr>
      <w:tr w:rsidR="008A6880" w:rsidRPr="008A6880" w14:paraId="1B77195F" w14:textId="77777777" w:rsidTr="008A6880">
        <w:trPr>
          <w:trHeight w:val="300"/>
        </w:trPr>
        <w:tc>
          <w:tcPr>
            <w:tcW w:w="1075" w:type="dxa"/>
            <w:noWrap/>
            <w:hideMark/>
          </w:tcPr>
          <w:p w14:paraId="0AAFD6BA" w14:textId="77777777" w:rsidR="008A6880" w:rsidRPr="008A6880" w:rsidRDefault="008A6880" w:rsidP="008A6880">
            <w:pPr>
              <w:jc w:val="center"/>
              <w:rPr>
                <w:color w:val="00B0F0"/>
              </w:rPr>
            </w:pPr>
            <w:r w:rsidRPr="008A6880">
              <w:rPr>
                <w:color w:val="00B0F0"/>
              </w:rPr>
              <w:t>229</w:t>
            </w:r>
          </w:p>
        </w:tc>
        <w:tc>
          <w:tcPr>
            <w:tcW w:w="1439" w:type="dxa"/>
            <w:noWrap/>
            <w:hideMark/>
          </w:tcPr>
          <w:p w14:paraId="16CD5A1D" w14:textId="77777777" w:rsidR="008A6880" w:rsidRPr="008A6880" w:rsidRDefault="008A6880" w:rsidP="008A6880">
            <w:pPr>
              <w:jc w:val="center"/>
              <w:rPr>
                <w:color w:val="00B0F0"/>
              </w:rPr>
            </w:pPr>
            <w:r w:rsidRPr="008A6880">
              <w:rPr>
                <w:color w:val="00B0F0"/>
              </w:rPr>
              <w:t>2</w:t>
            </w:r>
          </w:p>
        </w:tc>
        <w:tc>
          <w:tcPr>
            <w:tcW w:w="2052" w:type="dxa"/>
            <w:noWrap/>
            <w:hideMark/>
          </w:tcPr>
          <w:p w14:paraId="5F06DB62" w14:textId="77777777" w:rsidR="008A6880" w:rsidRPr="008A6880" w:rsidRDefault="008A6880" w:rsidP="008A6880">
            <w:pPr>
              <w:jc w:val="center"/>
              <w:rPr>
                <w:color w:val="00B0F0"/>
              </w:rPr>
            </w:pPr>
            <w:r w:rsidRPr="008A6880">
              <w:rPr>
                <w:color w:val="00B0F0"/>
              </w:rPr>
              <w:t>230</w:t>
            </w:r>
          </w:p>
        </w:tc>
        <w:tc>
          <w:tcPr>
            <w:tcW w:w="4784" w:type="dxa"/>
            <w:noWrap/>
            <w:hideMark/>
          </w:tcPr>
          <w:p w14:paraId="251B1811" w14:textId="77777777" w:rsidR="008A6880" w:rsidRPr="008A6880" w:rsidRDefault="008A6880" w:rsidP="008A6880">
            <w:pPr>
              <w:rPr>
                <w:color w:val="00B0F0"/>
              </w:rPr>
            </w:pPr>
            <w:r w:rsidRPr="008A6880">
              <w:rPr>
                <w:color w:val="00B0F0"/>
              </w:rPr>
              <w:t>Fracture of lower limb</w:t>
            </w:r>
          </w:p>
        </w:tc>
      </w:tr>
      <w:tr w:rsidR="008A6880" w:rsidRPr="008A6880" w14:paraId="26A17A83" w14:textId="77777777" w:rsidTr="008A6880">
        <w:trPr>
          <w:trHeight w:val="300"/>
        </w:trPr>
        <w:tc>
          <w:tcPr>
            <w:tcW w:w="1075" w:type="dxa"/>
            <w:noWrap/>
            <w:hideMark/>
          </w:tcPr>
          <w:p w14:paraId="43151925" w14:textId="77777777" w:rsidR="008A6880" w:rsidRPr="008A6880" w:rsidRDefault="008A6880" w:rsidP="008A6880">
            <w:pPr>
              <w:jc w:val="center"/>
              <w:rPr>
                <w:color w:val="00B0F0"/>
              </w:rPr>
            </w:pPr>
            <w:r w:rsidRPr="008A6880">
              <w:rPr>
                <w:color w:val="00B0F0"/>
              </w:rPr>
              <w:t>217</w:t>
            </w:r>
          </w:p>
        </w:tc>
        <w:tc>
          <w:tcPr>
            <w:tcW w:w="1439" w:type="dxa"/>
            <w:noWrap/>
            <w:hideMark/>
          </w:tcPr>
          <w:p w14:paraId="1B726CCC" w14:textId="77777777" w:rsidR="008A6880" w:rsidRPr="008A6880" w:rsidRDefault="008A6880" w:rsidP="008A6880">
            <w:pPr>
              <w:jc w:val="center"/>
              <w:rPr>
                <w:color w:val="00B0F0"/>
              </w:rPr>
            </w:pPr>
            <w:r w:rsidRPr="008A6880">
              <w:rPr>
                <w:color w:val="00B0F0"/>
              </w:rPr>
              <w:t>2</w:t>
            </w:r>
          </w:p>
        </w:tc>
        <w:tc>
          <w:tcPr>
            <w:tcW w:w="2052" w:type="dxa"/>
            <w:noWrap/>
            <w:hideMark/>
          </w:tcPr>
          <w:p w14:paraId="0FC4851C" w14:textId="77777777" w:rsidR="008A6880" w:rsidRPr="008A6880" w:rsidRDefault="008A6880" w:rsidP="008A6880">
            <w:pPr>
              <w:jc w:val="center"/>
              <w:rPr>
                <w:color w:val="00B0F0"/>
              </w:rPr>
            </w:pPr>
            <w:r w:rsidRPr="008A6880">
              <w:rPr>
                <w:color w:val="00B0F0"/>
              </w:rPr>
              <w:t>60</w:t>
            </w:r>
          </w:p>
        </w:tc>
        <w:tc>
          <w:tcPr>
            <w:tcW w:w="4784" w:type="dxa"/>
            <w:noWrap/>
            <w:hideMark/>
          </w:tcPr>
          <w:p w14:paraId="01334317" w14:textId="77777777" w:rsidR="008A6880" w:rsidRPr="008A6880" w:rsidRDefault="008A6880" w:rsidP="008A6880">
            <w:pPr>
              <w:rPr>
                <w:color w:val="00B0F0"/>
              </w:rPr>
            </w:pPr>
            <w:r w:rsidRPr="008A6880">
              <w:rPr>
                <w:color w:val="00B0F0"/>
              </w:rPr>
              <w:t xml:space="preserve">Acute </w:t>
            </w:r>
            <w:proofErr w:type="spellStart"/>
            <w:r w:rsidRPr="008A6880">
              <w:rPr>
                <w:color w:val="00B0F0"/>
              </w:rPr>
              <w:t>posthemorrhagic</w:t>
            </w:r>
            <w:proofErr w:type="spellEnd"/>
            <w:r w:rsidRPr="008A6880">
              <w:rPr>
                <w:color w:val="00B0F0"/>
              </w:rPr>
              <w:t xml:space="preserve"> anemia</w:t>
            </w:r>
          </w:p>
        </w:tc>
      </w:tr>
      <w:tr w:rsidR="008A6880" w:rsidRPr="008A6880" w14:paraId="1C305F29" w14:textId="77777777" w:rsidTr="008A6880">
        <w:trPr>
          <w:trHeight w:val="300"/>
        </w:trPr>
        <w:tc>
          <w:tcPr>
            <w:tcW w:w="1075" w:type="dxa"/>
            <w:noWrap/>
            <w:hideMark/>
          </w:tcPr>
          <w:p w14:paraId="1BE5AD10" w14:textId="77777777" w:rsidR="008A6880" w:rsidRPr="008A6880" w:rsidRDefault="008A6880" w:rsidP="008A6880">
            <w:pPr>
              <w:jc w:val="center"/>
              <w:rPr>
                <w:color w:val="00B0F0"/>
              </w:rPr>
            </w:pPr>
            <w:r w:rsidRPr="008A6880">
              <w:rPr>
                <w:color w:val="00B0F0"/>
              </w:rPr>
              <w:t>201</w:t>
            </w:r>
          </w:p>
        </w:tc>
        <w:tc>
          <w:tcPr>
            <w:tcW w:w="1439" w:type="dxa"/>
            <w:noWrap/>
            <w:hideMark/>
          </w:tcPr>
          <w:p w14:paraId="552D0A01" w14:textId="77777777" w:rsidR="008A6880" w:rsidRPr="008A6880" w:rsidRDefault="008A6880" w:rsidP="008A6880">
            <w:pPr>
              <w:jc w:val="center"/>
              <w:rPr>
                <w:color w:val="00B0F0"/>
              </w:rPr>
            </w:pPr>
            <w:r w:rsidRPr="008A6880">
              <w:rPr>
                <w:color w:val="00B0F0"/>
              </w:rPr>
              <w:t>1</w:t>
            </w:r>
          </w:p>
        </w:tc>
        <w:tc>
          <w:tcPr>
            <w:tcW w:w="2052" w:type="dxa"/>
            <w:noWrap/>
            <w:hideMark/>
          </w:tcPr>
          <w:p w14:paraId="3BE599A0" w14:textId="77777777" w:rsidR="008A6880" w:rsidRPr="008A6880" w:rsidRDefault="008A6880" w:rsidP="008A6880">
            <w:pPr>
              <w:jc w:val="center"/>
              <w:rPr>
                <w:color w:val="00B0F0"/>
              </w:rPr>
            </w:pPr>
            <w:r w:rsidRPr="008A6880">
              <w:rPr>
                <w:color w:val="00B0F0"/>
              </w:rPr>
              <w:t>118</w:t>
            </w:r>
          </w:p>
        </w:tc>
        <w:tc>
          <w:tcPr>
            <w:tcW w:w="4784" w:type="dxa"/>
            <w:noWrap/>
            <w:hideMark/>
          </w:tcPr>
          <w:p w14:paraId="72435568" w14:textId="77777777" w:rsidR="008A6880" w:rsidRPr="008A6880" w:rsidRDefault="008A6880" w:rsidP="008A6880">
            <w:pPr>
              <w:rPr>
                <w:color w:val="00B0F0"/>
              </w:rPr>
            </w:pPr>
            <w:r w:rsidRPr="008A6880">
              <w:rPr>
                <w:color w:val="00B0F0"/>
              </w:rPr>
              <w:t>Phlebitis; thrombophlebitis and thromboembolism</w:t>
            </w:r>
          </w:p>
        </w:tc>
      </w:tr>
      <w:tr w:rsidR="008A6880" w:rsidRPr="008A6880" w14:paraId="007FC75F" w14:textId="77777777" w:rsidTr="008A6880">
        <w:trPr>
          <w:trHeight w:val="300"/>
        </w:trPr>
        <w:tc>
          <w:tcPr>
            <w:tcW w:w="1075" w:type="dxa"/>
            <w:noWrap/>
            <w:hideMark/>
          </w:tcPr>
          <w:p w14:paraId="06BF5C6C" w14:textId="77777777" w:rsidR="008A6880" w:rsidRPr="008A6880" w:rsidRDefault="008A6880" w:rsidP="008A6880">
            <w:pPr>
              <w:jc w:val="center"/>
              <w:rPr>
                <w:color w:val="00B0F0"/>
              </w:rPr>
            </w:pPr>
            <w:r w:rsidRPr="008A6880">
              <w:rPr>
                <w:color w:val="00B0F0"/>
              </w:rPr>
              <w:t>193</w:t>
            </w:r>
          </w:p>
        </w:tc>
        <w:tc>
          <w:tcPr>
            <w:tcW w:w="1439" w:type="dxa"/>
            <w:noWrap/>
            <w:hideMark/>
          </w:tcPr>
          <w:p w14:paraId="76495B5F" w14:textId="77777777" w:rsidR="008A6880" w:rsidRPr="008A6880" w:rsidRDefault="008A6880" w:rsidP="008A6880">
            <w:pPr>
              <w:jc w:val="center"/>
              <w:rPr>
                <w:color w:val="00B0F0"/>
              </w:rPr>
            </w:pPr>
            <w:r w:rsidRPr="008A6880">
              <w:rPr>
                <w:color w:val="00B0F0"/>
              </w:rPr>
              <w:t>1</w:t>
            </w:r>
          </w:p>
        </w:tc>
        <w:tc>
          <w:tcPr>
            <w:tcW w:w="2052" w:type="dxa"/>
            <w:noWrap/>
            <w:hideMark/>
          </w:tcPr>
          <w:p w14:paraId="774337EE" w14:textId="77777777" w:rsidR="008A6880" w:rsidRPr="008A6880" w:rsidRDefault="008A6880" w:rsidP="008A6880">
            <w:pPr>
              <w:jc w:val="center"/>
              <w:rPr>
                <w:color w:val="00B0F0"/>
              </w:rPr>
            </w:pPr>
            <w:r w:rsidRPr="008A6880">
              <w:rPr>
                <w:color w:val="00B0F0"/>
              </w:rPr>
              <w:t>109</w:t>
            </w:r>
          </w:p>
        </w:tc>
        <w:tc>
          <w:tcPr>
            <w:tcW w:w="4784" w:type="dxa"/>
            <w:noWrap/>
            <w:hideMark/>
          </w:tcPr>
          <w:p w14:paraId="68C59F5E" w14:textId="77777777" w:rsidR="008A6880" w:rsidRPr="008A6880" w:rsidRDefault="008A6880" w:rsidP="008A6880">
            <w:pPr>
              <w:rPr>
                <w:color w:val="00B0F0"/>
              </w:rPr>
            </w:pPr>
            <w:r w:rsidRPr="008A6880">
              <w:rPr>
                <w:color w:val="00B0F0"/>
              </w:rPr>
              <w:t>Acute cerebrovascular disease</w:t>
            </w:r>
          </w:p>
        </w:tc>
      </w:tr>
      <w:tr w:rsidR="008A6880" w:rsidRPr="008A6880" w14:paraId="54B8D50D" w14:textId="77777777" w:rsidTr="008A6880">
        <w:trPr>
          <w:trHeight w:val="300"/>
        </w:trPr>
        <w:tc>
          <w:tcPr>
            <w:tcW w:w="1075" w:type="dxa"/>
            <w:noWrap/>
            <w:hideMark/>
          </w:tcPr>
          <w:p w14:paraId="41104268" w14:textId="77777777" w:rsidR="008A6880" w:rsidRPr="008A6880" w:rsidRDefault="008A6880" w:rsidP="008A6880">
            <w:pPr>
              <w:jc w:val="center"/>
              <w:rPr>
                <w:color w:val="00B0F0"/>
              </w:rPr>
            </w:pPr>
            <w:r w:rsidRPr="008A6880">
              <w:rPr>
                <w:color w:val="00B0F0"/>
              </w:rPr>
              <w:t>188</w:t>
            </w:r>
          </w:p>
        </w:tc>
        <w:tc>
          <w:tcPr>
            <w:tcW w:w="1439" w:type="dxa"/>
            <w:noWrap/>
            <w:hideMark/>
          </w:tcPr>
          <w:p w14:paraId="27D060C8" w14:textId="77777777" w:rsidR="008A6880" w:rsidRPr="008A6880" w:rsidRDefault="008A6880" w:rsidP="008A6880">
            <w:pPr>
              <w:jc w:val="center"/>
              <w:rPr>
                <w:color w:val="00B0F0"/>
              </w:rPr>
            </w:pPr>
            <w:r w:rsidRPr="008A6880">
              <w:rPr>
                <w:color w:val="00B0F0"/>
              </w:rPr>
              <w:t>1</w:t>
            </w:r>
          </w:p>
        </w:tc>
        <w:tc>
          <w:tcPr>
            <w:tcW w:w="2052" w:type="dxa"/>
            <w:noWrap/>
            <w:hideMark/>
          </w:tcPr>
          <w:p w14:paraId="001DA52A" w14:textId="77777777" w:rsidR="008A6880" w:rsidRPr="008A6880" w:rsidRDefault="008A6880" w:rsidP="008A6880">
            <w:pPr>
              <w:jc w:val="center"/>
              <w:rPr>
                <w:color w:val="00B0F0"/>
              </w:rPr>
            </w:pPr>
            <w:r w:rsidRPr="008A6880">
              <w:rPr>
                <w:color w:val="00B0F0"/>
              </w:rPr>
              <w:t>55</w:t>
            </w:r>
          </w:p>
        </w:tc>
        <w:tc>
          <w:tcPr>
            <w:tcW w:w="4784" w:type="dxa"/>
            <w:noWrap/>
            <w:hideMark/>
          </w:tcPr>
          <w:p w14:paraId="0C55DAD5" w14:textId="77777777" w:rsidR="008A6880" w:rsidRPr="008A6880" w:rsidRDefault="008A6880" w:rsidP="008A6880">
            <w:pPr>
              <w:rPr>
                <w:color w:val="00B0F0"/>
              </w:rPr>
            </w:pPr>
            <w:r w:rsidRPr="008A6880">
              <w:rPr>
                <w:color w:val="00B0F0"/>
              </w:rPr>
              <w:t>Fluid and electrolyte disorders</w:t>
            </w:r>
          </w:p>
        </w:tc>
      </w:tr>
      <w:tr w:rsidR="008A6880" w:rsidRPr="008A6880" w14:paraId="129F945D" w14:textId="77777777" w:rsidTr="008A6880">
        <w:trPr>
          <w:trHeight w:val="300"/>
        </w:trPr>
        <w:tc>
          <w:tcPr>
            <w:tcW w:w="1075" w:type="dxa"/>
            <w:noWrap/>
            <w:hideMark/>
          </w:tcPr>
          <w:p w14:paraId="51D23A5D" w14:textId="77777777" w:rsidR="008A6880" w:rsidRPr="008A6880" w:rsidRDefault="008A6880" w:rsidP="008A6880">
            <w:pPr>
              <w:jc w:val="center"/>
              <w:rPr>
                <w:color w:val="00B0F0"/>
              </w:rPr>
            </w:pPr>
            <w:r w:rsidRPr="008A6880">
              <w:rPr>
                <w:color w:val="00B0F0"/>
              </w:rPr>
              <w:t>165</w:t>
            </w:r>
          </w:p>
        </w:tc>
        <w:tc>
          <w:tcPr>
            <w:tcW w:w="1439" w:type="dxa"/>
            <w:noWrap/>
            <w:hideMark/>
          </w:tcPr>
          <w:p w14:paraId="0915ECDD" w14:textId="77777777" w:rsidR="008A6880" w:rsidRPr="008A6880" w:rsidRDefault="008A6880" w:rsidP="008A6880">
            <w:pPr>
              <w:jc w:val="center"/>
              <w:rPr>
                <w:color w:val="00B0F0"/>
              </w:rPr>
            </w:pPr>
            <w:r w:rsidRPr="008A6880">
              <w:rPr>
                <w:color w:val="00B0F0"/>
              </w:rPr>
              <w:t>1</w:t>
            </w:r>
          </w:p>
        </w:tc>
        <w:tc>
          <w:tcPr>
            <w:tcW w:w="2052" w:type="dxa"/>
            <w:noWrap/>
            <w:hideMark/>
          </w:tcPr>
          <w:p w14:paraId="292C7D0E" w14:textId="77777777" w:rsidR="008A6880" w:rsidRPr="008A6880" w:rsidRDefault="008A6880" w:rsidP="008A6880">
            <w:pPr>
              <w:jc w:val="center"/>
              <w:rPr>
                <w:color w:val="00B0F0"/>
              </w:rPr>
            </w:pPr>
            <w:r w:rsidRPr="008A6880">
              <w:rPr>
                <w:color w:val="00B0F0"/>
              </w:rPr>
              <w:t>95</w:t>
            </w:r>
          </w:p>
        </w:tc>
        <w:tc>
          <w:tcPr>
            <w:tcW w:w="4784" w:type="dxa"/>
            <w:noWrap/>
            <w:hideMark/>
          </w:tcPr>
          <w:p w14:paraId="2AC6405A" w14:textId="77777777" w:rsidR="008A6880" w:rsidRPr="008A6880" w:rsidRDefault="008A6880" w:rsidP="008A6880">
            <w:pPr>
              <w:rPr>
                <w:color w:val="00B0F0"/>
              </w:rPr>
            </w:pPr>
            <w:r w:rsidRPr="008A6880">
              <w:rPr>
                <w:color w:val="00B0F0"/>
              </w:rPr>
              <w:t>Other nervous system disorders</w:t>
            </w:r>
          </w:p>
        </w:tc>
      </w:tr>
      <w:tr w:rsidR="008A6880" w:rsidRPr="008A6880" w14:paraId="342F598D" w14:textId="77777777" w:rsidTr="008A6880">
        <w:trPr>
          <w:trHeight w:val="300"/>
        </w:trPr>
        <w:tc>
          <w:tcPr>
            <w:tcW w:w="1075" w:type="dxa"/>
            <w:noWrap/>
            <w:hideMark/>
          </w:tcPr>
          <w:p w14:paraId="0F0B7B32" w14:textId="77777777" w:rsidR="008A6880" w:rsidRPr="008A6880" w:rsidRDefault="008A6880" w:rsidP="008A6880">
            <w:pPr>
              <w:jc w:val="center"/>
              <w:rPr>
                <w:color w:val="00B0F0"/>
              </w:rPr>
            </w:pPr>
            <w:r w:rsidRPr="008A6880">
              <w:rPr>
                <w:color w:val="00B0F0"/>
              </w:rPr>
              <w:t>164</w:t>
            </w:r>
          </w:p>
        </w:tc>
        <w:tc>
          <w:tcPr>
            <w:tcW w:w="1439" w:type="dxa"/>
            <w:noWrap/>
            <w:hideMark/>
          </w:tcPr>
          <w:p w14:paraId="4681E49C" w14:textId="77777777" w:rsidR="008A6880" w:rsidRPr="008A6880" w:rsidRDefault="008A6880" w:rsidP="008A6880">
            <w:pPr>
              <w:jc w:val="center"/>
              <w:rPr>
                <w:color w:val="00B0F0"/>
              </w:rPr>
            </w:pPr>
            <w:r w:rsidRPr="008A6880">
              <w:rPr>
                <w:color w:val="00B0F0"/>
              </w:rPr>
              <w:t>1</w:t>
            </w:r>
          </w:p>
        </w:tc>
        <w:tc>
          <w:tcPr>
            <w:tcW w:w="2052" w:type="dxa"/>
            <w:noWrap/>
            <w:hideMark/>
          </w:tcPr>
          <w:p w14:paraId="002C1E66" w14:textId="77777777" w:rsidR="008A6880" w:rsidRPr="008A6880" w:rsidRDefault="008A6880" w:rsidP="008A6880">
            <w:pPr>
              <w:jc w:val="center"/>
              <w:rPr>
                <w:color w:val="00B0F0"/>
              </w:rPr>
            </w:pPr>
            <w:r w:rsidRPr="008A6880">
              <w:rPr>
                <w:color w:val="00B0F0"/>
              </w:rPr>
              <w:t>146</w:t>
            </w:r>
          </w:p>
        </w:tc>
        <w:tc>
          <w:tcPr>
            <w:tcW w:w="4784" w:type="dxa"/>
            <w:noWrap/>
            <w:hideMark/>
          </w:tcPr>
          <w:p w14:paraId="3796EDD8" w14:textId="77777777" w:rsidR="008A6880" w:rsidRPr="008A6880" w:rsidRDefault="008A6880" w:rsidP="008A6880">
            <w:pPr>
              <w:rPr>
                <w:color w:val="00B0F0"/>
              </w:rPr>
            </w:pPr>
            <w:r w:rsidRPr="008A6880">
              <w:rPr>
                <w:color w:val="00B0F0"/>
              </w:rPr>
              <w:t>Diverticulosis and diverticulitis</w:t>
            </w:r>
          </w:p>
        </w:tc>
      </w:tr>
      <w:tr w:rsidR="008A6880" w:rsidRPr="008A6880" w14:paraId="542485B2" w14:textId="77777777" w:rsidTr="008A6880">
        <w:trPr>
          <w:trHeight w:val="300"/>
        </w:trPr>
        <w:tc>
          <w:tcPr>
            <w:tcW w:w="1075" w:type="dxa"/>
            <w:noWrap/>
            <w:hideMark/>
          </w:tcPr>
          <w:p w14:paraId="178B5589" w14:textId="77777777" w:rsidR="008A6880" w:rsidRPr="008A6880" w:rsidRDefault="008A6880" w:rsidP="008A6880">
            <w:pPr>
              <w:jc w:val="center"/>
              <w:rPr>
                <w:color w:val="00B0F0"/>
              </w:rPr>
            </w:pPr>
            <w:r w:rsidRPr="008A6880">
              <w:rPr>
                <w:color w:val="00B0F0"/>
              </w:rPr>
              <w:t>158</w:t>
            </w:r>
          </w:p>
        </w:tc>
        <w:tc>
          <w:tcPr>
            <w:tcW w:w="1439" w:type="dxa"/>
            <w:noWrap/>
            <w:hideMark/>
          </w:tcPr>
          <w:p w14:paraId="575D1E0B" w14:textId="77777777" w:rsidR="008A6880" w:rsidRPr="008A6880" w:rsidRDefault="008A6880" w:rsidP="008A6880">
            <w:pPr>
              <w:jc w:val="center"/>
              <w:rPr>
                <w:color w:val="00B0F0"/>
              </w:rPr>
            </w:pPr>
            <w:r w:rsidRPr="008A6880">
              <w:rPr>
                <w:color w:val="00B0F0"/>
              </w:rPr>
              <w:t>1</w:t>
            </w:r>
          </w:p>
        </w:tc>
        <w:tc>
          <w:tcPr>
            <w:tcW w:w="2052" w:type="dxa"/>
            <w:noWrap/>
            <w:hideMark/>
          </w:tcPr>
          <w:p w14:paraId="2A566B75" w14:textId="77777777" w:rsidR="008A6880" w:rsidRPr="008A6880" w:rsidRDefault="008A6880" w:rsidP="008A6880">
            <w:pPr>
              <w:jc w:val="center"/>
              <w:rPr>
                <w:color w:val="00B0F0"/>
              </w:rPr>
            </w:pPr>
            <w:r w:rsidRPr="008A6880">
              <w:rPr>
                <w:color w:val="00B0F0"/>
              </w:rPr>
              <w:t>135</w:t>
            </w:r>
          </w:p>
        </w:tc>
        <w:tc>
          <w:tcPr>
            <w:tcW w:w="4784" w:type="dxa"/>
            <w:noWrap/>
            <w:hideMark/>
          </w:tcPr>
          <w:p w14:paraId="50652AB7" w14:textId="77777777" w:rsidR="008A6880" w:rsidRPr="008A6880" w:rsidRDefault="008A6880" w:rsidP="008A6880">
            <w:pPr>
              <w:rPr>
                <w:color w:val="00B0F0"/>
              </w:rPr>
            </w:pPr>
            <w:r w:rsidRPr="008A6880">
              <w:rPr>
                <w:color w:val="00B0F0"/>
              </w:rPr>
              <w:t>Intestinal infection</w:t>
            </w:r>
          </w:p>
        </w:tc>
      </w:tr>
      <w:tr w:rsidR="008A6880" w:rsidRPr="008A6880" w14:paraId="2B0B3B32" w14:textId="77777777" w:rsidTr="008A6880">
        <w:trPr>
          <w:trHeight w:val="300"/>
        </w:trPr>
        <w:tc>
          <w:tcPr>
            <w:tcW w:w="1075" w:type="dxa"/>
            <w:noWrap/>
            <w:hideMark/>
          </w:tcPr>
          <w:p w14:paraId="1829E7FD" w14:textId="77777777" w:rsidR="008A6880" w:rsidRPr="008A6880" w:rsidRDefault="008A6880" w:rsidP="008A6880">
            <w:pPr>
              <w:jc w:val="center"/>
              <w:rPr>
                <w:color w:val="00B0F0"/>
              </w:rPr>
            </w:pPr>
            <w:r w:rsidRPr="008A6880">
              <w:rPr>
                <w:color w:val="00B0F0"/>
              </w:rPr>
              <w:t>131</w:t>
            </w:r>
          </w:p>
        </w:tc>
        <w:tc>
          <w:tcPr>
            <w:tcW w:w="1439" w:type="dxa"/>
            <w:noWrap/>
            <w:hideMark/>
          </w:tcPr>
          <w:p w14:paraId="1AB5A516" w14:textId="77777777" w:rsidR="008A6880" w:rsidRPr="008A6880" w:rsidRDefault="008A6880" w:rsidP="008A6880">
            <w:pPr>
              <w:jc w:val="center"/>
              <w:rPr>
                <w:color w:val="00B0F0"/>
              </w:rPr>
            </w:pPr>
            <w:r w:rsidRPr="008A6880">
              <w:rPr>
                <w:color w:val="00B0F0"/>
              </w:rPr>
              <w:t>1</w:t>
            </w:r>
          </w:p>
        </w:tc>
        <w:tc>
          <w:tcPr>
            <w:tcW w:w="2052" w:type="dxa"/>
            <w:noWrap/>
            <w:hideMark/>
          </w:tcPr>
          <w:p w14:paraId="458AFE1B" w14:textId="77777777" w:rsidR="008A6880" w:rsidRPr="008A6880" w:rsidRDefault="008A6880" w:rsidP="008A6880">
            <w:pPr>
              <w:jc w:val="center"/>
              <w:rPr>
                <w:color w:val="00B0F0"/>
              </w:rPr>
            </w:pPr>
            <w:r w:rsidRPr="008A6880">
              <w:rPr>
                <w:color w:val="00B0F0"/>
              </w:rPr>
              <w:t>59</w:t>
            </w:r>
          </w:p>
        </w:tc>
        <w:tc>
          <w:tcPr>
            <w:tcW w:w="4784" w:type="dxa"/>
            <w:noWrap/>
            <w:hideMark/>
          </w:tcPr>
          <w:p w14:paraId="004325BC" w14:textId="77777777" w:rsidR="008A6880" w:rsidRPr="008A6880" w:rsidRDefault="008A6880" w:rsidP="008A6880">
            <w:pPr>
              <w:rPr>
                <w:color w:val="00B0F0"/>
              </w:rPr>
            </w:pPr>
            <w:r w:rsidRPr="008A6880">
              <w:rPr>
                <w:color w:val="00B0F0"/>
              </w:rPr>
              <w:t>Deficiency and other anemia</w:t>
            </w:r>
          </w:p>
        </w:tc>
      </w:tr>
      <w:tr w:rsidR="008A6880" w:rsidRPr="008A6880" w14:paraId="38EC0630" w14:textId="77777777" w:rsidTr="008A6880">
        <w:trPr>
          <w:trHeight w:val="300"/>
        </w:trPr>
        <w:tc>
          <w:tcPr>
            <w:tcW w:w="1075" w:type="dxa"/>
            <w:noWrap/>
            <w:hideMark/>
          </w:tcPr>
          <w:p w14:paraId="68EAB2D9" w14:textId="77777777" w:rsidR="008A6880" w:rsidRPr="008A6880" w:rsidRDefault="008A6880" w:rsidP="008A6880">
            <w:pPr>
              <w:jc w:val="center"/>
              <w:rPr>
                <w:color w:val="00B0F0"/>
              </w:rPr>
            </w:pPr>
            <w:r w:rsidRPr="008A6880">
              <w:rPr>
                <w:color w:val="00B0F0"/>
              </w:rPr>
              <w:t>124</w:t>
            </w:r>
          </w:p>
        </w:tc>
        <w:tc>
          <w:tcPr>
            <w:tcW w:w="1439" w:type="dxa"/>
            <w:noWrap/>
            <w:hideMark/>
          </w:tcPr>
          <w:p w14:paraId="0EDC1437" w14:textId="77777777" w:rsidR="008A6880" w:rsidRPr="008A6880" w:rsidRDefault="008A6880" w:rsidP="008A6880">
            <w:pPr>
              <w:jc w:val="center"/>
              <w:rPr>
                <w:color w:val="00B0F0"/>
              </w:rPr>
            </w:pPr>
            <w:r w:rsidRPr="008A6880">
              <w:rPr>
                <w:color w:val="00B0F0"/>
              </w:rPr>
              <w:t>1</w:t>
            </w:r>
          </w:p>
        </w:tc>
        <w:tc>
          <w:tcPr>
            <w:tcW w:w="2052" w:type="dxa"/>
            <w:noWrap/>
            <w:hideMark/>
          </w:tcPr>
          <w:p w14:paraId="2C002C3E" w14:textId="77777777" w:rsidR="008A6880" w:rsidRPr="008A6880" w:rsidRDefault="008A6880" w:rsidP="008A6880">
            <w:pPr>
              <w:jc w:val="center"/>
              <w:rPr>
                <w:color w:val="00B0F0"/>
              </w:rPr>
            </w:pPr>
            <w:r w:rsidRPr="008A6880">
              <w:rPr>
                <w:color w:val="00B0F0"/>
              </w:rPr>
              <w:t>127</w:t>
            </w:r>
          </w:p>
        </w:tc>
        <w:tc>
          <w:tcPr>
            <w:tcW w:w="4784" w:type="dxa"/>
            <w:noWrap/>
            <w:hideMark/>
          </w:tcPr>
          <w:p w14:paraId="1DAE0B16" w14:textId="77777777" w:rsidR="008A6880" w:rsidRPr="008A6880" w:rsidRDefault="008A6880" w:rsidP="008A6880">
            <w:pPr>
              <w:rPr>
                <w:color w:val="00B0F0"/>
              </w:rPr>
            </w:pPr>
            <w:r w:rsidRPr="008A6880">
              <w:rPr>
                <w:color w:val="00B0F0"/>
              </w:rPr>
              <w:t>Chronic obstructive pulmonary disease and bronchiectasis</w:t>
            </w:r>
          </w:p>
        </w:tc>
      </w:tr>
      <w:tr w:rsidR="008A6880" w:rsidRPr="008A6880" w14:paraId="6D6B9576" w14:textId="77777777" w:rsidTr="008A6880">
        <w:trPr>
          <w:trHeight w:val="300"/>
        </w:trPr>
        <w:tc>
          <w:tcPr>
            <w:tcW w:w="1075" w:type="dxa"/>
            <w:noWrap/>
            <w:hideMark/>
          </w:tcPr>
          <w:p w14:paraId="51B625F2" w14:textId="77777777" w:rsidR="008A6880" w:rsidRPr="008A6880" w:rsidRDefault="008A6880" w:rsidP="008A6880">
            <w:pPr>
              <w:jc w:val="center"/>
              <w:rPr>
                <w:color w:val="00B0F0"/>
              </w:rPr>
            </w:pPr>
            <w:r w:rsidRPr="008A6880">
              <w:rPr>
                <w:color w:val="00B0F0"/>
              </w:rPr>
              <w:t>118</w:t>
            </w:r>
          </w:p>
        </w:tc>
        <w:tc>
          <w:tcPr>
            <w:tcW w:w="1439" w:type="dxa"/>
            <w:noWrap/>
            <w:hideMark/>
          </w:tcPr>
          <w:p w14:paraId="53DA8BD4" w14:textId="77777777" w:rsidR="008A6880" w:rsidRPr="008A6880" w:rsidRDefault="008A6880" w:rsidP="008A6880">
            <w:pPr>
              <w:jc w:val="center"/>
              <w:rPr>
                <w:color w:val="00B0F0"/>
              </w:rPr>
            </w:pPr>
            <w:r w:rsidRPr="008A6880">
              <w:rPr>
                <w:color w:val="00B0F0"/>
              </w:rPr>
              <w:t>1</w:t>
            </w:r>
          </w:p>
        </w:tc>
        <w:tc>
          <w:tcPr>
            <w:tcW w:w="2052" w:type="dxa"/>
            <w:noWrap/>
            <w:hideMark/>
          </w:tcPr>
          <w:p w14:paraId="023338D5" w14:textId="77777777" w:rsidR="008A6880" w:rsidRPr="008A6880" w:rsidRDefault="008A6880" w:rsidP="008A6880">
            <w:pPr>
              <w:jc w:val="center"/>
              <w:rPr>
                <w:color w:val="00B0F0"/>
              </w:rPr>
            </w:pPr>
            <w:r w:rsidRPr="008A6880">
              <w:rPr>
                <w:color w:val="00B0F0"/>
              </w:rPr>
              <w:t>149</w:t>
            </w:r>
          </w:p>
        </w:tc>
        <w:tc>
          <w:tcPr>
            <w:tcW w:w="4784" w:type="dxa"/>
            <w:noWrap/>
            <w:hideMark/>
          </w:tcPr>
          <w:p w14:paraId="0217FDAD" w14:textId="77777777" w:rsidR="008A6880" w:rsidRPr="008A6880" w:rsidRDefault="008A6880" w:rsidP="008A6880">
            <w:pPr>
              <w:rPr>
                <w:color w:val="00B0F0"/>
              </w:rPr>
            </w:pPr>
            <w:r w:rsidRPr="008A6880">
              <w:rPr>
                <w:color w:val="00B0F0"/>
              </w:rPr>
              <w:t>Biliary tract disease</w:t>
            </w:r>
          </w:p>
        </w:tc>
      </w:tr>
      <w:tr w:rsidR="008A6880" w:rsidRPr="008A6880" w14:paraId="6A099BAC" w14:textId="77777777" w:rsidTr="008A6880">
        <w:trPr>
          <w:trHeight w:val="300"/>
        </w:trPr>
        <w:tc>
          <w:tcPr>
            <w:tcW w:w="1075" w:type="dxa"/>
            <w:noWrap/>
            <w:hideMark/>
          </w:tcPr>
          <w:p w14:paraId="5351C8DF" w14:textId="77777777" w:rsidR="008A6880" w:rsidRPr="008A6880" w:rsidRDefault="008A6880" w:rsidP="008A6880">
            <w:pPr>
              <w:jc w:val="center"/>
              <w:rPr>
                <w:color w:val="00B0F0"/>
              </w:rPr>
            </w:pPr>
            <w:r w:rsidRPr="008A6880">
              <w:rPr>
                <w:color w:val="00B0F0"/>
              </w:rPr>
              <w:t>108</w:t>
            </w:r>
          </w:p>
        </w:tc>
        <w:tc>
          <w:tcPr>
            <w:tcW w:w="1439" w:type="dxa"/>
            <w:noWrap/>
            <w:hideMark/>
          </w:tcPr>
          <w:p w14:paraId="0393F2B3" w14:textId="77777777" w:rsidR="008A6880" w:rsidRPr="008A6880" w:rsidRDefault="008A6880" w:rsidP="008A6880">
            <w:pPr>
              <w:jc w:val="center"/>
              <w:rPr>
                <w:color w:val="00B0F0"/>
              </w:rPr>
            </w:pPr>
            <w:r w:rsidRPr="008A6880">
              <w:rPr>
                <w:color w:val="00B0F0"/>
              </w:rPr>
              <w:t>1</w:t>
            </w:r>
          </w:p>
        </w:tc>
        <w:tc>
          <w:tcPr>
            <w:tcW w:w="2052" w:type="dxa"/>
            <w:noWrap/>
            <w:hideMark/>
          </w:tcPr>
          <w:p w14:paraId="5DD26EC7" w14:textId="77777777" w:rsidR="008A6880" w:rsidRPr="008A6880" w:rsidRDefault="008A6880" w:rsidP="008A6880">
            <w:pPr>
              <w:jc w:val="center"/>
              <w:rPr>
                <w:color w:val="00B0F0"/>
              </w:rPr>
            </w:pPr>
            <w:r w:rsidRPr="008A6880">
              <w:rPr>
                <w:color w:val="00B0F0"/>
              </w:rPr>
              <w:t>155</w:t>
            </w:r>
          </w:p>
        </w:tc>
        <w:tc>
          <w:tcPr>
            <w:tcW w:w="4784" w:type="dxa"/>
            <w:noWrap/>
            <w:hideMark/>
          </w:tcPr>
          <w:p w14:paraId="6CF0B982" w14:textId="77777777" w:rsidR="008A6880" w:rsidRPr="008A6880" w:rsidRDefault="008A6880" w:rsidP="008A6880">
            <w:pPr>
              <w:rPr>
                <w:color w:val="00B0F0"/>
              </w:rPr>
            </w:pPr>
            <w:r w:rsidRPr="008A6880">
              <w:rPr>
                <w:color w:val="00B0F0"/>
              </w:rPr>
              <w:t>Other gastrointestinal disorders</w:t>
            </w:r>
          </w:p>
        </w:tc>
      </w:tr>
      <w:tr w:rsidR="008A6880" w:rsidRPr="008A6880" w14:paraId="35445C7F" w14:textId="77777777" w:rsidTr="008A6880">
        <w:trPr>
          <w:trHeight w:val="300"/>
        </w:trPr>
        <w:tc>
          <w:tcPr>
            <w:tcW w:w="1075" w:type="dxa"/>
            <w:noWrap/>
            <w:hideMark/>
          </w:tcPr>
          <w:p w14:paraId="0DA6019C" w14:textId="77777777" w:rsidR="008A6880" w:rsidRPr="008A6880" w:rsidRDefault="008A6880" w:rsidP="008A6880">
            <w:pPr>
              <w:jc w:val="center"/>
              <w:rPr>
                <w:color w:val="00B0F0"/>
              </w:rPr>
            </w:pPr>
            <w:r w:rsidRPr="008A6880">
              <w:rPr>
                <w:color w:val="00B0F0"/>
              </w:rPr>
              <w:t>108</w:t>
            </w:r>
          </w:p>
        </w:tc>
        <w:tc>
          <w:tcPr>
            <w:tcW w:w="1439" w:type="dxa"/>
            <w:noWrap/>
            <w:hideMark/>
          </w:tcPr>
          <w:p w14:paraId="34987545" w14:textId="77777777" w:rsidR="008A6880" w:rsidRPr="008A6880" w:rsidRDefault="008A6880" w:rsidP="008A6880">
            <w:pPr>
              <w:jc w:val="center"/>
              <w:rPr>
                <w:color w:val="00B0F0"/>
              </w:rPr>
            </w:pPr>
            <w:r w:rsidRPr="008A6880">
              <w:rPr>
                <w:color w:val="00B0F0"/>
              </w:rPr>
              <w:t>1</w:t>
            </w:r>
          </w:p>
        </w:tc>
        <w:tc>
          <w:tcPr>
            <w:tcW w:w="2052" w:type="dxa"/>
            <w:noWrap/>
            <w:hideMark/>
          </w:tcPr>
          <w:p w14:paraId="57D7A95D" w14:textId="77777777" w:rsidR="008A6880" w:rsidRPr="008A6880" w:rsidRDefault="008A6880" w:rsidP="008A6880">
            <w:pPr>
              <w:jc w:val="center"/>
              <w:rPr>
                <w:color w:val="00B0F0"/>
              </w:rPr>
            </w:pPr>
            <w:r w:rsidRPr="008A6880">
              <w:rPr>
                <w:color w:val="00B0F0"/>
              </w:rPr>
              <w:t>211</w:t>
            </w:r>
          </w:p>
        </w:tc>
        <w:tc>
          <w:tcPr>
            <w:tcW w:w="4784" w:type="dxa"/>
            <w:noWrap/>
            <w:hideMark/>
          </w:tcPr>
          <w:p w14:paraId="078931B3" w14:textId="77777777" w:rsidR="008A6880" w:rsidRPr="008A6880" w:rsidRDefault="008A6880" w:rsidP="008A6880">
            <w:pPr>
              <w:rPr>
                <w:color w:val="00B0F0"/>
              </w:rPr>
            </w:pPr>
            <w:r w:rsidRPr="008A6880">
              <w:rPr>
                <w:color w:val="00B0F0"/>
              </w:rPr>
              <w:t>Other connective tissue disease</w:t>
            </w:r>
          </w:p>
        </w:tc>
      </w:tr>
      <w:tr w:rsidR="008A6880" w:rsidRPr="008A6880" w14:paraId="4D8D5C34" w14:textId="77777777" w:rsidTr="008A6880">
        <w:trPr>
          <w:trHeight w:val="300"/>
        </w:trPr>
        <w:tc>
          <w:tcPr>
            <w:tcW w:w="1075" w:type="dxa"/>
            <w:noWrap/>
            <w:hideMark/>
          </w:tcPr>
          <w:p w14:paraId="1A9D3E05" w14:textId="77777777" w:rsidR="008A6880" w:rsidRPr="008A6880" w:rsidRDefault="008A6880" w:rsidP="008A6880">
            <w:pPr>
              <w:jc w:val="center"/>
              <w:rPr>
                <w:color w:val="00B0F0"/>
              </w:rPr>
            </w:pPr>
            <w:r w:rsidRPr="008A6880">
              <w:rPr>
                <w:color w:val="00B0F0"/>
              </w:rPr>
              <w:t>100</w:t>
            </w:r>
          </w:p>
        </w:tc>
        <w:tc>
          <w:tcPr>
            <w:tcW w:w="1439" w:type="dxa"/>
            <w:noWrap/>
            <w:hideMark/>
          </w:tcPr>
          <w:p w14:paraId="1D60FD0A" w14:textId="77777777" w:rsidR="008A6880" w:rsidRPr="008A6880" w:rsidRDefault="008A6880" w:rsidP="008A6880">
            <w:pPr>
              <w:jc w:val="center"/>
              <w:rPr>
                <w:color w:val="00B0F0"/>
              </w:rPr>
            </w:pPr>
            <w:r w:rsidRPr="008A6880">
              <w:rPr>
                <w:color w:val="00B0F0"/>
              </w:rPr>
              <w:t>1</w:t>
            </w:r>
          </w:p>
        </w:tc>
        <w:tc>
          <w:tcPr>
            <w:tcW w:w="2052" w:type="dxa"/>
            <w:noWrap/>
            <w:hideMark/>
          </w:tcPr>
          <w:p w14:paraId="2CD83D74" w14:textId="77777777" w:rsidR="008A6880" w:rsidRPr="008A6880" w:rsidRDefault="008A6880" w:rsidP="008A6880">
            <w:pPr>
              <w:jc w:val="center"/>
              <w:rPr>
                <w:color w:val="00B0F0"/>
              </w:rPr>
            </w:pPr>
            <w:r w:rsidRPr="008A6880">
              <w:rPr>
                <w:color w:val="00B0F0"/>
              </w:rPr>
              <w:t>131</w:t>
            </w:r>
          </w:p>
        </w:tc>
        <w:tc>
          <w:tcPr>
            <w:tcW w:w="4784" w:type="dxa"/>
            <w:noWrap/>
            <w:hideMark/>
          </w:tcPr>
          <w:p w14:paraId="7EBA564A" w14:textId="77777777" w:rsidR="008A6880" w:rsidRPr="008A6880" w:rsidRDefault="008A6880" w:rsidP="008A6880">
            <w:pPr>
              <w:rPr>
                <w:color w:val="00B0F0"/>
              </w:rPr>
            </w:pPr>
            <w:r w:rsidRPr="008A6880">
              <w:rPr>
                <w:color w:val="00B0F0"/>
              </w:rPr>
              <w:t>Respiratory failure; insufficiency; arrest (adult)</w:t>
            </w:r>
          </w:p>
        </w:tc>
      </w:tr>
      <w:tr w:rsidR="008A6880" w:rsidRPr="008A6880" w14:paraId="49D86539" w14:textId="77777777" w:rsidTr="008A6880">
        <w:trPr>
          <w:trHeight w:val="300"/>
        </w:trPr>
        <w:tc>
          <w:tcPr>
            <w:tcW w:w="1075" w:type="dxa"/>
            <w:noWrap/>
            <w:hideMark/>
          </w:tcPr>
          <w:p w14:paraId="43171287" w14:textId="77777777" w:rsidR="008A6880" w:rsidRPr="008A6880" w:rsidRDefault="008A6880" w:rsidP="008A6880">
            <w:pPr>
              <w:jc w:val="center"/>
              <w:rPr>
                <w:color w:val="00B0F0"/>
              </w:rPr>
            </w:pPr>
            <w:r w:rsidRPr="008A6880">
              <w:rPr>
                <w:color w:val="00B0F0"/>
              </w:rPr>
              <w:t>74</w:t>
            </w:r>
          </w:p>
        </w:tc>
        <w:tc>
          <w:tcPr>
            <w:tcW w:w="1439" w:type="dxa"/>
            <w:noWrap/>
            <w:hideMark/>
          </w:tcPr>
          <w:p w14:paraId="672EA480" w14:textId="77777777" w:rsidR="008A6880" w:rsidRPr="008A6880" w:rsidRDefault="008A6880" w:rsidP="008A6880">
            <w:pPr>
              <w:jc w:val="center"/>
              <w:rPr>
                <w:color w:val="00B0F0"/>
              </w:rPr>
            </w:pPr>
            <w:r w:rsidRPr="008A6880">
              <w:rPr>
                <w:color w:val="00B0F0"/>
              </w:rPr>
              <w:t>1</w:t>
            </w:r>
          </w:p>
        </w:tc>
        <w:tc>
          <w:tcPr>
            <w:tcW w:w="2052" w:type="dxa"/>
            <w:noWrap/>
            <w:hideMark/>
          </w:tcPr>
          <w:p w14:paraId="0369AC14" w14:textId="77777777" w:rsidR="008A6880" w:rsidRPr="008A6880" w:rsidRDefault="008A6880" w:rsidP="008A6880">
            <w:pPr>
              <w:jc w:val="center"/>
              <w:rPr>
                <w:color w:val="00B0F0"/>
              </w:rPr>
            </w:pPr>
            <w:r w:rsidRPr="008A6880">
              <w:rPr>
                <w:color w:val="00B0F0"/>
              </w:rPr>
              <w:t>117</w:t>
            </w:r>
          </w:p>
        </w:tc>
        <w:tc>
          <w:tcPr>
            <w:tcW w:w="4784" w:type="dxa"/>
            <w:noWrap/>
            <w:hideMark/>
          </w:tcPr>
          <w:p w14:paraId="07FB2C1F" w14:textId="77777777" w:rsidR="008A6880" w:rsidRPr="008A6880" w:rsidRDefault="008A6880" w:rsidP="008A6880">
            <w:pPr>
              <w:rPr>
                <w:color w:val="00B0F0"/>
              </w:rPr>
            </w:pPr>
            <w:r w:rsidRPr="008A6880">
              <w:rPr>
                <w:color w:val="00B0F0"/>
              </w:rPr>
              <w:t>Other circulatory disease</w:t>
            </w:r>
          </w:p>
        </w:tc>
      </w:tr>
      <w:tr w:rsidR="008A6880" w:rsidRPr="008A6880" w14:paraId="6634B364" w14:textId="77777777" w:rsidTr="008A6880">
        <w:trPr>
          <w:trHeight w:val="300"/>
        </w:trPr>
        <w:tc>
          <w:tcPr>
            <w:tcW w:w="1075" w:type="dxa"/>
            <w:noWrap/>
            <w:hideMark/>
          </w:tcPr>
          <w:p w14:paraId="0DB00BE2" w14:textId="77777777" w:rsidR="008A6880" w:rsidRPr="008A6880" w:rsidRDefault="008A6880" w:rsidP="008A6880">
            <w:pPr>
              <w:jc w:val="center"/>
              <w:rPr>
                <w:color w:val="00B0F0"/>
              </w:rPr>
            </w:pPr>
            <w:r w:rsidRPr="008A6880">
              <w:rPr>
                <w:color w:val="00B0F0"/>
              </w:rPr>
              <w:t>72</w:t>
            </w:r>
          </w:p>
        </w:tc>
        <w:tc>
          <w:tcPr>
            <w:tcW w:w="1439" w:type="dxa"/>
            <w:noWrap/>
            <w:hideMark/>
          </w:tcPr>
          <w:p w14:paraId="35C49E37" w14:textId="77777777" w:rsidR="008A6880" w:rsidRPr="008A6880" w:rsidRDefault="008A6880" w:rsidP="008A6880">
            <w:pPr>
              <w:jc w:val="center"/>
              <w:rPr>
                <w:color w:val="00B0F0"/>
              </w:rPr>
            </w:pPr>
            <w:r w:rsidRPr="008A6880">
              <w:rPr>
                <w:color w:val="00B0F0"/>
              </w:rPr>
              <w:t>1</w:t>
            </w:r>
          </w:p>
        </w:tc>
        <w:tc>
          <w:tcPr>
            <w:tcW w:w="2052" w:type="dxa"/>
            <w:noWrap/>
            <w:hideMark/>
          </w:tcPr>
          <w:p w14:paraId="52F677E6" w14:textId="77777777" w:rsidR="008A6880" w:rsidRPr="008A6880" w:rsidRDefault="008A6880" w:rsidP="008A6880">
            <w:pPr>
              <w:jc w:val="center"/>
              <w:rPr>
                <w:color w:val="00B0F0"/>
              </w:rPr>
            </w:pPr>
            <w:r w:rsidRPr="008A6880">
              <w:rPr>
                <w:color w:val="00B0F0"/>
              </w:rPr>
              <w:t>204</w:t>
            </w:r>
          </w:p>
        </w:tc>
        <w:tc>
          <w:tcPr>
            <w:tcW w:w="4784" w:type="dxa"/>
            <w:noWrap/>
            <w:hideMark/>
          </w:tcPr>
          <w:p w14:paraId="54629D2D" w14:textId="77777777" w:rsidR="008A6880" w:rsidRPr="008A6880" w:rsidRDefault="008A6880" w:rsidP="008A6880">
            <w:pPr>
              <w:rPr>
                <w:color w:val="00B0F0"/>
              </w:rPr>
            </w:pPr>
            <w:r w:rsidRPr="008A6880">
              <w:rPr>
                <w:color w:val="00B0F0"/>
              </w:rPr>
              <w:t>Other non-traumatic joint disorders</w:t>
            </w:r>
          </w:p>
        </w:tc>
      </w:tr>
    </w:tbl>
    <w:p w14:paraId="1196C14F" w14:textId="06C5C9D1" w:rsidR="008A6880" w:rsidRPr="008A6880" w:rsidRDefault="008A6880" w:rsidP="00A81E54">
      <w:pPr>
        <w:autoSpaceDE w:val="0"/>
        <w:autoSpaceDN w:val="0"/>
        <w:adjustRightInd w:val="0"/>
        <w:spacing w:before="240" w:after="120" w:line="240" w:lineRule="auto"/>
        <w:rPr>
          <w:rFonts w:cstheme="minorHAnsi"/>
          <w:b/>
          <w:bCs/>
          <w:color w:val="00B0F0"/>
        </w:rPr>
      </w:pPr>
    </w:p>
    <w:p w14:paraId="62F3713E" w14:textId="07743EB8" w:rsidR="00A81E54" w:rsidRDefault="009C7513" w:rsidP="00A81E54">
      <w:pPr>
        <w:autoSpaceDE w:val="0"/>
        <w:autoSpaceDN w:val="0"/>
        <w:adjustRightInd w:val="0"/>
        <w:spacing w:before="240" w:after="12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510A3688" w14:textId="00DABF8F" w:rsidR="006E1C15" w:rsidRDefault="006E1C15" w:rsidP="00A81E54">
      <w:pPr>
        <w:autoSpaceDE w:val="0"/>
        <w:autoSpaceDN w:val="0"/>
        <w:adjustRightInd w:val="0"/>
        <w:spacing w:before="240" w:after="120" w:line="240" w:lineRule="auto"/>
        <w:rPr>
          <w:rFonts w:cstheme="minorHAnsi"/>
          <w:noProof/>
          <w:color w:val="C00000"/>
          <w:u w:val="single"/>
        </w:rPr>
      </w:pPr>
      <w:r w:rsidRPr="00043DA7">
        <w:rPr>
          <w:rFonts w:cstheme="minorHAnsi"/>
          <w:noProof/>
          <w:color w:val="C00000"/>
          <w:u w:val="single"/>
        </w:rPr>
        <w:t>Empirical Validity Testing</w:t>
      </w:r>
    </w:p>
    <w:p w14:paraId="5772C193" w14:textId="7DDE9E7D" w:rsidR="00A9471A" w:rsidRDefault="006E1C15" w:rsidP="006E1C15">
      <w:pPr>
        <w:autoSpaceDE w:val="0"/>
        <w:autoSpaceDN w:val="0"/>
        <w:adjustRightInd w:val="0"/>
        <w:spacing w:before="120" w:after="120" w:line="240" w:lineRule="auto"/>
        <w:rPr>
          <w:color w:val="C00000"/>
        </w:rPr>
      </w:pPr>
      <w:r w:rsidRPr="00043DA7">
        <w:rPr>
          <w:rFonts w:cstheme="minorHAnsi"/>
          <w:noProof/>
          <w:color w:val="C00000"/>
        </w:rPr>
        <w:t xml:space="preserve">This validation approach compares the 30-day </w:t>
      </w:r>
      <w:r w:rsidR="00C208A4">
        <w:rPr>
          <w:rFonts w:cstheme="minorHAnsi"/>
          <w:noProof/>
          <w:color w:val="C00000"/>
        </w:rPr>
        <w:t>THA/TKA</w:t>
      </w:r>
      <w:r w:rsidRPr="00043DA7">
        <w:rPr>
          <w:rFonts w:cstheme="minorHAnsi"/>
          <w:noProof/>
          <w:color w:val="C00000"/>
        </w:rPr>
        <w:t xml:space="preserve"> readmission measure results against the star rating readmiss</w:t>
      </w:r>
      <w:r w:rsidR="00130700">
        <w:rPr>
          <w:rFonts w:cstheme="minorHAnsi"/>
          <w:noProof/>
          <w:color w:val="C00000"/>
        </w:rPr>
        <w:t>ion</w:t>
      </w:r>
      <w:r w:rsidR="00A9471A">
        <w:rPr>
          <w:rFonts w:cstheme="minorHAnsi"/>
          <w:noProof/>
          <w:color w:val="C00000"/>
        </w:rPr>
        <w:t xml:space="preserve"> domain</w:t>
      </w:r>
      <w:r w:rsidR="00130700">
        <w:rPr>
          <w:rFonts w:cstheme="minorHAnsi"/>
          <w:noProof/>
          <w:color w:val="C00000"/>
        </w:rPr>
        <w:t xml:space="preserve"> and summary scores. Figure 1 and 2</w:t>
      </w:r>
      <w:r w:rsidRPr="00043DA7">
        <w:rPr>
          <w:rFonts w:cstheme="minorHAnsi"/>
          <w:noProof/>
          <w:color w:val="C00000"/>
        </w:rPr>
        <w:t xml:space="preserve"> Box Plots results demonstrate an observed trend of lower risk-standardized readmissions with higher star ratings. </w:t>
      </w:r>
      <w:bookmarkStart w:id="31" w:name="_Hlk40361196"/>
      <w:r w:rsidR="00A9471A">
        <w:rPr>
          <w:rFonts w:cstheme="minorHAnsi"/>
          <w:noProof/>
          <w:color w:val="C00000"/>
        </w:rPr>
        <w:t>T</w:t>
      </w:r>
      <w:r w:rsidRPr="00043DA7">
        <w:rPr>
          <w:rFonts w:cstheme="minorHAnsi"/>
          <w:noProof/>
          <w:color w:val="C00000"/>
        </w:rPr>
        <w:t xml:space="preserve">he correlation coefficients associated with </w:t>
      </w:r>
      <w:r w:rsidR="00A9471A">
        <w:rPr>
          <w:rFonts w:cstheme="minorHAnsi"/>
          <w:noProof/>
          <w:color w:val="C00000"/>
        </w:rPr>
        <w:t>the star rating readmission domain and summary scores</w:t>
      </w:r>
      <w:r w:rsidRPr="00043DA7">
        <w:rPr>
          <w:rFonts w:cstheme="minorHAnsi"/>
          <w:noProof/>
          <w:color w:val="C00000"/>
        </w:rPr>
        <w:t xml:space="preserve"> </w:t>
      </w:r>
      <w:r w:rsidR="00A9471A">
        <w:rPr>
          <w:rFonts w:cstheme="minorHAnsi"/>
          <w:noProof/>
          <w:color w:val="C00000"/>
        </w:rPr>
        <w:t xml:space="preserve">and </w:t>
      </w:r>
      <w:r w:rsidRPr="00043DA7">
        <w:rPr>
          <w:rFonts w:cstheme="minorHAnsi"/>
          <w:noProof/>
          <w:color w:val="C00000"/>
        </w:rPr>
        <w:t xml:space="preserve">the </w:t>
      </w:r>
      <w:r>
        <w:rPr>
          <w:rFonts w:cstheme="minorHAnsi"/>
          <w:noProof/>
          <w:color w:val="C00000"/>
        </w:rPr>
        <w:t>THA/TKA</w:t>
      </w:r>
      <w:r w:rsidR="00A9471A">
        <w:rPr>
          <w:rFonts w:cstheme="minorHAnsi"/>
          <w:noProof/>
          <w:color w:val="C00000"/>
        </w:rPr>
        <w:t xml:space="preserve"> readmission measure indicate </w:t>
      </w:r>
      <w:r w:rsidRPr="00043DA7">
        <w:rPr>
          <w:rFonts w:cstheme="minorHAnsi"/>
          <w:noProof/>
          <w:color w:val="C00000"/>
        </w:rPr>
        <w:t>moderate association</w:t>
      </w:r>
      <w:r w:rsidR="00A9471A">
        <w:rPr>
          <w:rFonts w:cstheme="minorHAnsi"/>
          <w:noProof/>
          <w:color w:val="C00000"/>
        </w:rPr>
        <w:t>s</w:t>
      </w:r>
      <w:r w:rsidRPr="00043DA7">
        <w:rPr>
          <w:rFonts w:cstheme="minorHAnsi"/>
          <w:noProof/>
          <w:color w:val="C00000"/>
        </w:rPr>
        <w:t xml:space="preserve">, which is to be expected given </w:t>
      </w:r>
      <w:r w:rsidR="00A9471A">
        <w:rPr>
          <w:rFonts w:cstheme="minorHAnsi"/>
          <w:noProof/>
          <w:color w:val="C00000"/>
        </w:rPr>
        <w:t xml:space="preserve">that these </w:t>
      </w:r>
      <w:r>
        <w:rPr>
          <w:rFonts w:cstheme="minorHAnsi"/>
          <w:noProof/>
          <w:color w:val="C00000"/>
        </w:rPr>
        <w:t>measures are calculate</w:t>
      </w:r>
      <w:r w:rsidRPr="00043DA7">
        <w:rPr>
          <w:rFonts w:cstheme="minorHAnsi"/>
          <w:noProof/>
          <w:color w:val="C00000"/>
        </w:rPr>
        <w:t xml:space="preserve">d </w:t>
      </w:r>
      <w:r w:rsidR="00A9471A">
        <w:rPr>
          <w:rFonts w:cstheme="minorHAnsi"/>
          <w:noProof/>
          <w:color w:val="C00000"/>
        </w:rPr>
        <w:t>by</w:t>
      </w:r>
      <w:r w:rsidRPr="00043DA7">
        <w:rPr>
          <w:rFonts w:cstheme="minorHAnsi"/>
          <w:noProof/>
          <w:color w:val="C00000"/>
        </w:rPr>
        <w:t xml:space="preserve"> complex statistical models. </w:t>
      </w:r>
      <w:bookmarkEnd w:id="31"/>
      <w:r w:rsidR="00A9471A" w:rsidRPr="00A9471A">
        <w:rPr>
          <w:color w:val="C00000"/>
        </w:rPr>
        <w:t>Overall, the results above show that the trend and direction of this association is in line with what would be expected.</w:t>
      </w:r>
    </w:p>
    <w:p w14:paraId="7DAB0736" w14:textId="0CD73936" w:rsidR="00FE19D7" w:rsidRPr="006E1C15" w:rsidRDefault="000131C6" w:rsidP="006E1C15">
      <w:pPr>
        <w:autoSpaceDE w:val="0"/>
        <w:autoSpaceDN w:val="0"/>
        <w:adjustRightInd w:val="0"/>
        <w:spacing w:before="120" w:after="120" w:line="240" w:lineRule="auto"/>
        <w:rPr>
          <w:rFonts w:cstheme="minorHAnsi"/>
          <w:bCs/>
        </w:rPr>
      </w:pPr>
      <w:r>
        <w:rPr>
          <w:rFonts w:cstheme="minorHAnsi"/>
          <w:noProof/>
          <w:color w:val="C00000"/>
        </w:rPr>
        <w:t xml:space="preserve">Additionally, this validation approach compared various categories and deciles of hospital </w:t>
      </w:r>
      <w:r>
        <w:rPr>
          <w:color w:val="C00000"/>
        </w:rPr>
        <w:t>THA/TKA</w:t>
      </w:r>
      <w:r w:rsidRPr="00043DA7">
        <w:rPr>
          <w:color w:val="C00000"/>
        </w:rPr>
        <w:t xml:space="preserve"> </w:t>
      </w:r>
      <w:r>
        <w:rPr>
          <w:rFonts w:cstheme="minorHAnsi"/>
          <w:noProof/>
          <w:color w:val="C00000"/>
        </w:rPr>
        <w:t xml:space="preserve">admission volume with </w:t>
      </w:r>
      <w:r>
        <w:rPr>
          <w:color w:val="C00000"/>
        </w:rPr>
        <w:t>THA/TKA</w:t>
      </w:r>
      <w:r w:rsidRPr="00043DA7">
        <w:rPr>
          <w:color w:val="C00000"/>
        </w:rPr>
        <w:t xml:space="preserve"> </w:t>
      </w:r>
      <w:r>
        <w:rPr>
          <w:rFonts w:cstheme="minorHAnsi"/>
          <w:noProof/>
          <w:color w:val="C00000"/>
        </w:rPr>
        <w:t>readm</w:t>
      </w:r>
      <w:r w:rsidR="008A6880">
        <w:rPr>
          <w:rFonts w:cstheme="minorHAnsi"/>
          <w:noProof/>
          <w:color w:val="C00000"/>
        </w:rPr>
        <w:t>ission measure scores in Table 3</w:t>
      </w:r>
      <w:r>
        <w:rPr>
          <w:rFonts w:cstheme="minorHAnsi"/>
          <w:noProof/>
          <w:color w:val="C00000"/>
        </w:rPr>
        <w:t xml:space="preserve"> – these results demonstrate an observed trend of higher hospital volume with lower readmission rates, especially in hospitals with the largest volumes.</w:t>
      </w:r>
    </w:p>
    <w:p w14:paraId="0CABCFE0" w14:textId="19DE3BDB"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lastRenderedPageBreak/>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859C3">
        <w:rPr>
          <w:rFonts w:cstheme="minorHAnsi"/>
          <w:b/>
          <w:bCs/>
          <w:i/>
        </w:rPr>
        <w:t xml:space="preserve">skip </w:t>
      </w:r>
      <w:r w:rsidR="008A4C13" w:rsidRPr="00A859C3">
        <w:rPr>
          <w:rFonts w:cstheme="minorHAnsi"/>
          <w:b/>
          <w:bCs/>
          <w:i/>
        </w:rPr>
        <w:t xml:space="preserve">to </w:t>
      </w:r>
      <w:r w:rsidR="00BE592D" w:rsidRPr="00A859C3">
        <w:rPr>
          <w:rFonts w:cstheme="minorHAnsi"/>
          <w:b/>
          <w:bCs/>
          <w:i/>
        </w:rPr>
        <w:t xml:space="preserve">section </w:t>
      </w:r>
      <w:hyperlink w:anchor="section2b4" w:history="1">
        <w:r w:rsidR="00483E94" w:rsidRPr="00A859C3">
          <w:rPr>
            <w:rStyle w:val="Hyperlink"/>
            <w:rFonts w:cstheme="minorHAnsi"/>
            <w:b/>
            <w:bCs/>
            <w:i/>
          </w:rPr>
          <w:t>2b</w:t>
        </w:r>
        <w:r w:rsidR="00AC1D8E" w:rsidRPr="00A859C3">
          <w:rPr>
            <w:rStyle w:val="Hyperlink"/>
            <w:rFonts w:cstheme="minorHAnsi"/>
            <w:b/>
            <w:bCs/>
            <w:i/>
          </w:rPr>
          <w:t>4</w:t>
        </w:r>
      </w:hyperlink>
    </w:p>
    <w:p w14:paraId="7D1F52DB" w14:textId="5B056E02" w:rsidR="00AF2949" w:rsidRDefault="00092566" w:rsidP="00844066">
      <w:pPr>
        <w:autoSpaceDE w:val="0"/>
        <w:autoSpaceDN w:val="0"/>
        <w:adjustRightInd w:val="0"/>
        <w:spacing w:before="120"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5718E5BE" w14:textId="470316EF" w:rsidR="00DA7436" w:rsidRPr="00AF2949" w:rsidRDefault="00DA7436" w:rsidP="00AF2949">
      <w:pPr>
        <w:autoSpaceDE w:val="0"/>
        <w:autoSpaceDN w:val="0"/>
        <w:adjustRightInd w:val="0"/>
        <w:spacing w:before="120" w:after="120" w:line="240" w:lineRule="auto"/>
        <w:rPr>
          <w:rFonts w:cstheme="minorHAnsi"/>
          <w:bCs/>
          <w:sz w:val="12"/>
        </w:rPr>
      </w:pPr>
      <w:r w:rsidRPr="00AF2949">
        <w:rPr>
          <w:rFonts w:cstheme="minorHAnsi"/>
          <w:bCs/>
          <w:color w:val="7030A0"/>
        </w:rPr>
        <w:t xml:space="preserve">All exclusions were determined by careful clinical review and have been made based on clinically relevant decisions to ensure accurate calculation of the measure. </w:t>
      </w:r>
      <w:r w:rsidRPr="00AF2949">
        <w:rPr>
          <w:bCs/>
          <w:color w:val="7030A0"/>
        </w:rPr>
        <w:t xml:space="preserve">To ascertain impact of exclusions on the cohort, we examined overall frequencies and proportions of the total cohort excluded for each exclusion criterion </w:t>
      </w:r>
      <w:r w:rsidRPr="00AF2949">
        <w:rPr>
          <w:rFonts w:cstheme="minorHAnsi"/>
          <w:bCs/>
          <w:color w:val="7030A0"/>
        </w:rPr>
        <w:t>(</w:t>
      </w:r>
      <w:r w:rsidR="00A81E54">
        <w:rPr>
          <w:rFonts w:cstheme="minorHAnsi"/>
          <w:b/>
          <w:bCs/>
          <w:color w:val="7030A0"/>
        </w:rPr>
        <w:t>Testing</w:t>
      </w:r>
      <w:r w:rsidRPr="00AF2949">
        <w:rPr>
          <w:rFonts w:cstheme="minorHAnsi"/>
          <w:b/>
          <w:bCs/>
          <w:color w:val="7030A0"/>
        </w:rPr>
        <w:t xml:space="preserve"> Dataset</w:t>
      </w:r>
      <w:r w:rsidRPr="00AF2949">
        <w:rPr>
          <w:rFonts w:cstheme="minorHAnsi"/>
          <w:bCs/>
          <w:color w:val="7030A0"/>
        </w:rPr>
        <w:t>)</w:t>
      </w:r>
      <w:r w:rsidRPr="00AF2949">
        <w:rPr>
          <w:bCs/>
          <w:color w:val="7030A0"/>
        </w:rPr>
        <w:t xml:space="preserve">. </w:t>
      </w:r>
      <w:r w:rsidRPr="00AF2949">
        <w:rPr>
          <w:rFonts w:cstheme="minorHAnsi"/>
          <w:bCs/>
          <w:color w:val="7030A0"/>
        </w:rPr>
        <w:t xml:space="preserve">These exclusions are consistent with similar NQF-endorsed outcome measures. </w:t>
      </w:r>
      <w:r w:rsidRPr="00AF2949">
        <w:rPr>
          <w:bCs/>
          <w:color w:val="7030A0"/>
        </w:rPr>
        <w:t>Rationales for the exclusions</w:t>
      </w:r>
      <w:r w:rsidR="00F203C7">
        <w:rPr>
          <w:bCs/>
          <w:color w:val="7030A0"/>
        </w:rPr>
        <w:t xml:space="preserve"> are detailed in data field S.9</w:t>
      </w:r>
      <w:r w:rsidRPr="00AF2949">
        <w:rPr>
          <w:bCs/>
          <w:color w:val="7030A0"/>
        </w:rPr>
        <w:t xml:space="preserve"> (Denominator Exclusions)</w:t>
      </w:r>
      <w:r w:rsidR="0031314D">
        <w:rPr>
          <w:bCs/>
          <w:color w:val="7030A0"/>
        </w:rPr>
        <w:t>.</w:t>
      </w:r>
    </w:p>
    <w:p w14:paraId="0CABCFE6" w14:textId="515EEE27"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487E7D37" w14:textId="163535D9" w:rsidR="00AF2949" w:rsidRPr="00A341FD" w:rsidRDefault="00AF2949" w:rsidP="00AF2949">
      <w:pPr>
        <w:autoSpaceDE w:val="0"/>
        <w:autoSpaceDN w:val="0"/>
        <w:adjustRightInd w:val="0"/>
        <w:spacing w:before="120" w:after="120" w:line="240" w:lineRule="auto"/>
      </w:pPr>
      <w:r w:rsidRPr="00EB5124">
        <w:rPr>
          <w:rFonts w:cstheme="minorHAnsi"/>
          <w:bCs/>
          <w:color w:val="7030A0"/>
        </w:rPr>
        <w:t xml:space="preserve">In </w:t>
      </w:r>
      <w:r w:rsidRPr="00EB5124">
        <w:rPr>
          <w:rFonts w:cstheme="minorHAnsi"/>
          <w:b/>
          <w:bCs/>
          <w:color w:val="7030A0"/>
        </w:rPr>
        <w:t xml:space="preserve">the </w:t>
      </w:r>
      <w:r w:rsidR="00A81E54">
        <w:rPr>
          <w:rFonts w:cstheme="minorHAnsi"/>
          <w:b/>
          <w:bCs/>
          <w:color w:val="7030A0"/>
        </w:rPr>
        <w:t>Testing Dataset (</w:t>
      </w:r>
      <w:r w:rsidR="00A341FD" w:rsidRPr="00A341FD">
        <w:rPr>
          <w:b/>
          <w:color w:val="7030A0"/>
        </w:rPr>
        <w:t xml:space="preserve">Table </w:t>
      </w:r>
      <w:r w:rsidR="00A341FD" w:rsidRPr="00A341FD">
        <w:rPr>
          <w:b/>
          <w:color w:val="7030A0"/>
        </w:rPr>
        <w:fldChar w:fldCharType="begin"/>
      </w:r>
      <w:r w:rsidR="00A341FD" w:rsidRPr="00A341FD">
        <w:rPr>
          <w:b/>
          <w:color w:val="7030A0"/>
        </w:rPr>
        <w:instrText xml:space="preserve"> SEQ Table \* ARABIC </w:instrText>
      </w:r>
      <w:r w:rsidR="00A341FD" w:rsidRPr="00A341FD">
        <w:rPr>
          <w:b/>
          <w:color w:val="7030A0"/>
        </w:rPr>
        <w:fldChar w:fldCharType="separate"/>
      </w:r>
      <w:r w:rsidR="006F2E6B">
        <w:rPr>
          <w:b/>
          <w:noProof/>
          <w:color w:val="7030A0"/>
        </w:rPr>
        <w:t>5</w:t>
      </w:r>
      <w:r w:rsidR="00A341FD" w:rsidRPr="00A341FD">
        <w:rPr>
          <w:b/>
          <w:color w:val="7030A0"/>
        </w:rPr>
        <w:fldChar w:fldCharType="end"/>
      </w:r>
      <w:r w:rsidRPr="00EB5124">
        <w:rPr>
          <w:rFonts w:cstheme="minorHAnsi"/>
          <w:b/>
          <w:bCs/>
          <w:color w:val="7030A0"/>
        </w:rPr>
        <w:t xml:space="preserve">), </w:t>
      </w:r>
      <w:r w:rsidRPr="00EB5124">
        <w:rPr>
          <w:rFonts w:cstheme="minorHAnsi"/>
          <w:bCs/>
          <w:color w:val="7030A0"/>
        </w:rPr>
        <w:t xml:space="preserve">below is the </w:t>
      </w:r>
      <w:r w:rsidRPr="00EB5124">
        <w:rPr>
          <w:rFonts w:cstheme="minorHAnsi"/>
          <w:color w:val="7030A0"/>
          <w:shd w:val="clear" w:color="auto" w:fill="FFFFFF"/>
        </w:rPr>
        <w:t>distribution of exclusions among hospitals with 25 or more admissions</w:t>
      </w:r>
      <w:r w:rsidRPr="00A859C3">
        <w:rPr>
          <w:rFonts w:cstheme="minorHAnsi"/>
          <w:bCs/>
          <w:color w:val="7030A0"/>
        </w:rPr>
        <w:t>:</w:t>
      </w:r>
    </w:p>
    <w:tbl>
      <w:tblPr>
        <w:tblStyle w:val="TableGrid"/>
        <w:tblW w:w="10315" w:type="dxa"/>
        <w:tblLayout w:type="fixed"/>
        <w:tblLook w:val="04A0" w:firstRow="1" w:lastRow="0" w:firstColumn="1" w:lastColumn="0" w:noHBand="0" w:noVBand="1"/>
      </w:tblPr>
      <w:tblGrid>
        <w:gridCol w:w="4467"/>
        <w:gridCol w:w="1325"/>
        <w:gridCol w:w="1763"/>
        <w:gridCol w:w="2760"/>
      </w:tblGrid>
      <w:tr w:rsidR="007B5B44" w:rsidRPr="00BE142B" w14:paraId="6C4101E6" w14:textId="77777777" w:rsidTr="004C68D2">
        <w:trPr>
          <w:cantSplit/>
          <w:trHeight w:val="1274"/>
          <w:tblHeader/>
        </w:trPr>
        <w:tc>
          <w:tcPr>
            <w:tcW w:w="4467" w:type="dxa"/>
            <w:shd w:val="clear" w:color="auto" w:fill="8DB3E2" w:themeFill="text2" w:themeFillTint="66"/>
            <w:vAlign w:val="center"/>
          </w:tcPr>
          <w:p w14:paraId="451F224F" w14:textId="77777777" w:rsidR="007B5B44" w:rsidRPr="00BE142B" w:rsidRDefault="007B5B44" w:rsidP="00251F35">
            <w:pPr>
              <w:rPr>
                <w:b/>
              </w:rPr>
            </w:pPr>
            <w:r w:rsidRPr="00BE142B">
              <w:rPr>
                <w:b/>
              </w:rPr>
              <w:t>Exclusion</w:t>
            </w:r>
          </w:p>
        </w:tc>
        <w:tc>
          <w:tcPr>
            <w:tcW w:w="1325" w:type="dxa"/>
            <w:shd w:val="clear" w:color="auto" w:fill="8DB3E2" w:themeFill="text2" w:themeFillTint="66"/>
            <w:vAlign w:val="center"/>
          </w:tcPr>
          <w:p w14:paraId="56740538" w14:textId="77777777" w:rsidR="007B5B44" w:rsidRPr="00BE142B" w:rsidRDefault="007B5B44" w:rsidP="00251F35">
            <w:pPr>
              <w:jc w:val="center"/>
              <w:rPr>
                <w:b/>
              </w:rPr>
            </w:pPr>
            <w:r w:rsidRPr="00BE142B">
              <w:rPr>
                <w:b/>
              </w:rPr>
              <w:t>N</w:t>
            </w:r>
          </w:p>
        </w:tc>
        <w:tc>
          <w:tcPr>
            <w:tcW w:w="1763" w:type="dxa"/>
            <w:shd w:val="clear" w:color="auto" w:fill="8DB3E2" w:themeFill="text2" w:themeFillTint="66"/>
            <w:vAlign w:val="center"/>
          </w:tcPr>
          <w:p w14:paraId="3BF90AFD" w14:textId="77777777" w:rsidR="007B5B44" w:rsidRPr="00BE142B" w:rsidRDefault="007B5B44" w:rsidP="00251F35">
            <w:pPr>
              <w:jc w:val="center"/>
              <w:rPr>
                <w:b/>
              </w:rPr>
            </w:pPr>
            <w:r w:rsidRPr="00BE142B">
              <w:rPr>
                <w:b/>
              </w:rPr>
              <w:t>%</w:t>
            </w:r>
          </w:p>
        </w:tc>
        <w:tc>
          <w:tcPr>
            <w:tcW w:w="2760" w:type="dxa"/>
            <w:shd w:val="clear" w:color="auto" w:fill="8DB3E2" w:themeFill="text2" w:themeFillTint="66"/>
            <w:vAlign w:val="center"/>
          </w:tcPr>
          <w:p w14:paraId="5C2756FD" w14:textId="0D9B5D35" w:rsidR="007B5B44" w:rsidRPr="00BE142B" w:rsidRDefault="007B5B44" w:rsidP="00251F35">
            <w:pPr>
              <w:jc w:val="center"/>
              <w:rPr>
                <w:b/>
              </w:rPr>
            </w:pPr>
            <w:r w:rsidRPr="00BE142B">
              <w:rPr>
                <w:b/>
              </w:rPr>
              <w:t>Distribution across hospitals (N=</w:t>
            </w:r>
            <w:r w:rsidR="0001304E" w:rsidRPr="00E205B4">
              <w:rPr>
                <w:b/>
                <w:color w:val="C00000"/>
              </w:rPr>
              <w:t>2,767</w:t>
            </w:r>
            <w:r w:rsidRPr="00BE142B">
              <w:rPr>
                <w:b/>
              </w:rPr>
              <w:t>: Min, 25</w:t>
            </w:r>
            <w:r w:rsidRPr="00BE142B">
              <w:rPr>
                <w:b/>
                <w:vertAlign w:val="superscript"/>
              </w:rPr>
              <w:t>th</w:t>
            </w:r>
            <w:r w:rsidRPr="00BE142B">
              <w:rPr>
                <w:b/>
              </w:rPr>
              <w:t>, 50</w:t>
            </w:r>
            <w:r w:rsidRPr="00BE142B">
              <w:rPr>
                <w:b/>
                <w:vertAlign w:val="superscript"/>
              </w:rPr>
              <w:t>th</w:t>
            </w:r>
            <w:r w:rsidRPr="00BE142B">
              <w:rPr>
                <w:b/>
              </w:rPr>
              <w:t>, 75</w:t>
            </w:r>
            <w:r w:rsidRPr="00BE142B">
              <w:rPr>
                <w:b/>
                <w:vertAlign w:val="superscript"/>
              </w:rPr>
              <w:t>th</w:t>
            </w:r>
            <w:r w:rsidRPr="00BE142B">
              <w:rPr>
                <w:b/>
              </w:rPr>
              <w:t xml:space="preserve"> percentile, max</w:t>
            </w:r>
            <w:r w:rsidR="002E194A">
              <w:rPr>
                <w:b/>
              </w:rPr>
              <w:t>)</w:t>
            </w:r>
          </w:p>
        </w:tc>
      </w:tr>
      <w:tr w:rsidR="0001304E" w:rsidRPr="00BE142B" w14:paraId="54201991" w14:textId="77777777" w:rsidTr="004C68D2">
        <w:trPr>
          <w:cantSplit/>
          <w:trHeight w:val="513"/>
          <w:tblHeader/>
        </w:trPr>
        <w:tc>
          <w:tcPr>
            <w:tcW w:w="4467" w:type="dxa"/>
          </w:tcPr>
          <w:p w14:paraId="14F2B42B" w14:textId="45D0384D" w:rsidR="0001304E" w:rsidRPr="004C68D2" w:rsidRDefault="0001304E" w:rsidP="0001304E">
            <w:pPr>
              <w:rPr>
                <w:color w:val="C00000"/>
              </w:rPr>
            </w:pPr>
            <w:r w:rsidRPr="004C68D2">
              <w:rPr>
                <w:rFonts w:cs="Arial"/>
                <w:color w:val="C00000"/>
              </w:rPr>
              <w:t>1. Discharged against medical advice</w:t>
            </w:r>
            <w:r w:rsidR="002E194A">
              <w:rPr>
                <w:rFonts w:cs="Arial"/>
                <w:color w:val="C00000"/>
              </w:rPr>
              <w:t xml:space="preserve"> (AMA)</w:t>
            </w:r>
          </w:p>
        </w:tc>
        <w:tc>
          <w:tcPr>
            <w:tcW w:w="1325" w:type="dxa"/>
          </w:tcPr>
          <w:p w14:paraId="3DF68068" w14:textId="7AFB0160" w:rsidR="0001304E" w:rsidRPr="006F7987" w:rsidRDefault="0001304E" w:rsidP="0001304E">
            <w:pPr>
              <w:jc w:val="center"/>
              <w:rPr>
                <w:color w:val="FF0000"/>
              </w:rPr>
            </w:pPr>
            <w:r w:rsidRPr="00E205B4">
              <w:rPr>
                <w:color w:val="C00000"/>
              </w:rPr>
              <w:t>155</w:t>
            </w:r>
          </w:p>
        </w:tc>
        <w:tc>
          <w:tcPr>
            <w:tcW w:w="1763" w:type="dxa"/>
          </w:tcPr>
          <w:p w14:paraId="34A8E4C2" w14:textId="206EE912" w:rsidR="0001304E" w:rsidRPr="006F7987" w:rsidRDefault="0001304E" w:rsidP="0001304E">
            <w:pPr>
              <w:jc w:val="center"/>
              <w:rPr>
                <w:color w:val="FF0000"/>
              </w:rPr>
            </w:pPr>
            <w:r w:rsidRPr="00E205B4">
              <w:rPr>
                <w:color w:val="C00000"/>
              </w:rPr>
              <w:t>0.02</w:t>
            </w:r>
          </w:p>
        </w:tc>
        <w:tc>
          <w:tcPr>
            <w:tcW w:w="2760" w:type="dxa"/>
          </w:tcPr>
          <w:p w14:paraId="4E5CAB2F" w14:textId="394D5292" w:rsidR="0001304E" w:rsidRPr="00E205B4" w:rsidRDefault="0001304E" w:rsidP="0001304E">
            <w:pPr>
              <w:jc w:val="center"/>
              <w:rPr>
                <w:color w:val="C00000"/>
              </w:rPr>
            </w:pP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3.70)</w:t>
            </w:r>
          </w:p>
        </w:tc>
      </w:tr>
      <w:tr w:rsidR="006F7987" w:rsidRPr="00BE142B" w14:paraId="6CE9D3D7" w14:textId="77777777" w:rsidTr="004C68D2">
        <w:trPr>
          <w:cantSplit/>
          <w:trHeight w:val="513"/>
          <w:tblHeader/>
        </w:trPr>
        <w:tc>
          <w:tcPr>
            <w:tcW w:w="4467" w:type="dxa"/>
          </w:tcPr>
          <w:p w14:paraId="6E81B44D" w14:textId="475CA0CF" w:rsidR="006F7987" w:rsidRPr="004C68D2" w:rsidRDefault="006F7987" w:rsidP="006F7987">
            <w:pPr>
              <w:rPr>
                <w:rFonts w:cs="Arial"/>
                <w:color w:val="C00000"/>
              </w:rPr>
            </w:pPr>
            <w:r w:rsidRPr="004C68D2">
              <w:rPr>
                <w:rFonts w:cs="Arial"/>
                <w:color w:val="C00000"/>
              </w:rPr>
              <w:t xml:space="preserve">2. </w:t>
            </w:r>
            <w:r w:rsidR="004C68D2" w:rsidRPr="004C68D2">
              <w:rPr>
                <w:rFonts w:ascii="Calibri" w:eastAsia="Calibri" w:hAnsi="Calibri" w:cs="Times New Roman"/>
                <w:color w:val="C00000"/>
              </w:rPr>
              <w:t>Who had an admission for THA/TKA within 30 days of a prior index admission</w:t>
            </w:r>
          </w:p>
        </w:tc>
        <w:tc>
          <w:tcPr>
            <w:tcW w:w="1325" w:type="dxa"/>
          </w:tcPr>
          <w:p w14:paraId="00EEEC02" w14:textId="4054039A" w:rsidR="006F7987" w:rsidRPr="006F7987" w:rsidRDefault="006F7987" w:rsidP="006F7987">
            <w:pPr>
              <w:jc w:val="center"/>
              <w:rPr>
                <w:color w:val="FF0000"/>
              </w:rPr>
            </w:pPr>
            <w:r w:rsidRPr="00E205B4">
              <w:rPr>
                <w:color w:val="C00000"/>
              </w:rPr>
              <w:t>1</w:t>
            </w:r>
            <w:r w:rsidR="004C68D2">
              <w:rPr>
                <w:color w:val="C00000"/>
              </w:rPr>
              <w:t>,</w:t>
            </w:r>
            <w:r w:rsidRPr="00E205B4">
              <w:rPr>
                <w:color w:val="C00000"/>
              </w:rPr>
              <w:t>022</w:t>
            </w:r>
          </w:p>
        </w:tc>
        <w:tc>
          <w:tcPr>
            <w:tcW w:w="1763" w:type="dxa"/>
          </w:tcPr>
          <w:p w14:paraId="68E0A9EB" w14:textId="6E72E96A" w:rsidR="006F7987" w:rsidRPr="006F7987" w:rsidRDefault="006F7987" w:rsidP="006F7987">
            <w:pPr>
              <w:tabs>
                <w:tab w:val="left" w:pos="1390"/>
              </w:tabs>
              <w:jc w:val="center"/>
              <w:rPr>
                <w:color w:val="FF0000"/>
              </w:rPr>
            </w:pPr>
            <w:r w:rsidRPr="00E205B4">
              <w:rPr>
                <w:color w:val="C00000"/>
              </w:rPr>
              <w:t>0.10</w:t>
            </w:r>
          </w:p>
        </w:tc>
        <w:tc>
          <w:tcPr>
            <w:tcW w:w="2760" w:type="dxa"/>
          </w:tcPr>
          <w:p w14:paraId="0DE3881F" w14:textId="72544066" w:rsidR="006F7987" w:rsidRPr="00E205B4" w:rsidRDefault="006F7987" w:rsidP="006F7987">
            <w:pPr>
              <w:jc w:val="center"/>
              <w:rPr>
                <w:color w:val="C00000"/>
              </w:rPr>
            </w:pP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14.2)</w:t>
            </w:r>
          </w:p>
        </w:tc>
      </w:tr>
      <w:tr w:rsidR="006F7987" w:rsidRPr="00BE142B" w14:paraId="79ED2552" w14:textId="77777777" w:rsidTr="004C68D2">
        <w:trPr>
          <w:cantSplit/>
          <w:trHeight w:val="504"/>
          <w:tblHeader/>
        </w:trPr>
        <w:tc>
          <w:tcPr>
            <w:tcW w:w="4467" w:type="dxa"/>
          </w:tcPr>
          <w:p w14:paraId="6170E35A" w14:textId="35B3E0AE" w:rsidR="006F7987" w:rsidRPr="004C68D2" w:rsidRDefault="006F7987" w:rsidP="006F7987">
            <w:pPr>
              <w:rPr>
                <w:color w:val="C00000"/>
              </w:rPr>
            </w:pPr>
            <w:r w:rsidRPr="004C68D2">
              <w:rPr>
                <w:rFonts w:cs="Arial"/>
                <w:color w:val="C00000"/>
              </w:rPr>
              <w:t xml:space="preserve">3. </w:t>
            </w:r>
            <w:r w:rsidR="004C68D2">
              <w:rPr>
                <w:rFonts w:ascii="Calibri" w:eastAsia="Calibri" w:hAnsi="Calibri" w:cs="Times New Roman"/>
                <w:color w:val="C00000"/>
              </w:rPr>
              <w:t>Transferred to acute care facility</w:t>
            </w:r>
          </w:p>
        </w:tc>
        <w:tc>
          <w:tcPr>
            <w:tcW w:w="1325" w:type="dxa"/>
          </w:tcPr>
          <w:p w14:paraId="42CEE476" w14:textId="1C5D06B0" w:rsidR="006F7987" w:rsidRPr="006F7987" w:rsidRDefault="006F7987" w:rsidP="006F7987">
            <w:pPr>
              <w:jc w:val="center"/>
              <w:rPr>
                <w:color w:val="FF0000"/>
              </w:rPr>
            </w:pPr>
            <w:r w:rsidRPr="00E205B4">
              <w:rPr>
                <w:color w:val="C00000"/>
              </w:rPr>
              <w:t>3</w:t>
            </w:r>
            <w:r w:rsidR="004C68D2">
              <w:rPr>
                <w:color w:val="C00000"/>
              </w:rPr>
              <w:t>,</w:t>
            </w:r>
            <w:r w:rsidRPr="00E205B4">
              <w:rPr>
                <w:color w:val="C00000"/>
              </w:rPr>
              <w:t>019</w:t>
            </w:r>
          </w:p>
        </w:tc>
        <w:tc>
          <w:tcPr>
            <w:tcW w:w="1763" w:type="dxa"/>
          </w:tcPr>
          <w:p w14:paraId="161F6ADF" w14:textId="3F5D8285" w:rsidR="006F7987" w:rsidRPr="006F7987" w:rsidRDefault="006F7987" w:rsidP="006F7987">
            <w:pPr>
              <w:jc w:val="center"/>
              <w:rPr>
                <w:color w:val="FF0000"/>
              </w:rPr>
            </w:pPr>
            <w:r w:rsidRPr="00E205B4">
              <w:rPr>
                <w:color w:val="C00000"/>
              </w:rPr>
              <w:t>0.30</w:t>
            </w:r>
          </w:p>
        </w:tc>
        <w:tc>
          <w:tcPr>
            <w:tcW w:w="2760" w:type="dxa"/>
          </w:tcPr>
          <w:p w14:paraId="4E53A4FC" w14:textId="039B4866" w:rsidR="006F7987" w:rsidRPr="00E205B4" w:rsidRDefault="006F7987" w:rsidP="006F7987">
            <w:pPr>
              <w:jc w:val="center"/>
              <w:rPr>
                <w:color w:val="C00000"/>
              </w:rPr>
            </w:pP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0.44,</w:t>
            </w:r>
            <w:r w:rsidR="00774195">
              <w:rPr>
                <w:color w:val="C00000"/>
              </w:rPr>
              <w:t xml:space="preserve"> </w:t>
            </w:r>
            <w:r w:rsidRPr="00E205B4">
              <w:rPr>
                <w:color w:val="C00000"/>
              </w:rPr>
              <w:t>21.1)</w:t>
            </w:r>
          </w:p>
        </w:tc>
      </w:tr>
      <w:tr w:rsidR="006F7987" w:rsidRPr="00BE142B" w14:paraId="71046E4F" w14:textId="77777777" w:rsidTr="004C68D2">
        <w:trPr>
          <w:cantSplit/>
          <w:trHeight w:val="513"/>
          <w:tblHeader/>
        </w:trPr>
        <w:tc>
          <w:tcPr>
            <w:tcW w:w="4467" w:type="dxa"/>
          </w:tcPr>
          <w:p w14:paraId="6C8C4DCD" w14:textId="1A58C5D9" w:rsidR="006F7987" w:rsidRPr="004C68D2" w:rsidRDefault="006F7987" w:rsidP="006F7987">
            <w:pPr>
              <w:rPr>
                <w:rFonts w:cs="Arial"/>
                <w:color w:val="C00000"/>
              </w:rPr>
            </w:pPr>
            <w:r w:rsidRPr="004C68D2">
              <w:rPr>
                <w:rFonts w:cs="Arial"/>
                <w:color w:val="C00000"/>
              </w:rPr>
              <w:t xml:space="preserve">4. </w:t>
            </w:r>
            <w:r w:rsidR="004C68D2" w:rsidRPr="004C68D2">
              <w:rPr>
                <w:rFonts w:ascii="Calibri" w:eastAsia="Calibri" w:hAnsi="Calibri" w:cs="Times New Roman"/>
                <w:color w:val="C00000"/>
              </w:rPr>
              <w:t>Without at least 30 days post-discharge enrollment in FFS Medicare for index admissions</w:t>
            </w:r>
          </w:p>
        </w:tc>
        <w:tc>
          <w:tcPr>
            <w:tcW w:w="1325" w:type="dxa"/>
          </w:tcPr>
          <w:p w14:paraId="5D919D25" w14:textId="637CA028" w:rsidR="006F7987" w:rsidRPr="006F7987" w:rsidRDefault="006F7987" w:rsidP="006F7987">
            <w:pPr>
              <w:jc w:val="center"/>
              <w:rPr>
                <w:color w:val="FF0000"/>
              </w:rPr>
            </w:pPr>
            <w:r w:rsidRPr="00E205B4">
              <w:rPr>
                <w:color w:val="C00000"/>
              </w:rPr>
              <w:t>2</w:t>
            </w:r>
            <w:r w:rsidR="004C68D2">
              <w:rPr>
                <w:color w:val="C00000"/>
              </w:rPr>
              <w:t>,</w:t>
            </w:r>
            <w:r w:rsidRPr="00E205B4">
              <w:rPr>
                <w:color w:val="C00000"/>
              </w:rPr>
              <w:t>434</w:t>
            </w:r>
          </w:p>
        </w:tc>
        <w:tc>
          <w:tcPr>
            <w:tcW w:w="1763" w:type="dxa"/>
          </w:tcPr>
          <w:p w14:paraId="36466F08" w14:textId="0BD3BAA2" w:rsidR="006F7987" w:rsidRPr="006F7987" w:rsidRDefault="006F7987" w:rsidP="006F7987">
            <w:pPr>
              <w:jc w:val="center"/>
              <w:rPr>
                <w:color w:val="FF0000"/>
              </w:rPr>
            </w:pPr>
            <w:r w:rsidRPr="00E205B4">
              <w:rPr>
                <w:color w:val="C00000"/>
              </w:rPr>
              <w:t>0.24</w:t>
            </w:r>
          </w:p>
        </w:tc>
        <w:tc>
          <w:tcPr>
            <w:tcW w:w="2760" w:type="dxa"/>
          </w:tcPr>
          <w:p w14:paraId="471E5089" w14:textId="09157F88" w:rsidR="006F7987" w:rsidRPr="00E205B4" w:rsidRDefault="006F7987" w:rsidP="006F7987">
            <w:pPr>
              <w:jc w:val="center"/>
              <w:rPr>
                <w:color w:val="C00000"/>
              </w:rPr>
            </w:pP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0.35,</w:t>
            </w:r>
            <w:r w:rsidR="00774195">
              <w:rPr>
                <w:color w:val="C00000"/>
              </w:rPr>
              <w:t xml:space="preserve"> </w:t>
            </w:r>
            <w:r w:rsidRPr="00E205B4">
              <w:rPr>
                <w:color w:val="C00000"/>
              </w:rPr>
              <w:t>5.56)</w:t>
            </w:r>
          </w:p>
        </w:tc>
      </w:tr>
      <w:tr w:rsidR="006F7987" w:rsidRPr="00BE142B" w14:paraId="3FCAA2DA" w14:textId="77777777" w:rsidTr="004C68D2">
        <w:trPr>
          <w:cantSplit/>
          <w:trHeight w:val="513"/>
          <w:tblHeader/>
        </w:trPr>
        <w:tc>
          <w:tcPr>
            <w:tcW w:w="4467" w:type="dxa"/>
          </w:tcPr>
          <w:p w14:paraId="2AF4D2F3" w14:textId="3D3247A7" w:rsidR="006F7987" w:rsidRPr="004C68D2" w:rsidRDefault="006F7987" w:rsidP="006F7987">
            <w:pPr>
              <w:rPr>
                <w:rFonts w:cs="Arial"/>
                <w:color w:val="C00000"/>
              </w:rPr>
            </w:pPr>
            <w:r w:rsidRPr="004C68D2">
              <w:rPr>
                <w:rFonts w:cs="Arial"/>
                <w:color w:val="C00000"/>
              </w:rPr>
              <w:t xml:space="preserve">5. </w:t>
            </w:r>
            <w:r w:rsidR="004C68D2" w:rsidRPr="004C68D2">
              <w:rPr>
                <w:rFonts w:ascii="Calibri" w:eastAsia="Calibri" w:hAnsi="Calibri" w:cs="Times New Roman"/>
                <w:color w:val="C00000"/>
              </w:rPr>
              <w:t>Who had more than two THA/TKA procedure codes during the index hospitalization</w:t>
            </w:r>
          </w:p>
        </w:tc>
        <w:tc>
          <w:tcPr>
            <w:tcW w:w="1325" w:type="dxa"/>
          </w:tcPr>
          <w:p w14:paraId="0D4D886D" w14:textId="525D4955" w:rsidR="006F7987" w:rsidRPr="006F7987" w:rsidRDefault="006F7987" w:rsidP="006F7987">
            <w:pPr>
              <w:jc w:val="center"/>
              <w:rPr>
                <w:color w:val="FF0000"/>
              </w:rPr>
            </w:pPr>
            <w:r w:rsidRPr="00E205B4">
              <w:rPr>
                <w:color w:val="C00000"/>
              </w:rPr>
              <w:t>1</w:t>
            </w:r>
          </w:p>
        </w:tc>
        <w:tc>
          <w:tcPr>
            <w:tcW w:w="1763" w:type="dxa"/>
          </w:tcPr>
          <w:p w14:paraId="72777065" w14:textId="5FD31DBD" w:rsidR="006F7987" w:rsidRPr="006F7987" w:rsidRDefault="006F7987" w:rsidP="006F7987">
            <w:pPr>
              <w:jc w:val="center"/>
              <w:rPr>
                <w:color w:val="FF0000"/>
              </w:rPr>
            </w:pPr>
            <w:r w:rsidRPr="00E205B4">
              <w:rPr>
                <w:color w:val="C00000"/>
              </w:rPr>
              <w:t>0.00</w:t>
            </w:r>
          </w:p>
        </w:tc>
        <w:tc>
          <w:tcPr>
            <w:tcW w:w="2760" w:type="dxa"/>
          </w:tcPr>
          <w:p w14:paraId="6B1FD8BC" w14:textId="5FD95951" w:rsidR="006F7987" w:rsidRPr="00E205B4" w:rsidRDefault="006F7987" w:rsidP="006F7987">
            <w:pPr>
              <w:jc w:val="center"/>
              <w:rPr>
                <w:color w:val="C00000"/>
              </w:rPr>
            </w:pP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0.00,</w:t>
            </w:r>
            <w:r w:rsidR="00774195">
              <w:rPr>
                <w:color w:val="C00000"/>
              </w:rPr>
              <w:t xml:space="preserve"> </w:t>
            </w:r>
            <w:r w:rsidRPr="00E205B4">
              <w:rPr>
                <w:color w:val="C00000"/>
              </w:rPr>
              <w:t>0.09)</w:t>
            </w:r>
          </w:p>
        </w:tc>
      </w:tr>
    </w:tbl>
    <w:p w14:paraId="30E55108" w14:textId="423119D0" w:rsidR="00AF2949" w:rsidRDefault="00092566" w:rsidP="007939B1">
      <w:pPr>
        <w:autoSpaceDE w:val="0"/>
        <w:autoSpaceDN w:val="0"/>
        <w:adjustRightInd w:val="0"/>
        <w:spacing w:before="120"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C208A4">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0C18B609" w14:textId="185F62F4" w:rsidR="00AF2949" w:rsidRPr="00AF2949" w:rsidRDefault="00A67C24" w:rsidP="00AF2949">
      <w:pPr>
        <w:autoSpaceDE w:val="0"/>
        <w:autoSpaceDN w:val="0"/>
        <w:adjustRightInd w:val="0"/>
        <w:spacing w:before="120" w:after="120" w:line="240" w:lineRule="auto"/>
        <w:rPr>
          <w:rFonts w:cstheme="minorHAnsi"/>
          <w:bCs/>
          <w:color w:val="7030A0"/>
        </w:rPr>
      </w:pPr>
      <w:r w:rsidRPr="00AF2949">
        <w:rPr>
          <w:rFonts w:cstheme="minorHAnsi"/>
          <w:b/>
          <w:bCs/>
          <w:color w:val="7030A0"/>
          <w:u w:val="single"/>
        </w:rPr>
        <w:t>Exclusion 1</w:t>
      </w:r>
      <w:r w:rsidRPr="00AF2949">
        <w:rPr>
          <w:rFonts w:cstheme="minorHAnsi"/>
          <w:bCs/>
          <w:color w:val="7030A0"/>
        </w:rPr>
        <w:t xml:space="preserve"> (patients who are discharged AMA) accounts for </w:t>
      </w:r>
      <w:r w:rsidRPr="00E205B4">
        <w:rPr>
          <w:rFonts w:cstheme="minorHAnsi"/>
          <w:bCs/>
          <w:color w:val="C00000"/>
        </w:rPr>
        <w:t>0.0</w:t>
      </w:r>
      <w:r w:rsidR="00E60B3D" w:rsidRPr="00E205B4">
        <w:rPr>
          <w:rFonts w:cstheme="minorHAnsi"/>
          <w:bCs/>
          <w:color w:val="C00000"/>
        </w:rPr>
        <w:t>2</w:t>
      </w:r>
      <w:r w:rsidRPr="00AF2949">
        <w:rPr>
          <w:rFonts w:cstheme="minorHAnsi"/>
          <w:bCs/>
          <w:color w:val="C00000"/>
        </w:rPr>
        <w:t>%</w:t>
      </w:r>
      <w:r w:rsidRPr="00E60B3D">
        <w:rPr>
          <w:rFonts w:cstheme="minorHAnsi"/>
          <w:bCs/>
        </w:rPr>
        <w:t xml:space="preserve"> </w:t>
      </w:r>
      <w:r w:rsidRPr="00AF2949">
        <w:rPr>
          <w:rFonts w:cstheme="minorHAnsi"/>
          <w:bCs/>
          <w:color w:val="7030A0"/>
        </w:rPr>
        <w:t>of all index admissions excluded from the initial index cohort. This exclusion is needed fo</w:t>
      </w:r>
      <w:r w:rsidR="00A9471A">
        <w:rPr>
          <w:rFonts w:cstheme="minorHAnsi"/>
          <w:bCs/>
          <w:color w:val="7030A0"/>
        </w:rPr>
        <w:t xml:space="preserve">r acceptability of the measure by </w:t>
      </w:r>
      <w:r w:rsidRPr="00AF2949">
        <w:rPr>
          <w:rFonts w:cstheme="minorHAnsi"/>
          <w:bCs/>
          <w:color w:val="7030A0"/>
        </w:rPr>
        <w:t>hospitals, who do not have the opportunity to adequately deliver full care and prepare the patient for discharge. Because a very small percent</w:t>
      </w:r>
      <w:r w:rsidR="00A9471A">
        <w:rPr>
          <w:rFonts w:cstheme="minorHAnsi"/>
          <w:bCs/>
          <w:color w:val="7030A0"/>
        </w:rPr>
        <w:t>age</w:t>
      </w:r>
      <w:r w:rsidRPr="00AF2949">
        <w:rPr>
          <w:rFonts w:cstheme="minorHAnsi"/>
          <w:bCs/>
          <w:color w:val="7030A0"/>
        </w:rPr>
        <w:t xml:space="preserve"> of patients </w:t>
      </w:r>
      <w:r w:rsidR="001E1E56" w:rsidRPr="00AF2949">
        <w:rPr>
          <w:rFonts w:cstheme="minorHAnsi"/>
          <w:bCs/>
          <w:color w:val="7030A0"/>
        </w:rPr>
        <w:t>is</w:t>
      </w:r>
      <w:r w:rsidRPr="00AF2949">
        <w:rPr>
          <w:rFonts w:cstheme="minorHAnsi"/>
          <w:bCs/>
          <w:color w:val="7030A0"/>
        </w:rPr>
        <w:t xml:space="preserve"> excluded, this exclusion is unlikely to affect measure score.</w:t>
      </w:r>
    </w:p>
    <w:p w14:paraId="49B6CBF3" w14:textId="77777777" w:rsidR="00AF2949" w:rsidRPr="00AF2949" w:rsidRDefault="00E60B3D" w:rsidP="00AF2949">
      <w:pPr>
        <w:autoSpaceDE w:val="0"/>
        <w:autoSpaceDN w:val="0"/>
        <w:adjustRightInd w:val="0"/>
        <w:spacing w:before="120" w:after="120" w:line="240" w:lineRule="auto"/>
        <w:rPr>
          <w:rFonts w:cstheme="minorHAnsi"/>
          <w:bCs/>
          <w:color w:val="7030A0"/>
        </w:rPr>
      </w:pPr>
      <w:r w:rsidRPr="00AF2949">
        <w:rPr>
          <w:rFonts w:cstheme="minorHAnsi"/>
          <w:b/>
          <w:bCs/>
          <w:color w:val="7030A0"/>
          <w:u w:val="single"/>
        </w:rPr>
        <w:t>Exclusion 2</w:t>
      </w:r>
      <w:r w:rsidRPr="00AF2949">
        <w:rPr>
          <w:rFonts w:cstheme="minorHAnsi"/>
          <w:bCs/>
          <w:color w:val="7030A0"/>
        </w:rPr>
        <w:t xml:space="preserve"> (patients who had an admission within 30 days of a prior index admission) accounts for </w:t>
      </w:r>
      <w:r w:rsidRPr="00E205B4">
        <w:rPr>
          <w:rFonts w:cstheme="minorHAnsi"/>
          <w:bCs/>
          <w:color w:val="C00000"/>
        </w:rPr>
        <w:t>0.10</w:t>
      </w:r>
      <w:r w:rsidRPr="00AF2949">
        <w:rPr>
          <w:rFonts w:cstheme="minorHAnsi"/>
          <w:bCs/>
          <w:color w:val="C00000"/>
        </w:rPr>
        <w:t>%</w:t>
      </w:r>
      <w:r w:rsidRPr="00AF2949">
        <w:rPr>
          <w:rFonts w:cstheme="minorHAnsi"/>
          <w:bCs/>
          <w:color w:val="7030A0"/>
        </w:rPr>
        <w:t xml:space="preserve"> of all index admissions excluded from the initial index cohort. This exclusion is needed to prevent admissions from being counted as both an index admission and a readmission.</w:t>
      </w:r>
    </w:p>
    <w:p w14:paraId="54518161" w14:textId="4D57A873" w:rsidR="00AF2949" w:rsidRPr="00AF2949" w:rsidRDefault="00E60B3D" w:rsidP="00AF2949">
      <w:pPr>
        <w:autoSpaceDE w:val="0"/>
        <w:autoSpaceDN w:val="0"/>
        <w:adjustRightInd w:val="0"/>
        <w:spacing w:before="120" w:after="120" w:line="240" w:lineRule="auto"/>
        <w:rPr>
          <w:rFonts w:cstheme="minorHAnsi"/>
          <w:bCs/>
          <w:color w:val="7030A0"/>
        </w:rPr>
      </w:pPr>
      <w:r w:rsidRPr="00AF2949">
        <w:rPr>
          <w:rFonts w:cstheme="minorHAnsi"/>
          <w:b/>
          <w:bCs/>
          <w:color w:val="7030A0"/>
          <w:u w:val="single"/>
        </w:rPr>
        <w:t>Exclusion 3</w:t>
      </w:r>
      <w:r w:rsidRPr="00AF2949">
        <w:rPr>
          <w:rFonts w:cstheme="minorHAnsi"/>
          <w:bCs/>
          <w:color w:val="7030A0"/>
        </w:rPr>
        <w:t xml:space="preserve"> (patients who are transferred to another acute care facility) accounts for </w:t>
      </w:r>
      <w:r w:rsidRPr="00E205B4">
        <w:rPr>
          <w:rFonts w:cstheme="minorHAnsi"/>
          <w:bCs/>
          <w:color w:val="C00000"/>
        </w:rPr>
        <w:t>0.30</w:t>
      </w:r>
      <w:r w:rsidRPr="00AF2949">
        <w:rPr>
          <w:rFonts w:cstheme="minorHAnsi"/>
          <w:bCs/>
          <w:color w:val="C00000"/>
        </w:rPr>
        <w:t>%</w:t>
      </w:r>
      <w:r w:rsidRPr="00AF2949">
        <w:rPr>
          <w:rFonts w:cstheme="minorHAnsi"/>
          <w:bCs/>
          <w:color w:val="7030A0"/>
        </w:rPr>
        <w:t xml:space="preserve"> of all index procedures excluded from the initial index cohort. This exclusion is intended to remove admissions from </w:t>
      </w:r>
      <w:r w:rsidRPr="00AF2949">
        <w:rPr>
          <w:rFonts w:cstheme="minorHAnsi"/>
          <w:bCs/>
          <w:color w:val="7030A0"/>
        </w:rPr>
        <w:lastRenderedPageBreak/>
        <w:t xml:space="preserve">the cohort for patients transferred </w:t>
      </w:r>
      <w:r w:rsidR="00727356">
        <w:rPr>
          <w:rFonts w:cstheme="minorHAnsi"/>
          <w:bCs/>
          <w:color w:val="7030A0"/>
        </w:rPr>
        <w:t>to another acute care facility</w:t>
      </w:r>
      <w:r w:rsidR="00065F34">
        <w:rPr>
          <w:rFonts w:cstheme="minorHAnsi"/>
          <w:bCs/>
          <w:color w:val="7030A0"/>
        </w:rPr>
        <w:t xml:space="preserve"> as</w:t>
      </w:r>
      <w:r w:rsidR="00727356">
        <w:rPr>
          <w:rFonts w:cstheme="minorHAnsi"/>
          <w:bCs/>
          <w:color w:val="7030A0"/>
        </w:rPr>
        <w:t xml:space="preserve"> </w:t>
      </w:r>
      <w:r w:rsidR="00065F34">
        <w:rPr>
          <w:rFonts w:cstheme="minorHAnsi"/>
          <w:bCs/>
          <w:color w:val="7030A0"/>
        </w:rPr>
        <w:t>it would be difficult to determine which hospital the o</w:t>
      </w:r>
      <w:r w:rsidR="00A81E54">
        <w:rPr>
          <w:rFonts w:cstheme="minorHAnsi"/>
          <w:bCs/>
          <w:color w:val="7030A0"/>
        </w:rPr>
        <w:t>utcome should be attributed to</w:t>
      </w:r>
      <w:r w:rsidRPr="00AF2949">
        <w:rPr>
          <w:rFonts w:cstheme="minorHAnsi"/>
          <w:bCs/>
          <w:color w:val="7030A0"/>
        </w:rPr>
        <w:t>.</w:t>
      </w:r>
    </w:p>
    <w:p w14:paraId="20BC6E22" w14:textId="0D8D1E2A" w:rsidR="00AF2949" w:rsidRDefault="00A67C24" w:rsidP="00AF2949">
      <w:pPr>
        <w:autoSpaceDE w:val="0"/>
        <w:autoSpaceDN w:val="0"/>
        <w:adjustRightInd w:val="0"/>
        <w:spacing w:before="120" w:after="120" w:line="240" w:lineRule="auto"/>
        <w:rPr>
          <w:rFonts w:cstheme="minorHAnsi"/>
          <w:bCs/>
          <w:color w:val="7030A0"/>
        </w:rPr>
      </w:pPr>
      <w:r w:rsidRPr="00AF2949">
        <w:rPr>
          <w:rFonts w:cstheme="minorHAnsi"/>
          <w:b/>
          <w:bCs/>
          <w:color w:val="7030A0"/>
          <w:u w:val="single"/>
        </w:rPr>
        <w:t xml:space="preserve">Exclusion </w:t>
      </w:r>
      <w:r w:rsidR="002A41CE" w:rsidRPr="00AF2949">
        <w:rPr>
          <w:rFonts w:cstheme="minorHAnsi"/>
          <w:b/>
          <w:bCs/>
          <w:color w:val="7030A0"/>
          <w:u w:val="single"/>
        </w:rPr>
        <w:t>4</w:t>
      </w:r>
      <w:r w:rsidRPr="00AF2949">
        <w:rPr>
          <w:rFonts w:cstheme="minorHAnsi"/>
          <w:bCs/>
          <w:color w:val="7030A0"/>
        </w:rPr>
        <w:t xml:space="preserve"> (patients without at least 30 days of post-discharge enrollment in FFS Medicare for ind</w:t>
      </w:r>
      <w:r w:rsidR="004C68D2">
        <w:rPr>
          <w:rFonts w:cstheme="minorHAnsi"/>
          <w:bCs/>
          <w:color w:val="7030A0"/>
        </w:rPr>
        <w:t xml:space="preserve">ex admissions) accounts for </w:t>
      </w:r>
      <w:r w:rsidR="004C68D2" w:rsidRPr="004C68D2">
        <w:rPr>
          <w:rFonts w:cstheme="minorHAnsi"/>
          <w:bCs/>
          <w:color w:val="C00000"/>
        </w:rPr>
        <w:t>0.24</w:t>
      </w:r>
      <w:r w:rsidRPr="004C68D2">
        <w:rPr>
          <w:rFonts w:cstheme="minorHAnsi"/>
          <w:bCs/>
          <w:color w:val="C00000"/>
        </w:rPr>
        <w:t xml:space="preserve">% </w:t>
      </w:r>
      <w:r w:rsidRPr="00AF2949">
        <w:rPr>
          <w:rFonts w:cstheme="minorHAnsi"/>
          <w:bCs/>
          <w:color w:val="7030A0"/>
        </w:rPr>
        <w:t>of all index admissions excluded from the initial cohort. This exclusion is needed because the 30-day readmission outcome cannot be assessed in this group since claims data are used to determine whether a patient was readmitted.</w:t>
      </w:r>
      <w:r w:rsidRPr="00AF2949">
        <w:rPr>
          <w:color w:val="7030A0"/>
        </w:rPr>
        <w:t xml:space="preserve"> </w:t>
      </w:r>
      <w:r w:rsidRPr="00AF2949">
        <w:rPr>
          <w:rFonts w:cstheme="minorHAnsi"/>
          <w:bCs/>
          <w:color w:val="7030A0"/>
        </w:rPr>
        <w:t xml:space="preserve">Because a very small percent of patients </w:t>
      </w:r>
      <w:r w:rsidR="004C68D2" w:rsidRPr="00AF2949">
        <w:rPr>
          <w:rFonts w:cstheme="minorHAnsi"/>
          <w:bCs/>
          <w:color w:val="7030A0"/>
        </w:rPr>
        <w:t>is</w:t>
      </w:r>
      <w:r w:rsidRPr="00AF2949">
        <w:rPr>
          <w:rFonts w:cstheme="minorHAnsi"/>
          <w:bCs/>
          <w:color w:val="7030A0"/>
        </w:rPr>
        <w:t xml:space="preserve"> excluded, this exclusion is unlikely to affect measure score.</w:t>
      </w:r>
    </w:p>
    <w:p w14:paraId="21A7D408" w14:textId="31FC7455" w:rsidR="00A67C24" w:rsidRPr="00AF2949" w:rsidRDefault="00A67C24" w:rsidP="00AF2949">
      <w:pPr>
        <w:autoSpaceDE w:val="0"/>
        <w:autoSpaceDN w:val="0"/>
        <w:adjustRightInd w:val="0"/>
        <w:spacing w:before="120" w:after="120" w:line="240" w:lineRule="auto"/>
        <w:rPr>
          <w:rFonts w:cstheme="minorHAnsi"/>
          <w:bCs/>
          <w:color w:val="7030A0"/>
        </w:rPr>
      </w:pPr>
      <w:r w:rsidRPr="00AF2949">
        <w:rPr>
          <w:rFonts w:cstheme="minorHAnsi"/>
          <w:b/>
          <w:bCs/>
          <w:color w:val="7030A0"/>
          <w:u w:val="single"/>
        </w:rPr>
        <w:t xml:space="preserve">Exclusion </w:t>
      </w:r>
      <w:r w:rsidR="002A41CE" w:rsidRPr="00AF2949">
        <w:rPr>
          <w:rFonts w:cstheme="minorHAnsi"/>
          <w:b/>
          <w:bCs/>
          <w:color w:val="7030A0"/>
          <w:u w:val="single"/>
        </w:rPr>
        <w:t>5</w:t>
      </w:r>
      <w:r w:rsidRPr="00AF2949">
        <w:rPr>
          <w:rFonts w:cstheme="minorHAnsi"/>
          <w:bCs/>
          <w:color w:val="7030A0"/>
        </w:rPr>
        <w:t xml:space="preserve"> (patients with more than two THA/TKA procedure codes during the index hospitalization) accounts for </w:t>
      </w:r>
      <w:r w:rsidR="00130700">
        <w:rPr>
          <w:rFonts w:cstheme="minorHAnsi"/>
          <w:bCs/>
          <w:color w:val="C00000"/>
        </w:rPr>
        <w:t>only one</w:t>
      </w:r>
      <w:r w:rsidRPr="00E60B3D">
        <w:rPr>
          <w:rFonts w:cstheme="minorHAnsi"/>
          <w:bCs/>
        </w:rPr>
        <w:t xml:space="preserve"> </w:t>
      </w:r>
      <w:r w:rsidRPr="00AF2949">
        <w:rPr>
          <w:rFonts w:cstheme="minorHAnsi"/>
          <w:bCs/>
          <w:color w:val="7030A0"/>
        </w:rPr>
        <w:t>of all index admissions excluded from the initial index cohort. This exclusion is needed to ensure a clinically coherent cohort. Although clinically possible, it is highly unlikely that patients would receive more than two elective THA/TKA procedures in one admission, which may reflect a coding error.</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32" w:name="section2b4"/>
      <w:bookmarkEnd w:id="32"/>
      <w:r w:rsidRPr="00A859C3">
        <w:rPr>
          <w:rFonts w:cstheme="minorHAnsi"/>
          <w:b/>
          <w:bCs/>
        </w:rPr>
        <w:t>2b</w:t>
      </w:r>
      <w:r w:rsidR="009C7513" w:rsidRPr="00A859C3">
        <w:rPr>
          <w:rFonts w:cstheme="minorHAnsi"/>
          <w:b/>
          <w:bCs/>
        </w:rPr>
        <w:t>3</w:t>
      </w:r>
      <w:r w:rsidRPr="00A859C3">
        <w:rPr>
          <w:rFonts w:cstheme="minorHAnsi"/>
          <w:b/>
          <w:bCs/>
        </w:rPr>
        <w:t>. RISK ADJUSTMENT/STRATIFICATION FOR OUTCOME OR RESOURCE USE MEASURES</w:t>
      </w:r>
      <w:r w:rsidRPr="00A859C3">
        <w:rPr>
          <w:rFonts w:cstheme="minorHAnsi"/>
          <w:bCs/>
        </w:rPr>
        <w:br/>
      </w:r>
      <w:r w:rsidR="00AC1D8E" w:rsidRPr="00A859C3">
        <w:rPr>
          <w:rFonts w:cstheme="minorHAnsi"/>
          <w:b/>
          <w:bCs/>
          <w:i/>
        </w:rPr>
        <w:t>If not an intermediate or health outcome</w:t>
      </w:r>
      <w:r w:rsidR="00127C06" w:rsidRPr="00A859C3">
        <w:rPr>
          <w:rFonts w:cstheme="minorHAnsi"/>
          <w:b/>
          <w:bCs/>
          <w:i/>
        </w:rPr>
        <w:t>,</w:t>
      </w:r>
      <w:r w:rsidR="00AC1D8E" w:rsidRPr="00A859C3">
        <w:rPr>
          <w:rFonts w:cstheme="minorHAnsi"/>
          <w:b/>
          <w:bCs/>
          <w:i/>
        </w:rPr>
        <w:t xml:space="preserve"> </w:t>
      </w:r>
      <w:r w:rsidR="00127C06" w:rsidRPr="00A859C3">
        <w:rPr>
          <w:rFonts w:cstheme="minorHAnsi"/>
          <w:b/>
          <w:bCs/>
          <w:i/>
        </w:rPr>
        <w:t xml:space="preserve">or PRO-PM, </w:t>
      </w:r>
      <w:r w:rsidR="00AC1D8E" w:rsidRPr="00A859C3">
        <w:rPr>
          <w:rFonts w:cstheme="minorHAnsi"/>
          <w:b/>
          <w:bCs/>
          <w:i/>
        </w:rPr>
        <w:t xml:space="preserve">or resource use measure, </w:t>
      </w:r>
      <w:r w:rsidR="00BE592D" w:rsidRPr="00A859C3">
        <w:rPr>
          <w:rFonts w:cstheme="minorHAnsi"/>
          <w:b/>
          <w:bCs/>
          <w:i/>
        </w:rPr>
        <w:t xml:space="preserve">skip to section </w:t>
      </w:r>
      <w:hyperlink w:anchor="section2b5" w:history="1">
        <w:r w:rsidR="00BE592D" w:rsidRPr="00A859C3">
          <w:rPr>
            <w:rStyle w:val="Hyperlink"/>
            <w:rFonts w:cstheme="minorHAnsi"/>
            <w:b/>
            <w:bCs/>
            <w:i/>
          </w:rPr>
          <w:t>2b5</w:t>
        </w:r>
      </w:hyperlink>
      <w:r w:rsidR="00BE592D" w:rsidRPr="00A859C3">
        <w:rPr>
          <w:rFonts w:cstheme="minorHAnsi"/>
          <w:b/>
          <w:bCs/>
          <w:i/>
        </w:rPr>
        <w:t>.</w:t>
      </w:r>
    </w:p>
    <w:p w14:paraId="0CABCFEC" w14:textId="5240C6D9" w:rsidR="00743E46" w:rsidRDefault="00092566" w:rsidP="00E501D2">
      <w:pPr>
        <w:autoSpaceDE w:val="0"/>
        <w:autoSpaceDN w:val="0"/>
        <w:adjustRightInd w:val="0"/>
        <w:spacing w:before="120"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AE389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5A15B066" w:rsidR="00743E46" w:rsidRPr="005232D6" w:rsidRDefault="00AE389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251F35">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592E61" w:rsidRPr="00A81E54">
            <w:rPr>
              <w:rStyle w:val="Style4"/>
              <w:color w:val="7030A0"/>
              <w:u w:val="none"/>
            </w:rPr>
            <w:t>33</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AE389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AE389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6C0185F4" w14:textId="3EBA3139" w:rsidR="00F22375" w:rsidRDefault="000B7D57" w:rsidP="00E501D2">
      <w:pPr>
        <w:autoSpaceDE w:val="0"/>
        <w:autoSpaceDN w:val="0"/>
        <w:adjustRightInd w:val="0"/>
        <w:spacing w:before="120" w:after="120" w:line="240" w:lineRule="auto"/>
        <w:rPr>
          <w:rFonts w:ascii="Calibri" w:eastAsia="MS Mincho" w:hAnsi="Calibri" w:cs="Calibri"/>
          <w:b/>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If using a statistical risk model, provide detailed risk model specifications, including the risk model method, risk factors, coefficients, equations, codes with descriptors, and definitions.</w:t>
      </w:r>
    </w:p>
    <w:p w14:paraId="117CC2D3" w14:textId="77777777" w:rsidR="00F22375" w:rsidRDefault="00F22375" w:rsidP="00F22375">
      <w:pPr>
        <w:autoSpaceDE w:val="0"/>
        <w:autoSpaceDN w:val="0"/>
        <w:adjustRightInd w:val="0"/>
        <w:spacing w:before="120" w:after="120" w:line="240" w:lineRule="auto"/>
        <w:rPr>
          <w:rFonts w:cs="Calibri"/>
          <w:b/>
          <w:bCs/>
        </w:rPr>
      </w:pPr>
      <w:r w:rsidRPr="00EB5124">
        <w:rPr>
          <w:rFonts w:cstheme="minorHAnsi"/>
          <w:noProof/>
          <w:color w:val="7030A0"/>
        </w:rPr>
        <w:t>See risk model specifications in Section 2b3.4a and the attached data dictionary.</w:t>
      </w:r>
    </w:p>
    <w:p w14:paraId="21917B0D" w14:textId="77777777" w:rsidR="00F22375" w:rsidRDefault="009C7513" w:rsidP="00F22375">
      <w:pPr>
        <w:spacing w:after="0"/>
        <w:rPr>
          <w:rFonts w:cstheme="minorHAnsi"/>
          <w:bCs/>
          <w:color w:val="7030A0"/>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w:t>
      </w:r>
    </w:p>
    <w:p w14:paraId="5D0F19E3" w14:textId="7CD5FE8E" w:rsidR="00F22375" w:rsidRPr="00EB5124" w:rsidRDefault="00F22375" w:rsidP="00F22375">
      <w:pPr>
        <w:spacing w:before="120" w:after="120"/>
        <w:rPr>
          <w:rFonts w:cstheme="minorHAnsi"/>
          <w:b/>
          <w:bCs/>
          <w:color w:val="7030A0"/>
          <w:sz w:val="14"/>
        </w:rPr>
      </w:pPr>
      <w:r w:rsidRPr="00EB5124">
        <w:rPr>
          <w:rFonts w:cstheme="minorHAnsi"/>
          <w:bCs/>
          <w:color w:val="7030A0"/>
        </w:rPr>
        <w:t>N/A. This measure is risk adjusted</w:t>
      </w:r>
      <w:r w:rsidR="004C68D2">
        <w:rPr>
          <w:rFonts w:cstheme="minorHAnsi"/>
          <w:bCs/>
          <w:color w:val="7030A0"/>
        </w:rPr>
        <w:t>.</w:t>
      </w:r>
    </w:p>
    <w:p w14:paraId="36F7FEC1" w14:textId="725DBA3F" w:rsidR="00A859C3" w:rsidRDefault="009C7513" w:rsidP="00A859C3">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C208A4">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1B06F430" w14:textId="77777777" w:rsidR="00A859C3" w:rsidRDefault="002B60B6" w:rsidP="00A859C3">
      <w:pPr>
        <w:autoSpaceDE w:val="0"/>
        <w:autoSpaceDN w:val="0"/>
        <w:adjustRightInd w:val="0"/>
        <w:spacing w:before="120" w:after="120" w:line="240" w:lineRule="auto"/>
        <w:rPr>
          <w:rFonts w:cstheme="minorHAnsi"/>
          <w:bCs/>
          <w:color w:val="7030A0"/>
        </w:rPr>
      </w:pPr>
      <w:r w:rsidRPr="00A859C3">
        <w:rPr>
          <w:rFonts w:cstheme="minorHAnsi"/>
          <w:b/>
          <w:noProof/>
          <w:color w:val="7030A0"/>
        </w:rPr>
        <w:t>Selecting Risk Variables</w:t>
      </w:r>
    </w:p>
    <w:p w14:paraId="068FFA0E" w14:textId="77777777" w:rsidR="00A859C3" w:rsidRDefault="002B60B6" w:rsidP="00A859C3">
      <w:pPr>
        <w:autoSpaceDE w:val="0"/>
        <w:autoSpaceDN w:val="0"/>
        <w:adjustRightInd w:val="0"/>
        <w:spacing w:before="120" w:after="120" w:line="240" w:lineRule="auto"/>
        <w:rPr>
          <w:rFonts w:cstheme="minorHAnsi"/>
          <w:noProof/>
          <w:color w:val="C00000"/>
        </w:rPr>
      </w:pPr>
      <w:r w:rsidRPr="00E205B4">
        <w:rPr>
          <w:rFonts w:cstheme="minorHAnsi"/>
          <w:noProof/>
          <w:color w:val="C00000"/>
        </w:rPr>
        <w:t>Our goal in selecting risk factors for adjustment was to develop parsimonious models that included clinically relevant variables strongly associated with the risk of readmission in the 30 days following an index admission. We used a two stage approach, first identifying the comorbidity or clinical status risk factors that were most important in predicting the outcome, then considering the potential addition of social risk factors.</w:t>
      </w:r>
    </w:p>
    <w:p w14:paraId="173B93D0" w14:textId="77777777" w:rsidR="00A859C3" w:rsidRPr="00A859C3" w:rsidRDefault="002B60B6" w:rsidP="00A859C3">
      <w:pPr>
        <w:autoSpaceDE w:val="0"/>
        <w:autoSpaceDN w:val="0"/>
        <w:adjustRightInd w:val="0"/>
        <w:spacing w:before="120" w:after="120" w:line="240" w:lineRule="auto"/>
        <w:rPr>
          <w:rFonts w:cstheme="minorHAnsi"/>
          <w:bCs/>
          <w:color w:val="7030A0"/>
        </w:rPr>
      </w:pPr>
      <w:r w:rsidRPr="00A859C3">
        <w:rPr>
          <w:rFonts w:cstheme="minorHAnsi"/>
          <w:noProof/>
          <w:color w:val="7030A0"/>
        </w:rPr>
        <w:t xml:space="preserve">The original measure was developed with ICD-9. When ICD-10 became effective in 2015, we transitioned the measure to use ICD-10 codes as well. ICD-10 codes were identified using 2015 GEM mapping software. We then enlisted the help of clinicians with expertise in relevant areas to select and evaluate </w:t>
      </w:r>
      <w:r w:rsidRPr="00A859C3">
        <w:rPr>
          <w:rFonts w:cstheme="minorHAnsi"/>
          <w:noProof/>
          <w:color w:val="7030A0"/>
        </w:rPr>
        <w:lastRenderedPageBreak/>
        <w:t>which ICD-10 codes map to the ICD-9 codes used to define this measure during development. A code set is attached in field S.2b. (Data Dictionary).</w:t>
      </w:r>
    </w:p>
    <w:p w14:paraId="37697930" w14:textId="74E7E56B" w:rsidR="00A859C3" w:rsidRPr="00A859C3" w:rsidRDefault="002B60B6" w:rsidP="00A859C3">
      <w:pPr>
        <w:autoSpaceDE w:val="0"/>
        <w:autoSpaceDN w:val="0"/>
        <w:adjustRightInd w:val="0"/>
        <w:spacing w:before="120" w:after="120" w:line="240" w:lineRule="auto"/>
        <w:rPr>
          <w:rFonts w:cstheme="minorHAnsi"/>
          <w:noProof/>
          <w:color w:val="7030A0"/>
        </w:rPr>
      </w:pPr>
      <w:r w:rsidRPr="00A859C3">
        <w:rPr>
          <w:rFonts w:cstheme="minorHAnsi"/>
          <w:noProof/>
          <w:color w:val="7030A0"/>
        </w:rPr>
        <w:t>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w:t>
      </w:r>
      <w:r w:rsidR="00DC584F">
        <w:rPr>
          <w:rFonts w:cstheme="minorHAnsi"/>
          <w:noProof/>
          <w:color w:val="7030A0"/>
        </w:rPr>
        <w:t>0</w:t>
      </w:r>
      <w:r w:rsidRPr="00A859C3">
        <w:rPr>
          <w:rFonts w:cstheme="minorHAnsi"/>
          <w:noProof/>
          <w:color w:val="7030A0"/>
        </w:rPr>
        <w:t xml:space="preserve">; </w:t>
      </w:r>
      <w:r w:rsidRPr="00E205B4">
        <w:rPr>
          <w:rFonts w:cstheme="minorHAnsi"/>
          <w:noProof/>
          <w:color w:val="C00000"/>
        </w:rPr>
        <w:t>2011</w:t>
      </w:r>
      <w:r w:rsidRPr="00A859C3">
        <w:rPr>
          <w:rFonts w:cstheme="minorHAnsi"/>
          <w:noProof/>
          <w:color w:val="7030A0"/>
        </w:rPr>
        <w:t>). The HCC system groups ICD- codes into larger groups that are used in models to predict medical care utilization, mortality, or other related measures.</w:t>
      </w:r>
    </w:p>
    <w:p w14:paraId="2987BEC3" w14:textId="77777777" w:rsidR="00A859C3" w:rsidRPr="00A859C3" w:rsidRDefault="002B60B6" w:rsidP="00A859C3">
      <w:pPr>
        <w:autoSpaceDE w:val="0"/>
        <w:autoSpaceDN w:val="0"/>
        <w:adjustRightInd w:val="0"/>
        <w:spacing w:before="120" w:after="120" w:line="240" w:lineRule="auto"/>
        <w:rPr>
          <w:rFonts w:cstheme="minorHAnsi"/>
          <w:bCs/>
          <w:color w:val="7030A0"/>
        </w:rPr>
      </w:pPr>
      <w:r w:rsidRPr="00A859C3">
        <w:rPr>
          <w:rFonts w:ascii="Calibri" w:hAnsi="Calibri" w:cs="Calibri"/>
          <w:color w:val="7030A0"/>
        </w:rPr>
        <w:t>To select candidate variables, a team of clinicians reviewed all CCs and excluded those that were not relevant to the Medicare population or that were not clinically relevant to the readmission outcome (for example, attention deficit disorder, female infertility). All potentially clinically relevant CCs were included as candidate variables and, consistent with CMS’s other claims-based readmission measures, some of those CCs were then combined into clinically coherent CC groupings.</w:t>
      </w:r>
    </w:p>
    <w:p w14:paraId="064B1223" w14:textId="77777777" w:rsidR="00A859C3" w:rsidRPr="00A859C3" w:rsidRDefault="002B60B6" w:rsidP="00A859C3">
      <w:pPr>
        <w:autoSpaceDE w:val="0"/>
        <w:autoSpaceDN w:val="0"/>
        <w:adjustRightInd w:val="0"/>
        <w:spacing w:before="120" w:after="120" w:line="240" w:lineRule="auto"/>
        <w:rPr>
          <w:rFonts w:cstheme="minorHAnsi"/>
          <w:bCs/>
          <w:color w:val="7030A0"/>
        </w:rPr>
      </w:pPr>
      <w:r w:rsidRPr="00A859C3">
        <w:rPr>
          <w:rFonts w:ascii="Calibri" w:eastAsia="SimSun" w:hAnsi="Calibri" w:cs="Calibri"/>
          <w:color w:val="7030A0"/>
        </w:rPr>
        <w:t>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mortality (p&lt;0.01) in each of the 1,000 repeated samples (for example, 90 percent would mean that the candidate variable was selected as significant at p&lt;0.01 in 90 percent of the times). We also assessed the direction and magnitude of the regression coefficients.</w:t>
      </w:r>
    </w:p>
    <w:p w14:paraId="0C22A895" w14:textId="7383F62F" w:rsidR="00A859C3" w:rsidRPr="00A859C3" w:rsidRDefault="002B60B6" w:rsidP="00A859C3">
      <w:pPr>
        <w:autoSpaceDE w:val="0"/>
        <w:autoSpaceDN w:val="0"/>
        <w:adjustRightInd w:val="0"/>
        <w:spacing w:before="120" w:after="120" w:line="240" w:lineRule="auto"/>
        <w:rPr>
          <w:rFonts w:cstheme="minorHAnsi"/>
          <w:bCs/>
          <w:color w:val="7030A0"/>
        </w:rPr>
      </w:pPr>
      <w:r w:rsidRPr="00A859C3">
        <w:rPr>
          <w:rFonts w:ascii="Calibri" w:eastAsia="SimSun" w:hAnsi="Calibri" w:cs="Calibri"/>
          <w:color w:val="7030A0"/>
        </w:rPr>
        <w:t xml:space="preserve">The clinical team reviewed these results and decided to retain risk adjustment variables above a predetermined cutoff, because they demonstrated a strong and stable association with risk of readmission and were clinically relevant. Additionally, specific variables with </w:t>
      </w:r>
      <w:proofErr w:type="gramStart"/>
      <w:r w:rsidRPr="00A859C3">
        <w:rPr>
          <w:rFonts w:ascii="Calibri" w:eastAsia="SimSun" w:hAnsi="Calibri" w:cs="Calibri"/>
          <w:color w:val="7030A0"/>
        </w:rPr>
        <w:t>particular clinical</w:t>
      </w:r>
      <w:proofErr w:type="gramEnd"/>
      <w:r w:rsidRPr="00A859C3">
        <w:rPr>
          <w:rFonts w:ascii="Calibri" w:eastAsia="SimSun" w:hAnsi="Calibri" w:cs="Calibri"/>
          <w:color w:val="7030A0"/>
        </w:rPr>
        <w:t xml:space="preserve"> relevance to the risk of readmission were forced into the model (regardless of percent selection) to ensure appropriate risk adjustment for </w:t>
      </w:r>
      <w:r w:rsidR="005A42C3" w:rsidRPr="00A859C3">
        <w:rPr>
          <w:rFonts w:ascii="Calibri" w:eastAsia="SimSun" w:hAnsi="Calibri" w:cs="Calibri"/>
          <w:color w:val="7030A0"/>
        </w:rPr>
        <w:t>THA/TKA</w:t>
      </w:r>
      <w:r w:rsidRPr="00A859C3">
        <w:rPr>
          <w:rFonts w:ascii="Calibri" w:eastAsia="SimSun" w:hAnsi="Calibri" w:cs="Calibri"/>
          <w:color w:val="7030A0"/>
        </w:rPr>
        <w:t xml:space="preserve">. </w:t>
      </w:r>
      <w:r w:rsidR="00CC19D0" w:rsidRPr="00141E2A">
        <w:rPr>
          <w:rFonts w:cstheme="minorHAnsi"/>
          <w:bCs/>
          <w:color w:val="7030A0"/>
        </w:rPr>
        <w:t>These included</w:t>
      </w:r>
      <w:r w:rsidR="00CC19D0">
        <w:rPr>
          <w:rFonts w:cstheme="minorHAnsi"/>
          <w:bCs/>
          <w:color w:val="7030A0"/>
        </w:rPr>
        <w:t xml:space="preserve"> variables representing markers for end of life/frailty, such as</w:t>
      </w:r>
      <w:r w:rsidR="00CC19D0" w:rsidRPr="00141E2A">
        <w:rPr>
          <w:rFonts w:cstheme="minorHAnsi"/>
          <w:bCs/>
          <w:color w:val="7030A0"/>
        </w:rPr>
        <w:t>:</w:t>
      </w:r>
    </w:p>
    <w:p w14:paraId="0EA27668" w14:textId="77777777" w:rsidR="00A859C3" w:rsidRDefault="002B60B6" w:rsidP="00A859C3">
      <w:pPr>
        <w:autoSpaceDE w:val="0"/>
        <w:autoSpaceDN w:val="0"/>
        <w:adjustRightInd w:val="0"/>
        <w:spacing w:before="120" w:after="120" w:line="240" w:lineRule="auto"/>
        <w:rPr>
          <w:rFonts w:cstheme="minorHAnsi"/>
          <w:bCs/>
          <w:color w:val="7030A0"/>
        </w:rPr>
      </w:pPr>
      <w:r w:rsidRPr="00A859C3">
        <w:rPr>
          <w:rFonts w:ascii="Calibri" w:eastAsia="SimSun" w:hAnsi="Calibri" w:cs="Calibri"/>
          <w:color w:val="7030A0"/>
        </w:rPr>
        <w:t>Markers for end of life/frailty:</w:t>
      </w:r>
    </w:p>
    <w:p w14:paraId="64AA4AF3" w14:textId="77777777" w:rsidR="00A859C3" w:rsidRPr="00A859C3" w:rsidRDefault="002B60B6" w:rsidP="00A859C3">
      <w:pPr>
        <w:pStyle w:val="ListParagraph"/>
        <w:numPr>
          <w:ilvl w:val="0"/>
          <w:numId w:val="33"/>
        </w:numPr>
        <w:autoSpaceDE w:val="0"/>
        <w:autoSpaceDN w:val="0"/>
        <w:adjustRightInd w:val="0"/>
        <w:spacing w:before="120" w:after="120" w:line="240" w:lineRule="auto"/>
        <w:rPr>
          <w:rFonts w:cstheme="minorHAnsi"/>
          <w:bCs/>
          <w:color w:val="7030A0"/>
        </w:rPr>
      </w:pPr>
      <w:r w:rsidRPr="00A859C3">
        <w:rPr>
          <w:rFonts w:ascii="Calibri" w:eastAsia="SimSun" w:hAnsi="Calibri" w:cs="Calibri"/>
          <w:color w:val="7030A0"/>
        </w:rPr>
        <w:t>Decubitus Ulcer or Chronic Skin Ulcer (CC 157-CC 161)</w:t>
      </w:r>
    </w:p>
    <w:p w14:paraId="39B271A6" w14:textId="77777777" w:rsidR="004C68D2" w:rsidRPr="00BD2818" w:rsidRDefault="004C68D2" w:rsidP="004C68D2">
      <w:pPr>
        <w:pStyle w:val="ListParagraph"/>
        <w:numPr>
          <w:ilvl w:val="0"/>
          <w:numId w:val="33"/>
        </w:numPr>
        <w:spacing w:after="0" w:line="240" w:lineRule="auto"/>
        <w:rPr>
          <w:rFonts w:cstheme="minorHAnsi"/>
          <w:bCs/>
          <w:color w:val="7030A0"/>
        </w:rPr>
      </w:pPr>
      <w:r>
        <w:rPr>
          <w:rFonts w:cstheme="minorHAnsi"/>
          <w:bCs/>
          <w:color w:val="7030A0"/>
        </w:rPr>
        <w:t>Metastatic and Other Severe Cancers (CC 8-CC 14</w:t>
      </w:r>
      <w:r w:rsidRPr="00BD2818">
        <w:rPr>
          <w:rFonts w:cstheme="minorHAnsi"/>
          <w:bCs/>
          <w:color w:val="7030A0"/>
        </w:rPr>
        <w:t>)</w:t>
      </w:r>
    </w:p>
    <w:p w14:paraId="3BEBF834" w14:textId="77777777" w:rsidR="00A859C3" w:rsidRPr="00A859C3" w:rsidRDefault="002B60B6" w:rsidP="00A859C3">
      <w:pPr>
        <w:pStyle w:val="ListParagraph"/>
        <w:numPr>
          <w:ilvl w:val="0"/>
          <w:numId w:val="33"/>
        </w:numPr>
        <w:autoSpaceDE w:val="0"/>
        <w:autoSpaceDN w:val="0"/>
        <w:adjustRightInd w:val="0"/>
        <w:spacing w:before="120" w:after="120" w:line="240" w:lineRule="auto"/>
        <w:rPr>
          <w:rFonts w:cstheme="minorHAnsi"/>
          <w:bCs/>
          <w:color w:val="7030A0"/>
        </w:rPr>
      </w:pPr>
      <w:r w:rsidRPr="00A859C3">
        <w:rPr>
          <w:rFonts w:ascii="Calibri" w:eastAsia="SimSun" w:hAnsi="Calibri" w:cs="Calibri"/>
          <w:color w:val="7030A0"/>
        </w:rPr>
        <w:t>Hemiplegia, Paraplegia, Paralysis, Functional disability (CC 70-CC 74, CC 103, CC 104, CC 189-CC 190)</w:t>
      </w:r>
    </w:p>
    <w:p w14:paraId="5C89D8F4" w14:textId="612CE4BB" w:rsidR="00A859C3" w:rsidRDefault="002B60B6" w:rsidP="00A859C3">
      <w:pPr>
        <w:pStyle w:val="ListParagraph"/>
        <w:numPr>
          <w:ilvl w:val="0"/>
          <w:numId w:val="33"/>
        </w:numPr>
        <w:autoSpaceDE w:val="0"/>
        <w:autoSpaceDN w:val="0"/>
        <w:adjustRightInd w:val="0"/>
        <w:spacing w:before="120" w:after="120" w:line="240" w:lineRule="auto"/>
        <w:rPr>
          <w:rFonts w:ascii="Calibri" w:eastAsia="SimSun" w:hAnsi="Calibri" w:cs="Calibri"/>
          <w:color w:val="7030A0"/>
        </w:rPr>
      </w:pPr>
      <w:r w:rsidRPr="00A859C3">
        <w:rPr>
          <w:rFonts w:ascii="Calibri" w:eastAsia="SimSun" w:hAnsi="Calibri" w:cs="Calibri"/>
          <w:color w:val="7030A0"/>
        </w:rPr>
        <w:t>Stroke (CC 99-CC 100</w:t>
      </w:r>
      <w:r w:rsidR="00A859C3" w:rsidRPr="00A859C3">
        <w:rPr>
          <w:rFonts w:ascii="Calibri" w:eastAsia="SimSun" w:hAnsi="Calibri" w:cs="Calibri"/>
          <w:color w:val="7030A0"/>
        </w:rPr>
        <w:t>)</w:t>
      </w:r>
    </w:p>
    <w:p w14:paraId="124FCDC7" w14:textId="10C1322A" w:rsidR="004C68D2" w:rsidRPr="004C68D2" w:rsidRDefault="004C68D2" w:rsidP="004C68D2">
      <w:pPr>
        <w:pStyle w:val="ListParagraph"/>
        <w:numPr>
          <w:ilvl w:val="0"/>
          <w:numId w:val="33"/>
        </w:numPr>
        <w:spacing w:after="0" w:line="240" w:lineRule="auto"/>
        <w:rPr>
          <w:rFonts w:cstheme="minorHAnsi"/>
          <w:bCs/>
          <w:color w:val="7030A0"/>
        </w:rPr>
      </w:pPr>
      <w:r>
        <w:rPr>
          <w:rFonts w:cstheme="minorHAnsi"/>
          <w:bCs/>
          <w:color w:val="7030A0"/>
        </w:rPr>
        <w:t>Chronic Kidney Disease, S</w:t>
      </w:r>
      <w:r w:rsidRPr="00BD2818">
        <w:rPr>
          <w:rFonts w:cstheme="minorHAnsi"/>
          <w:bCs/>
          <w:color w:val="7030A0"/>
        </w:rPr>
        <w:t>tage 5</w:t>
      </w:r>
      <w:r>
        <w:rPr>
          <w:rFonts w:cstheme="minorHAnsi"/>
          <w:bCs/>
          <w:color w:val="7030A0"/>
        </w:rPr>
        <w:t xml:space="preserve"> (CC 136)</w:t>
      </w:r>
    </w:p>
    <w:p w14:paraId="6B244D1F" w14:textId="69A90451" w:rsidR="00A859C3" w:rsidRPr="00A859C3" w:rsidRDefault="002B60B6" w:rsidP="00A859C3">
      <w:pPr>
        <w:autoSpaceDE w:val="0"/>
        <w:autoSpaceDN w:val="0"/>
        <w:adjustRightInd w:val="0"/>
        <w:spacing w:before="120" w:after="120" w:line="240" w:lineRule="auto"/>
        <w:rPr>
          <w:rFonts w:cstheme="minorHAnsi"/>
          <w:bCs/>
          <w:color w:val="7030A0"/>
        </w:rPr>
      </w:pPr>
      <w:r w:rsidRPr="00A859C3">
        <w:rPr>
          <w:rFonts w:cstheme="minorHAnsi"/>
          <w:noProof/>
          <w:color w:val="7030A0"/>
        </w:rPr>
        <w:t>This resulted in a final risk-a</w:t>
      </w:r>
      <w:r w:rsidR="004C68D2">
        <w:rPr>
          <w:rFonts w:cstheme="minorHAnsi"/>
          <w:noProof/>
          <w:color w:val="7030A0"/>
        </w:rPr>
        <w:t>djustment model that included 33</w:t>
      </w:r>
      <w:r w:rsidRPr="00A859C3">
        <w:rPr>
          <w:rFonts w:cstheme="minorHAnsi"/>
          <w:noProof/>
          <w:color w:val="7030A0"/>
        </w:rPr>
        <w:t xml:space="preserve"> variables.</w:t>
      </w:r>
    </w:p>
    <w:p w14:paraId="79423D40" w14:textId="77777777" w:rsidR="00A859C3" w:rsidRPr="00A859C3" w:rsidRDefault="002B60B6" w:rsidP="00A859C3">
      <w:pPr>
        <w:autoSpaceDE w:val="0"/>
        <w:autoSpaceDN w:val="0"/>
        <w:adjustRightInd w:val="0"/>
        <w:spacing w:before="120" w:after="120" w:line="240" w:lineRule="auto"/>
        <w:rPr>
          <w:rFonts w:cstheme="minorHAnsi"/>
          <w:bCs/>
          <w:color w:val="7030A0"/>
        </w:rPr>
      </w:pPr>
      <w:r w:rsidRPr="00A859C3">
        <w:rPr>
          <w:rFonts w:cstheme="minorHAnsi"/>
          <w:bCs/>
          <w:color w:val="7030A0"/>
          <w:u w:val="single"/>
        </w:rPr>
        <w:t>Social Risk Factors</w:t>
      </w:r>
    </w:p>
    <w:p w14:paraId="6021D5B4" w14:textId="77777777" w:rsidR="00092E6C" w:rsidRPr="0097798F" w:rsidRDefault="00092E6C" w:rsidP="00092E6C">
      <w:pPr>
        <w:spacing w:before="120" w:after="120" w:line="240" w:lineRule="auto"/>
        <w:rPr>
          <w:rFonts w:cstheme="minorHAnsi"/>
          <w:noProof/>
          <w:color w:val="C00000"/>
        </w:rPr>
      </w:pPr>
      <w:bookmarkStart w:id="33" w:name="_Hlk40361510"/>
      <w:r w:rsidRPr="0097798F">
        <w:rPr>
          <w:rFonts w:cstheme="minorHAnsi"/>
          <w:noProof/>
          <w:color w:val="C00000"/>
        </w:rPr>
        <w:t>We weigh SRF adjustment using a comprehensive approach that evaluates the following:</w:t>
      </w:r>
    </w:p>
    <w:p w14:paraId="0D10397A" w14:textId="77777777" w:rsidR="00092E6C" w:rsidRPr="0097798F" w:rsidRDefault="00092E6C" w:rsidP="00092E6C">
      <w:pPr>
        <w:pStyle w:val="ListParagraph"/>
        <w:numPr>
          <w:ilvl w:val="0"/>
          <w:numId w:val="34"/>
        </w:numPr>
        <w:spacing w:before="120" w:after="120" w:line="240" w:lineRule="auto"/>
        <w:rPr>
          <w:rFonts w:cstheme="minorHAnsi"/>
          <w:noProof/>
          <w:color w:val="C00000"/>
        </w:rPr>
      </w:pPr>
      <w:r w:rsidRPr="0097798F">
        <w:rPr>
          <w:rFonts w:cstheme="minorHAnsi"/>
          <w:noProof/>
          <w:color w:val="C00000"/>
        </w:rPr>
        <w:t>Well-supported conceptual model for influence of SRFs on measure outcome (detailed below);</w:t>
      </w:r>
    </w:p>
    <w:p w14:paraId="4279C40E" w14:textId="77777777" w:rsidR="00092E6C" w:rsidRPr="0097798F" w:rsidRDefault="00092E6C" w:rsidP="00092E6C">
      <w:pPr>
        <w:pStyle w:val="ListParagraph"/>
        <w:numPr>
          <w:ilvl w:val="0"/>
          <w:numId w:val="34"/>
        </w:numPr>
        <w:spacing w:before="120" w:after="120" w:line="240" w:lineRule="auto"/>
        <w:rPr>
          <w:rFonts w:cstheme="minorHAnsi"/>
          <w:noProof/>
          <w:color w:val="C00000"/>
        </w:rPr>
      </w:pPr>
      <w:r w:rsidRPr="0097798F">
        <w:rPr>
          <w:rFonts w:cstheme="minorHAnsi"/>
          <w:noProof/>
          <w:color w:val="C00000"/>
        </w:rPr>
        <w:t>Feasibility of testing meaningful SRFs in available data (section 1.8); and</w:t>
      </w:r>
    </w:p>
    <w:p w14:paraId="5463128B" w14:textId="77777777" w:rsidR="00092E6C" w:rsidRPr="0097798F" w:rsidRDefault="00092E6C" w:rsidP="00092E6C">
      <w:pPr>
        <w:pStyle w:val="ListParagraph"/>
        <w:numPr>
          <w:ilvl w:val="0"/>
          <w:numId w:val="34"/>
        </w:numPr>
        <w:spacing w:before="120" w:after="120" w:line="240" w:lineRule="auto"/>
        <w:rPr>
          <w:rFonts w:cstheme="minorHAnsi"/>
          <w:noProof/>
          <w:color w:val="C00000"/>
        </w:rPr>
      </w:pPr>
      <w:r w:rsidRPr="0097798F">
        <w:rPr>
          <w:rFonts w:cstheme="minorHAnsi"/>
          <w:noProof/>
          <w:color w:val="C00000"/>
        </w:rPr>
        <w:t>Empiric testing of SRFs (section 2b3.4b).</w:t>
      </w:r>
    </w:p>
    <w:p w14:paraId="77CB46F1" w14:textId="77777777" w:rsidR="00092E6C" w:rsidRPr="0097798F" w:rsidRDefault="00092E6C" w:rsidP="00092E6C">
      <w:pPr>
        <w:spacing w:before="120" w:after="120" w:line="240" w:lineRule="auto"/>
        <w:rPr>
          <w:rFonts w:cstheme="minorHAnsi"/>
          <w:noProof/>
          <w:color w:val="C00000"/>
        </w:rPr>
      </w:pPr>
      <w:r w:rsidRPr="0097798F">
        <w:rPr>
          <w:rFonts w:cstheme="minorHAnsi"/>
          <w:noProof/>
          <w:color w:val="C00000"/>
        </w:rPr>
        <w:t xml:space="preserve">Below, we summarize the findings of the literature review and conceptual pathways by which social risk factors may influence risk of the outcome, as well as the statistical methods for SRF empiric testing. Our conceptualization of the pathways by which patients’ social risk factors affect the outcome is informed </w:t>
      </w:r>
      <w:r w:rsidRPr="0097798F">
        <w:rPr>
          <w:rFonts w:cstheme="minorHAnsi"/>
          <w:noProof/>
          <w:color w:val="C00000"/>
        </w:rPr>
        <w:lastRenderedPageBreak/>
        <w:t>by the literature cited below and IMPACT Act–funded work by the National Academy of Science, Engineering and Medicine (NASEM) and the Department of Health and Human Services Assistant Secretary for Policy and Evaluation (ASPE).</w:t>
      </w:r>
    </w:p>
    <w:p w14:paraId="41CC8297" w14:textId="77777777" w:rsidR="00A859C3" w:rsidRPr="00A859C3" w:rsidRDefault="002B60B6" w:rsidP="00A859C3">
      <w:pPr>
        <w:autoSpaceDE w:val="0"/>
        <w:autoSpaceDN w:val="0"/>
        <w:adjustRightInd w:val="0"/>
        <w:spacing w:before="120" w:after="120" w:line="240" w:lineRule="auto"/>
        <w:rPr>
          <w:rFonts w:cstheme="minorHAnsi"/>
          <w:bCs/>
          <w:color w:val="7030A0"/>
        </w:rPr>
      </w:pPr>
      <w:bookmarkStart w:id="34" w:name="_Hlk34212979"/>
      <w:bookmarkEnd w:id="33"/>
      <w:r w:rsidRPr="00A859C3">
        <w:rPr>
          <w:rFonts w:cstheme="minorHAnsi"/>
          <w:noProof/>
          <w:color w:val="7030A0"/>
          <w:u w:val="single"/>
        </w:rPr>
        <w:t>Causal Pathways for Social Risk Variable Selection</w:t>
      </w:r>
    </w:p>
    <w:p w14:paraId="07B3FB40" w14:textId="692D4D9C" w:rsidR="00A859C3" w:rsidRDefault="002B60B6" w:rsidP="00A859C3">
      <w:pPr>
        <w:autoSpaceDE w:val="0"/>
        <w:autoSpaceDN w:val="0"/>
        <w:adjustRightInd w:val="0"/>
        <w:spacing w:before="120" w:after="120" w:line="240" w:lineRule="auto"/>
        <w:rPr>
          <w:rFonts w:cstheme="minorHAnsi"/>
          <w:bCs/>
          <w:color w:val="7030A0"/>
        </w:rPr>
      </w:pPr>
      <w:r w:rsidRPr="00A859C3">
        <w:rPr>
          <w:rFonts w:cstheme="minorHAnsi"/>
          <w:noProof/>
          <w:color w:val="7030A0"/>
        </w:rPr>
        <w:t xml:space="preserve">Although some recent literature evaluates the relationship between patient SRFs and the readmission outcome, few studies directly address causal pathways or examine the role of the hospital in these pathways (see, for example, Gopaldas et al., 2009; Kim et al., </w:t>
      </w:r>
      <w:r w:rsidR="001F55CC">
        <w:rPr>
          <w:rFonts w:cstheme="minorHAnsi"/>
          <w:noProof/>
          <w:color w:val="7030A0"/>
        </w:rPr>
        <w:t>2007; LaPar et al., 2010; 2012</w:t>
      </w:r>
      <w:r w:rsidRPr="00E205B4">
        <w:rPr>
          <w:rFonts w:cstheme="minorHAnsi"/>
          <w:noProof/>
          <w:color w:val="C00000"/>
        </w:rPr>
        <w:t>; Trivedi et al., 2014; Buntin et al., 2017</w:t>
      </w:r>
      <w:r>
        <w:rPr>
          <w:rFonts w:cstheme="minorHAnsi"/>
          <w:noProof/>
        </w:rPr>
        <w:t xml:space="preserve">; </w:t>
      </w:r>
      <w:r w:rsidR="001F55CC">
        <w:rPr>
          <w:rFonts w:cstheme="minorHAnsi"/>
          <w:noProof/>
          <w:color w:val="C00000"/>
        </w:rPr>
        <w:t>Borza</w:t>
      </w:r>
      <w:r w:rsidRPr="00E205B4">
        <w:rPr>
          <w:rFonts w:cstheme="minorHAnsi"/>
          <w:noProof/>
          <w:color w:val="C00000"/>
        </w:rPr>
        <w:t xml:space="preserve"> et al., 2019</w:t>
      </w:r>
      <w:r w:rsidRPr="00A859C3">
        <w:rPr>
          <w:rFonts w:cstheme="minorHAnsi"/>
          <w:noProof/>
          <w:color w:val="7030A0"/>
        </w:rPr>
        <w:t>). Moreover, the current literature examines a wide range of conditions and risk variables with no clear consensus on which risk factors demonstrate the strongest relationship with readmission.</w:t>
      </w:r>
    </w:p>
    <w:p w14:paraId="3859F313" w14:textId="77777777" w:rsidR="00A859C3" w:rsidRPr="00CC19D0" w:rsidRDefault="002B60B6" w:rsidP="00A859C3">
      <w:pPr>
        <w:autoSpaceDE w:val="0"/>
        <w:autoSpaceDN w:val="0"/>
        <w:adjustRightInd w:val="0"/>
        <w:spacing w:before="120" w:after="120" w:line="240" w:lineRule="auto"/>
        <w:rPr>
          <w:rFonts w:cstheme="minorHAnsi"/>
          <w:bCs/>
          <w:color w:val="7030A0"/>
        </w:rPr>
      </w:pPr>
      <w:r w:rsidRPr="00CC19D0">
        <w:rPr>
          <w:rFonts w:cstheme="minorHAnsi"/>
          <w:noProof/>
          <w:color w:val="7030A0"/>
        </w:rPr>
        <w:t>The social risk factors that have been examined in the literature can be categorized into three domains: (1) patient-level variables, (2) neighborhood/community-level variables, and (3) hospital-level variables.</w:t>
      </w:r>
      <w:bookmarkEnd w:id="34"/>
    </w:p>
    <w:p w14:paraId="456B7A2F" w14:textId="464A6303" w:rsidR="00092E6C" w:rsidRDefault="002B60B6" w:rsidP="00092E6C">
      <w:pPr>
        <w:autoSpaceDE w:val="0"/>
        <w:autoSpaceDN w:val="0"/>
        <w:adjustRightInd w:val="0"/>
        <w:spacing w:before="120" w:after="120" w:line="240" w:lineRule="auto"/>
        <w:rPr>
          <w:rFonts w:cstheme="minorHAnsi"/>
          <w:bCs/>
          <w:color w:val="7030A0"/>
        </w:rPr>
      </w:pPr>
      <w:r w:rsidRPr="00CC19D0">
        <w:rPr>
          <w:rFonts w:cstheme="minorHAnsi"/>
          <w:noProof/>
          <w:color w:val="7030A0"/>
        </w:rPr>
        <w:t>Patient-level variables describe characteristics of individual patients, and include the patient’s income or education level (Eapen et al., 2015).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(Blum et al., 2014</w:t>
      </w:r>
      <w:r w:rsidR="001F55CC">
        <w:rPr>
          <w:rFonts w:cstheme="minorHAnsi"/>
          <w:noProof/>
          <w:color w:val="7030A0"/>
        </w:rPr>
        <w:t xml:space="preserve">; </w:t>
      </w:r>
      <w:r w:rsidR="001F55CC" w:rsidRPr="006C5586">
        <w:rPr>
          <w:rFonts w:cstheme="minorHAnsi"/>
          <w:noProof/>
          <w:color w:val="C00000"/>
        </w:rPr>
        <w:t>Courtney et al., 2016</w:t>
      </w:r>
      <w:r w:rsidR="001F55CC">
        <w:rPr>
          <w:rFonts w:cstheme="minorHAnsi"/>
          <w:noProof/>
          <w:color w:val="C00000"/>
        </w:rPr>
        <w:t>; Martsolf et al., 2016; White et al., 2018</w:t>
      </w:r>
      <w:r w:rsidRPr="00CC19D0">
        <w:rPr>
          <w:rFonts w:cstheme="minorHAnsi"/>
          <w:noProof/>
          <w:color w:val="7030A0"/>
        </w:rPr>
        <w:t xml:space="preserve">). </w:t>
      </w:r>
      <w:r w:rsidRPr="00E205B4">
        <w:rPr>
          <w:rFonts w:cstheme="minorHAnsi"/>
          <w:noProof/>
          <w:color w:val="C00000"/>
        </w:rPr>
        <w:t xml:space="preserve">Some of these variables may include the local availability of clinical providers (Herrin et al., 2015; Herrin et al., 2016). </w:t>
      </w:r>
      <w:r w:rsidRPr="00CC19D0">
        <w:rPr>
          <w:rFonts w:cstheme="minorHAnsi"/>
          <w:noProof/>
          <w:color w:val="7030A0"/>
        </w:rPr>
        <w:t>Hospital-level variables measure attributes of the hospital which may be related to patient risk. Examples of hospital-level variables used in studies are ZIP code characteristics aggregated to the hospital level or the proportion of Medicaid patients served in the hospital (Gilman et al., 2014; Joyn</w:t>
      </w:r>
      <w:r w:rsidR="00A9471A">
        <w:rPr>
          <w:rFonts w:cstheme="minorHAnsi"/>
          <w:noProof/>
          <w:color w:val="7030A0"/>
        </w:rPr>
        <w:t>t et al., 2013; Jha et al., 2011</w:t>
      </w:r>
      <w:r w:rsidR="001F55CC">
        <w:rPr>
          <w:rFonts w:cstheme="minorHAnsi"/>
          <w:noProof/>
          <w:color w:val="7030A0"/>
        </w:rPr>
        <w:t xml:space="preserve">; </w:t>
      </w:r>
      <w:r w:rsidR="001F55CC" w:rsidRPr="001F55CC">
        <w:rPr>
          <w:rFonts w:cstheme="minorHAnsi"/>
          <w:noProof/>
          <w:color w:val="C00000"/>
        </w:rPr>
        <w:t>Xu et al., 2018</w:t>
      </w:r>
      <w:r w:rsidRPr="00CC19D0">
        <w:rPr>
          <w:rFonts w:cstheme="minorHAnsi"/>
          <w:noProof/>
          <w:color w:val="7030A0"/>
        </w:rPr>
        <w:t>).</w:t>
      </w:r>
    </w:p>
    <w:p w14:paraId="484DC2B2" w14:textId="77777777" w:rsidR="00092E6C" w:rsidRPr="00092E6C" w:rsidRDefault="002B60B6" w:rsidP="00092E6C">
      <w:pPr>
        <w:autoSpaceDE w:val="0"/>
        <w:autoSpaceDN w:val="0"/>
        <w:adjustRightInd w:val="0"/>
        <w:spacing w:before="120" w:after="120" w:line="240" w:lineRule="auto"/>
        <w:rPr>
          <w:rFonts w:cstheme="minorHAnsi"/>
          <w:bCs/>
          <w:color w:val="7030A0"/>
        </w:rPr>
      </w:pPr>
      <w:r w:rsidRPr="00092E6C">
        <w:rPr>
          <w:rFonts w:cstheme="minorHAnsi"/>
          <w:noProof/>
          <w:color w:val="7030A0"/>
        </w:rPr>
        <w:t>The conceptual relationship, or potential causal pathways by which these possible social risk factors influence the risk of readmission following an acute illness or major surgery, like the factors themselves, are varied and complex. There are at least four potential pathways that are important to consider:</w:t>
      </w:r>
    </w:p>
    <w:p w14:paraId="4E1FC096" w14:textId="46B7DD2E" w:rsidR="00092E6C" w:rsidRPr="00092E6C" w:rsidRDefault="002B60B6" w:rsidP="00092E6C">
      <w:pPr>
        <w:pStyle w:val="ListParagraph"/>
        <w:numPr>
          <w:ilvl w:val="0"/>
          <w:numId w:val="35"/>
        </w:numPr>
        <w:autoSpaceDE w:val="0"/>
        <w:autoSpaceDN w:val="0"/>
        <w:adjustRightInd w:val="0"/>
        <w:spacing w:before="120" w:after="120" w:line="240" w:lineRule="auto"/>
        <w:rPr>
          <w:rFonts w:cstheme="minorHAnsi"/>
          <w:bCs/>
          <w:color w:val="7030A0"/>
        </w:rPr>
      </w:pPr>
      <w:r w:rsidRPr="00092E6C">
        <w:rPr>
          <w:rFonts w:cstheme="minorHAnsi"/>
          <w:b/>
          <w:noProof/>
          <w:color w:val="7030A0"/>
        </w:rPr>
        <w:t>Patients with social risk factors may have worse health at the time of hospital admission</w:t>
      </w:r>
      <w:r w:rsidRPr="00092E6C">
        <w:rPr>
          <w:rFonts w:cstheme="minorHAnsi"/>
          <w:noProof/>
          <w:color w:val="7030A0"/>
        </w:rPr>
        <w:t>.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access to care (geographic, cultural, or financial), or lack of health insurance. Given that these risk factors all lead to worse general health status, this causal pathway should be largely accounted for by current clinical risk-adjustment.</w:t>
      </w:r>
    </w:p>
    <w:p w14:paraId="419036AC" w14:textId="29A9799E" w:rsidR="00092E6C" w:rsidRPr="00092E6C" w:rsidRDefault="002B60B6" w:rsidP="00092E6C">
      <w:pPr>
        <w:pStyle w:val="ListParagraph"/>
        <w:numPr>
          <w:ilvl w:val="0"/>
          <w:numId w:val="35"/>
        </w:numPr>
        <w:autoSpaceDE w:val="0"/>
        <w:autoSpaceDN w:val="0"/>
        <w:adjustRightInd w:val="0"/>
        <w:spacing w:before="120" w:after="120" w:line="240" w:lineRule="auto"/>
        <w:rPr>
          <w:rFonts w:cstheme="minorHAnsi"/>
          <w:bCs/>
          <w:color w:val="7030A0"/>
        </w:rPr>
      </w:pPr>
      <w:r w:rsidRPr="00092E6C">
        <w:rPr>
          <w:rFonts w:cstheme="minorHAnsi"/>
          <w:b/>
          <w:noProof/>
          <w:color w:val="7030A0"/>
        </w:rPr>
        <w:t>Patients with social risk factors often receive care at lower quality hospitals</w:t>
      </w:r>
      <w:r w:rsidRPr="00092E6C">
        <w:rPr>
          <w:rFonts w:cstheme="minorHAnsi"/>
          <w:noProof/>
          <w:color w:val="7030A0"/>
        </w:rPr>
        <w:t>.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readmission following hospitalization.</w:t>
      </w:r>
    </w:p>
    <w:p w14:paraId="7E1F284D" w14:textId="5E0BA7C4" w:rsidR="00092E6C" w:rsidRPr="00092E6C" w:rsidRDefault="002B60B6" w:rsidP="00092E6C">
      <w:pPr>
        <w:pStyle w:val="ListParagraph"/>
        <w:numPr>
          <w:ilvl w:val="0"/>
          <w:numId w:val="35"/>
        </w:numPr>
        <w:autoSpaceDE w:val="0"/>
        <w:autoSpaceDN w:val="0"/>
        <w:adjustRightInd w:val="0"/>
        <w:spacing w:before="120" w:after="120" w:line="240" w:lineRule="auto"/>
        <w:rPr>
          <w:rFonts w:cstheme="minorHAnsi"/>
          <w:bCs/>
          <w:color w:val="7030A0"/>
        </w:rPr>
      </w:pPr>
      <w:r w:rsidRPr="00092E6C">
        <w:rPr>
          <w:rFonts w:cstheme="minorHAnsi"/>
          <w:b/>
          <w:noProof/>
          <w:color w:val="7030A0"/>
        </w:rPr>
        <w:t>Patients with social risk factors may receive differential care within a hospital</w:t>
      </w:r>
      <w:r w:rsidRPr="00092E6C">
        <w:rPr>
          <w:rFonts w:cstheme="minorHAnsi"/>
          <w:noProof/>
          <w:color w:val="7030A0"/>
        </w:rPr>
        <w:t>. The third major pathway by which social risk factors may contribute to readmission risk is that patients may not receive equivalent care within a facility. For example, patients with social risk factors such as lower education may require differentiated care (e.g. provision of lower literacy information – that they do not receive).</w:t>
      </w:r>
    </w:p>
    <w:p w14:paraId="45A56422" w14:textId="244A8574" w:rsidR="00092E6C" w:rsidRPr="00092E6C" w:rsidRDefault="002B60B6" w:rsidP="00092E6C">
      <w:pPr>
        <w:pStyle w:val="ListParagraph"/>
        <w:numPr>
          <w:ilvl w:val="0"/>
          <w:numId w:val="35"/>
        </w:numPr>
        <w:autoSpaceDE w:val="0"/>
        <w:autoSpaceDN w:val="0"/>
        <w:adjustRightInd w:val="0"/>
        <w:spacing w:before="120" w:after="120" w:line="240" w:lineRule="auto"/>
        <w:rPr>
          <w:rFonts w:cstheme="minorHAnsi"/>
          <w:bCs/>
          <w:color w:val="7030A0"/>
        </w:rPr>
      </w:pPr>
      <w:r w:rsidRPr="00092E6C">
        <w:rPr>
          <w:rFonts w:cstheme="minorHAnsi"/>
          <w:b/>
          <w:noProof/>
          <w:color w:val="7030A0"/>
        </w:rPr>
        <w:lastRenderedPageBreak/>
        <w:t>Patients with social risk factors may experience worse health outcomes beyond the control of the health care system.</w:t>
      </w:r>
      <w:r w:rsidRPr="00092E6C">
        <w:rPr>
          <w:rFonts w:cstheme="minorHAnsi"/>
          <w:noProof/>
          <w:color w:val="7030A0"/>
        </w:rPr>
        <w:t xml:space="preserve"> Some social risk factors, such as income or wealth, may affect the likelihood of readmissions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37C61A7E" w14:textId="53FBDE4A" w:rsidR="00092E6C" w:rsidRPr="00092E6C" w:rsidRDefault="00092E6C" w:rsidP="00092E6C">
      <w:pPr>
        <w:autoSpaceDE w:val="0"/>
        <w:autoSpaceDN w:val="0"/>
        <w:adjustRightInd w:val="0"/>
        <w:spacing w:before="120" w:after="120" w:line="240" w:lineRule="auto"/>
        <w:rPr>
          <w:rFonts w:cstheme="minorHAnsi"/>
          <w:noProof/>
          <w:color w:val="7030A0"/>
        </w:rPr>
      </w:pPr>
      <w:r w:rsidRPr="0090122F">
        <w:rPr>
          <w:rFonts w:cstheme="minorHAnsi"/>
          <w:noProof/>
          <w:color w:val="C00000"/>
        </w:rPr>
        <w:t>Although we analytically aim to separate these pathways to the extent possible</w:t>
      </w:r>
      <w:r w:rsidRPr="00141E2A">
        <w:rPr>
          <w:rFonts w:cstheme="minorHAnsi"/>
          <w:noProof/>
          <w:color w:val="7030A0"/>
        </w:rPr>
        <w:t xml:space="preserve">, we acknowledge </w:t>
      </w:r>
      <w:r w:rsidR="002B60B6" w:rsidRPr="00092E6C">
        <w:rPr>
          <w:rFonts w:cstheme="minorHAnsi"/>
          <w:noProof/>
          <w:color w:val="7030A0"/>
        </w:rPr>
        <w:t>that risk factors often act on multiple pathways, and as such, individual pathways are complex to distinguish analytically. Further, some social risk factors, despite having a strong conceptual relationship with worse outcomes, may not have statistically meaningful effects on the risk model. They also have different implications on the decision to risk adjust or not.</w:t>
      </w:r>
    </w:p>
    <w:p w14:paraId="6372304E" w14:textId="77777777" w:rsidR="00092E6C" w:rsidRPr="00141E2A" w:rsidRDefault="00092E6C" w:rsidP="00092E6C">
      <w:pPr>
        <w:spacing w:before="120" w:after="120" w:line="240" w:lineRule="auto"/>
        <w:rPr>
          <w:rFonts w:cstheme="minorHAnsi"/>
          <w:noProof/>
          <w:color w:val="7030A0"/>
        </w:rPr>
      </w:pPr>
      <w:r w:rsidRPr="00141E2A">
        <w:rPr>
          <w:rFonts w:cstheme="minorHAnsi"/>
          <w:noProof/>
          <w:color w:val="7030A0"/>
        </w:rPr>
        <w:t xml:space="preserve">Based on this model and the considerations outlined in section 1.8 – </w:t>
      </w:r>
      <w:r w:rsidRPr="0090122F">
        <w:rPr>
          <w:rFonts w:cstheme="minorHAnsi"/>
          <w:noProof/>
          <w:color w:val="C00000"/>
        </w:rPr>
        <w:t xml:space="preserve">namely, that the AHRQ SES index and dual eligibility variables aim to capture the SRFs that are likely to influence these pathways (income, education, housing, and community factors) - </w:t>
      </w:r>
      <w:r w:rsidRPr="00141E2A">
        <w:rPr>
          <w:rFonts w:cstheme="minorHAnsi"/>
          <w:noProof/>
          <w:color w:val="7030A0"/>
        </w:rPr>
        <w:t>the following social risk variables were considered for risk-adjustment:</w:t>
      </w:r>
    </w:p>
    <w:p w14:paraId="0AB58111" w14:textId="73660567" w:rsidR="00092E6C" w:rsidRPr="00092E6C" w:rsidRDefault="002B60B6" w:rsidP="00092E6C">
      <w:pPr>
        <w:pStyle w:val="ListParagraph"/>
        <w:numPr>
          <w:ilvl w:val="0"/>
          <w:numId w:val="36"/>
        </w:numPr>
        <w:autoSpaceDE w:val="0"/>
        <w:autoSpaceDN w:val="0"/>
        <w:adjustRightInd w:val="0"/>
        <w:spacing w:before="120" w:after="120" w:line="240" w:lineRule="auto"/>
        <w:rPr>
          <w:rFonts w:cstheme="minorHAnsi"/>
          <w:noProof/>
          <w:color w:val="7030A0"/>
        </w:rPr>
      </w:pPr>
      <w:r w:rsidRPr="00092E6C">
        <w:rPr>
          <w:rFonts w:cstheme="minorHAnsi"/>
          <w:noProof/>
          <w:color w:val="7030A0"/>
        </w:rPr>
        <w:t>Dual eligible status</w:t>
      </w:r>
    </w:p>
    <w:p w14:paraId="35475949" w14:textId="0A04ED7D" w:rsidR="00092E6C" w:rsidRPr="00092E6C" w:rsidRDefault="002B60B6" w:rsidP="00092E6C">
      <w:pPr>
        <w:pStyle w:val="ListParagraph"/>
        <w:numPr>
          <w:ilvl w:val="0"/>
          <w:numId w:val="36"/>
        </w:numPr>
        <w:autoSpaceDE w:val="0"/>
        <w:autoSpaceDN w:val="0"/>
        <w:adjustRightInd w:val="0"/>
        <w:spacing w:before="120" w:after="120" w:line="240" w:lineRule="auto"/>
        <w:rPr>
          <w:rFonts w:cstheme="minorHAnsi"/>
          <w:noProof/>
          <w:color w:val="7030A0"/>
        </w:rPr>
      </w:pPr>
      <w:r w:rsidRPr="00092E6C">
        <w:rPr>
          <w:rFonts w:cstheme="minorHAnsi"/>
          <w:noProof/>
          <w:color w:val="7030A0"/>
        </w:rPr>
        <w:t>AHRQ SES index</w:t>
      </w:r>
    </w:p>
    <w:p w14:paraId="21FA7675"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noProof/>
          <w:color w:val="7030A0"/>
          <w:u w:val="single"/>
        </w:rPr>
        <w:t>Statistical Methods</w:t>
      </w:r>
    </w:p>
    <w:p w14:paraId="5F671CB3"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51462DED" w14:textId="77777777" w:rsid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One concern with including SRFs in a model is that their effect may be at either the patient or the hospital level. For example, low SES may increase the risk of readmission because patients of low SES have an individual higher risk (patient-level effect) or because patients of low SES are more often admitted to hospitals with higher overall readmission rates (hospital-level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readmission for patients of low SES were largely due to lower quality/higher readmission risk in hospitals with more patients of low SES, then a significant hospital-level effect would be expected with little-to-no patient-level effect. However, if the increased readmission risk were solely related to higher risk for patients of low SES regardless of hospital effect, then a significant patient-level effect would be expected and a significant hospital-level effect would not be expected.</w:t>
      </w:r>
    </w:p>
    <w:p w14:paraId="57B4FFD9" w14:textId="08489950"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 xml:space="preserve">Specifically, we modeled the SRF variables as follows, let </w:t>
      </w:r>
      <w:proofErr w:type="spellStart"/>
      <w:r w:rsidRPr="00092E6C">
        <w:rPr>
          <w:rFonts w:cstheme="minorHAnsi"/>
          <w:bCs/>
          <w:color w:val="7030A0"/>
        </w:rPr>
        <w:t>X</w:t>
      </w:r>
      <w:r w:rsidRPr="00092E6C">
        <w:rPr>
          <w:rFonts w:cstheme="minorHAnsi"/>
          <w:bCs/>
          <w:color w:val="7030A0"/>
          <w:vertAlign w:val="subscript"/>
        </w:rPr>
        <w:t>ij</w:t>
      </w:r>
      <w:proofErr w:type="spellEnd"/>
      <w:r w:rsidRPr="00092E6C">
        <w:rPr>
          <w:rFonts w:cstheme="minorHAnsi"/>
          <w:bCs/>
          <w:color w:val="7030A0"/>
        </w:rPr>
        <w:t xml:space="preserve"> be a binary indicator of the SRF status of the </w:t>
      </w:r>
      <w:proofErr w:type="spellStart"/>
      <w:r w:rsidRPr="00092E6C">
        <w:rPr>
          <w:rFonts w:cstheme="minorHAnsi"/>
          <w:bCs/>
          <w:color w:val="7030A0"/>
        </w:rPr>
        <w:t>i</w:t>
      </w:r>
      <w:r w:rsidRPr="00092E6C">
        <w:rPr>
          <w:rFonts w:cstheme="minorHAnsi"/>
          <w:bCs/>
          <w:color w:val="7030A0"/>
          <w:vertAlign w:val="superscript"/>
        </w:rPr>
        <w:t>th</w:t>
      </w:r>
      <w:proofErr w:type="spellEnd"/>
      <w:r w:rsidRPr="00092E6C">
        <w:rPr>
          <w:rFonts w:cstheme="minorHAnsi"/>
          <w:bCs/>
          <w:color w:val="7030A0"/>
        </w:rPr>
        <w:t xml:space="preserve"> patient at the </w:t>
      </w:r>
      <w:proofErr w:type="spellStart"/>
      <w:r w:rsidRPr="00092E6C">
        <w:rPr>
          <w:rFonts w:cstheme="minorHAnsi"/>
          <w:bCs/>
          <w:color w:val="7030A0"/>
        </w:rPr>
        <w:t>j</w:t>
      </w:r>
      <w:r w:rsidRPr="00092E6C">
        <w:rPr>
          <w:rFonts w:cstheme="minorHAnsi"/>
          <w:bCs/>
          <w:color w:val="7030A0"/>
          <w:vertAlign w:val="superscript"/>
        </w:rPr>
        <w:t>th</w:t>
      </w:r>
      <w:proofErr w:type="spellEnd"/>
      <w:r w:rsidRPr="00092E6C">
        <w:rPr>
          <w:rFonts w:cstheme="minorHAnsi"/>
          <w:bCs/>
          <w:color w:val="7030A0"/>
        </w:rPr>
        <w:t xml:space="preserve"> hospital, and </w:t>
      </w:r>
      <w:proofErr w:type="spellStart"/>
      <w:r w:rsidRPr="00092E6C">
        <w:rPr>
          <w:rFonts w:cstheme="minorHAnsi"/>
          <w:b/>
          <w:bCs/>
          <w:color w:val="7030A0"/>
        </w:rPr>
        <w:t>X</w:t>
      </w:r>
      <w:r w:rsidRPr="00092E6C">
        <w:rPr>
          <w:rFonts w:cstheme="minorHAnsi"/>
          <w:bCs/>
          <w:color w:val="7030A0"/>
          <w:vertAlign w:val="subscript"/>
        </w:rPr>
        <w:t>j</w:t>
      </w:r>
      <w:proofErr w:type="spellEnd"/>
      <w:r w:rsidRPr="00092E6C">
        <w:rPr>
          <w:rFonts w:cstheme="minorHAnsi"/>
          <w:bCs/>
          <w:color w:val="7030A0"/>
        </w:rPr>
        <w:t xml:space="preserve"> the percent of patients at hospital j with </w:t>
      </w:r>
      <w:proofErr w:type="spellStart"/>
      <w:r w:rsidRPr="00092E6C">
        <w:rPr>
          <w:rFonts w:cstheme="minorHAnsi"/>
          <w:bCs/>
          <w:color w:val="7030A0"/>
        </w:rPr>
        <w:t>X</w:t>
      </w:r>
      <w:r w:rsidRPr="00092E6C">
        <w:rPr>
          <w:rFonts w:cstheme="minorHAnsi"/>
          <w:bCs/>
          <w:color w:val="7030A0"/>
          <w:vertAlign w:val="subscript"/>
        </w:rPr>
        <w:t>ij</w:t>
      </w:r>
      <w:proofErr w:type="spellEnd"/>
      <w:r w:rsidRPr="00092E6C">
        <w:rPr>
          <w:rFonts w:cstheme="minorHAnsi"/>
          <w:bCs/>
          <w:color w:val="7030A0"/>
        </w:rPr>
        <w:t xml:space="preserve"> = 1. Then we added both </w:t>
      </w:r>
      <w:proofErr w:type="spellStart"/>
      <w:r w:rsidRPr="00092E6C">
        <w:rPr>
          <w:rFonts w:cstheme="minorHAnsi"/>
          <w:bCs/>
          <w:color w:val="7030A0"/>
        </w:rPr>
        <w:t>X</w:t>
      </w:r>
      <w:r w:rsidRPr="00092E6C">
        <w:rPr>
          <w:rFonts w:cstheme="minorHAnsi"/>
          <w:bCs/>
          <w:color w:val="7030A0"/>
          <w:vertAlign w:val="subscript"/>
        </w:rPr>
        <w:t>ij</w:t>
      </w:r>
      <w:proofErr w:type="spellEnd"/>
      <w:r w:rsidRPr="00092E6C">
        <w:rPr>
          <w:rFonts w:cstheme="minorHAnsi"/>
          <w:bCs/>
          <w:color w:val="7030A0"/>
        </w:rPr>
        <w:t xml:space="preserve"> </w:t>
      </w:r>
      <w:r w:rsidRPr="00092E6C">
        <w:rPr>
          <w:rFonts w:cstheme="minorHAnsi"/>
          <w:bCs/>
          <w:color w:val="7030A0"/>
        </w:rPr>
        <w:sym w:font="Symbol" w:char="F0BA"/>
      </w:r>
      <w:r w:rsidRPr="00092E6C">
        <w:rPr>
          <w:rFonts w:cstheme="minorHAnsi"/>
          <w:bCs/>
          <w:color w:val="7030A0"/>
        </w:rPr>
        <w:t xml:space="preserve"> </w:t>
      </w:r>
      <w:proofErr w:type="spellStart"/>
      <w:r w:rsidRPr="00092E6C">
        <w:rPr>
          <w:rFonts w:cstheme="minorHAnsi"/>
          <w:bCs/>
          <w:color w:val="7030A0"/>
        </w:rPr>
        <w:t>X</w:t>
      </w:r>
      <w:r w:rsidRPr="00092E6C">
        <w:rPr>
          <w:rFonts w:cstheme="minorHAnsi"/>
          <w:bCs/>
          <w:color w:val="7030A0"/>
          <w:vertAlign w:val="subscript"/>
        </w:rPr>
        <w:t>patient</w:t>
      </w:r>
      <w:proofErr w:type="spellEnd"/>
      <w:r w:rsidRPr="00092E6C">
        <w:rPr>
          <w:rFonts w:cstheme="minorHAnsi"/>
          <w:bCs/>
          <w:color w:val="7030A0"/>
        </w:rPr>
        <w:t xml:space="preserve"> and </w:t>
      </w:r>
      <w:proofErr w:type="spellStart"/>
      <w:r w:rsidRPr="00092E6C">
        <w:rPr>
          <w:rFonts w:cstheme="minorHAnsi"/>
          <w:bCs/>
          <w:color w:val="7030A0"/>
        </w:rPr>
        <w:t>X</w:t>
      </w:r>
      <w:r w:rsidRPr="00092E6C">
        <w:rPr>
          <w:rFonts w:cstheme="minorHAnsi"/>
          <w:bCs/>
          <w:color w:val="7030A0"/>
          <w:vertAlign w:val="subscript"/>
        </w:rPr>
        <w:t>j</w:t>
      </w:r>
      <w:proofErr w:type="spellEnd"/>
      <w:r w:rsidRPr="00092E6C">
        <w:rPr>
          <w:rFonts w:cstheme="minorHAnsi"/>
          <w:bCs/>
          <w:color w:val="7030A0"/>
        </w:rPr>
        <w:t xml:space="preserve"> </w:t>
      </w:r>
      <w:r w:rsidRPr="00092E6C">
        <w:rPr>
          <w:rFonts w:cstheme="minorHAnsi"/>
          <w:bCs/>
          <w:color w:val="7030A0"/>
        </w:rPr>
        <w:sym w:font="Symbol" w:char="F0BA"/>
      </w:r>
      <w:r w:rsidRPr="00092E6C">
        <w:rPr>
          <w:rFonts w:cstheme="minorHAnsi"/>
          <w:bCs/>
          <w:color w:val="7030A0"/>
        </w:rPr>
        <w:t xml:space="preserve"> </w:t>
      </w:r>
      <w:proofErr w:type="spellStart"/>
      <w:r w:rsidRPr="00092E6C">
        <w:rPr>
          <w:rFonts w:cstheme="minorHAnsi"/>
          <w:bCs/>
          <w:color w:val="7030A0"/>
        </w:rPr>
        <w:t>X</w:t>
      </w:r>
      <w:r w:rsidRPr="00092E6C">
        <w:rPr>
          <w:rFonts w:cstheme="minorHAnsi"/>
          <w:bCs/>
          <w:color w:val="7030A0"/>
          <w:vertAlign w:val="subscript"/>
        </w:rPr>
        <w:t>hospital</w:t>
      </w:r>
      <w:proofErr w:type="spellEnd"/>
      <w:r w:rsidR="00C208A4">
        <w:rPr>
          <w:rFonts w:cstheme="minorHAnsi"/>
          <w:bCs/>
          <w:color w:val="7030A0"/>
          <w:vertAlign w:val="subscript"/>
        </w:rPr>
        <w:t xml:space="preserve"> </w:t>
      </w:r>
      <w:r w:rsidRPr="00092E6C">
        <w:rPr>
          <w:rFonts w:cstheme="minorHAnsi"/>
          <w:bCs/>
          <w:color w:val="7030A0"/>
        </w:rPr>
        <w:t xml:space="preserve">to the model. The first variable, </w:t>
      </w:r>
      <w:proofErr w:type="spellStart"/>
      <w:r w:rsidRPr="00092E6C">
        <w:rPr>
          <w:rFonts w:cstheme="minorHAnsi"/>
          <w:bCs/>
          <w:color w:val="7030A0"/>
        </w:rPr>
        <w:t>X</w:t>
      </w:r>
      <w:r w:rsidRPr="00092E6C">
        <w:rPr>
          <w:rFonts w:cstheme="minorHAnsi"/>
          <w:bCs/>
          <w:color w:val="7030A0"/>
          <w:vertAlign w:val="subscript"/>
        </w:rPr>
        <w:t>patient</w:t>
      </w:r>
      <w:proofErr w:type="spellEnd"/>
      <w:r w:rsidRPr="00092E6C">
        <w:rPr>
          <w:rFonts w:cstheme="minorHAnsi"/>
          <w:bCs/>
          <w:color w:val="7030A0"/>
        </w:rPr>
        <w:t xml:space="preserve">, represents the effect of the risk factor at the patient level (sometimes called the “within” hospital effect), and the second variable, </w:t>
      </w:r>
      <w:proofErr w:type="spellStart"/>
      <w:r w:rsidRPr="00092E6C">
        <w:rPr>
          <w:rFonts w:cstheme="minorHAnsi"/>
          <w:bCs/>
          <w:color w:val="7030A0"/>
        </w:rPr>
        <w:t>X</w:t>
      </w:r>
      <w:r w:rsidRPr="00092E6C">
        <w:rPr>
          <w:rFonts w:cstheme="minorHAnsi"/>
          <w:bCs/>
          <w:color w:val="7030A0"/>
          <w:vertAlign w:val="subscript"/>
        </w:rPr>
        <w:t>hospital</w:t>
      </w:r>
      <w:proofErr w:type="spellEnd"/>
      <w:r w:rsidRPr="00092E6C">
        <w:rPr>
          <w:rFonts w:cstheme="minorHAnsi"/>
          <w:bCs/>
          <w:color w:val="7030A0"/>
        </w:rPr>
        <w:t xml:space="preserve">, represents the effect at the hospital level (sometimes called the “between” hospital effect). By including </w:t>
      </w:r>
      <w:proofErr w:type="gramStart"/>
      <w:r w:rsidRPr="00092E6C">
        <w:rPr>
          <w:rFonts w:cstheme="minorHAnsi"/>
          <w:bCs/>
          <w:color w:val="7030A0"/>
        </w:rPr>
        <w:t>both of these</w:t>
      </w:r>
      <w:proofErr w:type="gramEnd"/>
      <w:r w:rsidRPr="00092E6C">
        <w:rPr>
          <w:rFonts w:cstheme="minorHAnsi"/>
          <w:bCs/>
          <w:color w:val="7030A0"/>
        </w:rPr>
        <w:t xml:space="preserve"> in the same model, we can assess whether these are independent effects, whether one effect dominates the other, or whether only one of these effects contributes. This analysis allows us to simultaneously estimate the independent effects of: 1) hospitals with higher or lower proportions of low </w:t>
      </w:r>
      <w:r w:rsidRPr="00092E6C">
        <w:rPr>
          <w:rFonts w:cstheme="minorHAnsi"/>
          <w:bCs/>
          <w:color w:val="7030A0"/>
        </w:rPr>
        <w:lastRenderedPageBreak/>
        <w:t>SES patients on the readmission rate of an average patient; and 2) a patient’s SES on their own readmission rates when seen at an average hospital.</w:t>
      </w:r>
    </w:p>
    <w:p w14:paraId="03C4168B"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3326547D" w14:textId="77777777" w:rsidR="00092E6C" w:rsidRPr="00092E6C" w:rsidRDefault="002B60B6" w:rsidP="00092E6C">
      <w:pPr>
        <w:autoSpaceDE w:val="0"/>
        <w:autoSpaceDN w:val="0"/>
        <w:adjustRightInd w:val="0"/>
        <w:spacing w:before="120" w:after="120" w:line="240" w:lineRule="auto"/>
        <w:rPr>
          <w:rFonts w:cstheme="minorHAnsi"/>
          <w:bCs/>
          <w:color w:val="7030A0"/>
        </w:rPr>
      </w:pPr>
      <w:r w:rsidRPr="00092E6C">
        <w:rPr>
          <w:rFonts w:cstheme="minorHAnsi"/>
          <w:bCs/>
          <w:color w:val="7030A0"/>
        </w:rPr>
        <w:t xml:space="preserve">It is also important to note that the patient-level and hospital-level coefficients cannot be quantitatively compared because the patient’s SES circumstance in the model is binary whereas the hospital’s proportion of low SES patients is continuous. Therefore, </w:t>
      </w:r>
      <w:proofErr w:type="gramStart"/>
      <w:r w:rsidRPr="00092E6C">
        <w:rPr>
          <w:rFonts w:cstheme="minorHAnsi"/>
          <w:bCs/>
          <w:color w:val="7030A0"/>
        </w:rPr>
        <w:t>in order to</w:t>
      </w:r>
      <w:proofErr w:type="gramEnd"/>
      <w:r w:rsidRPr="00092E6C">
        <w:rPr>
          <w:rFonts w:cstheme="minorHAnsi"/>
          <w:bCs/>
          <w:color w:val="7030A0"/>
        </w:rPr>
        <w:t xml:space="preserve"> quantitatively compare the relative size of the patient and hospital effects, we calculated a range of predicted probabilities of readmission based on the fitted model.</w:t>
      </w:r>
    </w:p>
    <w:p w14:paraId="2DA063AE" w14:textId="2372B16E"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Specifically, to estimate an average hospital effect, we calculated the predicted probabilities for the following scenarios: (1) Assuming all patients do not have the risk factor (</w:t>
      </w:r>
      <w:proofErr w:type="spellStart"/>
      <w:r w:rsidRPr="00092E6C">
        <w:rPr>
          <w:rFonts w:cstheme="minorHAnsi"/>
          <w:bCs/>
          <w:color w:val="7030A0"/>
        </w:rPr>
        <w:t>X</w:t>
      </w:r>
      <w:r w:rsidRPr="00092E6C">
        <w:rPr>
          <w:rFonts w:cstheme="minorHAnsi"/>
          <w:bCs/>
          <w:color w:val="7030A0"/>
          <w:vertAlign w:val="subscript"/>
        </w:rPr>
        <w:t>ij</w:t>
      </w:r>
      <w:proofErr w:type="spellEnd"/>
      <w:r w:rsidRPr="00092E6C">
        <w:rPr>
          <w:rFonts w:cstheme="minorHAnsi"/>
          <w:bCs/>
          <w:color w:val="7030A0"/>
        </w:rPr>
        <w:t xml:space="preserve"> =0) and hospital level risk factor is at 5% percentile (P5) of all hospital values; (2) Assuming all patients do not have the risk factor and hospital level risk factor is at 95% percentile (P95); (3) Assuming all patients do have the risk factor (</w:t>
      </w:r>
      <w:proofErr w:type="spellStart"/>
      <w:r w:rsidRPr="00092E6C">
        <w:rPr>
          <w:rFonts w:cstheme="minorHAnsi"/>
          <w:bCs/>
          <w:color w:val="7030A0"/>
        </w:rPr>
        <w:t>X</w:t>
      </w:r>
      <w:r w:rsidRPr="00092E6C">
        <w:rPr>
          <w:rFonts w:cstheme="minorHAnsi"/>
          <w:bCs/>
          <w:color w:val="7030A0"/>
          <w:vertAlign w:val="subscript"/>
        </w:rPr>
        <w:t>ij</w:t>
      </w:r>
      <w:proofErr w:type="spellEnd"/>
      <w:r w:rsidRPr="00092E6C">
        <w:rPr>
          <w:rFonts w:cstheme="minorHAnsi"/>
          <w:bCs/>
          <w:color w:val="7030A0"/>
        </w:rPr>
        <w:t xml:space="preserve"> =1) and hospital level risk factor is at 5% percentile (P5); (4) Assuming all patients have the risk factor and hospital level risk factor is at 95% percentile (P95). The average hospital effect is estimated by ((</w:t>
      </w:r>
      <w:r w:rsidR="003622CA" w:rsidRPr="00092E6C">
        <w:rPr>
          <w:rFonts w:cstheme="minorHAnsi"/>
          <w:bCs/>
          <w:color w:val="7030A0"/>
        </w:rPr>
        <w:t>2) -(</w:t>
      </w:r>
      <w:r w:rsidRPr="00092E6C">
        <w:rPr>
          <w:rFonts w:cstheme="minorHAnsi"/>
          <w:bCs/>
          <w:color w:val="7030A0"/>
        </w:rPr>
        <w:t>1) + (</w:t>
      </w:r>
      <w:r w:rsidR="009E579C" w:rsidRPr="00092E6C">
        <w:rPr>
          <w:rFonts w:cstheme="minorHAnsi"/>
          <w:bCs/>
          <w:color w:val="7030A0"/>
        </w:rPr>
        <w:t>4) -(</w:t>
      </w:r>
      <w:r w:rsidRPr="00092E6C">
        <w:rPr>
          <w:rFonts w:cstheme="minorHAnsi"/>
          <w:bCs/>
          <w:color w:val="7030A0"/>
        </w:rPr>
        <w:t>3))/2 (P95-P5). Then, to estimate an average patient effect, we first calculated the predicted probabilities by assuming patient-level risk factor equal to 0 or 1 at different hospital risk factor percentiles (0%, 5%, 10%, 25%, 50%, 75%, 90%, 95%, and 100%). Then at each of those percentiles, we could obtain the difference of predicted probabilities between all patients not having the risk factor and then all patients having the risk factor. We calculated the average of those differences in predicted probabilities (‘delta’) as the patient effect.</w:t>
      </w:r>
    </w:p>
    <w:p w14:paraId="63133871" w14:textId="77777777" w:rsidR="00092E6C" w:rsidRPr="00092E6C" w:rsidRDefault="002B60B6" w:rsidP="00092E6C">
      <w:pPr>
        <w:autoSpaceDE w:val="0"/>
        <w:autoSpaceDN w:val="0"/>
        <w:adjustRightInd w:val="0"/>
        <w:spacing w:before="120" w:after="120" w:line="240" w:lineRule="auto"/>
        <w:rPr>
          <w:rFonts w:cstheme="minorHAnsi"/>
          <w:bCs/>
          <w:color w:val="7030A0"/>
        </w:rPr>
      </w:pPr>
      <w:r w:rsidRPr="00092E6C">
        <w:rPr>
          <w:rFonts w:cstheme="minorHAnsi"/>
          <w:bCs/>
          <w:color w:val="7030A0"/>
        </w:rPr>
        <w:t>In summary, the difference in predicted probabilities at the 95th and 5th percentiles (P95-P5) estimates the hospital-level effect of the SRF on readmission. The difference in predicted probabilities when all patients have and do not have the SES risk factor (delta) estimates the patient-level effect of the SES risk factor on readmission. The hospital-level effect is greater than the patient-level effect when P95-P5 is greater than delta. We used P95 and P5 rather than the maximum (P100) and minimum (P0) to avoid outlier values.</w:t>
      </w:r>
    </w:p>
    <w:p w14:paraId="3DA0387E"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We also performed the same analysis for several clinical covariates to contrast the relative contributions of patient- and hospital-level effects of clinical variables to the relative contributions for the SRFs.</w:t>
      </w:r>
    </w:p>
    <w:p w14:paraId="2E4AC610"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noProof/>
          <w:color w:val="7030A0"/>
          <w:u w:val="single"/>
        </w:rPr>
        <w:t>References</w:t>
      </w:r>
    </w:p>
    <w:p w14:paraId="1FD4EC8D" w14:textId="5E5FEA54" w:rsidR="00092E6C" w:rsidRDefault="002B60B6" w:rsidP="00092E6C">
      <w:pPr>
        <w:autoSpaceDE w:val="0"/>
        <w:autoSpaceDN w:val="0"/>
        <w:adjustRightInd w:val="0"/>
        <w:spacing w:before="120" w:after="120" w:line="240" w:lineRule="auto"/>
        <w:rPr>
          <w:rFonts w:cstheme="minorHAnsi"/>
          <w:bCs/>
          <w:color w:val="7030A0"/>
        </w:rPr>
      </w:pPr>
      <w:r w:rsidRPr="00092E6C">
        <w:rPr>
          <w:rFonts w:cstheme="minorHAnsi"/>
          <w:bCs/>
          <w:color w:val="7030A0"/>
        </w:rPr>
        <w:t xml:space="preserve">Blum AB, </w:t>
      </w:r>
      <w:proofErr w:type="spellStart"/>
      <w:r w:rsidRPr="00092E6C">
        <w:rPr>
          <w:rFonts w:cstheme="minorHAnsi"/>
          <w:bCs/>
          <w:color w:val="7030A0"/>
        </w:rPr>
        <w:t>Egorova</w:t>
      </w:r>
      <w:proofErr w:type="spellEnd"/>
      <w:r w:rsidRPr="00092E6C">
        <w:rPr>
          <w:rFonts w:cstheme="minorHAnsi"/>
          <w:bCs/>
          <w:color w:val="7030A0"/>
        </w:rPr>
        <w:t xml:space="preserve"> NN, </w:t>
      </w:r>
      <w:proofErr w:type="spellStart"/>
      <w:r w:rsidRPr="00092E6C">
        <w:rPr>
          <w:rFonts w:cstheme="minorHAnsi"/>
          <w:bCs/>
          <w:color w:val="7030A0"/>
        </w:rPr>
        <w:t>Sosunov</w:t>
      </w:r>
      <w:proofErr w:type="spellEnd"/>
      <w:r w:rsidRPr="00092E6C">
        <w:rPr>
          <w:rFonts w:cstheme="minorHAnsi"/>
          <w:bCs/>
          <w:color w:val="7030A0"/>
        </w:rPr>
        <w:t xml:space="preserve"> EA, et al. Impact of socioeconomic status measures on hospital profiling in New York City. Circulation Cardiovascular quality and outcomes 2014; 7:391-7.</w:t>
      </w:r>
    </w:p>
    <w:p w14:paraId="20AD871D" w14:textId="29FA1AD5" w:rsidR="001F55CC" w:rsidRPr="001F55CC" w:rsidRDefault="001F55CC" w:rsidP="001F55CC">
      <w:pPr>
        <w:spacing w:line="240" w:lineRule="auto"/>
        <w:rPr>
          <w:rFonts w:cstheme="minorHAnsi"/>
          <w:bCs/>
          <w:color w:val="C00000"/>
        </w:rPr>
      </w:pPr>
      <w:r w:rsidRPr="006C5586">
        <w:rPr>
          <w:rFonts w:cstheme="minorHAnsi" w:hint="eastAsia"/>
          <w:bCs/>
          <w:color w:val="C00000"/>
        </w:rPr>
        <w:t xml:space="preserve">Borza T, </w:t>
      </w:r>
      <w:proofErr w:type="spellStart"/>
      <w:r w:rsidRPr="006C5586">
        <w:rPr>
          <w:rFonts w:cstheme="minorHAnsi" w:hint="eastAsia"/>
          <w:bCs/>
          <w:color w:val="C00000"/>
        </w:rPr>
        <w:t>Oerline</w:t>
      </w:r>
      <w:proofErr w:type="spellEnd"/>
      <w:r w:rsidRPr="006C5586">
        <w:rPr>
          <w:rFonts w:cstheme="minorHAnsi" w:hint="eastAsia"/>
          <w:bCs/>
          <w:color w:val="C00000"/>
        </w:rPr>
        <w:t xml:space="preserve"> MK, </w:t>
      </w:r>
      <w:proofErr w:type="spellStart"/>
      <w:r w:rsidRPr="006C5586">
        <w:rPr>
          <w:rFonts w:cstheme="minorHAnsi" w:hint="eastAsia"/>
          <w:bCs/>
          <w:color w:val="C00000"/>
        </w:rPr>
        <w:t>Skolarus</w:t>
      </w:r>
      <w:proofErr w:type="spellEnd"/>
      <w:r w:rsidRPr="006C5586">
        <w:rPr>
          <w:rFonts w:cstheme="minorHAnsi" w:hint="eastAsia"/>
          <w:bCs/>
          <w:color w:val="C00000"/>
        </w:rPr>
        <w:t xml:space="preserve"> TA, et al. Association Between Hospital Participation in Medicare Shared Savings Program Accountable Care Organizations and Readmission Following Major Surgery. Ann Surg. 2019;269(5):873</w:t>
      </w:r>
      <w:r>
        <w:rPr>
          <w:rFonts w:cstheme="minorHAnsi"/>
          <w:bCs/>
          <w:color w:val="C00000"/>
        </w:rPr>
        <w:t>-</w:t>
      </w:r>
      <w:r w:rsidRPr="006C5586">
        <w:rPr>
          <w:rFonts w:cstheme="minorHAnsi" w:hint="eastAsia"/>
          <w:bCs/>
          <w:color w:val="C00000"/>
        </w:rPr>
        <w:t>878. doi:10.1097/SLA.0000000000002737.</w:t>
      </w:r>
    </w:p>
    <w:p w14:paraId="2F152417" w14:textId="77777777" w:rsidR="00092E6C" w:rsidRDefault="002B60B6" w:rsidP="00092E6C">
      <w:pPr>
        <w:autoSpaceDE w:val="0"/>
        <w:autoSpaceDN w:val="0"/>
        <w:adjustRightInd w:val="0"/>
        <w:spacing w:before="120" w:after="120" w:line="240" w:lineRule="auto"/>
        <w:rPr>
          <w:rFonts w:cstheme="minorHAnsi"/>
          <w:noProof/>
          <w:color w:val="7030A0"/>
        </w:rPr>
      </w:pPr>
      <w:proofErr w:type="spellStart"/>
      <w:r w:rsidRPr="00E205B4">
        <w:rPr>
          <w:color w:val="C00000"/>
        </w:rPr>
        <w:t>Buntin</w:t>
      </w:r>
      <w:proofErr w:type="spellEnd"/>
      <w:r w:rsidRPr="00E205B4">
        <w:rPr>
          <w:color w:val="C00000"/>
        </w:rPr>
        <w:t xml:space="preserve"> MB, </w:t>
      </w:r>
      <w:proofErr w:type="spellStart"/>
      <w:r w:rsidRPr="00E205B4">
        <w:rPr>
          <w:color w:val="C00000"/>
        </w:rPr>
        <w:t>Ayanian</w:t>
      </w:r>
      <w:proofErr w:type="spellEnd"/>
      <w:r w:rsidRPr="00E205B4">
        <w:rPr>
          <w:color w:val="C00000"/>
        </w:rPr>
        <w:t xml:space="preserve"> JZ. Social Risk Factors and Equity in Medicare Payment. </w:t>
      </w:r>
      <w:r w:rsidRPr="00E205B4">
        <w:rPr>
          <w:i/>
          <w:iCs/>
          <w:color w:val="C00000"/>
        </w:rPr>
        <w:t xml:space="preserve">New England Journal of Medicine. </w:t>
      </w:r>
      <w:r w:rsidRPr="00E205B4">
        <w:rPr>
          <w:color w:val="C00000"/>
        </w:rPr>
        <w:t>2017;376(6):507-510.</w:t>
      </w:r>
    </w:p>
    <w:p w14:paraId="734E7B18" w14:textId="77777777" w:rsidR="001F55CC" w:rsidRDefault="001F55CC" w:rsidP="001F55CC">
      <w:pPr>
        <w:autoSpaceDE w:val="0"/>
        <w:autoSpaceDN w:val="0"/>
        <w:adjustRightInd w:val="0"/>
        <w:spacing w:before="240" w:after="120" w:line="240" w:lineRule="auto"/>
        <w:rPr>
          <w:rFonts w:cstheme="minorHAnsi"/>
          <w:noProof/>
          <w:color w:val="7030A0"/>
        </w:rPr>
      </w:pPr>
      <w:r w:rsidRPr="00E205B4">
        <w:rPr>
          <w:rFonts w:cstheme="minorHAnsi"/>
          <w:noProof/>
          <w:color w:val="C00000"/>
        </w:rPr>
        <w:t xml:space="preserve">Committee on Accounting for Socioeconomic Status in Medicare Payment Programs; Board on Population Health and Public Health Practice; Board on Health Care Services; Institute of Medicine; National Academies of Sciences, Engineering, and Medicine. Accounting for Social Risk Factors in </w:t>
      </w:r>
      <w:r w:rsidRPr="00E205B4">
        <w:rPr>
          <w:rFonts w:cstheme="minorHAnsi"/>
          <w:noProof/>
          <w:color w:val="C00000"/>
        </w:rPr>
        <w:lastRenderedPageBreak/>
        <w:t>Medicare Payment: Identifying Social Risk Factors. Washington (DC): National Academies Press (US); 2016 Jan 12. (</w:t>
      </w:r>
      <w:hyperlink r:id="rId22" w:history="1">
        <w:r w:rsidRPr="00E205B4">
          <w:rPr>
            <w:rStyle w:val="Hyperlink"/>
            <w:rFonts w:cstheme="minorHAnsi"/>
            <w:noProof/>
            <w:color w:val="C00000"/>
          </w:rPr>
          <w:t>https://www.ncbi.nlm.nih.gov/books/NBK338754/doi:10.17226/21858</w:t>
        </w:r>
      </w:hyperlink>
      <w:r w:rsidRPr="00E205B4">
        <w:rPr>
          <w:rFonts w:cstheme="minorHAnsi"/>
          <w:noProof/>
          <w:color w:val="C00000"/>
        </w:rPr>
        <w:t>)</w:t>
      </w:r>
    </w:p>
    <w:p w14:paraId="373FA622" w14:textId="34995234" w:rsidR="001F55CC" w:rsidRDefault="001F55CC" w:rsidP="00092E6C">
      <w:pPr>
        <w:autoSpaceDE w:val="0"/>
        <w:autoSpaceDN w:val="0"/>
        <w:adjustRightInd w:val="0"/>
        <w:spacing w:before="120" w:after="120" w:line="240" w:lineRule="auto"/>
        <w:rPr>
          <w:rFonts w:cstheme="minorHAnsi"/>
          <w:noProof/>
          <w:color w:val="C00000"/>
        </w:rPr>
      </w:pPr>
      <w:r w:rsidRPr="0039521B">
        <w:rPr>
          <w:rFonts w:cstheme="minorHAnsi"/>
          <w:noProof/>
          <w:color w:val="C00000"/>
        </w:rPr>
        <w:t xml:space="preserve">Courtney M, Huddleston J, Iorio R, Markel D. Socioeconomic Risk Adjustment Models for Reimbursement Are Necessary in Primary Total Joint Arthroplasty. July 2016; 32(1):1-5. </w:t>
      </w:r>
      <w:hyperlink r:id="rId23" w:history="1">
        <w:r w:rsidRPr="0039521B">
          <w:rPr>
            <w:rStyle w:val="Hyperlink"/>
            <w:rFonts w:cstheme="minorHAnsi"/>
            <w:noProof/>
            <w:color w:val="C00000"/>
          </w:rPr>
          <w:t>https://doi.org/10.1016/j.arth.2016.06.050</w:t>
        </w:r>
      </w:hyperlink>
      <w:r w:rsidRPr="0039521B">
        <w:rPr>
          <w:rFonts w:cstheme="minorHAnsi"/>
          <w:noProof/>
          <w:color w:val="C00000"/>
        </w:rPr>
        <w:t>.</w:t>
      </w:r>
    </w:p>
    <w:p w14:paraId="78F35DCB" w14:textId="20C0CC7E" w:rsidR="001F55CC" w:rsidRDefault="001F55CC" w:rsidP="00092E6C">
      <w:pPr>
        <w:autoSpaceDE w:val="0"/>
        <w:autoSpaceDN w:val="0"/>
        <w:adjustRightInd w:val="0"/>
        <w:spacing w:before="120" w:after="120" w:line="240" w:lineRule="auto"/>
        <w:rPr>
          <w:rFonts w:cstheme="minorHAnsi"/>
          <w:noProof/>
          <w:color w:val="C00000"/>
        </w:rPr>
      </w:pPr>
      <w:r w:rsidRPr="00E205B4">
        <w:rPr>
          <w:rFonts w:cstheme="minorHAnsi"/>
          <w:noProof/>
          <w:color w:val="C00000"/>
        </w:rPr>
        <w:t>Department of Health and Human Services, Office of the Assistant Secretary of Planning and Evaluation. Report to Congress: Social Risk Factors and Performance under Medicare’s Value-based Payment Programs. December 21, 2016. (</w:t>
      </w:r>
      <w:hyperlink r:id="rId24" w:history="1">
        <w:r w:rsidRPr="00E205B4">
          <w:rPr>
            <w:rStyle w:val="Hyperlink"/>
            <w:rFonts w:cstheme="minorHAnsi"/>
            <w:noProof/>
            <w:color w:val="C00000"/>
          </w:rPr>
          <w:t>https://aspe.hhs.gov/pdf-report/report-congress-social-risk-factors-and-performance-under-medicares-value-based-purchasing-programs</w:t>
        </w:r>
      </w:hyperlink>
      <w:r w:rsidRPr="00E205B4">
        <w:rPr>
          <w:rFonts w:cstheme="minorHAnsi"/>
          <w:noProof/>
          <w:color w:val="C00000"/>
        </w:rPr>
        <w:t>).</w:t>
      </w:r>
    </w:p>
    <w:p w14:paraId="0BED928E" w14:textId="77777777" w:rsidR="00403E98" w:rsidRPr="00403E98" w:rsidRDefault="00403E98" w:rsidP="00403E98">
      <w:pPr>
        <w:autoSpaceDE w:val="0"/>
        <w:autoSpaceDN w:val="0"/>
        <w:adjustRightInd w:val="0"/>
        <w:spacing w:before="120" w:after="120" w:line="240" w:lineRule="auto"/>
        <w:rPr>
          <w:rFonts w:cstheme="minorHAnsi"/>
          <w:bCs/>
          <w:color w:val="C00000"/>
        </w:rPr>
      </w:pPr>
      <w:r w:rsidRPr="00403E98">
        <w:rPr>
          <w:rFonts w:cstheme="minorHAnsi"/>
          <w:bCs/>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25" w:history="1">
        <w:r w:rsidRPr="00185587">
          <w:rPr>
            <w:rStyle w:val="Hyperlink"/>
            <w:rFonts w:cstheme="minorHAnsi"/>
          </w:rPr>
          <w:t>https://aspe.hhs.gov/system/files/pdf/263676/Social-Risk-in-Medicare%E2%80%99s-VBP-2nd-Report.pdf</w:t>
        </w:r>
      </w:hyperlink>
      <w:r w:rsidRPr="00403E98">
        <w:rPr>
          <w:rFonts w:cstheme="minorHAnsi"/>
          <w:bCs/>
          <w:color w:val="C00000"/>
        </w:rPr>
        <w:t>. Accessed July 2, 2020.</w:t>
      </w:r>
    </w:p>
    <w:p w14:paraId="0033BC75" w14:textId="77777777" w:rsidR="00092E6C" w:rsidRPr="00092E6C" w:rsidRDefault="002B60B6" w:rsidP="00092E6C">
      <w:pPr>
        <w:autoSpaceDE w:val="0"/>
        <w:autoSpaceDN w:val="0"/>
        <w:adjustRightInd w:val="0"/>
        <w:spacing w:before="120" w:after="120" w:line="240" w:lineRule="auto"/>
        <w:rPr>
          <w:rFonts w:cstheme="minorHAnsi"/>
          <w:noProof/>
          <w:color w:val="7030A0"/>
        </w:rPr>
      </w:pPr>
      <w:proofErr w:type="spellStart"/>
      <w:r w:rsidRPr="00092E6C">
        <w:rPr>
          <w:color w:val="7030A0"/>
        </w:rPr>
        <w:t>Eapen</w:t>
      </w:r>
      <w:proofErr w:type="spellEnd"/>
      <w:r w:rsidRPr="00092E6C">
        <w:rPr>
          <w:color w:val="7030A0"/>
        </w:rPr>
        <w:t xml:space="preserve"> ZJ, McCoy LA, </w:t>
      </w:r>
      <w:proofErr w:type="spellStart"/>
      <w:r w:rsidRPr="00092E6C">
        <w:rPr>
          <w:color w:val="7030A0"/>
        </w:rPr>
        <w:t>Fonarow</w:t>
      </w:r>
      <w:proofErr w:type="spellEnd"/>
      <w:r w:rsidRPr="00092E6C">
        <w:rPr>
          <w:color w:val="7030A0"/>
        </w:rPr>
        <w:t xml:space="preserve"> GC, Yancy CW, Miranda ML, Peterson ED, </w:t>
      </w:r>
      <w:proofErr w:type="spellStart"/>
      <w:r w:rsidRPr="00092E6C">
        <w:rPr>
          <w:color w:val="7030A0"/>
        </w:rPr>
        <w:t>Califf</w:t>
      </w:r>
      <w:proofErr w:type="spellEnd"/>
      <w:r w:rsidRPr="00092E6C">
        <w:rPr>
          <w:color w:val="7030A0"/>
        </w:rPr>
        <w:t xml:space="preserve"> RM, Hernandez AF. Utility of socioeconomic status in predicting 30-day outcomes after heart failure hospitalization. Circ Heart Fail. May 2015; 8(3):473-80.</w:t>
      </w:r>
    </w:p>
    <w:p w14:paraId="515E7584" w14:textId="14A4080D"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color w:val="7030A0"/>
        </w:rPr>
        <w:t>Gilman M, Adams EK, Hockenberry JM, et al. California safety-net hospitals likely to be penalized by ACA value, readmission, and meaningful-use programs.</w:t>
      </w:r>
      <w:r w:rsidR="00357BD8">
        <w:rPr>
          <w:rFonts w:cstheme="minorHAnsi"/>
          <w:noProof/>
          <w:color w:val="7030A0"/>
        </w:rPr>
        <w:t xml:space="preserve"> </w:t>
      </w:r>
      <w:r w:rsidRPr="00092E6C">
        <w:rPr>
          <w:color w:val="7030A0"/>
        </w:rPr>
        <w:t xml:space="preserve">Health </w:t>
      </w:r>
      <w:proofErr w:type="spellStart"/>
      <w:r w:rsidRPr="00092E6C">
        <w:rPr>
          <w:color w:val="7030A0"/>
        </w:rPr>
        <w:t>Aff</w:t>
      </w:r>
      <w:proofErr w:type="spellEnd"/>
      <w:r w:rsidRPr="00092E6C">
        <w:rPr>
          <w:color w:val="7030A0"/>
        </w:rPr>
        <w:t xml:space="preserve"> (Millwood). Aug 2014; 33(8):1314-22.</w:t>
      </w:r>
    </w:p>
    <w:p w14:paraId="4BDEE01D" w14:textId="77777777" w:rsidR="00092E6C" w:rsidRPr="00092E6C" w:rsidRDefault="002B60B6" w:rsidP="00092E6C">
      <w:pPr>
        <w:autoSpaceDE w:val="0"/>
        <w:autoSpaceDN w:val="0"/>
        <w:adjustRightInd w:val="0"/>
        <w:spacing w:before="120" w:after="120" w:line="240" w:lineRule="auto"/>
        <w:rPr>
          <w:rFonts w:cstheme="minorHAnsi"/>
          <w:noProof/>
          <w:color w:val="7030A0"/>
        </w:rPr>
      </w:pPr>
      <w:proofErr w:type="spellStart"/>
      <w:r w:rsidRPr="00092E6C">
        <w:rPr>
          <w:color w:val="7030A0"/>
        </w:rPr>
        <w:t>Gopaldas</w:t>
      </w:r>
      <w:proofErr w:type="spellEnd"/>
      <w:r w:rsidRPr="00092E6C">
        <w:rPr>
          <w:color w:val="7030A0"/>
        </w:rPr>
        <w:t xml:space="preserve"> R </w:t>
      </w:r>
      <w:proofErr w:type="spellStart"/>
      <w:r w:rsidRPr="00092E6C">
        <w:rPr>
          <w:color w:val="7030A0"/>
        </w:rPr>
        <w:t>R</w:t>
      </w:r>
      <w:proofErr w:type="spellEnd"/>
      <w:r w:rsidRPr="00092E6C">
        <w:rPr>
          <w:color w:val="7030A0"/>
        </w:rPr>
        <w:t>, Chu D., “Predictors of surgical mortality and discharge status after coronary artery bypass grafting in patients 80 years and older.” The American Journal of Surgery. 2009; 198(5): 633-638.</w:t>
      </w:r>
    </w:p>
    <w:p w14:paraId="7A865B6B" w14:textId="77777777" w:rsidR="00092E6C" w:rsidRDefault="002B60B6" w:rsidP="00092E6C">
      <w:pPr>
        <w:autoSpaceDE w:val="0"/>
        <w:autoSpaceDN w:val="0"/>
        <w:adjustRightInd w:val="0"/>
        <w:spacing w:before="120" w:after="120" w:line="240" w:lineRule="auto"/>
        <w:rPr>
          <w:rFonts w:cstheme="minorHAnsi"/>
          <w:noProof/>
          <w:color w:val="7030A0"/>
        </w:rPr>
      </w:pPr>
      <w:r w:rsidRPr="00E205B4">
        <w:rPr>
          <w:color w:val="C00000"/>
        </w:rPr>
        <w:t xml:space="preserve">Herrin J, Kenward K, Joshi MS, </w:t>
      </w:r>
      <w:proofErr w:type="spellStart"/>
      <w:r w:rsidRPr="00E205B4">
        <w:rPr>
          <w:color w:val="C00000"/>
        </w:rPr>
        <w:t>Audet</w:t>
      </w:r>
      <w:proofErr w:type="spellEnd"/>
      <w:r w:rsidRPr="00E205B4">
        <w:rPr>
          <w:color w:val="C00000"/>
        </w:rPr>
        <w:t xml:space="preserve"> AM, Hines SJ. Assessing Community Quality of Health Care. Health Serv Res. 2016 Feb;51(1):98-116. </w:t>
      </w:r>
      <w:proofErr w:type="spellStart"/>
      <w:r w:rsidRPr="00E205B4">
        <w:rPr>
          <w:color w:val="C00000"/>
        </w:rPr>
        <w:t>doi</w:t>
      </w:r>
      <w:proofErr w:type="spellEnd"/>
      <w:r w:rsidRPr="00E205B4">
        <w:rPr>
          <w:color w:val="C00000"/>
        </w:rPr>
        <w:t xml:space="preserve">: 10.1111/1475-6773.12322. </w:t>
      </w:r>
      <w:proofErr w:type="spellStart"/>
      <w:r w:rsidRPr="00E205B4">
        <w:rPr>
          <w:color w:val="C00000"/>
        </w:rPr>
        <w:t>Epub</w:t>
      </w:r>
      <w:proofErr w:type="spellEnd"/>
      <w:r w:rsidRPr="00E205B4">
        <w:rPr>
          <w:color w:val="C00000"/>
        </w:rPr>
        <w:t xml:space="preserve"> 2015 Jun 11. PMID: 26096649; PMCID: PMC4722214.</w:t>
      </w:r>
    </w:p>
    <w:p w14:paraId="55B74376" w14:textId="77777777" w:rsidR="00092E6C" w:rsidRDefault="002B60B6" w:rsidP="00092E6C">
      <w:pPr>
        <w:autoSpaceDE w:val="0"/>
        <w:autoSpaceDN w:val="0"/>
        <w:adjustRightInd w:val="0"/>
        <w:spacing w:before="120" w:after="120" w:line="240" w:lineRule="auto"/>
        <w:rPr>
          <w:rFonts w:cstheme="minorHAnsi"/>
          <w:noProof/>
          <w:color w:val="7030A0"/>
        </w:rPr>
      </w:pPr>
      <w:r w:rsidRPr="00E205B4">
        <w:rPr>
          <w:color w:val="C00000"/>
        </w:rPr>
        <w:t xml:space="preserve">Herrin J, St Andre J, Kenward K, Joshi MS, </w:t>
      </w:r>
      <w:proofErr w:type="spellStart"/>
      <w:r w:rsidRPr="00E205B4">
        <w:rPr>
          <w:color w:val="C00000"/>
        </w:rPr>
        <w:t>Audet</w:t>
      </w:r>
      <w:proofErr w:type="spellEnd"/>
      <w:r w:rsidRPr="00E205B4">
        <w:rPr>
          <w:color w:val="C00000"/>
        </w:rPr>
        <w:t xml:space="preserve"> AM, Hines SC. Community factors and hospital readmission rates. Health Serv Res. 2015 Feb;50(1):20-39. </w:t>
      </w:r>
      <w:proofErr w:type="spellStart"/>
      <w:r w:rsidRPr="00E205B4">
        <w:rPr>
          <w:color w:val="C00000"/>
        </w:rPr>
        <w:t>doi</w:t>
      </w:r>
      <w:proofErr w:type="spellEnd"/>
      <w:r w:rsidRPr="00E205B4">
        <w:rPr>
          <w:color w:val="C00000"/>
        </w:rPr>
        <w:t xml:space="preserve">: 10.1111/1475-6773.12177. </w:t>
      </w:r>
      <w:proofErr w:type="spellStart"/>
      <w:r w:rsidRPr="00E205B4">
        <w:rPr>
          <w:color w:val="C00000"/>
        </w:rPr>
        <w:t>Epub</w:t>
      </w:r>
      <w:proofErr w:type="spellEnd"/>
      <w:r w:rsidRPr="00E205B4">
        <w:rPr>
          <w:color w:val="C00000"/>
        </w:rPr>
        <w:t xml:space="preserve"> 2014 Apr 9. PMID: 24712374; PMCID: PMC4319869.</w:t>
      </w:r>
    </w:p>
    <w:p w14:paraId="5EAAA208"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color w:val="7030A0"/>
        </w:rPr>
        <w:t xml:space="preserve">Hu J, </w:t>
      </w:r>
      <w:proofErr w:type="spellStart"/>
      <w:r w:rsidRPr="00092E6C">
        <w:rPr>
          <w:color w:val="7030A0"/>
        </w:rPr>
        <w:t>Gonsahn</w:t>
      </w:r>
      <w:proofErr w:type="spellEnd"/>
      <w:r w:rsidRPr="00092E6C">
        <w:rPr>
          <w:color w:val="7030A0"/>
        </w:rPr>
        <w:t xml:space="preserve"> MD, </w:t>
      </w:r>
      <w:proofErr w:type="spellStart"/>
      <w:r w:rsidRPr="00092E6C">
        <w:rPr>
          <w:color w:val="7030A0"/>
        </w:rPr>
        <w:t>Nerenz</w:t>
      </w:r>
      <w:proofErr w:type="spellEnd"/>
      <w:r w:rsidRPr="00092E6C">
        <w:rPr>
          <w:color w:val="7030A0"/>
        </w:rPr>
        <w:t xml:space="preserve"> DR. Socioeconomic status and readmissions: evidence from an urban teaching hospital. Health affairs (Project Hope). 2014; 33(5):778-785.</w:t>
      </w:r>
    </w:p>
    <w:p w14:paraId="277274DF" w14:textId="77777777" w:rsidR="00092E6C" w:rsidRDefault="002B60B6" w:rsidP="00092E6C">
      <w:pPr>
        <w:autoSpaceDE w:val="0"/>
        <w:autoSpaceDN w:val="0"/>
        <w:adjustRightInd w:val="0"/>
        <w:spacing w:before="120" w:after="120" w:line="240" w:lineRule="auto"/>
        <w:rPr>
          <w:rFonts w:cstheme="minorHAnsi"/>
          <w:noProof/>
          <w:color w:val="7030A0"/>
        </w:rPr>
      </w:pPr>
      <w:r w:rsidRPr="00E205B4">
        <w:rPr>
          <w:rFonts w:cstheme="minorHAnsi"/>
          <w:bCs/>
          <w:color w:val="C00000"/>
        </w:rPr>
        <w:t xml:space="preserve">H. F. Chen, A. </w:t>
      </w:r>
      <w:proofErr w:type="spellStart"/>
      <w:r w:rsidRPr="00E205B4">
        <w:rPr>
          <w:rFonts w:cstheme="minorHAnsi"/>
          <w:bCs/>
          <w:color w:val="C00000"/>
        </w:rPr>
        <w:t>Nevola</w:t>
      </w:r>
      <w:proofErr w:type="spellEnd"/>
      <w:r w:rsidRPr="00E205B4">
        <w:rPr>
          <w:rFonts w:cstheme="minorHAnsi"/>
          <w:bCs/>
          <w:color w:val="C00000"/>
        </w:rPr>
        <w:t xml:space="preserve">, T. M. Bird, et al. Understanding factors associated with readmission disparities among Delta region, Delta state, and other hospitals. Am J </w:t>
      </w:r>
      <w:proofErr w:type="spellStart"/>
      <w:r w:rsidRPr="00E205B4">
        <w:rPr>
          <w:rFonts w:cstheme="minorHAnsi"/>
          <w:bCs/>
          <w:color w:val="C00000"/>
        </w:rPr>
        <w:t>Manag</w:t>
      </w:r>
      <w:proofErr w:type="spellEnd"/>
      <w:r w:rsidRPr="00E205B4">
        <w:rPr>
          <w:rFonts w:cstheme="minorHAnsi"/>
          <w:bCs/>
          <w:color w:val="C00000"/>
        </w:rPr>
        <w:t xml:space="preserve"> Care May 2018.24 (5): e150-156.</w:t>
      </w:r>
    </w:p>
    <w:p w14:paraId="4D1A4C65"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 xml:space="preserve">Jha AK, </w:t>
      </w:r>
      <w:proofErr w:type="spellStart"/>
      <w:r w:rsidRPr="00092E6C">
        <w:rPr>
          <w:rFonts w:cstheme="minorHAnsi"/>
          <w:bCs/>
          <w:color w:val="7030A0"/>
        </w:rPr>
        <w:t>Orav</w:t>
      </w:r>
      <w:proofErr w:type="spellEnd"/>
      <w:r w:rsidRPr="00092E6C">
        <w:rPr>
          <w:rFonts w:cstheme="minorHAnsi"/>
          <w:bCs/>
          <w:color w:val="7030A0"/>
        </w:rPr>
        <w:t xml:space="preserve"> EJ, Epstein AM. Low-quality, high-cost hospitals, mainly in South, care for sharply higher shares of elderly black, Hispanic, and </w:t>
      </w:r>
      <w:proofErr w:type="spellStart"/>
      <w:r w:rsidRPr="00092E6C">
        <w:rPr>
          <w:rFonts w:cstheme="minorHAnsi"/>
          <w:bCs/>
          <w:color w:val="7030A0"/>
        </w:rPr>
        <w:t>medicaid</w:t>
      </w:r>
      <w:proofErr w:type="spellEnd"/>
      <w:r w:rsidRPr="00092E6C">
        <w:rPr>
          <w:rFonts w:cstheme="minorHAnsi"/>
          <w:bCs/>
          <w:color w:val="7030A0"/>
        </w:rPr>
        <w:t xml:space="preserve"> patients. Health affairs 2011; 30:1904-11.</w:t>
      </w:r>
    </w:p>
    <w:p w14:paraId="3DDF95EB" w14:textId="4044283C"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color w:val="7030A0"/>
        </w:rPr>
        <w:t xml:space="preserve">Joynt KE, Jha AK. Characteristics of hospitals receiving penalties under the Hospital Readmissions Reduction Program. JAMA. Jan </w:t>
      </w:r>
      <w:r w:rsidR="00DD3ECD" w:rsidRPr="00092E6C">
        <w:rPr>
          <w:color w:val="7030A0"/>
        </w:rPr>
        <w:t>23,</w:t>
      </w:r>
      <w:r w:rsidRPr="00092E6C">
        <w:rPr>
          <w:color w:val="7030A0"/>
        </w:rPr>
        <w:t xml:space="preserve"> 2013; 309(4):342-3.</w:t>
      </w:r>
    </w:p>
    <w:p w14:paraId="1A15D9BC"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ascii="Calibri" w:eastAsia="Times New Roman" w:hAnsi="Calibri" w:cs="Times New Roman"/>
          <w:color w:val="7030A0"/>
        </w:rPr>
        <w:t xml:space="preserve">Kim C, Diez A V, Diez Roux T, Hofer P, </w:t>
      </w:r>
      <w:proofErr w:type="spellStart"/>
      <w:r w:rsidRPr="00092E6C">
        <w:rPr>
          <w:rFonts w:ascii="Calibri" w:eastAsia="Times New Roman" w:hAnsi="Calibri" w:cs="Times New Roman"/>
          <w:color w:val="7030A0"/>
        </w:rPr>
        <w:t>Nallamothu</w:t>
      </w:r>
      <w:proofErr w:type="spellEnd"/>
      <w:r w:rsidRPr="00092E6C">
        <w:rPr>
          <w:rFonts w:ascii="Calibri" w:eastAsia="Times New Roman" w:hAnsi="Calibri" w:cs="Times New Roman"/>
          <w:color w:val="7030A0"/>
        </w:rPr>
        <w:t xml:space="preserve"> B K, Bernstein S J, Rogers M, “Area socioeconomic status and mortality after coronary artery bypass graft surgery: The role of hospital volume.” Clinical Investigation Outcomes, Health Policy, and Managed Care. 2007; 154(2): 385-390.</w:t>
      </w:r>
    </w:p>
    <w:p w14:paraId="5AAB006E"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 xml:space="preserve">Krumholz HM, </w:t>
      </w:r>
      <w:proofErr w:type="spellStart"/>
      <w:r w:rsidRPr="00092E6C">
        <w:rPr>
          <w:rFonts w:cstheme="minorHAnsi"/>
          <w:bCs/>
          <w:color w:val="7030A0"/>
        </w:rPr>
        <w:t>Brindis</w:t>
      </w:r>
      <w:proofErr w:type="spellEnd"/>
      <w:r w:rsidRPr="00092E6C">
        <w:rPr>
          <w:rFonts w:cstheme="minorHAnsi"/>
          <w:bCs/>
          <w:color w:val="7030A0"/>
        </w:rPr>
        <w:t xml:space="preserve"> RG, Brush JE, et al. Standards for statistical models used for public reporting of health outcomes. Circulation. 2006; 113: 456-462. Available at: http://circ.ahajournals.org/content/113/3/456.full.pdf+html. Accessed January 14, 2016.</w:t>
      </w:r>
    </w:p>
    <w:p w14:paraId="3420D555" w14:textId="77777777" w:rsidR="00092E6C" w:rsidRPr="00092E6C" w:rsidRDefault="002B60B6" w:rsidP="00092E6C">
      <w:pPr>
        <w:autoSpaceDE w:val="0"/>
        <w:autoSpaceDN w:val="0"/>
        <w:adjustRightInd w:val="0"/>
        <w:spacing w:before="120" w:after="120" w:line="240" w:lineRule="auto"/>
        <w:rPr>
          <w:rFonts w:cstheme="minorHAnsi"/>
          <w:noProof/>
          <w:color w:val="7030A0"/>
        </w:rPr>
      </w:pPr>
      <w:proofErr w:type="spellStart"/>
      <w:r w:rsidRPr="00092E6C">
        <w:rPr>
          <w:rFonts w:cstheme="minorHAnsi"/>
          <w:bCs/>
          <w:color w:val="7030A0"/>
        </w:rPr>
        <w:lastRenderedPageBreak/>
        <w:t>LaPar</w:t>
      </w:r>
      <w:proofErr w:type="spellEnd"/>
      <w:r w:rsidRPr="00092E6C">
        <w:rPr>
          <w:rFonts w:cstheme="minorHAnsi"/>
          <w:bCs/>
          <w:color w:val="7030A0"/>
        </w:rPr>
        <w:t xml:space="preserve"> D J, </w:t>
      </w:r>
      <w:proofErr w:type="spellStart"/>
      <w:r w:rsidRPr="00092E6C">
        <w:rPr>
          <w:rFonts w:cstheme="minorHAnsi"/>
          <w:bCs/>
          <w:color w:val="7030A0"/>
        </w:rPr>
        <w:t>Bhamidipati</w:t>
      </w:r>
      <w:proofErr w:type="spellEnd"/>
      <w:r w:rsidRPr="00092E6C">
        <w:rPr>
          <w:rFonts w:cstheme="minorHAnsi"/>
          <w:bCs/>
          <w:color w:val="7030A0"/>
        </w:rPr>
        <w:t xml:space="preserve"> C M, et al. “Primary Payer Status Affects Mortality for Major Surgical Operations.” Annals of Surgery. 2010; 252(3): 544-551.</w:t>
      </w:r>
    </w:p>
    <w:p w14:paraId="34CC4E3C" w14:textId="77777777" w:rsidR="00092E6C" w:rsidRPr="00092E6C" w:rsidRDefault="002B60B6" w:rsidP="00092E6C">
      <w:pPr>
        <w:autoSpaceDE w:val="0"/>
        <w:autoSpaceDN w:val="0"/>
        <w:adjustRightInd w:val="0"/>
        <w:spacing w:before="120" w:after="120" w:line="240" w:lineRule="auto"/>
        <w:rPr>
          <w:rFonts w:cstheme="minorHAnsi"/>
          <w:noProof/>
          <w:color w:val="7030A0"/>
        </w:rPr>
      </w:pPr>
      <w:proofErr w:type="spellStart"/>
      <w:r w:rsidRPr="00092E6C">
        <w:rPr>
          <w:rFonts w:cstheme="minorHAnsi"/>
          <w:bCs/>
          <w:color w:val="7030A0"/>
        </w:rPr>
        <w:t>LaPar</w:t>
      </w:r>
      <w:proofErr w:type="spellEnd"/>
      <w:r w:rsidRPr="00092E6C">
        <w:rPr>
          <w:rFonts w:cstheme="minorHAnsi"/>
          <w:bCs/>
          <w:color w:val="7030A0"/>
        </w:rPr>
        <w:t xml:space="preserve"> D J, </w:t>
      </w:r>
      <w:proofErr w:type="spellStart"/>
      <w:r w:rsidRPr="00092E6C">
        <w:rPr>
          <w:rFonts w:cstheme="minorHAnsi"/>
          <w:bCs/>
          <w:color w:val="7030A0"/>
        </w:rPr>
        <w:t>Stukenborg</w:t>
      </w:r>
      <w:proofErr w:type="spellEnd"/>
      <w:r w:rsidRPr="00092E6C">
        <w:rPr>
          <w:rFonts w:cstheme="minorHAnsi"/>
          <w:bCs/>
          <w:color w:val="7030A0"/>
        </w:rPr>
        <w:t xml:space="preserve"> G J, et al “Primary Payer Status Is Associated </w:t>
      </w:r>
      <w:proofErr w:type="gramStart"/>
      <w:r w:rsidRPr="00092E6C">
        <w:rPr>
          <w:rFonts w:cstheme="minorHAnsi"/>
          <w:bCs/>
          <w:color w:val="7030A0"/>
        </w:rPr>
        <w:t>With</w:t>
      </w:r>
      <w:proofErr w:type="gramEnd"/>
      <w:r w:rsidRPr="00092E6C">
        <w:rPr>
          <w:rFonts w:cstheme="minorHAnsi"/>
          <w:bCs/>
          <w:color w:val="7030A0"/>
        </w:rPr>
        <w:t xml:space="preserve"> Mortality and Resource Utilization for Coronary Artery Bypass Grafting.” Circulation. 2012; 126:132-139.</w:t>
      </w:r>
    </w:p>
    <w:p w14:paraId="26C24C5B" w14:textId="1F8C517A" w:rsidR="001F55CC" w:rsidRPr="001F55CC" w:rsidRDefault="001F55CC" w:rsidP="00092E6C">
      <w:pPr>
        <w:autoSpaceDE w:val="0"/>
        <w:autoSpaceDN w:val="0"/>
        <w:adjustRightInd w:val="0"/>
        <w:spacing w:before="120" w:after="120" w:line="240" w:lineRule="auto"/>
        <w:rPr>
          <w:rFonts w:cstheme="minorHAnsi"/>
          <w:bCs/>
          <w:color w:val="7030A0"/>
        </w:rPr>
      </w:pPr>
      <w:r w:rsidRPr="005D0F35">
        <w:rPr>
          <w:rFonts w:cstheme="minorHAnsi"/>
          <w:noProof/>
          <w:color w:val="C00000"/>
        </w:rPr>
        <w:t xml:space="preserve">Martsolf G, Barrett M, Weiss A, Kandrack R, Washington R, Steiner C, Mehrotra A, SooHoo N, Coffey R. </w:t>
      </w:r>
      <w:r w:rsidRPr="005D0F35">
        <w:rPr>
          <w:rFonts w:cstheme="minorHAnsi"/>
          <w:color w:val="C00000"/>
          <w:shd w:val="clear" w:color="auto" w:fill="FFFFFF"/>
        </w:rPr>
        <w:t>Impact of Race/Ethnicity and Socioeconomic Status on Risk-Adjusted Hospital Readmission Rates Following Hip and Knee Arthroplasty, The Journal of Bone and Joint Surgery. 2016;98(16):1385-1391.</w:t>
      </w:r>
      <w:r w:rsidRPr="005D0F35">
        <w:rPr>
          <w:rFonts w:ascii="Arial" w:hAnsi="Arial" w:cs="Arial"/>
          <w:color w:val="C00000"/>
          <w:sz w:val="21"/>
          <w:szCs w:val="21"/>
          <w:shd w:val="clear" w:color="auto" w:fill="FFFFFF"/>
        </w:rPr>
        <w:t xml:space="preserve"> </w:t>
      </w:r>
      <w:hyperlink r:id="rId26" w:history="1">
        <w:r w:rsidRPr="005D0F35">
          <w:rPr>
            <w:rStyle w:val="Hyperlink"/>
            <w:rFonts w:cstheme="minorHAnsi"/>
            <w:shd w:val="clear" w:color="auto" w:fill="FFFFFF"/>
          </w:rPr>
          <w:t>https://doi.org/10.2106/JBJS.15.00884</w:t>
        </w:r>
      </w:hyperlink>
      <w:r>
        <w:rPr>
          <w:rFonts w:ascii="Arial" w:hAnsi="Arial" w:cs="Arial"/>
          <w:color w:val="000000"/>
          <w:sz w:val="21"/>
          <w:szCs w:val="21"/>
          <w:shd w:val="clear" w:color="auto" w:fill="FFFFFF"/>
        </w:rPr>
        <w:t>.</w:t>
      </w:r>
    </w:p>
    <w:p w14:paraId="114BEF7A"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Normand S-LT, Shahian DM. Statistical and Clinical Aspects of Hospital Outcomes Profiling. 2007/05 2007:206-226.</w:t>
      </w:r>
    </w:p>
    <w:p w14:paraId="17E3C959"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 xml:space="preserve">Pope GC, Ellis RP, Ash AS, et al. Diagnostic cost group hierarchical condition category models for Medicare risk adjustment. Final Report to the Health Care Financing Administration under Contract Number 500-95-048. 2000; </w:t>
      </w:r>
      <w:hyperlink r:id="rId27" w:history="1">
        <w:r w:rsidRPr="00092E6C">
          <w:rPr>
            <w:rStyle w:val="Hyperlink"/>
            <w:rFonts w:cstheme="minorHAnsi"/>
            <w:color w:val="7030A0"/>
          </w:rPr>
          <w:t>http://www.cms.hhs.gov/Reports/downloads/pope_2000_2.pdf</w:t>
        </w:r>
      </w:hyperlink>
      <w:r w:rsidRPr="00092E6C">
        <w:rPr>
          <w:rFonts w:cstheme="minorHAnsi"/>
          <w:bCs/>
          <w:color w:val="7030A0"/>
        </w:rPr>
        <w:t>. Accessed February 25, 2020.</w:t>
      </w:r>
    </w:p>
    <w:p w14:paraId="7AF52EDA" w14:textId="77777777" w:rsidR="00092E6C" w:rsidRDefault="002B60B6" w:rsidP="00092E6C">
      <w:pPr>
        <w:autoSpaceDE w:val="0"/>
        <w:autoSpaceDN w:val="0"/>
        <w:adjustRightInd w:val="0"/>
        <w:spacing w:before="120" w:after="120" w:line="240" w:lineRule="auto"/>
        <w:rPr>
          <w:rFonts w:cstheme="minorHAnsi"/>
          <w:noProof/>
          <w:color w:val="7030A0"/>
        </w:rPr>
      </w:pPr>
      <w:r w:rsidRPr="00E205B4">
        <w:rPr>
          <w:rFonts w:cstheme="minorHAnsi"/>
          <w:bCs/>
          <w:color w:val="C00000"/>
        </w:rPr>
        <w:t xml:space="preserve">Pope GC, </w:t>
      </w:r>
      <w:proofErr w:type="spellStart"/>
      <w:r w:rsidRPr="00E205B4">
        <w:rPr>
          <w:rFonts w:cstheme="minorHAnsi"/>
          <w:bCs/>
          <w:color w:val="C00000"/>
        </w:rPr>
        <w:t>Kautter</w:t>
      </w:r>
      <w:proofErr w:type="spellEnd"/>
      <w:r w:rsidRPr="00E205B4">
        <w:rPr>
          <w:rFonts w:cstheme="minorHAnsi"/>
          <w:bCs/>
          <w:color w:val="C00000"/>
        </w:rPr>
        <w:t xml:space="preserve"> J, Ingber MJ, et al. Evaluation of the CMS-HCC Risk Adjustment Model: Final Report. 2011; </w:t>
      </w:r>
      <w:hyperlink r:id="rId28" w:history="1">
        <w:r w:rsidRPr="00E205B4">
          <w:rPr>
            <w:rStyle w:val="Hyperlink"/>
            <w:rFonts w:cstheme="minorHAnsi"/>
            <w:color w:val="C00000"/>
          </w:rPr>
          <w:t>https://www.cms.gov/Medicare/Health-Plans/MedicareAdvtgSpecRateStats/downloads/evaluation_risk_adj_model_2011.pdf</w:t>
        </w:r>
      </w:hyperlink>
      <w:r w:rsidRPr="00E205B4">
        <w:rPr>
          <w:rFonts w:cstheme="minorHAnsi"/>
          <w:bCs/>
          <w:color w:val="C00000"/>
        </w:rPr>
        <w:t>. Accessed February 25, 2020.</w:t>
      </w:r>
    </w:p>
    <w:p w14:paraId="704ECF40" w14:textId="2B32432D" w:rsidR="001F55CC" w:rsidRPr="001F55CC" w:rsidRDefault="001F55CC" w:rsidP="001F55CC">
      <w:pPr>
        <w:spacing w:line="240" w:lineRule="auto"/>
        <w:rPr>
          <w:rFonts w:cstheme="minorHAnsi"/>
          <w:bCs/>
          <w:color w:val="C00000"/>
        </w:rPr>
      </w:pPr>
      <w:r w:rsidRPr="001D1060">
        <w:rPr>
          <w:rFonts w:cstheme="minorHAnsi"/>
          <w:color w:val="C00000"/>
          <w:shd w:val="clear" w:color="auto" w:fill="FFFFFF"/>
        </w:rPr>
        <w:t xml:space="preserve">Singh JA, </w:t>
      </w:r>
      <w:proofErr w:type="spellStart"/>
      <w:r w:rsidRPr="001D1060">
        <w:rPr>
          <w:rFonts w:cstheme="minorHAnsi"/>
          <w:color w:val="C00000"/>
          <w:shd w:val="clear" w:color="auto" w:fill="FFFFFF"/>
        </w:rPr>
        <w:t>Kallan</w:t>
      </w:r>
      <w:proofErr w:type="spellEnd"/>
      <w:r w:rsidRPr="001D1060">
        <w:rPr>
          <w:rFonts w:cstheme="minorHAnsi"/>
          <w:color w:val="C00000"/>
          <w:shd w:val="clear" w:color="auto" w:fill="FFFFFF"/>
        </w:rPr>
        <w:t xml:space="preserve"> MJ, Chen Y, Parks ML, Ibrahim SA. Association of Race/Ethnicity </w:t>
      </w:r>
      <w:proofErr w:type="gramStart"/>
      <w:r w:rsidRPr="001D1060">
        <w:rPr>
          <w:rFonts w:cstheme="minorHAnsi"/>
          <w:color w:val="C00000"/>
          <w:shd w:val="clear" w:color="auto" w:fill="FFFFFF"/>
        </w:rPr>
        <w:t>With</w:t>
      </w:r>
      <w:proofErr w:type="gramEnd"/>
      <w:r w:rsidRPr="001D1060">
        <w:rPr>
          <w:rFonts w:cstheme="minorHAnsi"/>
          <w:color w:val="C00000"/>
          <w:shd w:val="clear" w:color="auto" w:fill="FFFFFF"/>
        </w:rPr>
        <w:t xml:space="preserve"> Hospital Discharge Disposition After Elective Total Knee</w:t>
      </w:r>
      <w:r w:rsidR="00DD3ECD">
        <w:rPr>
          <w:rFonts w:cstheme="minorHAnsi"/>
          <w:color w:val="C00000"/>
          <w:shd w:val="clear" w:color="auto" w:fill="FFFFFF"/>
        </w:rPr>
        <w:t xml:space="preserve"> Arthroplasty. </w:t>
      </w:r>
      <w:r w:rsidRPr="001D1060">
        <w:rPr>
          <w:rStyle w:val="Emphasis"/>
          <w:rFonts w:cstheme="minorHAnsi"/>
          <w:color w:val="C00000"/>
          <w:shd w:val="clear" w:color="auto" w:fill="FFFFFF"/>
        </w:rPr>
        <w:t>JAMA Netw</w:t>
      </w:r>
      <w:r>
        <w:rPr>
          <w:rStyle w:val="Emphasis"/>
          <w:rFonts w:cstheme="minorHAnsi"/>
          <w:color w:val="C00000"/>
          <w:shd w:val="clear" w:color="auto" w:fill="FFFFFF"/>
        </w:rPr>
        <w:t>ork</w:t>
      </w:r>
      <w:r w:rsidRPr="001D1060">
        <w:rPr>
          <w:rStyle w:val="Emphasis"/>
          <w:rFonts w:cstheme="minorHAnsi"/>
          <w:color w:val="C00000"/>
          <w:shd w:val="clear" w:color="auto" w:fill="FFFFFF"/>
        </w:rPr>
        <w:t xml:space="preserve"> Open.</w:t>
      </w:r>
      <w:r w:rsidR="00DD3ECD">
        <w:rPr>
          <w:rFonts w:cstheme="minorHAnsi"/>
          <w:color w:val="C00000"/>
          <w:shd w:val="clear" w:color="auto" w:fill="FFFFFF"/>
        </w:rPr>
        <w:t xml:space="preserve"> </w:t>
      </w:r>
      <w:r w:rsidRPr="001D1060">
        <w:rPr>
          <w:rFonts w:cstheme="minorHAnsi"/>
          <w:color w:val="C00000"/>
          <w:shd w:val="clear" w:color="auto" w:fill="FFFFFF"/>
        </w:rPr>
        <w:t>2019;2(10</w:t>
      </w:r>
      <w:r w:rsidR="00DD3ECD" w:rsidRPr="001D1060">
        <w:rPr>
          <w:rFonts w:cstheme="minorHAnsi"/>
          <w:color w:val="C00000"/>
          <w:shd w:val="clear" w:color="auto" w:fill="FFFFFF"/>
        </w:rPr>
        <w:t>): e</w:t>
      </w:r>
      <w:r w:rsidRPr="001D1060">
        <w:rPr>
          <w:rFonts w:cstheme="minorHAnsi"/>
          <w:color w:val="C00000"/>
          <w:shd w:val="clear" w:color="auto" w:fill="FFFFFF"/>
        </w:rPr>
        <w:t>1914259. doi:10.1001/jamanetworkopen.2019.14259.</w:t>
      </w:r>
    </w:p>
    <w:p w14:paraId="3FEB18D5" w14:textId="77777777" w:rsidR="00092E6C" w:rsidRPr="00092E6C" w:rsidRDefault="002B60B6" w:rsidP="00092E6C">
      <w:pPr>
        <w:autoSpaceDE w:val="0"/>
        <w:autoSpaceDN w:val="0"/>
        <w:adjustRightInd w:val="0"/>
        <w:spacing w:before="120" w:after="120" w:line="240" w:lineRule="auto"/>
        <w:rPr>
          <w:rFonts w:cstheme="minorHAnsi"/>
          <w:noProof/>
          <w:color w:val="7030A0"/>
        </w:rPr>
      </w:pPr>
      <w:r w:rsidRPr="00092E6C">
        <w:rPr>
          <w:rFonts w:cstheme="minorHAnsi"/>
          <w:bCs/>
          <w:color w:val="7030A0"/>
        </w:rPr>
        <w:t xml:space="preserve">Trivedi AN, </w:t>
      </w:r>
      <w:proofErr w:type="spellStart"/>
      <w:r w:rsidRPr="00092E6C">
        <w:rPr>
          <w:rFonts w:cstheme="minorHAnsi"/>
          <w:bCs/>
          <w:color w:val="7030A0"/>
        </w:rPr>
        <w:t>Nsa</w:t>
      </w:r>
      <w:proofErr w:type="spellEnd"/>
      <w:r w:rsidRPr="00092E6C">
        <w:rPr>
          <w:rFonts w:cstheme="minorHAnsi"/>
          <w:bCs/>
          <w:color w:val="7030A0"/>
        </w:rPr>
        <w:t xml:space="preserve"> W, </w:t>
      </w:r>
      <w:proofErr w:type="spellStart"/>
      <w:r w:rsidRPr="00092E6C">
        <w:rPr>
          <w:rFonts w:cstheme="minorHAnsi"/>
          <w:bCs/>
          <w:color w:val="7030A0"/>
        </w:rPr>
        <w:t>Hausmann</w:t>
      </w:r>
      <w:proofErr w:type="spellEnd"/>
      <w:r w:rsidRPr="00092E6C">
        <w:rPr>
          <w:rFonts w:cstheme="minorHAnsi"/>
          <w:bCs/>
          <w:color w:val="7030A0"/>
        </w:rPr>
        <w:t xml:space="preserve"> LR, et al. Quality and equity of care in U.S. hospitals. The New England journal of medicine 2014; 371:2298-308.</w:t>
      </w:r>
    </w:p>
    <w:p w14:paraId="68C8FE45" w14:textId="7EB94068" w:rsidR="001F55CC" w:rsidRDefault="001F55CC" w:rsidP="001F55CC">
      <w:pPr>
        <w:autoSpaceDE w:val="0"/>
        <w:autoSpaceDN w:val="0"/>
        <w:adjustRightInd w:val="0"/>
        <w:spacing w:before="120" w:after="0" w:line="240" w:lineRule="auto"/>
        <w:rPr>
          <w:rFonts w:cstheme="minorHAnsi"/>
          <w:color w:val="C00000"/>
          <w:shd w:val="clear" w:color="auto" w:fill="FCFCFC"/>
        </w:rPr>
      </w:pPr>
      <w:r w:rsidRPr="00640528">
        <w:rPr>
          <w:rFonts w:cstheme="minorHAnsi"/>
          <w:color w:val="C00000"/>
          <w:shd w:val="clear" w:color="auto" w:fill="FCFCFC"/>
        </w:rPr>
        <w:t xml:space="preserve">White, R.S., </w:t>
      </w:r>
      <w:proofErr w:type="spellStart"/>
      <w:r w:rsidRPr="00640528">
        <w:rPr>
          <w:rFonts w:cstheme="minorHAnsi"/>
          <w:color w:val="C00000"/>
          <w:shd w:val="clear" w:color="auto" w:fill="FCFCFC"/>
        </w:rPr>
        <w:t>Sastow</w:t>
      </w:r>
      <w:proofErr w:type="spellEnd"/>
      <w:r w:rsidRPr="00640528">
        <w:rPr>
          <w:rFonts w:cstheme="minorHAnsi"/>
          <w:color w:val="C00000"/>
          <w:shd w:val="clear" w:color="auto" w:fill="FCFCFC"/>
        </w:rPr>
        <w:t>,</w:t>
      </w:r>
      <w:r w:rsidR="00DD3ECD">
        <w:rPr>
          <w:rFonts w:cstheme="minorHAnsi"/>
          <w:color w:val="C00000"/>
          <w:shd w:val="clear" w:color="auto" w:fill="FCFCFC"/>
        </w:rPr>
        <w:t xml:space="preserve"> D.L., Gaber-Baylis, L.K. </w:t>
      </w:r>
      <w:r w:rsidRPr="00640528">
        <w:rPr>
          <w:rFonts w:cstheme="minorHAnsi"/>
          <w:i/>
          <w:iCs/>
          <w:color w:val="C00000"/>
          <w:shd w:val="clear" w:color="auto" w:fill="FCFCFC"/>
        </w:rPr>
        <w:t>et al.</w:t>
      </w:r>
      <w:r w:rsidR="00DD3ECD">
        <w:rPr>
          <w:rFonts w:cstheme="minorHAnsi"/>
          <w:color w:val="C00000"/>
          <w:shd w:val="clear" w:color="auto" w:fill="FCFCFC"/>
        </w:rPr>
        <w:t xml:space="preserve"> </w:t>
      </w:r>
      <w:r w:rsidRPr="00640528">
        <w:rPr>
          <w:rFonts w:cstheme="minorHAnsi"/>
          <w:color w:val="C00000"/>
          <w:shd w:val="clear" w:color="auto" w:fill="FCFCFC"/>
        </w:rPr>
        <w:t>Readmission Rates and Diagnoses Following Total Hip Replacement in Relation to Insurance Payer Status, Race an</w:t>
      </w:r>
      <w:r w:rsidR="00DD3ECD">
        <w:rPr>
          <w:rFonts w:cstheme="minorHAnsi"/>
          <w:color w:val="C00000"/>
          <w:shd w:val="clear" w:color="auto" w:fill="FCFCFC"/>
        </w:rPr>
        <w:t xml:space="preserve">d Ethnicity, and Income Status. </w:t>
      </w:r>
      <w:r w:rsidRPr="00640528">
        <w:rPr>
          <w:rFonts w:cstheme="minorHAnsi"/>
          <w:i/>
          <w:iCs/>
          <w:color w:val="C00000"/>
          <w:shd w:val="clear" w:color="auto" w:fill="FCFCFC"/>
        </w:rPr>
        <w:t>J. Racial and Ethnic Health Disparities</w:t>
      </w:r>
      <w:r w:rsidR="003318C3">
        <w:rPr>
          <w:rFonts w:cstheme="minorHAnsi"/>
          <w:color w:val="C00000"/>
          <w:shd w:val="clear" w:color="auto" w:fill="FCFCFC"/>
        </w:rPr>
        <w:t xml:space="preserve"> </w:t>
      </w:r>
      <w:r w:rsidR="003318C3">
        <w:rPr>
          <w:rFonts w:cstheme="minorHAnsi"/>
          <w:bCs/>
          <w:color w:val="C00000"/>
          <w:shd w:val="clear" w:color="auto" w:fill="FCFCFC"/>
        </w:rPr>
        <w:t xml:space="preserve">5, </w:t>
      </w:r>
      <w:r w:rsidRPr="00640528">
        <w:rPr>
          <w:rFonts w:cstheme="minorHAnsi"/>
          <w:color w:val="C00000"/>
          <w:shd w:val="clear" w:color="auto" w:fill="FCFCFC"/>
        </w:rPr>
        <w:t xml:space="preserve">1202–1214 (2018). </w:t>
      </w:r>
      <w:hyperlink r:id="rId29" w:history="1">
        <w:r w:rsidRPr="00640528">
          <w:rPr>
            <w:rStyle w:val="Hyperlink"/>
            <w:rFonts w:cstheme="minorHAnsi"/>
            <w:color w:val="C00000"/>
            <w:shd w:val="clear" w:color="auto" w:fill="FCFCFC"/>
          </w:rPr>
          <w:t>https://doi.org/10.1007/s40615-018-0467-0</w:t>
        </w:r>
      </w:hyperlink>
      <w:r w:rsidRPr="00640528">
        <w:rPr>
          <w:rFonts w:cstheme="minorHAnsi"/>
          <w:color w:val="C00000"/>
          <w:shd w:val="clear" w:color="auto" w:fill="FCFCFC"/>
        </w:rPr>
        <w:t>.</w:t>
      </w:r>
    </w:p>
    <w:p w14:paraId="4F6709FC" w14:textId="5AB04906" w:rsidR="001F55CC" w:rsidRPr="001F55CC" w:rsidRDefault="001F55CC" w:rsidP="001F55CC">
      <w:pPr>
        <w:autoSpaceDE w:val="0"/>
        <w:autoSpaceDN w:val="0"/>
        <w:adjustRightInd w:val="0"/>
        <w:spacing w:before="120" w:after="0" w:line="240" w:lineRule="auto"/>
        <w:rPr>
          <w:rFonts w:cstheme="minorHAnsi"/>
          <w:bCs/>
          <w:color w:val="C00000"/>
        </w:rPr>
      </w:pPr>
      <w:r w:rsidRPr="00640528">
        <w:rPr>
          <w:rFonts w:cstheme="minorHAnsi"/>
          <w:color w:val="C00000"/>
          <w:shd w:val="clear" w:color="auto" w:fill="FFFFFF"/>
        </w:rPr>
        <w:t xml:space="preserve">Xu HF, White RS, </w:t>
      </w:r>
      <w:proofErr w:type="spellStart"/>
      <w:r w:rsidRPr="00640528">
        <w:rPr>
          <w:rFonts w:cstheme="minorHAnsi"/>
          <w:color w:val="C00000"/>
          <w:shd w:val="clear" w:color="auto" w:fill="FFFFFF"/>
        </w:rPr>
        <w:t>Sastow</w:t>
      </w:r>
      <w:proofErr w:type="spellEnd"/>
      <w:r w:rsidRPr="00640528">
        <w:rPr>
          <w:rFonts w:cstheme="minorHAnsi"/>
          <w:color w:val="C00000"/>
          <w:shd w:val="clear" w:color="auto" w:fill="FFFFFF"/>
        </w:rPr>
        <w:t xml:space="preserve"> DL, </w:t>
      </w:r>
      <w:proofErr w:type="spellStart"/>
      <w:r w:rsidRPr="00640528">
        <w:rPr>
          <w:rFonts w:cstheme="minorHAnsi"/>
          <w:color w:val="C00000"/>
          <w:shd w:val="clear" w:color="auto" w:fill="FFFFFF"/>
        </w:rPr>
        <w:t>Andreae</w:t>
      </w:r>
      <w:proofErr w:type="spellEnd"/>
      <w:r w:rsidRPr="00640528">
        <w:rPr>
          <w:rFonts w:cstheme="minorHAnsi"/>
          <w:color w:val="C00000"/>
          <w:shd w:val="clear" w:color="auto" w:fill="FFFFFF"/>
        </w:rPr>
        <w:t xml:space="preserve"> MH, Gaber-Baylis LK, Turnbull ZA. Medicaid insurance as primary payer predicts increased mortality after total hip replacement in the state inpatient databases of Ca</w:t>
      </w:r>
      <w:r w:rsidR="003318C3">
        <w:rPr>
          <w:rFonts w:cstheme="minorHAnsi"/>
          <w:color w:val="C00000"/>
          <w:shd w:val="clear" w:color="auto" w:fill="FFFFFF"/>
        </w:rPr>
        <w:t xml:space="preserve">lifornia, Florida and New York. </w:t>
      </w:r>
      <w:r w:rsidRPr="00640528">
        <w:rPr>
          <w:rFonts w:cstheme="minorHAnsi"/>
          <w:i/>
          <w:iCs/>
          <w:color w:val="C00000"/>
          <w:shd w:val="clear" w:color="auto" w:fill="FFFFFF"/>
        </w:rPr>
        <w:t xml:space="preserve">J </w:t>
      </w:r>
      <w:proofErr w:type="spellStart"/>
      <w:r w:rsidRPr="00640528">
        <w:rPr>
          <w:rFonts w:cstheme="minorHAnsi"/>
          <w:i/>
          <w:iCs/>
          <w:color w:val="C00000"/>
          <w:shd w:val="clear" w:color="auto" w:fill="FFFFFF"/>
        </w:rPr>
        <w:t>Clin</w:t>
      </w:r>
      <w:proofErr w:type="spellEnd"/>
      <w:r w:rsidRPr="00640528">
        <w:rPr>
          <w:rFonts w:cstheme="minorHAnsi"/>
          <w:i/>
          <w:iCs/>
          <w:color w:val="C00000"/>
          <w:shd w:val="clear" w:color="auto" w:fill="FFFFFF"/>
        </w:rPr>
        <w:t xml:space="preserve"> </w:t>
      </w:r>
      <w:proofErr w:type="spellStart"/>
      <w:r w:rsidRPr="00640528">
        <w:rPr>
          <w:rFonts w:cstheme="minorHAnsi"/>
          <w:i/>
          <w:iCs/>
          <w:color w:val="C00000"/>
          <w:shd w:val="clear" w:color="auto" w:fill="FFFFFF"/>
        </w:rPr>
        <w:t>Anesth</w:t>
      </w:r>
      <w:proofErr w:type="spellEnd"/>
      <w:r w:rsidRPr="00640528">
        <w:rPr>
          <w:rFonts w:cstheme="minorHAnsi"/>
          <w:color w:val="C00000"/>
          <w:shd w:val="clear" w:color="auto" w:fill="FFFFFF"/>
        </w:rPr>
        <w:t xml:space="preserve">. </w:t>
      </w:r>
      <w:r w:rsidR="003318C3" w:rsidRPr="00640528">
        <w:rPr>
          <w:rFonts w:cstheme="minorHAnsi"/>
          <w:color w:val="C00000"/>
          <w:shd w:val="clear" w:color="auto" w:fill="FFFFFF"/>
        </w:rPr>
        <w:t>2017; 43:24</w:t>
      </w:r>
      <w:r w:rsidRPr="00640528">
        <w:rPr>
          <w:rFonts w:cstheme="minorHAnsi"/>
          <w:color w:val="C00000"/>
          <w:shd w:val="clear" w:color="auto" w:fill="FFFFFF"/>
        </w:rPr>
        <w:t xml:space="preserve">‐32. </w:t>
      </w:r>
      <w:proofErr w:type="spellStart"/>
      <w:r w:rsidR="003318C3" w:rsidRPr="00640528">
        <w:rPr>
          <w:rFonts w:cstheme="minorHAnsi"/>
          <w:color w:val="C00000"/>
          <w:shd w:val="clear" w:color="auto" w:fill="FFFFFF"/>
        </w:rPr>
        <w:t>doi</w:t>
      </w:r>
      <w:proofErr w:type="spellEnd"/>
      <w:r w:rsidR="003318C3" w:rsidRPr="00640528">
        <w:rPr>
          <w:rFonts w:cstheme="minorHAnsi"/>
          <w:color w:val="C00000"/>
          <w:shd w:val="clear" w:color="auto" w:fill="FFFFFF"/>
        </w:rPr>
        <w:t>: 10.1016/j.jclinane</w:t>
      </w:r>
      <w:r w:rsidR="00DD3ECD">
        <w:rPr>
          <w:rFonts w:cstheme="minorHAnsi"/>
          <w:color w:val="C00000"/>
          <w:shd w:val="clear" w:color="auto" w:fill="FFFFFF"/>
        </w:rPr>
        <w:t>.2017.09.008.</w:t>
      </w:r>
    </w:p>
    <w:p w14:paraId="4260792A" w14:textId="605F1796" w:rsidR="00275563" w:rsidRDefault="00275563" w:rsidP="001F55CC">
      <w:pPr>
        <w:autoSpaceDE w:val="0"/>
        <w:autoSpaceDN w:val="0"/>
        <w:adjustRightInd w:val="0"/>
        <w:spacing w:before="240"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w:t>
      </w:r>
      <w:r w:rsidR="00C208A4">
        <w:rPr>
          <w:rFonts w:cstheme="minorHAnsi"/>
          <w:b/>
          <w:bCs/>
        </w:rPr>
        <w:t xml:space="preserve"> </w:t>
      </w:r>
      <w:r>
        <w:rPr>
          <w:rFonts w:cstheme="minorHAnsi"/>
          <w:b/>
          <w:bCs/>
        </w:rPr>
        <w:t>Please check all that apply:</w:t>
      </w:r>
    </w:p>
    <w:p w14:paraId="2B47DA83" w14:textId="738408A7" w:rsidR="00275563" w:rsidRPr="005232D6" w:rsidRDefault="00AE389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592E61">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A336234" w:rsidR="00275563" w:rsidRPr="005232D6" w:rsidRDefault="00AE389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592E61">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AE389F"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6C3518A7" w14:textId="4D11E63B" w:rsidR="00092E6C" w:rsidRDefault="009C7513" w:rsidP="00A723EC">
      <w:pPr>
        <w:autoSpaceDE w:val="0"/>
        <w:autoSpaceDN w:val="0"/>
        <w:adjustRightInd w:val="0"/>
        <w:spacing w:before="120"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1AC69602" w14:textId="77777777" w:rsidR="00092E6C" w:rsidRPr="00092E6C" w:rsidRDefault="00592E61" w:rsidP="00092E6C">
      <w:pPr>
        <w:autoSpaceDE w:val="0"/>
        <w:autoSpaceDN w:val="0"/>
        <w:adjustRightInd w:val="0"/>
        <w:spacing w:before="120" w:after="120" w:line="240" w:lineRule="auto"/>
        <w:rPr>
          <w:rFonts w:cstheme="minorHAnsi"/>
          <w:b/>
          <w:bCs/>
          <w:color w:val="7030A0"/>
        </w:rPr>
      </w:pPr>
      <w:r w:rsidRPr="00092E6C">
        <w:rPr>
          <w:rFonts w:cstheme="minorHAnsi"/>
          <w:bCs/>
          <w:color w:val="7030A0"/>
        </w:rPr>
        <w:t xml:space="preserve">The table below shows the final variables in the model in the </w:t>
      </w:r>
      <w:r w:rsidRPr="00E205B4">
        <w:rPr>
          <w:rFonts w:cstheme="minorHAnsi"/>
          <w:bCs/>
          <w:color w:val="C00000"/>
        </w:rPr>
        <w:t xml:space="preserve">testing dataset </w:t>
      </w:r>
      <w:r w:rsidRPr="00092E6C">
        <w:rPr>
          <w:rFonts w:cstheme="minorHAnsi"/>
          <w:bCs/>
          <w:color w:val="7030A0"/>
        </w:rPr>
        <w:t>with associated odds ratios (OR) and 95 percent confidence intervals (CI).</w:t>
      </w:r>
    </w:p>
    <w:p w14:paraId="76628AE3" w14:textId="125F709F" w:rsidR="00592E61" w:rsidRPr="00160014" w:rsidRDefault="00153687" w:rsidP="00153687">
      <w:pPr>
        <w:pStyle w:val="Caption"/>
        <w:rPr>
          <w:rFonts w:cstheme="minorHAnsi"/>
          <w:b/>
          <w:bCs/>
          <w:i w:val="0"/>
          <w:color w:val="C00000"/>
          <w:sz w:val="22"/>
        </w:rPr>
      </w:pPr>
      <w:r w:rsidRPr="00160014">
        <w:rPr>
          <w:b/>
          <w:i w:val="0"/>
          <w:color w:val="C00000"/>
          <w:sz w:val="22"/>
        </w:rPr>
        <w:t xml:space="preserve">Table </w:t>
      </w:r>
      <w:r w:rsidRPr="00160014">
        <w:rPr>
          <w:b/>
          <w:i w:val="0"/>
          <w:color w:val="C00000"/>
          <w:sz w:val="22"/>
        </w:rPr>
        <w:fldChar w:fldCharType="begin"/>
      </w:r>
      <w:r w:rsidRPr="00160014">
        <w:rPr>
          <w:b/>
          <w:i w:val="0"/>
          <w:color w:val="C00000"/>
          <w:sz w:val="22"/>
        </w:rPr>
        <w:instrText xml:space="preserve"> SEQ Table \* ARABIC </w:instrText>
      </w:r>
      <w:r w:rsidRPr="00160014">
        <w:rPr>
          <w:b/>
          <w:i w:val="0"/>
          <w:color w:val="C00000"/>
          <w:sz w:val="22"/>
        </w:rPr>
        <w:fldChar w:fldCharType="separate"/>
      </w:r>
      <w:r w:rsidR="006F2E6B">
        <w:rPr>
          <w:b/>
          <w:i w:val="0"/>
          <w:noProof/>
          <w:color w:val="C00000"/>
          <w:sz w:val="22"/>
        </w:rPr>
        <w:t>6</w:t>
      </w:r>
      <w:r w:rsidRPr="00160014">
        <w:rPr>
          <w:b/>
          <w:i w:val="0"/>
          <w:color w:val="C00000"/>
          <w:sz w:val="22"/>
        </w:rPr>
        <w:fldChar w:fldCharType="end"/>
      </w:r>
      <w:r w:rsidR="00592E61" w:rsidRPr="00160014">
        <w:rPr>
          <w:rFonts w:cstheme="minorHAnsi"/>
          <w:bCs/>
          <w:i w:val="0"/>
          <w:color w:val="C00000"/>
          <w:sz w:val="22"/>
        </w:rPr>
        <w:t xml:space="preserve">. </w:t>
      </w:r>
      <w:r w:rsidR="00592E61" w:rsidRPr="00160014">
        <w:rPr>
          <w:i w:val="0"/>
          <w:color w:val="C00000"/>
          <w:sz w:val="22"/>
        </w:rPr>
        <w:t xml:space="preserve">Adjusted OR and 95% CIs for the </w:t>
      </w:r>
      <w:r w:rsidR="00EE7E0E" w:rsidRPr="00160014">
        <w:rPr>
          <w:i w:val="0"/>
          <w:color w:val="C00000"/>
          <w:sz w:val="22"/>
        </w:rPr>
        <w:t>THA/TKA Readmission</w:t>
      </w:r>
      <w:r w:rsidR="00592E61" w:rsidRPr="00160014">
        <w:rPr>
          <w:i w:val="0"/>
          <w:color w:val="C00000"/>
          <w:sz w:val="22"/>
        </w:rPr>
        <w:t xml:space="preserve"> Hierarchical Logistic Regression Model </w:t>
      </w:r>
      <w:r w:rsidR="008F2DDA" w:rsidRPr="00160014">
        <w:rPr>
          <w:i w:val="0"/>
          <w:color w:val="C00000"/>
          <w:sz w:val="22"/>
        </w:rPr>
        <w:t>O</w:t>
      </w:r>
      <w:r w:rsidR="00592E61" w:rsidRPr="00160014">
        <w:rPr>
          <w:i w:val="0"/>
          <w:color w:val="C00000"/>
          <w:sz w:val="22"/>
        </w:rPr>
        <w:t>ver Different Time Periods</w:t>
      </w:r>
      <w:r w:rsidR="00592E61" w:rsidRPr="00160014">
        <w:rPr>
          <w:rFonts w:cstheme="minorHAnsi"/>
          <w:bCs/>
          <w:i w:val="0"/>
          <w:color w:val="C00000"/>
          <w:sz w:val="22"/>
        </w:rPr>
        <w:t xml:space="preserve"> in the </w:t>
      </w:r>
      <w:r w:rsidR="007B13AB" w:rsidRPr="00160014">
        <w:rPr>
          <w:rFonts w:cstheme="minorHAnsi"/>
          <w:b/>
          <w:bCs/>
          <w:i w:val="0"/>
          <w:color w:val="C00000"/>
          <w:sz w:val="22"/>
        </w:rPr>
        <w:t>Testing</w:t>
      </w:r>
      <w:r w:rsidR="00592E61" w:rsidRPr="00160014">
        <w:rPr>
          <w:rFonts w:cstheme="minorHAnsi"/>
          <w:b/>
          <w:bCs/>
          <w:i w:val="0"/>
          <w:color w:val="C00000"/>
          <w:sz w:val="22"/>
        </w:rPr>
        <w:t xml:space="preserve"> Dataset</w:t>
      </w:r>
    </w:p>
    <w:tbl>
      <w:tblPr>
        <w:tblW w:w="5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5"/>
        <w:gridCol w:w="1470"/>
        <w:gridCol w:w="1470"/>
        <w:gridCol w:w="1470"/>
        <w:gridCol w:w="1470"/>
      </w:tblGrid>
      <w:tr w:rsidR="00592E61" w14:paraId="3B3DD4DB" w14:textId="77777777" w:rsidTr="00592E61">
        <w:trPr>
          <w:cantSplit/>
          <w:trHeight w:val="288"/>
          <w:tblHeader/>
          <w:jc w:val="center"/>
        </w:trPr>
        <w:tc>
          <w:tcPr>
            <w:tcW w:w="2116"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4D78804E" w14:textId="77777777" w:rsidR="00592E61" w:rsidRPr="00B960C8" w:rsidRDefault="00592E61">
            <w:pPr>
              <w:keepNext/>
              <w:spacing w:after="0" w:line="256" w:lineRule="auto"/>
              <w:jc w:val="center"/>
              <w:rPr>
                <w:rFonts w:eastAsia="Times New Roman" w:cs="Calibri"/>
                <w:b/>
                <w:color w:val="FF0000"/>
              </w:rPr>
            </w:pPr>
            <w:r w:rsidRPr="00E205B4">
              <w:rPr>
                <w:rFonts w:eastAsia="Times New Roman" w:cs="Calibri"/>
                <w:b/>
                <w:color w:val="C00000"/>
              </w:rPr>
              <w:lastRenderedPageBreak/>
              <w:t>Variable</w:t>
            </w:r>
          </w:p>
        </w:tc>
        <w:tc>
          <w:tcPr>
            <w:tcW w:w="721"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22DF09A7" w14:textId="77777777" w:rsidR="00592E61" w:rsidRPr="00B960C8" w:rsidRDefault="00592E61">
            <w:pPr>
              <w:keepNext/>
              <w:spacing w:after="0" w:line="256" w:lineRule="auto"/>
              <w:jc w:val="center"/>
              <w:rPr>
                <w:rFonts w:eastAsia="Times New Roman" w:cs="Calibri"/>
                <w:b/>
                <w:color w:val="FF0000"/>
              </w:rPr>
            </w:pPr>
            <w:r w:rsidRPr="00E205B4">
              <w:rPr>
                <w:rFonts w:eastAsia="Times New Roman" w:cs="Calibri"/>
                <w:b/>
                <w:color w:val="C00000"/>
              </w:rPr>
              <w:t xml:space="preserve">07/2016-06/2017 </w:t>
            </w:r>
            <w:r w:rsidRPr="00E205B4">
              <w:rPr>
                <w:rFonts w:eastAsia="Times New Roman" w:cs="Calibri"/>
                <w:b/>
                <w:color w:val="C00000"/>
              </w:rPr>
              <w:br/>
              <w:t>OR (95% CI)</w:t>
            </w:r>
          </w:p>
        </w:tc>
        <w:tc>
          <w:tcPr>
            <w:tcW w:w="721"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618212EC" w14:textId="77777777" w:rsidR="00592E61" w:rsidRPr="00B960C8" w:rsidRDefault="00592E61">
            <w:pPr>
              <w:keepNext/>
              <w:spacing w:after="0" w:line="256" w:lineRule="auto"/>
              <w:jc w:val="center"/>
              <w:rPr>
                <w:rFonts w:eastAsia="Times New Roman" w:cs="Calibri"/>
                <w:b/>
                <w:color w:val="FF0000"/>
              </w:rPr>
            </w:pPr>
            <w:r w:rsidRPr="00E205B4">
              <w:rPr>
                <w:rFonts w:eastAsia="Times New Roman" w:cs="Calibri"/>
                <w:b/>
                <w:color w:val="C00000"/>
              </w:rPr>
              <w:t xml:space="preserve">07/2017-06/2018 </w:t>
            </w:r>
            <w:r w:rsidRPr="00E205B4">
              <w:rPr>
                <w:rFonts w:eastAsia="Times New Roman" w:cs="Calibri"/>
                <w:b/>
                <w:color w:val="C00000"/>
              </w:rPr>
              <w:br/>
              <w:t>OR (95% CI)</w:t>
            </w:r>
          </w:p>
        </w:tc>
        <w:tc>
          <w:tcPr>
            <w:tcW w:w="721"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561CDDF8" w14:textId="77777777" w:rsidR="00592E61" w:rsidRPr="00B960C8" w:rsidRDefault="00592E61">
            <w:pPr>
              <w:keepNext/>
              <w:spacing w:after="0" w:line="256" w:lineRule="auto"/>
              <w:jc w:val="center"/>
              <w:rPr>
                <w:rFonts w:eastAsia="Times New Roman" w:cs="Calibri"/>
                <w:b/>
                <w:color w:val="FF0000"/>
              </w:rPr>
            </w:pPr>
            <w:r w:rsidRPr="00E205B4">
              <w:rPr>
                <w:rFonts w:eastAsia="Times New Roman" w:cs="Calibri"/>
                <w:b/>
                <w:color w:val="C00000"/>
              </w:rPr>
              <w:t xml:space="preserve">07/2018-06/2019 </w:t>
            </w:r>
            <w:r w:rsidRPr="00E205B4">
              <w:rPr>
                <w:rFonts w:eastAsia="Times New Roman" w:cs="Calibri"/>
                <w:b/>
                <w:color w:val="C00000"/>
              </w:rPr>
              <w:br/>
              <w:t>OR (95% CI)</w:t>
            </w:r>
          </w:p>
        </w:tc>
        <w:tc>
          <w:tcPr>
            <w:tcW w:w="721"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2C7C6510" w14:textId="77777777" w:rsidR="00592E61" w:rsidRPr="00E205B4" w:rsidRDefault="00592E61">
            <w:pPr>
              <w:spacing w:after="0" w:line="256" w:lineRule="auto"/>
              <w:jc w:val="center"/>
              <w:rPr>
                <w:rFonts w:eastAsia="Times New Roman" w:cs="Calibri"/>
                <w:b/>
                <w:color w:val="C00000"/>
              </w:rPr>
            </w:pPr>
            <w:r w:rsidRPr="00E205B4">
              <w:rPr>
                <w:rFonts w:eastAsia="Times New Roman" w:cs="Calibri"/>
                <w:b/>
                <w:color w:val="C00000"/>
              </w:rPr>
              <w:t>07/2016-06/2019</w:t>
            </w:r>
            <w:r w:rsidRPr="00E205B4">
              <w:rPr>
                <w:rFonts w:eastAsia="Times New Roman" w:cs="Calibri"/>
                <w:b/>
                <w:color w:val="C00000"/>
              </w:rPr>
              <w:br/>
              <w:t>OR (95% CI)</w:t>
            </w:r>
          </w:p>
        </w:tc>
      </w:tr>
      <w:tr w:rsidR="00592E61" w14:paraId="0417BF41"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4E1B9852" w14:textId="77777777" w:rsidR="00592E61" w:rsidRPr="00B960C8" w:rsidRDefault="00592E61">
            <w:pPr>
              <w:keepNext/>
              <w:spacing w:after="0" w:line="256" w:lineRule="auto"/>
              <w:ind w:left="66"/>
              <w:rPr>
                <w:rFonts w:eastAsia="Times New Roman" w:cs="Calibri"/>
                <w:color w:val="FF0000"/>
              </w:rPr>
            </w:pPr>
            <w:r w:rsidRPr="00E205B4">
              <w:rPr>
                <w:rFonts w:eastAsia="Times New Roman" w:cs="Calibri"/>
                <w:color w:val="C00000"/>
              </w:rPr>
              <w:t>Age minus 65 (years above 65, continuous)</w:t>
            </w:r>
          </w:p>
        </w:tc>
        <w:tc>
          <w:tcPr>
            <w:tcW w:w="721" w:type="pct"/>
            <w:tcBorders>
              <w:top w:val="single" w:sz="4" w:space="0" w:color="auto"/>
              <w:left w:val="single" w:sz="4" w:space="0" w:color="auto"/>
              <w:bottom w:val="single" w:sz="4" w:space="0" w:color="auto"/>
              <w:right w:val="single" w:sz="4" w:space="0" w:color="auto"/>
            </w:tcBorders>
            <w:vAlign w:val="center"/>
            <w:hideMark/>
          </w:tcPr>
          <w:p w14:paraId="13AF5590" w14:textId="77777777" w:rsidR="00592E61" w:rsidRPr="00B960C8" w:rsidRDefault="00592E61">
            <w:pPr>
              <w:spacing w:after="0" w:line="256" w:lineRule="auto"/>
              <w:jc w:val="center"/>
              <w:rPr>
                <w:rFonts w:eastAsia="Calibri" w:cs="Times New Roman"/>
                <w:color w:val="FF0000"/>
              </w:rPr>
            </w:pPr>
            <w:r w:rsidRPr="00E205B4">
              <w:rPr>
                <w:color w:val="C00000"/>
              </w:rPr>
              <w:t>1.04</w:t>
            </w:r>
            <w:r w:rsidRPr="00E205B4">
              <w:rPr>
                <w:color w:val="C00000"/>
              </w:rPr>
              <w:br/>
              <w:t>(1.04-1.04)</w:t>
            </w:r>
          </w:p>
        </w:tc>
        <w:tc>
          <w:tcPr>
            <w:tcW w:w="721" w:type="pct"/>
            <w:tcBorders>
              <w:top w:val="single" w:sz="4" w:space="0" w:color="auto"/>
              <w:left w:val="single" w:sz="4" w:space="0" w:color="auto"/>
              <w:bottom w:val="single" w:sz="4" w:space="0" w:color="auto"/>
              <w:right w:val="single" w:sz="4" w:space="0" w:color="auto"/>
            </w:tcBorders>
            <w:vAlign w:val="center"/>
            <w:hideMark/>
          </w:tcPr>
          <w:p w14:paraId="48722BA3" w14:textId="77777777" w:rsidR="00592E61" w:rsidRPr="00B960C8" w:rsidRDefault="00592E61">
            <w:pPr>
              <w:spacing w:after="0" w:line="256" w:lineRule="auto"/>
              <w:jc w:val="center"/>
              <w:rPr>
                <w:rFonts w:eastAsia="Calibri" w:cs="Times New Roman"/>
                <w:color w:val="FF0000"/>
              </w:rPr>
            </w:pPr>
            <w:r w:rsidRPr="00E205B4">
              <w:rPr>
                <w:color w:val="C00000"/>
              </w:rPr>
              <w:t>1.04</w:t>
            </w:r>
            <w:r w:rsidRPr="00E205B4">
              <w:rPr>
                <w:color w:val="C00000"/>
              </w:rPr>
              <w:br/>
              <w:t>(1.04-1.05)</w:t>
            </w:r>
          </w:p>
        </w:tc>
        <w:tc>
          <w:tcPr>
            <w:tcW w:w="721" w:type="pct"/>
            <w:tcBorders>
              <w:top w:val="single" w:sz="4" w:space="0" w:color="auto"/>
              <w:left w:val="single" w:sz="4" w:space="0" w:color="auto"/>
              <w:bottom w:val="single" w:sz="4" w:space="0" w:color="auto"/>
              <w:right w:val="single" w:sz="4" w:space="0" w:color="auto"/>
            </w:tcBorders>
            <w:vAlign w:val="center"/>
            <w:hideMark/>
          </w:tcPr>
          <w:p w14:paraId="5F00DA24" w14:textId="77777777" w:rsidR="00592E61" w:rsidRPr="00B960C8" w:rsidRDefault="00592E61">
            <w:pPr>
              <w:spacing w:after="0" w:line="256" w:lineRule="auto"/>
              <w:jc w:val="center"/>
              <w:rPr>
                <w:rFonts w:eastAsia="Calibri" w:cs="Times New Roman"/>
                <w:color w:val="FF0000"/>
              </w:rPr>
            </w:pPr>
            <w:r w:rsidRPr="00E205B4">
              <w:rPr>
                <w:color w:val="C00000"/>
              </w:rPr>
              <w:t>1.04</w:t>
            </w:r>
            <w:r w:rsidRPr="00E205B4">
              <w:rPr>
                <w:color w:val="C00000"/>
              </w:rPr>
              <w:br/>
              <w:t>(1.04-1.05)</w:t>
            </w:r>
          </w:p>
        </w:tc>
        <w:tc>
          <w:tcPr>
            <w:tcW w:w="721" w:type="pct"/>
            <w:tcBorders>
              <w:top w:val="single" w:sz="4" w:space="0" w:color="auto"/>
              <w:left w:val="single" w:sz="4" w:space="0" w:color="auto"/>
              <w:bottom w:val="single" w:sz="4" w:space="0" w:color="auto"/>
              <w:right w:val="single" w:sz="4" w:space="0" w:color="auto"/>
            </w:tcBorders>
            <w:vAlign w:val="center"/>
            <w:hideMark/>
          </w:tcPr>
          <w:p w14:paraId="3EBD6D52" w14:textId="77777777" w:rsidR="00592E61" w:rsidRPr="00E205B4" w:rsidRDefault="00592E61">
            <w:pPr>
              <w:spacing w:after="0" w:line="256" w:lineRule="auto"/>
              <w:jc w:val="center"/>
              <w:rPr>
                <w:rFonts w:eastAsia="Calibri" w:cs="Times New Roman"/>
                <w:color w:val="C00000"/>
              </w:rPr>
            </w:pPr>
            <w:r w:rsidRPr="00E205B4">
              <w:rPr>
                <w:color w:val="C00000"/>
              </w:rPr>
              <w:t>1.04</w:t>
            </w:r>
            <w:r w:rsidRPr="00E205B4">
              <w:rPr>
                <w:color w:val="C00000"/>
              </w:rPr>
              <w:br/>
              <w:t>(1.04-1.04)</w:t>
            </w:r>
          </w:p>
        </w:tc>
      </w:tr>
      <w:tr w:rsidR="00592E61" w14:paraId="7AE8491D"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E10D9A3" w14:textId="77777777" w:rsidR="00592E61" w:rsidRPr="00B960C8" w:rsidRDefault="00592E61">
            <w:pPr>
              <w:keepNext/>
              <w:spacing w:after="0" w:line="256" w:lineRule="auto"/>
              <w:ind w:left="66"/>
              <w:rPr>
                <w:rFonts w:eastAsia="Times New Roman" w:cs="Calibri"/>
                <w:color w:val="FF0000"/>
              </w:rPr>
            </w:pPr>
            <w:r w:rsidRPr="00E205B4">
              <w:rPr>
                <w:rFonts w:eastAsia="Times New Roman" w:cs="Calibri"/>
                <w:color w:val="C00000"/>
              </w:rPr>
              <w:t>Male</w:t>
            </w:r>
          </w:p>
        </w:tc>
        <w:tc>
          <w:tcPr>
            <w:tcW w:w="721" w:type="pct"/>
            <w:tcBorders>
              <w:top w:val="single" w:sz="4" w:space="0" w:color="auto"/>
              <w:left w:val="single" w:sz="4" w:space="0" w:color="auto"/>
              <w:bottom w:val="single" w:sz="4" w:space="0" w:color="auto"/>
              <w:right w:val="single" w:sz="4" w:space="0" w:color="auto"/>
            </w:tcBorders>
            <w:vAlign w:val="center"/>
            <w:hideMark/>
          </w:tcPr>
          <w:p w14:paraId="0779FE76" w14:textId="77777777" w:rsidR="00592E61" w:rsidRPr="00B960C8" w:rsidRDefault="00592E61">
            <w:pPr>
              <w:spacing w:after="0" w:line="256" w:lineRule="auto"/>
              <w:jc w:val="center"/>
              <w:rPr>
                <w:rFonts w:eastAsia="Calibri" w:cs="Times New Roman"/>
                <w:color w:val="FF0000"/>
              </w:rPr>
            </w:pPr>
            <w:r w:rsidRPr="00E205B4">
              <w:rPr>
                <w:color w:val="C00000"/>
              </w:rPr>
              <w:t>1.10</w:t>
            </w:r>
            <w:r w:rsidRPr="00E205B4">
              <w:rPr>
                <w:color w:val="C00000"/>
              </w:rPr>
              <w:br/>
              <w:t>(1.06-1.14)</w:t>
            </w:r>
          </w:p>
        </w:tc>
        <w:tc>
          <w:tcPr>
            <w:tcW w:w="721" w:type="pct"/>
            <w:tcBorders>
              <w:top w:val="single" w:sz="4" w:space="0" w:color="auto"/>
              <w:left w:val="single" w:sz="4" w:space="0" w:color="auto"/>
              <w:bottom w:val="single" w:sz="4" w:space="0" w:color="auto"/>
              <w:right w:val="single" w:sz="4" w:space="0" w:color="auto"/>
            </w:tcBorders>
            <w:vAlign w:val="center"/>
            <w:hideMark/>
          </w:tcPr>
          <w:p w14:paraId="6E23A9D7" w14:textId="77777777" w:rsidR="00592E61" w:rsidRPr="00B960C8" w:rsidRDefault="00592E61">
            <w:pPr>
              <w:spacing w:after="0" w:line="256" w:lineRule="auto"/>
              <w:jc w:val="center"/>
              <w:rPr>
                <w:rFonts w:eastAsia="Calibri" w:cs="Times New Roman"/>
                <w:color w:val="FF0000"/>
              </w:rPr>
            </w:pPr>
            <w:r w:rsidRPr="00E205B4">
              <w:rPr>
                <w:color w:val="C00000"/>
              </w:rPr>
              <w:t>1.09</w:t>
            </w:r>
            <w:r w:rsidRPr="00E205B4">
              <w:rPr>
                <w:color w:val="C00000"/>
              </w:rPr>
              <w:br/>
              <w:t>(1.05-1.13)</w:t>
            </w:r>
          </w:p>
        </w:tc>
        <w:tc>
          <w:tcPr>
            <w:tcW w:w="721" w:type="pct"/>
            <w:tcBorders>
              <w:top w:val="single" w:sz="4" w:space="0" w:color="auto"/>
              <w:left w:val="single" w:sz="4" w:space="0" w:color="auto"/>
              <w:bottom w:val="single" w:sz="4" w:space="0" w:color="auto"/>
              <w:right w:val="single" w:sz="4" w:space="0" w:color="auto"/>
            </w:tcBorders>
            <w:vAlign w:val="center"/>
            <w:hideMark/>
          </w:tcPr>
          <w:p w14:paraId="6937870D" w14:textId="77777777" w:rsidR="00592E61" w:rsidRPr="00B960C8" w:rsidRDefault="00592E61">
            <w:pPr>
              <w:spacing w:after="0" w:line="256" w:lineRule="auto"/>
              <w:jc w:val="center"/>
              <w:rPr>
                <w:rFonts w:eastAsia="Calibri" w:cs="Times New Roman"/>
                <w:color w:val="FF0000"/>
              </w:rPr>
            </w:pPr>
            <w:r w:rsidRPr="00E205B4">
              <w:rPr>
                <w:color w:val="C00000"/>
              </w:rPr>
              <w:t>1.10</w:t>
            </w:r>
            <w:r w:rsidRPr="00E205B4">
              <w:rPr>
                <w:color w:val="C00000"/>
              </w:rPr>
              <w:br/>
              <w:t>(1.06-1.15)</w:t>
            </w:r>
          </w:p>
        </w:tc>
        <w:tc>
          <w:tcPr>
            <w:tcW w:w="721" w:type="pct"/>
            <w:tcBorders>
              <w:top w:val="single" w:sz="4" w:space="0" w:color="auto"/>
              <w:left w:val="single" w:sz="4" w:space="0" w:color="auto"/>
              <w:bottom w:val="single" w:sz="4" w:space="0" w:color="auto"/>
              <w:right w:val="single" w:sz="4" w:space="0" w:color="auto"/>
            </w:tcBorders>
            <w:vAlign w:val="center"/>
            <w:hideMark/>
          </w:tcPr>
          <w:p w14:paraId="1244F7EF" w14:textId="77777777" w:rsidR="00592E61" w:rsidRPr="00E205B4" w:rsidRDefault="00592E61">
            <w:pPr>
              <w:spacing w:after="0" w:line="256" w:lineRule="auto"/>
              <w:jc w:val="center"/>
              <w:rPr>
                <w:rFonts w:eastAsia="Calibri" w:cs="Times New Roman"/>
                <w:color w:val="C00000"/>
              </w:rPr>
            </w:pPr>
            <w:r w:rsidRPr="00E205B4">
              <w:rPr>
                <w:color w:val="C00000"/>
              </w:rPr>
              <w:t>1.10</w:t>
            </w:r>
            <w:r w:rsidRPr="00E205B4">
              <w:rPr>
                <w:color w:val="C00000"/>
              </w:rPr>
              <w:br/>
              <w:t>(1.07-1.12)</w:t>
            </w:r>
          </w:p>
        </w:tc>
      </w:tr>
      <w:tr w:rsidR="00592E61" w14:paraId="212FF25F"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3C49CDB4" w14:textId="77777777" w:rsidR="00592E61" w:rsidRPr="00B960C8" w:rsidRDefault="00592E61">
            <w:pPr>
              <w:keepNext/>
              <w:spacing w:after="0" w:line="256" w:lineRule="auto"/>
              <w:ind w:left="66"/>
              <w:rPr>
                <w:rFonts w:eastAsia="Times New Roman" w:cs="Calibri"/>
                <w:color w:val="FF0000"/>
              </w:rPr>
            </w:pPr>
            <w:r w:rsidRPr="00E205B4">
              <w:rPr>
                <w:rFonts w:eastAsia="Times New Roman" w:cs="Calibri"/>
                <w:color w:val="C00000"/>
              </w:rPr>
              <w:t>Index admissions with an elective THA procedure</w:t>
            </w:r>
          </w:p>
        </w:tc>
        <w:tc>
          <w:tcPr>
            <w:tcW w:w="721" w:type="pct"/>
            <w:tcBorders>
              <w:top w:val="single" w:sz="4" w:space="0" w:color="auto"/>
              <w:left w:val="single" w:sz="4" w:space="0" w:color="auto"/>
              <w:bottom w:val="single" w:sz="4" w:space="0" w:color="auto"/>
              <w:right w:val="single" w:sz="4" w:space="0" w:color="auto"/>
            </w:tcBorders>
            <w:vAlign w:val="center"/>
            <w:hideMark/>
          </w:tcPr>
          <w:p w14:paraId="76654914" w14:textId="77777777" w:rsidR="00592E61" w:rsidRPr="00B960C8" w:rsidRDefault="00592E61">
            <w:pPr>
              <w:spacing w:after="0" w:line="256" w:lineRule="auto"/>
              <w:jc w:val="center"/>
              <w:rPr>
                <w:rFonts w:eastAsia="Calibri" w:cs="Times New Roman"/>
                <w:color w:val="FF0000"/>
              </w:rPr>
            </w:pPr>
            <w:r w:rsidRPr="00E205B4">
              <w:rPr>
                <w:color w:val="C00000"/>
              </w:rPr>
              <w:t>1.16</w:t>
            </w:r>
            <w:r w:rsidRPr="00E205B4">
              <w:rPr>
                <w:color w:val="C00000"/>
              </w:rPr>
              <w:br/>
              <w:t>(1.12-1.20)</w:t>
            </w:r>
          </w:p>
        </w:tc>
        <w:tc>
          <w:tcPr>
            <w:tcW w:w="721" w:type="pct"/>
            <w:tcBorders>
              <w:top w:val="single" w:sz="4" w:space="0" w:color="auto"/>
              <w:left w:val="single" w:sz="4" w:space="0" w:color="auto"/>
              <w:bottom w:val="single" w:sz="4" w:space="0" w:color="auto"/>
              <w:right w:val="single" w:sz="4" w:space="0" w:color="auto"/>
            </w:tcBorders>
            <w:vAlign w:val="center"/>
            <w:hideMark/>
          </w:tcPr>
          <w:p w14:paraId="26B18A8A" w14:textId="77777777" w:rsidR="00592E61" w:rsidRPr="00B960C8" w:rsidRDefault="00592E61">
            <w:pPr>
              <w:spacing w:after="0" w:line="256" w:lineRule="auto"/>
              <w:jc w:val="center"/>
              <w:rPr>
                <w:rFonts w:eastAsia="Calibri" w:cs="Times New Roman"/>
                <w:color w:val="FF0000"/>
              </w:rPr>
            </w:pPr>
            <w:r w:rsidRPr="00E205B4">
              <w:rPr>
                <w:color w:val="C00000"/>
              </w:rPr>
              <w:t>1.14</w:t>
            </w:r>
            <w:r w:rsidRPr="00E205B4">
              <w:rPr>
                <w:color w:val="C00000"/>
              </w:rPr>
              <w:br/>
              <w:t>(1.10-1.19)</w:t>
            </w:r>
          </w:p>
        </w:tc>
        <w:tc>
          <w:tcPr>
            <w:tcW w:w="721" w:type="pct"/>
            <w:tcBorders>
              <w:top w:val="single" w:sz="4" w:space="0" w:color="auto"/>
              <w:left w:val="single" w:sz="4" w:space="0" w:color="auto"/>
              <w:bottom w:val="single" w:sz="4" w:space="0" w:color="auto"/>
              <w:right w:val="single" w:sz="4" w:space="0" w:color="auto"/>
            </w:tcBorders>
            <w:vAlign w:val="center"/>
            <w:hideMark/>
          </w:tcPr>
          <w:p w14:paraId="041C96CB" w14:textId="77777777" w:rsidR="00592E61" w:rsidRPr="00B960C8" w:rsidRDefault="00592E61">
            <w:pPr>
              <w:spacing w:after="0" w:line="256" w:lineRule="auto"/>
              <w:jc w:val="center"/>
              <w:rPr>
                <w:rFonts w:eastAsia="Calibri" w:cs="Times New Roman"/>
                <w:color w:val="FF0000"/>
              </w:rPr>
            </w:pPr>
            <w:r w:rsidRPr="00E205B4">
              <w:rPr>
                <w:color w:val="C00000"/>
              </w:rPr>
              <w:t>1.08</w:t>
            </w:r>
            <w:r w:rsidRPr="00E205B4">
              <w:rPr>
                <w:color w:val="C00000"/>
              </w:rPr>
              <w:br/>
              <w:t>(1.04-1.13)</w:t>
            </w:r>
          </w:p>
        </w:tc>
        <w:tc>
          <w:tcPr>
            <w:tcW w:w="721" w:type="pct"/>
            <w:tcBorders>
              <w:top w:val="single" w:sz="4" w:space="0" w:color="auto"/>
              <w:left w:val="single" w:sz="4" w:space="0" w:color="auto"/>
              <w:bottom w:val="single" w:sz="4" w:space="0" w:color="auto"/>
              <w:right w:val="single" w:sz="4" w:space="0" w:color="auto"/>
            </w:tcBorders>
            <w:vAlign w:val="center"/>
            <w:hideMark/>
          </w:tcPr>
          <w:p w14:paraId="57D1A83C" w14:textId="77777777" w:rsidR="00592E61" w:rsidRPr="00E205B4" w:rsidRDefault="00592E61">
            <w:pPr>
              <w:spacing w:after="0" w:line="256" w:lineRule="auto"/>
              <w:jc w:val="center"/>
              <w:rPr>
                <w:rFonts w:eastAsia="Calibri" w:cs="Times New Roman"/>
                <w:color w:val="C00000"/>
              </w:rPr>
            </w:pPr>
            <w:r w:rsidRPr="00E205B4">
              <w:rPr>
                <w:color w:val="C00000"/>
              </w:rPr>
              <w:t>1.13</w:t>
            </w:r>
            <w:r w:rsidRPr="00E205B4">
              <w:rPr>
                <w:color w:val="C00000"/>
              </w:rPr>
              <w:br/>
              <w:t>(1.11-1.15)</w:t>
            </w:r>
          </w:p>
        </w:tc>
      </w:tr>
      <w:tr w:rsidR="00592E61" w14:paraId="71B3C98F"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4771E18E" w14:textId="77777777" w:rsidR="00592E61" w:rsidRPr="00B960C8" w:rsidRDefault="00592E61">
            <w:pPr>
              <w:keepNext/>
              <w:spacing w:after="0" w:line="256" w:lineRule="auto"/>
              <w:ind w:left="66"/>
              <w:rPr>
                <w:rFonts w:eastAsia="Times New Roman" w:cs="Calibri"/>
                <w:color w:val="FF0000"/>
              </w:rPr>
            </w:pPr>
            <w:r w:rsidRPr="00E205B4">
              <w:rPr>
                <w:rFonts w:eastAsia="Times New Roman" w:cs="Calibri"/>
                <w:color w:val="C00000"/>
              </w:rPr>
              <w:t>Number of procedures (two vs. one)</w:t>
            </w:r>
          </w:p>
        </w:tc>
        <w:tc>
          <w:tcPr>
            <w:tcW w:w="721" w:type="pct"/>
            <w:tcBorders>
              <w:top w:val="single" w:sz="4" w:space="0" w:color="auto"/>
              <w:left w:val="single" w:sz="4" w:space="0" w:color="auto"/>
              <w:bottom w:val="single" w:sz="4" w:space="0" w:color="auto"/>
              <w:right w:val="single" w:sz="4" w:space="0" w:color="auto"/>
            </w:tcBorders>
            <w:vAlign w:val="center"/>
            <w:hideMark/>
          </w:tcPr>
          <w:p w14:paraId="76E6E384" w14:textId="77777777" w:rsidR="00592E61" w:rsidRPr="00B960C8" w:rsidRDefault="00592E61">
            <w:pPr>
              <w:spacing w:after="0" w:line="256" w:lineRule="auto"/>
              <w:jc w:val="center"/>
              <w:rPr>
                <w:rFonts w:eastAsia="Calibri" w:cs="Times New Roman"/>
                <w:color w:val="FF0000"/>
              </w:rPr>
            </w:pPr>
            <w:r w:rsidRPr="00E205B4">
              <w:rPr>
                <w:color w:val="C00000"/>
              </w:rPr>
              <w:t>1.30</w:t>
            </w:r>
            <w:r w:rsidRPr="00E205B4">
              <w:rPr>
                <w:color w:val="C00000"/>
              </w:rPr>
              <w:br/>
              <w:t>(1.14-1.48)</w:t>
            </w:r>
          </w:p>
        </w:tc>
        <w:tc>
          <w:tcPr>
            <w:tcW w:w="721" w:type="pct"/>
            <w:tcBorders>
              <w:top w:val="single" w:sz="4" w:space="0" w:color="auto"/>
              <w:left w:val="single" w:sz="4" w:space="0" w:color="auto"/>
              <w:bottom w:val="single" w:sz="4" w:space="0" w:color="auto"/>
              <w:right w:val="single" w:sz="4" w:space="0" w:color="auto"/>
            </w:tcBorders>
            <w:vAlign w:val="center"/>
            <w:hideMark/>
          </w:tcPr>
          <w:p w14:paraId="12B3447A" w14:textId="77777777" w:rsidR="00592E61" w:rsidRPr="00B960C8" w:rsidRDefault="00592E61">
            <w:pPr>
              <w:spacing w:after="0" w:line="256" w:lineRule="auto"/>
              <w:jc w:val="center"/>
              <w:rPr>
                <w:rFonts w:eastAsia="Calibri" w:cs="Times New Roman"/>
                <w:color w:val="FF0000"/>
              </w:rPr>
            </w:pPr>
            <w:r w:rsidRPr="00E205B4">
              <w:rPr>
                <w:color w:val="C00000"/>
              </w:rPr>
              <w:t>1.34</w:t>
            </w:r>
            <w:r w:rsidRPr="00E205B4">
              <w:rPr>
                <w:color w:val="C00000"/>
              </w:rPr>
              <w:br/>
              <w:t>(1.17-1.54)</w:t>
            </w:r>
          </w:p>
        </w:tc>
        <w:tc>
          <w:tcPr>
            <w:tcW w:w="721" w:type="pct"/>
            <w:tcBorders>
              <w:top w:val="single" w:sz="4" w:space="0" w:color="auto"/>
              <w:left w:val="single" w:sz="4" w:space="0" w:color="auto"/>
              <w:bottom w:val="single" w:sz="4" w:space="0" w:color="auto"/>
              <w:right w:val="single" w:sz="4" w:space="0" w:color="auto"/>
            </w:tcBorders>
            <w:vAlign w:val="center"/>
            <w:hideMark/>
          </w:tcPr>
          <w:p w14:paraId="0256CA2D" w14:textId="77777777" w:rsidR="00592E61" w:rsidRPr="00B960C8" w:rsidRDefault="00592E61">
            <w:pPr>
              <w:spacing w:after="0" w:line="256" w:lineRule="auto"/>
              <w:jc w:val="center"/>
              <w:rPr>
                <w:rFonts w:eastAsia="Calibri" w:cs="Times New Roman"/>
                <w:color w:val="FF0000"/>
              </w:rPr>
            </w:pPr>
            <w:r w:rsidRPr="00E205B4">
              <w:rPr>
                <w:color w:val="C00000"/>
              </w:rPr>
              <w:t>1.46</w:t>
            </w:r>
            <w:r w:rsidRPr="00E205B4">
              <w:rPr>
                <w:color w:val="C00000"/>
              </w:rPr>
              <w:br/>
              <w:t>(1.27-1.70)</w:t>
            </w:r>
          </w:p>
        </w:tc>
        <w:tc>
          <w:tcPr>
            <w:tcW w:w="721" w:type="pct"/>
            <w:tcBorders>
              <w:top w:val="single" w:sz="4" w:space="0" w:color="auto"/>
              <w:left w:val="single" w:sz="4" w:space="0" w:color="auto"/>
              <w:bottom w:val="single" w:sz="4" w:space="0" w:color="auto"/>
              <w:right w:val="single" w:sz="4" w:space="0" w:color="auto"/>
            </w:tcBorders>
            <w:vAlign w:val="center"/>
            <w:hideMark/>
          </w:tcPr>
          <w:p w14:paraId="5696C942" w14:textId="77777777" w:rsidR="00592E61" w:rsidRPr="00E205B4" w:rsidRDefault="00592E61">
            <w:pPr>
              <w:spacing w:after="0" w:line="256" w:lineRule="auto"/>
              <w:jc w:val="center"/>
              <w:rPr>
                <w:rFonts w:eastAsia="Calibri" w:cs="Times New Roman"/>
                <w:color w:val="C00000"/>
              </w:rPr>
            </w:pPr>
            <w:r w:rsidRPr="00E205B4">
              <w:rPr>
                <w:color w:val="C00000"/>
              </w:rPr>
              <w:t>1.36</w:t>
            </w:r>
            <w:r w:rsidRPr="00E205B4">
              <w:rPr>
                <w:color w:val="C00000"/>
              </w:rPr>
              <w:br/>
              <w:t>(1.26-1.48)</w:t>
            </w:r>
          </w:p>
        </w:tc>
      </w:tr>
      <w:tr w:rsidR="00592E61" w14:paraId="35CE8034"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94868F7" w14:textId="77777777" w:rsidR="00592E61" w:rsidRPr="00B960C8" w:rsidRDefault="00592E61">
            <w:pPr>
              <w:spacing w:after="0" w:line="256" w:lineRule="auto"/>
              <w:ind w:left="66"/>
              <w:rPr>
                <w:rFonts w:eastAsia="Times New Roman" w:cs="Calibri"/>
                <w:color w:val="FF0000"/>
              </w:rPr>
            </w:pPr>
            <w:r w:rsidRPr="00E205B4">
              <w:rPr>
                <w:rFonts w:eastAsia="Times New Roman" w:cs="Calibri"/>
                <w:color w:val="C00000"/>
              </w:rPr>
              <w:t>Other congenital deformity of hip (joint)</w:t>
            </w:r>
          </w:p>
        </w:tc>
        <w:tc>
          <w:tcPr>
            <w:tcW w:w="721" w:type="pct"/>
            <w:tcBorders>
              <w:top w:val="single" w:sz="4" w:space="0" w:color="auto"/>
              <w:left w:val="single" w:sz="4" w:space="0" w:color="auto"/>
              <w:bottom w:val="single" w:sz="4" w:space="0" w:color="auto"/>
              <w:right w:val="single" w:sz="4" w:space="0" w:color="auto"/>
            </w:tcBorders>
            <w:vAlign w:val="center"/>
            <w:hideMark/>
          </w:tcPr>
          <w:p w14:paraId="09EF8282" w14:textId="77777777" w:rsidR="00592E61" w:rsidRPr="00B960C8" w:rsidRDefault="00592E61">
            <w:pPr>
              <w:spacing w:after="0" w:line="256" w:lineRule="auto"/>
              <w:jc w:val="center"/>
              <w:rPr>
                <w:rFonts w:eastAsia="Calibri" w:cs="Times New Roman"/>
                <w:color w:val="FF0000"/>
              </w:rPr>
            </w:pPr>
            <w:r w:rsidRPr="00E205B4">
              <w:rPr>
                <w:color w:val="C00000"/>
              </w:rPr>
              <w:t>1.38</w:t>
            </w:r>
            <w:r w:rsidRPr="00E205B4">
              <w:rPr>
                <w:color w:val="C00000"/>
              </w:rPr>
              <w:br/>
              <w:t>(1.00-1.89)</w:t>
            </w:r>
          </w:p>
        </w:tc>
        <w:tc>
          <w:tcPr>
            <w:tcW w:w="721" w:type="pct"/>
            <w:tcBorders>
              <w:top w:val="single" w:sz="4" w:space="0" w:color="auto"/>
              <w:left w:val="single" w:sz="4" w:space="0" w:color="auto"/>
              <w:bottom w:val="single" w:sz="4" w:space="0" w:color="auto"/>
              <w:right w:val="single" w:sz="4" w:space="0" w:color="auto"/>
            </w:tcBorders>
            <w:vAlign w:val="center"/>
            <w:hideMark/>
          </w:tcPr>
          <w:p w14:paraId="446E603C" w14:textId="77777777" w:rsidR="00592E61" w:rsidRPr="00B960C8" w:rsidRDefault="00592E61">
            <w:pPr>
              <w:spacing w:after="0" w:line="256" w:lineRule="auto"/>
              <w:jc w:val="center"/>
              <w:rPr>
                <w:rFonts w:eastAsia="Calibri" w:cs="Times New Roman"/>
                <w:color w:val="FF0000"/>
              </w:rPr>
            </w:pPr>
            <w:r w:rsidRPr="00E205B4">
              <w:rPr>
                <w:color w:val="C00000"/>
              </w:rPr>
              <w:t>1.10</w:t>
            </w:r>
            <w:r w:rsidRPr="00E205B4">
              <w:rPr>
                <w:color w:val="C00000"/>
              </w:rPr>
              <w:br/>
              <w:t>(0.78-1.55)</w:t>
            </w:r>
          </w:p>
        </w:tc>
        <w:tc>
          <w:tcPr>
            <w:tcW w:w="721" w:type="pct"/>
            <w:tcBorders>
              <w:top w:val="single" w:sz="4" w:space="0" w:color="auto"/>
              <w:left w:val="single" w:sz="4" w:space="0" w:color="auto"/>
              <w:bottom w:val="single" w:sz="4" w:space="0" w:color="auto"/>
              <w:right w:val="single" w:sz="4" w:space="0" w:color="auto"/>
            </w:tcBorders>
            <w:vAlign w:val="center"/>
            <w:hideMark/>
          </w:tcPr>
          <w:p w14:paraId="596EC1AD" w14:textId="77777777" w:rsidR="00592E61" w:rsidRPr="00B960C8" w:rsidRDefault="00592E61">
            <w:pPr>
              <w:spacing w:after="0" w:line="256" w:lineRule="auto"/>
              <w:jc w:val="center"/>
              <w:rPr>
                <w:rFonts w:eastAsia="Calibri" w:cs="Times New Roman"/>
                <w:color w:val="FF0000"/>
              </w:rPr>
            </w:pPr>
            <w:r w:rsidRPr="00E205B4">
              <w:rPr>
                <w:color w:val="C00000"/>
              </w:rPr>
              <w:t>0.97</w:t>
            </w:r>
            <w:r w:rsidRPr="00E205B4">
              <w:rPr>
                <w:color w:val="C00000"/>
              </w:rPr>
              <w:br/>
              <w:t>(0.67-1.40)</w:t>
            </w:r>
          </w:p>
        </w:tc>
        <w:tc>
          <w:tcPr>
            <w:tcW w:w="721" w:type="pct"/>
            <w:tcBorders>
              <w:top w:val="single" w:sz="4" w:space="0" w:color="auto"/>
              <w:left w:val="single" w:sz="4" w:space="0" w:color="auto"/>
              <w:bottom w:val="single" w:sz="4" w:space="0" w:color="auto"/>
              <w:right w:val="single" w:sz="4" w:space="0" w:color="auto"/>
            </w:tcBorders>
            <w:vAlign w:val="center"/>
            <w:hideMark/>
          </w:tcPr>
          <w:p w14:paraId="0908E890" w14:textId="77777777" w:rsidR="00592E61" w:rsidRPr="00E205B4" w:rsidRDefault="00592E61">
            <w:pPr>
              <w:spacing w:after="0" w:line="256" w:lineRule="auto"/>
              <w:jc w:val="center"/>
              <w:rPr>
                <w:rFonts w:eastAsia="Calibri" w:cs="Times New Roman"/>
                <w:color w:val="C00000"/>
              </w:rPr>
            </w:pPr>
            <w:r w:rsidRPr="00E205B4">
              <w:rPr>
                <w:color w:val="C00000"/>
              </w:rPr>
              <w:t>1.15</w:t>
            </w:r>
            <w:r w:rsidRPr="00E205B4">
              <w:rPr>
                <w:color w:val="C00000"/>
              </w:rPr>
              <w:br/>
              <w:t>(0.94-1.40)</w:t>
            </w:r>
          </w:p>
        </w:tc>
      </w:tr>
      <w:tr w:rsidR="00592E61" w14:paraId="6CE912D8"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4E1924F4" w14:textId="77777777" w:rsidR="00592E61" w:rsidRPr="00B960C8" w:rsidRDefault="00592E61">
            <w:pPr>
              <w:spacing w:after="0" w:line="256" w:lineRule="auto"/>
              <w:ind w:left="66"/>
              <w:rPr>
                <w:rFonts w:eastAsia="Times New Roman" w:cs="Calibri"/>
                <w:color w:val="FF0000"/>
              </w:rPr>
            </w:pPr>
            <w:r w:rsidRPr="00E205B4">
              <w:rPr>
                <w:rFonts w:eastAsia="Times New Roman" w:cs="Calibri"/>
                <w:color w:val="C00000"/>
              </w:rPr>
              <w:t>Post traumatic osteoarthritis</w:t>
            </w:r>
          </w:p>
        </w:tc>
        <w:tc>
          <w:tcPr>
            <w:tcW w:w="721" w:type="pct"/>
            <w:tcBorders>
              <w:top w:val="single" w:sz="4" w:space="0" w:color="auto"/>
              <w:left w:val="single" w:sz="4" w:space="0" w:color="auto"/>
              <w:bottom w:val="single" w:sz="4" w:space="0" w:color="auto"/>
              <w:right w:val="single" w:sz="4" w:space="0" w:color="auto"/>
            </w:tcBorders>
            <w:vAlign w:val="center"/>
            <w:hideMark/>
          </w:tcPr>
          <w:p w14:paraId="35AB8B38" w14:textId="77777777" w:rsidR="00592E61" w:rsidRPr="00B960C8" w:rsidRDefault="00592E61">
            <w:pPr>
              <w:spacing w:after="0" w:line="256" w:lineRule="auto"/>
              <w:jc w:val="center"/>
              <w:rPr>
                <w:rFonts w:eastAsia="Calibri" w:cs="Times New Roman"/>
                <w:color w:val="FF0000"/>
              </w:rPr>
            </w:pPr>
            <w:r w:rsidRPr="00E205B4">
              <w:rPr>
                <w:color w:val="C00000"/>
              </w:rPr>
              <w:t>1.07</w:t>
            </w:r>
            <w:r w:rsidRPr="00E205B4">
              <w:rPr>
                <w:color w:val="C00000"/>
              </w:rPr>
              <w:br/>
              <w:t>(0.94-1.22)</w:t>
            </w:r>
          </w:p>
        </w:tc>
        <w:tc>
          <w:tcPr>
            <w:tcW w:w="721" w:type="pct"/>
            <w:tcBorders>
              <w:top w:val="single" w:sz="4" w:space="0" w:color="auto"/>
              <w:left w:val="single" w:sz="4" w:space="0" w:color="auto"/>
              <w:bottom w:val="single" w:sz="4" w:space="0" w:color="auto"/>
              <w:right w:val="single" w:sz="4" w:space="0" w:color="auto"/>
            </w:tcBorders>
            <w:vAlign w:val="center"/>
            <w:hideMark/>
          </w:tcPr>
          <w:p w14:paraId="1108B060" w14:textId="77777777" w:rsidR="00592E61" w:rsidRPr="00B960C8" w:rsidRDefault="00592E61">
            <w:pPr>
              <w:spacing w:after="0" w:line="256" w:lineRule="auto"/>
              <w:jc w:val="center"/>
              <w:rPr>
                <w:rFonts w:eastAsia="Calibri" w:cs="Times New Roman"/>
                <w:color w:val="FF0000"/>
              </w:rPr>
            </w:pPr>
            <w:r w:rsidRPr="00E205B4">
              <w:rPr>
                <w:color w:val="C00000"/>
              </w:rPr>
              <w:t>1.22</w:t>
            </w:r>
            <w:r w:rsidRPr="00E205B4">
              <w:rPr>
                <w:color w:val="C00000"/>
              </w:rPr>
              <w:br/>
              <w:t>(1.06-1.40)</w:t>
            </w:r>
          </w:p>
        </w:tc>
        <w:tc>
          <w:tcPr>
            <w:tcW w:w="721" w:type="pct"/>
            <w:tcBorders>
              <w:top w:val="single" w:sz="4" w:space="0" w:color="auto"/>
              <w:left w:val="single" w:sz="4" w:space="0" w:color="auto"/>
              <w:bottom w:val="single" w:sz="4" w:space="0" w:color="auto"/>
              <w:right w:val="single" w:sz="4" w:space="0" w:color="auto"/>
            </w:tcBorders>
            <w:vAlign w:val="center"/>
            <w:hideMark/>
          </w:tcPr>
          <w:p w14:paraId="1562FBDD" w14:textId="77777777" w:rsidR="00592E61" w:rsidRPr="00B960C8" w:rsidRDefault="00592E61">
            <w:pPr>
              <w:spacing w:after="0" w:line="256" w:lineRule="auto"/>
              <w:jc w:val="center"/>
              <w:rPr>
                <w:rFonts w:eastAsia="Calibri" w:cs="Times New Roman"/>
                <w:color w:val="FF0000"/>
              </w:rPr>
            </w:pPr>
            <w:r w:rsidRPr="00E205B4">
              <w:rPr>
                <w:color w:val="C00000"/>
              </w:rPr>
              <w:t>1.01</w:t>
            </w:r>
            <w:r w:rsidRPr="00E205B4">
              <w:rPr>
                <w:color w:val="C00000"/>
              </w:rPr>
              <w:br/>
              <w:t>(0.86-1.19)</w:t>
            </w:r>
          </w:p>
        </w:tc>
        <w:tc>
          <w:tcPr>
            <w:tcW w:w="721" w:type="pct"/>
            <w:tcBorders>
              <w:top w:val="single" w:sz="4" w:space="0" w:color="auto"/>
              <w:left w:val="single" w:sz="4" w:space="0" w:color="auto"/>
              <w:bottom w:val="single" w:sz="4" w:space="0" w:color="auto"/>
              <w:right w:val="single" w:sz="4" w:space="0" w:color="auto"/>
            </w:tcBorders>
            <w:vAlign w:val="center"/>
            <w:hideMark/>
          </w:tcPr>
          <w:p w14:paraId="11650E7A" w14:textId="77777777" w:rsidR="00592E61" w:rsidRPr="00E205B4" w:rsidRDefault="00592E61">
            <w:pPr>
              <w:spacing w:after="0" w:line="256" w:lineRule="auto"/>
              <w:jc w:val="center"/>
              <w:rPr>
                <w:rFonts w:eastAsia="Calibri" w:cs="Times New Roman"/>
                <w:color w:val="C00000"/>
              </w:rPr>
            </w:pPr>
            <w:r w:rsidRPr="00E205B4">
              <w:rPr>
                <w:color w:val="C00000"/>
              </w:rPr>
              <w:t>1.10</w:t>
            </w:r>
            <w:r w:rsidRPr="00E205B4">
              <w:rPr>
                <w:color w:val="C00000"/>
              </w:rPr>
              <w:br/>
              <w:t>(1.02-1.20)</w:t>
            </w:r>
          </w:p>
        </w:tc>
      </w:tr>
      <w:tr w:rsidR="00592E61" w14:paraId="372CE747"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4484CEF8"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Severe infection; other infectious diseases (CC 1, 3-7)</w:t>
            </w:r>
          </w:p>
        </w:tc>
        <w:tc>
          <w:tcPr>
            <w:tcW w:w="721" w:type="pct"/>
            <w:tcBorders>
              <w:top w:val="single" w:sz="4" w:space="0" w:color="auto"/>
              <w:left w:val="single" w:sz="4" w:space="0" w:color="auto"/>
              <w:bottom w:val="single" w:sz="4" w:space="0" w:color="auto"/>
              <w:right w:val="single" w:sz="4" w:space="0" w:color="auto"/>
            </w:tcBorders>
            <w:vAlign w:val="center"/>
            <w:hideMark/>
          </w:tcPr>
          <w:p w14:paraId="3604EC84" w14:textId="77777777" w:rsidR="00592E61" w:rsidRPr="00B960C8" w:rsidRDefault="00592E61">
            <w:pPr>
              <w:spacing w:after="0" w:line="256" w:lineRule="auto"/>
              <w:jc w:val="center"/>
              <w:rPr>
                <w:rFonts w:eastAsia="Calibri" w:cs="Times New Roman"/>
                <w:color w:val="FF0000"/>
              </w:rPr>
            </w:pPr>
            <w:r w:rsidRPr="00E205B4">
              <w:rPr>
                <w:color w:val="C00000"/>
              </w:rPr>
              <w:t>1.10</w:t>
            </w:r>
            <w:r w:rsidRPr="00E205B4">
              <w:rPr>
                <w:color w:val="C00000"/>
              </w:rPr>
              <w:br/>
              <w:t>(1.05-1.14)</w:t>
            </w:r>
          </w:p>
        </w:tc>
        <w:tc>
          <w:tcPr>
            <w:tcW w:w="721" w:type="pct"/>
            <w:tcBorders>
              <w:top w:val="single" w:sz="4" w:space="0" w:color="auto"/>
              <w:left w:val="single" w:sz="4" w:space="0" w:color="auto"/>
              <w:bottom w:val="single" w:sz="4" w:space="0" w:color="auto"/>
              <w:right w:val="single" w:sz="4" w:space="0" w:color="auto"/>
            </w:tcBorders>
            <w:vAlign w:val="center"/>
            <w:hideMark/>
          </w:tcPr>
          <w:p w14:paraId="75F2576C" w14:textId="77777777" w:rsidR="00592E61" w:rsidRPr="00B960C8" w:rsidRDefault="00592E61">
            <w:pPr>
              <w:spacing w:after="0" w:line="256" w:lineRule="auto"/>
              <w:jc w:val="center"/>
              <w:rPr>
                <w:rFonts w:eastAsia="Calibri" w:cs="Times New Roman"/>
                <w:color w:val="FF0000"/>
              </w:rPr>
            </w:pPr>
            <w:r w:rsidRPr="00E205B4">
              <w:rPr>
                <w:color w:val="C00000"/>
              </w:rPr>
              <w:t>1.07</w:t>
            </w:r>
            <w:r w:rsidRPr="00E205B4">
              <w:rPr>
                <w:color w:val="C00000"/>
              </w:rPr>
              <w:br/>
              <w:t>(1.02-1.11)</w:t>
            </w:r>
          </w:p>
        </w:tc>
        <w:tc>
          <w:tcPr>
            <w:tcW w:w="721" w:type="pct"/>
            <w:tcBorders>
              <w:top w:val="single" w:sz="4" w:space="0" w:color="auto"/>
              <w:left w:val="single" w:sz="4" w:space="0" w:color="auto"/>
              <w:bottom w:val="single" w:sz="4" w:space="0" w:color="auto"/>
              <w:right w:val="single" w:sz="4" w:space="0" w:color="auto"/>
            </w:tcBorders>
            <w:vAlign w:val="center"/>
            <w:hideMark/>
          </w:tcPr>
          <w:p w14:paraId="6D10B169" w14:textId="77777777" w:rsidR="00592E61" w:rsidRPr="00B960C8" w:rsidRDefault="00592E61">
            <w:pPr>
              <w:spacing w:after="0" w:line="256" w:lineRule="auto"/>
              <w:jc w:val="center"/>
              <w:rPr>
                <w:rFonts w:eastAsia="Calibri" w:cs="Times New Roman"/>
                <w:color w:val="FF0000"/>
              </w:rPr>
            </w:pPr>
            <w:r w:rsidRPr="00E205B4">
              <w:rPr>
                <w:color w:val="C00000"/>
              </w:rPr>
              <w:t>1.07</w:t>
            </w:r>
            <w:r w:rsidRPr="00E205B4">
              <w:rPr>
                <w:color w:val="C00000"/>
              </w:rPr>
              <w:br/>
              <w:t>(1.02-1.12)</w:t>
            </w:r>
          </w:p>
        </w:tc>
        <w:tc>
          <w:tcPr>
            <w:tcW w:w="721" w:type="pct"/>
            <w:tcBorders>
              <w:top w:val="single" w:sz="4" w:space="0" w:color="auto"/>
              <w:left w:val="single" w:sz="4" w:space="0" w:color="auto"/>
              <w:bottom w:val="single" w:sz="4" w:space="0" w:color="auto"/>
              <w:right w:val="single" w:sz="4" w:space="0" w:color="auto"/>
            </w:tcBorders>
            <w:vAlign w:val="center"/>
            <w:hideMark/>
          </w:tcPr>
          <w:p w14:paraId="3472E7A1" w14:textId="77777777" w:rsidR="00592E61" w:rsidRPr="00E205B4" w:rsidRDefault="00592E61">
            <w:pPr>
              <w:spacing w:after="0" w:line="256" w:lineRule="auto"/>
              <w:jc w:val="center"/>
              <w:rPr>
                <w:rFonts w:eastAsia="Calibri" w:cs="Times New Roman"/>
                <w:color w:val="C00000"/>
              </w:rPr>
            </w:pPr>
            <w:r w:rsidRPr="00E205B4">
              <w:rPr>
                <w:color w:val="C00000"/>
              </w:rPr>
              <w:t>1.08</w:t>
            </w:r>
            <w:r w:rsidRPr="00E205B4">
              <w:rPr>
                <w:color w:val="C00000"/>
              </w:rPr>
              <w:br/>
              <w:t>(1.05-1.11)</w:t>
            </w:r>
          </w:p>
        </w:tc>
      </w:tr>
      <w:tr w:rsidR="00592E61" w14:paraId="1E493178"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50B155D3"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Metastatic cancer and acute leukemia (CC 8)</w:t>
            </w:r>
          </w:p>
        </w:tc>
        <w:tc>
          <w:tcPr>
            <w:tcW w:w="721" w:type="pct"/>
            <w:tcBorders>
              <w:top w:val="single" w:sz="4" w:space="0" w:color="auto"/>
              <w:left w:val="single" w:sz="4" w:space="0" w:color="auto"/>
              <w:bottom w:val="single" w:sz="4" w:space="0" w:color="auto"/>
              <w:right w:val="single" w:sz="4" w:space="0" w:color="auto"/>
            </w:tcBorders>
            <w:vAlign w:val="center"/>
            <w:hideMark/>
          </w:tcPr>
          <w:p w14:paraId="3E3660FC" w14:textId="77777777" w:rsidR="00592E61" w:rsidRPr="00B960C8" w:rsidRDefault="00592E61">
            <w:pPr>
              <w:spacing w:after="0" w:line="256" w:lineRule="auto"/>
              <w:jc w:val="center"/>
              <w:rPr>
                <w:rFonts w:eastAsia="Calibri" w:cs="Times New Roman"/>
                <w:color w:val="FF0000"/>
              </w:rPr>
            </w:pPr>
            <w:r w:rsidRPr="00E205B4">
              <w:rPr>
                <w:color w:val="C00000"/>
              </w:rPr>
              <w:t>1.03</w:t>
            </w:r>
            <w:r w:rsidRPr="00E205B4">
              <w:rPr>
                <w:color w:val="C00000"/>
              </w:rPr>
              <w:br/>
              <w:t>(0.85-1.26)</w:t>
            </w:r>
          </w:p>
        </w:tc>
        <w:tc>
          <w:tcPr>
            <w:tcW w:w="721" w:type="pct"/>
            <w:tcBorders>
              <w:top w:val="single" w:sz="4" w:space="0" w:color="auto"/>
              <w:left w:val="single" w:sz="4" w:space="0" w:color="auto"/>
              <w:bottom w:val="single" w:sz="4" w:space="0" w:color="auto"/>
              <w:right w:val="single" w:sz="4" w:space="0" w:color="auto"/>
            </w:tcBorders>
            <w:vAlign w:val="center"/>
            <w:hideMark/>
          </w:tcPr>
          <w:p w14:paraId="47337B83" w14:textId="77777777" w:rsidR="00592E61" w:rsidRPr="00B960C8" w:rsidRDefault="00592E61">
            <w:pPr>
              <w:spacing w:after="0" w:line="256" w:lineRule="auto"/>
              <w:jc w:val="center"/>
              <w:rPr>
                <w:rFonts w:eastAsia="Calibri" w:cs="Times New Roman"/>
                <w:color w:val="FF0000"/>
              </w:rPr>
            </w:pPr>
            <w:r w:rsidRPr="00E205B4">
              <w:rPr>
                <w:color w:val="C00000"/>
              </w:rPr>
              <w:t>1.21</w:t>
            </w:r>
            <w:r w:rsidRPr="00E205B4">
              <w:rPr>
                <w:color w:val="C00000"/>
              </w:rPr>
              <w:br/>
              <w:t>(1.00-1.46)</w:t>
            </w:r>
          </w:p>
        </w:tc>
        <w:tc>
          <w:tcPr>
            <w:tcW w:w="721" w:type="pct"/>
            <w:tcBorders>
              <w:top w:val="single" w:sz="4" w:space="0" w:color="auto"/>
              <w:left w:val="single" w:sz="4" w:space="0" w:color="auto"/>
              <w:bottom w:val="single" w:sz="4" w:space="0" w:color="auto"/>
              <w:right w:val="single" w:sz="4" w:space="0" w:color="auto"/>
            </w:tcBorders>
            <w:vAlign w:val="center"/>
            <w:hideMark/>
          </w:tcPr>
          <w:p w14:paraId="1D1633DF" w14:textId="77777777" w:rsidR="00592E61" w:rsidRPr="00B960C8" w:rsidRDefault="00592E61">
            <w:pPr>
              <w:spacing w:after="0" w:line="256" w:lineRule="auto"/>
              <w:jc w:val="center"/>
              <w:rPr>
                <w:rFonts w:eastAsia="Calibri" w:cs="Times New Roman"/>
                <w:color w:val="FF0000"/>
              </w:rPr>
            </w:pPr>
            <w:r w:rsidRPr="00E205B4">
              <w:rPr>
                <w:color w:val="C00000"/>
              </w:rPr>
              <w:t>1.08</w:t>
            </w:r>
            <w:r w:rsidRPr="00E205B4">
              <w:rPr>
                <w:color w:val="C00000"/>
              </w:rPr>
              <w:br/>
              <w:t>(0.89-1.31)</w:t>
            </w:r>
          </w:p>
        </w:tc>
        <w:tc>
          <w:tcPr>
            <w:tcW w:w="721" w:type="pct"/>
            <w:tcBorders>
              <w:top w:val="single" w:sz="4" w:space="0" w:color="auto"/>
              <w:left w:val="single" w:sz="4" w:space="0" w:color="auto"/>
              <w:bottom w:val="single" w:sz="4" w:space="0" w:color="auto"/>
              <w:right w:val="single" w:sz="4" w:space="0" w:color="auto"/>
            </w:tcBorders>
            <w:vAlign w:val="center"/>
            <w:hideMark/>
          </w:tcPr>
          <w:p w14:paraId="77D0BF56" w14:textId="77777777" w:rsidR="00592E61" w:rsidRPr="00E205B4" w:rsidRDefault="00592E61">
            <w:pPr>
              <w:spacing w:after="0" w:line="256" w:lineRule="auto"/>
              <w:jc w:val="center"/>
              <w:rPr>
                <w:rFonts w:eastAsia="Calibri" w:cs="Times New Roman"/>
                <w:color w:val="C00000"/>
              </w:rPr>
            </w:pPr>
            <w:r w:rsidRPr="00E205B4">
              <w:rPr>
                <w:color w:val="C00000"/>
              </w:rPr>
              <w:t>1.11</w:t>
            </w:r>
            <w:r w:rsidRPr="00E205B4">
              <w:rPr>
                <w:color w:val="C00000"/>
              </w:rPr>
              <w:br/>
              <w:t>(0.99-1.24)</w:t>
            </w:r>
          </w:p>
        </w:tc>
      </w:tr>
      <w:tr w:rsidR="00592E61" w14:paraId="4BBE4171"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78FB795E"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Cancer (CC 9-14)</w:t>
            </w:r>
          </w:p>
        </w:tc>
        <w:tc>
          <w:tcPr>
            <w:tcW w:w="721" w:type="pct"/>
            <w:tcBorders>
              <w:top w:val="single" w:sz="4" w:space="0" w:color="auto"/>
              <w:left w:val="single" w:sz="4" w:space="0" w:color="auto"/>
              <w:bottom w:val="single" w:sz="4" w:space="0" w:color="auto"/>
              <w:right w:val="single" w:sz="4" w:space="0" w:color="auto"/>
            </w:tcBorders>
            <w:vAlign w:val="center"/>
            <w:hideMark/>
          </w:tcPr>
          <w:p w14:paraId="626C14DD" w14:textId="77777777" w:rsidR="00592E61" w:rsidRPr="00B960C8" w:rsidRDefault="00592E61">
            <w:pPr>
              <w:spacing w:after="0" w:line="256" w:lineRule="auto"/>
              <w:jc w:val="center"/>
              <w:rPr>
                <w:rFonts w:eastAsia="Calibri" w:cs="Times New Roman"/>
                <w:color w:val="FF0000"/>
              </w:rPr>
            </w:pPr>
            <w:r w:rsidRPr="00E205B4">
              <w:rPr>
                <w:color w:val="C00000"/>
              </w:rPr>
              <w:t>0.96</w:t>
            </w:r>
            <w:r w:rsidRPr="00E205B4">
              <w:rPr>
                <w:color w:val="C00000"/>
              </w:rPr>
              <w:br/>
              <w:t>(0.92-1.01)</w:t>
            </w:r>
          </w:p>
        </w:tc>
        <w:tc>
          <w:tcPr>
            <w:tcW w:w="721" w:type="pct"/>
            <w:tcBorders>
              <w:top w:val="single" w:sz="4" w:space="0" w:color="auto"/>
              <w:left w:val="single" w:sz="4" w:space="0" w:color="auto"/>
              <w:bottom w:val="single" w:sz="4" w:space="0" w:color="auto"/>
              <w:right w:val="single" w:sz="4" w:space="0" w:color="auto"/>
            </w:tcBorders>
            <w:vAlign w:val="center"/>
            <w:hideMark/>
          </w:tcPr>
          <w:p w14:paraId="67695D17" w14:textId="77777777" w:rsidR="00592E61" w:rsidRPr="00B960C8" w:rsidRDefault="00592E61">
            <w:pPr>
              <w:spacing w:after="0" w:line="256" w:lineRule="auto"/>
              <w:jc w:val="center"/>
              <w:rPr>
                <w:rFonts w:eastAsia="Calibri" w:cs="Times New Roman"/>
                <w:color w:val="FF0000"/>
              </w:rPr>
            </w:pPr>
            <w:r w:rsidRPr="00E205B4">
              <w:rPr>
                <w:color w:val="C00000"/>
              </w:rPr>
              <w:t>0.99</w:t>
            </w:r>
            <w:r w:rsidRPr="00E205B4">
              <w:rPr>
                <w:color w:val="C00000"/>
              </w:rPr>
              <w:br/>
              <w:t>(0.95-1.04)</w:t>
            </w:r>
          </w:p>
        </w:tc>
        <w:tc>
          <w:tcPr>
            <w:tcW w:w="721" w:type="pct"/>
            <w:tcBorders>
              <w:top w:val="single" w:sz="4" w:space="0" w:color="auto"/>
              <w:left w:val="single" w:sz="4" w:space="0" w:color="auto"/>
              <w:bottom w:val="single" w:sz="4" w:space="0" w:color="auto"/>
              <w:right w:val="single" w:sz="4" w:space="0" w:color="auto"/>
            </w:tcBorders>
            <w:vAlign w:val="center"/>
            <w:hideMark/>
          </w:tcPr>
          <w:p w14:paraId="50253065" w14:textId="77777777" w:rsidR="00592E61" w:rsidRPr="00B960C8" w:rsidRDefault="00592E61">
            <w:pPr>
              <w:spacing w:after="0" w:line="256" w:lineRule="auto"/>
              <w:jc w:val="center"/>
              <w:rPr>
                <w:rFonts w:eastAsia="Calibri" w:cs="Times New Roman"/>
                <w:color w:val="FF0000"/>
              </w:rPr>
            </w:pPr>
            <w:r w:rsidRPr="00E205B4">
              <w:rPr>
                <w:color w:val="C00000"/>
              </w:rPr>
              <w:t>0.95</w:t>
            </w:r>
            <w:r w:rsidRPr="00E205B4">
              <w:rPr>
                <w:color w:val="C00000"/>
              </w:rPr>
              <w:br/>
              <w:t>(0.90-0.99)</w:t>
            </w:r>
          </w:p>
        </w:tc>
        <w:tc>
          <w:tcPr>
            <w:tcW w:w="721" w:type="pct"/>
            <w:tcBorders>
              <w:top w:val="single" w:sz="4" w:space="0" w:color="auto"/>
              <w:left w:val="single" w:sz="4" w:space="0" w:color="auto"/>
              <w:bottom w:val="single" w:sz="4" w:space="0" w:color="auto"/>
              <w:right w:val="single" w:sz="4" w:space="0" w:color="auto"/>
            </w:tcBorders>
            <w:vAlign w:val="center"/>
            <w:hideMark/>
          </w:tcPr>
          <w:p w14:paraId="3DBE61E4" w14:textId="77777777" w:rsidR="00592E61" w:rsidRPr="00E205B4" w:rsidRDefault="00592E61">
            <w:pPr>
              <w:spacing w:after="0" w:line="256" w:lineRule="auto"/>
              <w:jc w:val="center"/>
              <w:rPr>
                <w:rFonts w:eastAsia="Calibri" w:cs="Times New Roman"/>
                <w:color w:val="C00000"/>
              </w:rPr>
            </w:pPr>
            <w:r w:rsidRPr="00E205B4">
              <w:rPr>
                <w:color w:val="C00000"/>
              </w:rPr>
              <w:t>0.97</w:t>
            </w:r>
            <w:r w:rsidRPr="00E205B4">
              <w:rPr>
                <w:color w:val="C00000"/>
              </w:rPr>
              <w:br/>
              <w:t>(0.94-0.99)</w:t>
            </w:r>
          </w:p>
        </w:tc>
      </w:tr>
      <w:tr w:rsidR="00592E61" w14:paraId="175B217D"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5CE16F2E"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Diabetes mellitus (DM) or DM complications (CC 17-19, 122-123)</w:t>
            </w:r>
          </w:p>
        </w:tc>
        <w:tc>
          <w:tcPr>
            <w:tcW w:w="721" w:type="pct"/>
            <w:tcBorders>
              <w:top w:val="single" w:sz="4" w:space="0" w:color="auto"/>
              <w:left w:val="single" w:sz="4" w:space="0" w:color="auto"/>
              <w:bottom w:val="single" w:sz="4" w:space="0" w:color="auto"/>
              <w:right w:val="single" w:sz="4" w:space="0" w:color="auto"/>
            </w:tcBorders>
            <w:vAlign w:val="center"/>
            <w:hideMark/>
          </w:tcPr>
          <w:p w14:paraId="4F731D77" w14:textId="77777777" w:rsidR="00592E61" w:rsidRPr="00B960C8" w:rsidRDefault="00592E61">
            <w:pPr>
              <w:spacing w:after="0" w:line="256" w:lineRule="auto"/>
              <w:jc w:val="center"/>
              <w:rPr>
                <w:rFonts w:eastAsia="Calibri" w:cs="Times New Roman"/>
                <w:color w:val="FF0000"/>
              </w:rPr>
            </w:pPr>
            <w:r w:rsidRPr="00E205B4">
              <w:rPr>
                <w:color w:val="C00000"/>
              </w:rPr>
              <w:t>1.11</w:t>
            </w:r>
            <w:r w:rsidRPr="00E205B4">
              <w:rPr>
                <w:color w:val="C00000"/>
              </w:rPr>
              <w:br/>
              <w:t>(1.07-1.15)</w:t>
            </w:r>
          </w:p>
        </w:tc>
        <w:tc>
          <w:tcPr>
            <w:tcW w:w="721" w:type="pct"/>
            <w:tcBorders>
              <w:top w:val="single" w:sz="4" w:space="0" w:color="auto"/>
              <w:left w:val="single" w:sz="4" w:space="0" w:color="auto"/>
              <w:bottom w:val="single" w:sz="4" w:space="0" w:color="auto"/>
              <w:right w:val="single" w:sz="4" w:space="0" w:color="auto"/>
            </w:tcBorders>
            <w:vAlign w:val="center"/>
            <w:hideMark/>
          </w:tcPr>
          <w:p w14:paraId="0E3E2B56" w14:textId="77777777" w:rsidR="00592E61" w:rsidRPr="00B960C8" w:rsidRDefault="00592E61">
            <w:pPr>
              <w:spacing w:after="0" w:line="256" w:lineRule="auto"/>
              <w:jc w:val="center"/>
              <w:rPr>
                <w:rFonts w:eastAsia="Calibri" w:cs="Times New Roman"/>
                <w:color w:val="FF0000"/>
              </w:rPr>
            </w:pPr>
            <w:r w:rsidRPr="00E205B4">
              <w:rPr>
                <w:color w:val="C00000"/>
              </w:rPr>
              <w:t>1.10</w:t>
            </w:r>
            <w:r w:rsidRPr="00E205B4">
              <w:rPr>
                <w:color w:val="C00000"/>
              </w:rPr>
              <w:br/>
              <w:t>(1.06-1.15)</w:t>
            </w:r>
          </w:p>
        </w:tc>
        <w:tc>
          <w:tcPr>
            <w:tcW w:w="721" w:type="pct"/>
            <w:tcBorders>
              <w:top w:val="single" w:sz="4" w:space="0" w:color="auto"/>
              <w:left w:val="single" w:sz="4" w:space="0" w:color="auto"/>
              <w:bottom w:val="single" w:sz="4" w:space="0" w:color="auto"/>
              <w:right w:val="single" w:sz="4" w:space="0" w:color="auto"/>
            </w:tcBorders>
            <w:vAlign w:val="center"/>
            <w:hideMark/>
          </w:tcPr>
          <w:p w14:paraId="02113233" w14:textId="77777777" w:rsidR="00592E61" w:rsidRPr="00B960C8" w:rsidRDefault="00592E61">
            <w:pPr>
              <w:spacing w:after="0" w:line="256" w:lineRule="auto"/>
              <w:jc w:val="center"/>
              <w:rPr>
                <w:rFonts w:eastAsia="Calibri" w:cs="Times New Roman"/>
                <w:color w:val="FF0000"/>
              </w:rPr>
            </w:pPr>
            <w:r w:rsidRPr="00E205B4">
              <w:rPr>
                <w:color w:val="C00000"/>
              </w:rPr>
              <w:t>1.15</w:t>
            </w:r>
            <w:r w:rsidRPr="00E205B4">
              <w:rPr>
                <w:color w:val="C00000"/>
              </w:rPr>
              <w:br/>
              <w:t>(1.10-1.20)</w:t>
            </w:r>
          </w:p>
        </w:tc>
        <w:tc>
          <w:tcPr>
            <w:tcW w:w="721" w:type="pct"/>
            <w:tcBorders>
              <w:top w:val="single" w:sz="4" w:space="0" w:color="auto"/>
              <w:left w:val="single" w:sz="4" w:space="0" w:color="auto"/>
              <w:bottom w:val="single" w:sz="4" w:space="0" w:color="auto"/>
              <w:right w:val="single" w:sz="4" w:space="0" w:color="auto"/>
            </w:tcBorders>
            <w:vAlign w:val="center"/>
            <w:hideMark/>
          </w:tcPr>
          <w:p w14:paraId="68BF8B97" w14:textId="77777777" w:rsidR="00592E61" w:rsidRPr="00E205B4" w:rsidRDefault="00592E61">
            <w:pPr>
              <w:spacing w:after="0" w:line="256" w:lineRule="auto"/>
              <w:jc w:val="center"/>
              <w:rPr>
                <w:rFonts w:eastAsia="Calibri" w:cs="Times New Roman"/>
                <w:color w:val="C00000"/>
              </w:rPr>
            </w:pPr>
            <w:r w:rsidRPr="00E205B4">
              <w:rPr>
                <w:color w:val="C00000"/>
              </w:rPr>
              <w:t>1.12</w:t>
            </w:r>
            <w:r w:rsidRPr="00E205B4">
              <w:rPr>
                <w:color w:val="C00000"/>
              </w:rPr>
              <w:br/>
              <w:t>(1.09-1.14)</w:t>
            </w:r>
          </w:p>
        </w:tc>
      </w:tr>
      <w:tr w:rsidR="00592E61" w14:paraId="0EBCD8ED"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E2065AB"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Protein-calorie malnutrition (CC 21)</w:t>
            </w:r>
          </w:p>
        </w:tc>
        <w:tc>
          <w:tcPr>
            <w:tcW w:w="721" w:type="pct"/>
            <w:tcBorders>
              <w:top w:val="single" w:sz="4" w:space="0" w:color="auto"/>
              <w:left w:val="single" w:sz="4" w:space="0" w:color="auto"/>
              <w:bottom w:val="single" w:sz="4" w:space="0" w:color="auto"/>
              <w:right w:val="single" w:sz="4" w:space="0" w:color="auto"/>
            </w:tcBorders>
            <w:vAlign w:val="center"/>
            <w:hideMark/>
          </w:tcPr>
          <w:p w14:paraId="5BE91FDF" w14:textId="77777777" w:rsidR="00592E61" w:rsidRPr="00B960C8" w:rsidRDefault="00592E61">
            <w:pPr>
              <w:spacing w:after="0" w:line="256" w:lineRule="auto"/>
              <w:jc w:val="center"/>
              <w:rPr>
                <w:rFonts w:eastAsia="Calibri" w:cs="Times New Roman"/>
                <w:color w:val="FF0000"/>
              </w:rPr>
            </w:pPr>
            <w:r w:rsidRPr="00E205B4">
              <w:rPr>
                <w:color w:val="C00000"/>
              </w:rPr>
              <w:t>1.36</w:t>
            </w:r>
            <w:r w:rsidRPr="00E205B4">
              <w:rPr>
                <w:color w:val="C00000"/>
              </w:rPr>
              <w:br/>
              <w:t>(1.18-1.58)</w:t>
            </w:r>
          </w:p>
        </w:tc>
        <w:tc>
          <w:tcPr>
            <w:tcW w:w="721" w:type="pct"/>
            <w:tcBorders>
              <w:top w:val="single" w:sz="4" w:space="0" w:color="auto"/>
              <w:left w:val="single" w:sz="4" w:space="0" w:color="auto"/>
              <w:bottom w:val="single" w:sz="4" w:space="0" w:color="auto"/>
              <w:right w:val="single" w:sz="4" w:space="0" w:color="auto"/>
            </w:tcBorders>
            <w:vAlign w:val="center"/>
            <w:hideMark/>
          </w:tcPr>
          <w:p w14:paraId="1978842F" w14:textId="77777777" w:rsidR="00592E61" w:rsidRPr="00B960C8" w:rsidRDefault="00592E61">
            <w:pPr>
              <w:spacing w:after="0" w:line="256" w:lineRule="auto"/>
              <w:jc w:val="center"/>
              <w:rPr>
                <w:rFonts w:eastAsia="Calibri" w:cs="Times New Roman"/>
                <w:color w:val="FF0000"/>
              </w:rPr>
            </w:pPr>
            <w:r w:rsidRPr="00E205B4">
              <w:rPr>
                <w:color w:val="C00000"/>
              </w:rPr>
              <w:t>1.12</w:t>
            </w:r>
            <w:r w:rsidRPr="00E205B4">
              <w:rPr>
                <w:color w:val="C00000"/>
              </w:rPr>
              <w:br/>
              <w:t>(0.96-1.30)</w:t>
            </w:r>
          </w:p>
        </w:tc>
        <w:tc>
          <w:tcPr>
            <w:tcW w:w="721" w:type="pct"/>
            <w:tcBorders>
              <w:top w:val="single" w:sz="4" w:space="0" w:color="auto"/>
              <w:left w:val="single" w:sz="4" w:space="0" w:color="auto"/>
              <w:bottom w:val="single" w:sz="4" w:space="0" w:color="auto"/>
              <w:right w:val="single" w:sz="4" w:space="0" w:color="auto"/>
            </w:tcBorders>
            <w:vAlign w:val="center"/>
            <w:hideMark/>
          </w:tcPr>
          <w:p w14:paraId="3F73AE34" w14:textId="77777777" w:rsidR="00592E61" w:rsidRPr="00B960C8" w:rsidRDefault="00592E61">
            <w:pPr>
              <w:spacing w:after="0" w:line="256" w:lineRule="auto"/>
              <w:jc w:val="center"/>
              <w:rPr>
                <w:rFonts w:eastAsia="Calibri" w:cs="Times New Roman"/>
                <w:color w:val="FF0000"/>
              </w:rPr>
            </w:pPr>
            <w:r w:rsidRPr="00E205B4">
              <w:rPr>
                <w:color w:val="C00000"/>
              </w:rPr>
              <w:t>1.49</w:t>
            </w:r>
            <w:r w:rsidRPr="00E205B4">
              <w:rPr>
                <w:color w:val="C00000"/>
              </w:rPr>
              <w:br/>
              <w:t>(1.29-1.72)</w:t>
            </w:r>
          </w:p>
        </w:tc>
        <w:tc>
          <w:tcPr>
            <w:tcW w:w="721" w:type="pct"/>
            <w:tcBorders>
              <w:top w:val="single" w:sz="4" w:space="0" w:color="auto"/>
              <w:left w:val="single" w:sz="4" w:space="0" w:color="auto"/>
              <w:bottom w:val="single" w:sz="4" w:space="0" w:color="auto"/>
              <w:right w:val="single" w:sz="4" w:space="0" w:color="auto"/>
            </w:tcBorders>
            <w:vAlign w:val="center"/>
            <w:hideMark/>
          </w:tcPr>
          <w:p w14:paraId="53EEE465" w14:textId="77777777" w:rsidR="00592E61" w:rsidRPr="00E205B4" w:rsidRDefault="00592E61">
            <w:pPr>
              <w:spacing w:after="0" w:line="256" w:lineRule="auto"/>
              <w:jc w:val="center"/>
              <w:rPr>
                <w:rFonts w:eastAsia="Calibri" w:cs="Times New Roman"/>
                <w:color w:val="C00000"/>
              </w:rPr>
            </w:pPr>
            <w:r w:rsidRPr="00E205B4">
              <w:rPr>
                <w:color w:val="C00000"/>
              </w:rPr>
              <w:t>1.30</w:t>
            </w:r>
            <w:r w:rsidRPr="00E205B4">
              <w:rPr>
                <w:color w:val="C00000"/>
              </w:rPr>
              <w:br/>
              <w:t>(1.20-1.42)</w:t>
            </w:r>
          </w:p>
        </w:tc>
      </w:tr>
      <w:tr w:rsidR="00592E61" w14:paraId="18BA4708"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7DDAB497" w14:textId="77777777" w:rsidR="00592E61" w:rsidRPr="00B960C8" w:rsidRDefault="00592E61">
            <w:pPr>
              <w:spacing w:after="0" w:line="256" w:lineRule="auto"/>
              <w:ind w:left="66"/>
              <w:rPr>
                <w:rFonts w:eastAsia="Times New Roman" w:cs="Times New Roman"/>
                <w:color w:val="FF0000"/>
              </w:rPr>
            </w:pPr>
            <w:r w:rsidRPr="00E205B4">
              <w:rPr>
                <w:rFonts w:eastAsia="Times New Roman" w:cs="Times New Roman"/>
                <w:color w:val="C00000"/>
              </w:rPr>
              <w:t>Morbid obesity (CC 22)</w:t>
            </w:r>
          </w:p>
        </w:tc>
        <w:tc>
          <w:tcPr>
            <w:tcW w:w="721" w:type="pct"/>
            <w:tcBorders>
              <w:top w:val="single" w:sz="4" w:space="0" w:color="auto"/>
              <w:left w:val="single" w:sz="4" w:space="0" w:color="auto"/>
              <w:bottom w:val="single" w:sz="4" w:space="0" w:color="auto"/>
              <w:right w:val="single" w:sz="4" w:space="0" w:color="auto"/>
            </w:tcBorders>
            <w:vAlign w:val="center"/>
            <w:hideMark/>
          </w:tcPr>
          <w:p w14:paraId="4A4F0369" w14:textId="77777777" w:rsidR="00592E61" w:rsidRPr="00B960C8" w:rsidRDefault="00592E61">
            <w:pPr>
              <w:spacing w:after="0" w:line="256" w:lineRule="auto"/>
              <w:jc w:val="center"/>
              <w:rPr>
                <w:rFonts w:eastAsia="Calibri" w:cs="Times New Roman"/>
                <w:color w:val="FF0000"/>
              </w:rPr>
            </w:pPr>
            <w:r w:rsidRPr="00E205B4">
              <w:rPr>
                <w:color w:val="C00000"/>
              </w:rPr>
              <w:t>1.36</w:t>
            </w:r>
            <w:r w:rsidRPr="00E205B4">
              <w:rPr>
                <w:color w:val="C00000"/>
              </w:rPr>
              <w:br/>
              <w:t>(1.29-1.44)</w:t>
            </w:r>
          </w:p>
        </w:tc>
        <w:tc>
          <w:tcPr>
            <w:tcW w:w="721" w:type="pct"/>
            <w:tcBorders>
              <w:top w:val="single" w:sz="4" w:space="0" w:color="auto"/>
              <w:left w:val="single" w:sz="4" w:space="0" w:color="auto"/>
              <w:bottom w:val="single" w:sz="4" w:space="0" w:color="auto"/>
              <w:right w:val="single" w:sz="4" w:space="0" w:color="auto"/>
            </w:tcBorders>
            <w:vAlign w:val="center"/>
            <w:hideMark/>
          </w:tcPr>
          <w:p w14:paraId="5442A50A" w14:textId="77777777" w:rsidR="00592E61" w:rsidRPr="00B960C8" w:rsidRDefault="00592E61">
            <w:pPr>
              <w:spacing w:after="0" w:line="256" w:lineRule="auto"/>
              <w:jc w:val="center"/>
              <w:rPr>
                <w:rFonts w:eastAsia="Calibri" w:cs="Times New Roman"/>
                <w:color w:val="FF0000"/>
              </w:rPr>
            </w:pPr>
            <w:r w:rsidRPr="00E205B4">
              <w:rPr>
                <w:color w:val="C00000"/>
              </w:rPr>
              <w:t>1.31</w:t>
            </w:r>
            <w:r w:rsidRPr="00E205B4">
              <w:rPr>
                <w:color w:val="C00000"/>
              </w:rPr>
              <w:br/>
              <w:t>(1.24-1.38)</w:t>
            </w:r>
          </w:p>
        </w:tc>
        <w:tc>
          <w:tcPr>
            <w:tcW w:w="721" w:type="pct"/>
            <w:tcBorders>
              <w:top w:val="single" w:sz="4" w:space="0" w:color="auto"/>
              <w:left w:val="single" w:sz="4" w:space="0" w:color="auto"/>
              <w:bottom w:val="single" w:sz="4" w:space="0" w:color="auto"/>
              <w:right w:val="single" w:sz="4" w:space="0" w:color="auto"/>
            </w:tcBorders>
            <w:vAlign w:val="center"/>
            <w:hideMark/>
          </w:tcPr>
          <w:p w14:paraId="1BC25EEE" w14:textId="77777777" w:rsidR="00592E61" w:rsidRPr="00B960C8" w:rsidRDefault="00592E61">
            <w:pPr>
              <w:spacing w:after="0" w:line="256" w:lineRule="auto"/>
              <w:jc w:val="center"/>
              <w:rPr>
                <w:rFonts w:eastAsia="Calibri" w:cs="Times New Roman"/>
                <w:color w:val="FF0000"/>
              </w:rPr>
            </w:pPr>
            <w:r w:rsidRPr="00E205B4">
              <w:rPr>
                <w:color w:val="C00000"/>
              </w:rPr>
              <w:t>1.25</w:t>
            </w:r>
            <w:r w:rsidRPr="00E205B4">
              <w:rPr>
                <w:color w:val="C00000"/>
              </w:rPr>
              <w:br/>
              <w:t>(1.18-1.33)</w:t>
            </w:r>
          </w:p>
        </w:tc>
        <w:tc>
          <w:tcPr>
            <w:tcW w:w="721" w:type="pct"/>
            <w:tcBorders>
              <w:top w:val="single" w:sz="4" w:space="0" w:color="auto"/>
              <w:left w:val="single" w:sz="4" w:space="0" w:color="auto"/>
              <w:bottom w:val="single" w:sz="4" w:space="0" w:color="auto"/>
              <w:right w:val="single" w:sz="4" w:space="0" w:color="auto"/>
            </w:tcBorders>
            <w:vAlign w:val="center"/>
            <w:hideMark/>
          </w:tcPr>
          <w:p w14:paraId="0AC09254" w14:textId="77777777" w:rsidR="00592E61" w:rsidRPr="00E205B4" w:rsidRDefault="00592E61">
            <w:pPr>
              <w:spacing w:after="0" w:line="256" w:lineRule="auto"/>
              <w:jc w:val="center"/>
              <w:rPr>
                <w:rFonts w:eastAsia="Calibri" w:cs="Times New Roman"/>
                <w:color w:val="C00000"/>
              </w:rPr>
            </w:pPr>
            <w:r w:rsidRPr="00E205B4">
              <w:rPr>
                <w:color w:val="C00000"/>
              </w:rPr>
              <w:t>1.31</w:t>
            </w:r>
            <w:r w:rsidRPr="00E205B4">
              <w:rPr>
                <w:color w:val="C00000"/>
              </w:rPr>
              <w:br/>
              <w:t>(1.27-1.35)</w:t>
            </w:r>
          </w:p>
        </w:tc>
      </w:tr>
      <w:tr w:rsidR="00592E61" w14:paraId="467A2B38"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3D43BF52"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Other significant endocrine and metabolic disorders; disorders of fluid/electrolyte/acid-base balance (CC 23-24)</w:t>
            </w:r>
          </w:p>
        </w:tc>
        <w:tc>
          <w:tcPr>
            <w:tcW w:w="721" w:type="pct"/>
            <w:tcBorders>
              <w:top w:val="single" w:sz="4" w:space="0" w:color="auto"/>
              <w:left w:val="single" w:sz="4" w:space="0" w:color="auto"/>
              <w:bottom w:val="single" w:sz="4" w:space="0" w:color="auto"/>
              <w:right w:val="single" w:sz="4" w:space="0" w:color="auto"/>
            </w:tcBorders>
            <w:vAlign w:val="center"/>
            <w:hideMark/>
          </w:tcPr>
          <w:p w14:paraId="6B0F7637" w14:textId="77777777" w:rsidR="00592E61" w:rsidRPr="00B960C8" w:rsidRDefault="00592E61">
            <w:pPr>
              <w:spacing w:after="0" w:line="256" w:lineRule="auto"/>
              <w:jc w:val="center"/>
              <w:rPr>
                <w:rFonts w:eastAsia="Calibri" w:cs="Times New Roman"/>
                <w:color w:val="FF0000"/>
              </w:rPr>
            </w:pPr>
            <w:r w:rsidRPr="00E205B4">
              <w:rPr>
                <w:color w:val="C00000"/>
              </w:rPr>
              <w:t>1.21</w:t>
            </w:r>
            <w:r w:rsidRPr="00E205B4">
              <w:rPr>
                <w:color w:val="C00000"/>
              </w:rPr>
              <w:br/>
              <w:t>(1.15-1.27)</w:t>
            </w:r>
          </w:p>
        </w:tc>
        <w:tc>
          <w:tcPr>
            <w:tcW w:w="721" w:type="pct"/>
            <w:tcBorders>
              <w:top w:val="single" w:sz="4" w:space="0" w:color="auto"/>
              <w:left w:val="single" w:sz="4" w:space="0" w:color="auto"/>
              <w:bottom w:val="single" w:sz="4" w:space="0" w:color="auto"/>
              <w:right w:val="single" w:sz="4" w:space="0" w:color="auto"/>
            </w:tcBorders>
            <w:vAlign w:val="center"/>
            <w:hideMark/>
          </w:tcPr>
          <w:p w14:paraId="4B371C7B" w14:textId="77777777" w:rsidR="00592E61" w:rsidRPr="00B960C8" w:rsidRDefault="00592E61">
            <w:pPr>
              <w:spacing w:after="0" w:line="256" w:lineRule="auto"/>
              <w:jc w:val="center"/>
              <w:rPr>
                <w:rFonts w:eastAsia="Calibri" w:cs="Times New Roman"/>
                <w:color w:val="FF0000"/>
              </w:rPr>
            </w:pPr>
            <w:r w:rsidRPr="00E205B4">
              <w:rPr>
                <w:color w:val="C00000"/>
              </w:rPr>
              <w:t>1.25</w:t>
            </w:r>
            <w:r w:rsidRPr="00E205B4">
              <w:rPr>
                <w:color w:val="C00000"/>
              </w:rPr>
              <w:br/>
              <w:t>(1.19-1.31)</w:t>
            </w:r>
          </w:p>
        </w:tc>
        <w:tc>
          <w:tcPr>
            <w:tcW w:w="721" w:type="pct"/>
            <w:tcBorders>
              <w:top w:val="single" w:sz="4" w:space="0" w:color="auto"/>
              <w:left w:val="single" w:sz="4" w:space="0" w:color="auto"/>
              <w:bottom w:val="single" w:sz="4" w:space="0" w:color="auto"/>
              <w:right w:val="single" w:sz="4" w:space="0" w:color="auto"/>
            </w:tcBorders>
            <w:vAlign w:val="center"/>
            <w:hideMark/>
          </w:tcPr>
          <w:p w14:paraId="1C4C884E" w14:textId="77777777" w:rsidR="00592E61" w:rsidRPr="00B960C8" w:rsidRDefault="00592E61">
            <w:pPr>
              <w:spacing w:after="0" w:line="256" w:lineRule="auto"/>
              <w:jc w:val="center"/>
              <w:rPr>
                <w:rFonts w:eastAsia="Calibri" w:cs="Times New Roman"/>
                <w:color w:val="FF0000"/>
              </w:rPr>
            </w:pPr>
            <w:r w:rsidRPr="00E205B4">
              <w:rPr>
                <w:color w:val="C00000"/>
              </w:rPr>
              <w:t>1.20</w:t>
            </w:r>
            <w:r w:rsidRPr="00E205B4">
              <w:rPr>
                <w:color w:val="C00000"/>
              </w:rPr>
              <w:br/>
              <w:t>(1.14-1.26)</w:t>
            </w:r>
          </w:p>
        </w:tc>
        <w:tc>
          <w:tcPr>
            <w:tcW w:w="721" w:type="pct"/>
            <w:tcBorders>
              <w:top w:val="single" w:sz="4" w:space="0" w:color="auto"/>
              <w:left w:val="single" w:sz="4" w:space="0" w:color="auto"/>
              <w:bottom w:val="single" w:sz="4" w:space="0" w:color="auto"/>
              <w:right w:val="single" w:sz="4" w:space="0" w:color="auto"/>
            </w:tcBorders>
            <w:vAlign w:val="center"/>
            <w:hideMark/>
          </w:tcPr>
          <w:p w14:paraId="3F15E836" w14:textId="77777777" w:rsidR="00592E61" w:rsidRPr="00E205B4" w:rsidRDefault="00592E61">
            <w:pPr>
              <w:spacing w:after="0" w:line="256" w:lineRule="auto"/>
              <w:jc w:val="center"/>
              <w:rPr>
                <w:rFonts w:eastAsia="Calibri" w:cs="Times New Roman"/>
                <w:color w:val="C00000"/>
              </w:rPr>
            </w:pPr>
            <w:r w:rsidRPr="00E205B4">
              <w:rPr>
                <w:color w:val="C00000"/>
              </w:rPr>
              <w:t>1.22</w:t>
            </w:r>
            <w:r w:rsidRPr="00E205B4">
              <w:rPr>
                <w:color w:val="C00000"/>
              </w:rPr>
              <w:br/>
              <w:t>(1.19-1.26)</w:t>
            </w:r>
          </w:p>
        </w:tc>
      </w:tr>
      <w:tr w:rsidR="00592E61" w14:paraId="18D41754"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57D8E7BF"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Rheumatoid arthritis and inflammatory connective tissue disease (CC 40)</w:t>
            </w:r>
          </w:p>
        </w:tc>
        <w:tc>
          <w:tcPr>
            <w:tcW w:w="721" w:type="pct"/>
            <w:tcBorders>
              <w:top w:val="single" w:sz="4" w:space="0" w:color="auto"/>
              <w:left w:val="single" w:sz="4" w:space="0" w:color="auto"/>
              <w:bottom w:val="single" w:sz="4" w:space="0" w:color="auto"/>
              <w:right w:val="single" w:sz="4" w:space="0" w:color="auto"/>
            </w:tcBorders>
            <w:vAlign w:val="center"/>
            <w:hideMark/>
          </w:tcPr>
          <w:p w14:paraId="373F7383" w14:textId="77777777" w:rsidR="00592E61" w:rsidRPr="00B960C8" w:rsidRDefault="00592E61">
            <w:pPr>
              <w:spacing w:after="0" w:line="256" w:lineRule="auto"/>
              <w:jc w:val="center"/>
              <w:rPr>
                <w:rFonts w:eastAsia="Calibri" w:cs="Times New Roman"/>
                <w:color w:val="FF0000"/>
              </w:rPr>
            </w:pPr>
            <w:r w:rsidRPr="00E205B4">
              <w:rPr>
                <w:color w:val="C00000"/>
              </w:rPr>
              <w:t>1.14</w:t>
            </w:r>
            <w:r w:rsidRPr="00E205B4">
              <w:rPr>
                <w:color w:val="C00000"/>
              </w:rPr>
              <w:br/>
              <w:t>(1.09-1.20)</w:t>
            </w:r>
          </w:p>
        </w:tc>
        <w:tc>
          <w:tcPr>
            <w:tcW w:w="721" w:type="pct"/>
            <w:tcBorders>
              <w:top w:val="single" w:sz="4" w:space="0" w:color="auto"/>
              <w:left w:val="single" w:sz="4" w:space="0" w:color="auto"/>
              <w:bottom w:val="single" w:sz="4" w:space="0" w:color="auto"/>
              <w:right w:val="single" w:sz="4" w:space="0" w:color="auto"/>
            </w:tcBorders>
            <w:vAlign w:val="center"/>
            <w:hideMark/>
          </w:tcPr>
          <w:p w14:paraId="183F3C5D" w14:textId="77777777" w:rsidR="00592E61" w:rsidRPr="00B960C8" w:rsidRDefault="00592E61">
            <w:pPr>
              <w:spacing w:after="0" w:line="256" w:lineRule="auto"/>
              <w:jc w:val="center"/>
              <w:rPr>
                <w:rFonts w:eastAsia="Calibri" w:cs="Times New Roman"/>
                <w:color w:val="FF0000"/>
              </w:rPr>
            </w:pPr>
            <w:r w:rsidRPr="00E205B4">
              <w:rPr>
                <w:color w:val="C00000"/>
              </w:rPr>
              <w:t>1.11</w:t>
            </w:r>
            <w:r w:rsidRPr="00E205B4">
              <w:rPr>
                <w:color w:val="C00000"/>
              </w:rPr>
              <w:br/>
              <w:t>(1.06-1.17)</w:t>
            </w:r>
          </w:p>
        </w:tc>
        <w:tc>
          <w:tcPr>
            <w:tcW w:w="721" w:type="pct"/>
            <w:tcBorders>
              <w:top w:val="single" w:sz="4" w:space="0" w:color="auto"/>
              <w:left w:val="single" w:sz="4" w:space="0" w:color="auto"/>
              <w:bottom w:val="single" w:sz="4" w:space="0" w:color="auto"/>
              <w:right w:val="single" w:sz="4" w:space="0" w:color="auto"/>
            </w:tcBorders>
            <w:vAlign w:val="center"/>
            <w:hideMark/>
          </w:tcPr>
          <w:p w14:paraId="4CFB721C"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(1.07-1.20)</w:t>
            </w:r>
          </w:p>
        </w:tc>
        <w:tc>
          <w:tcPr>
            <w:tcW w:w="721" w:type="pct"/>
            <w:tcBorders>
              <w:top w:val="single" w:sz="4" w:space="0" w:color="auto"/>
              <w:left w:val="single" w:sz="4" w:space="0" w:color="auto"/>
              <w:bottom w:val="single" w:sz="4" w:space="0" w:color="auto"/>
              <w:right w:val="single" w:sz="4" w:space="0" w:color="auto"/>
            </w:tcBorders>
            <w:vAlign w:val="center"/>
            <w:hideMark/>
          </w:tcPr>
          <w:p w14:paraId="65556A18" w14:textId="77777777" w:rsidR="00592E61" w:rsidRPr="00E205B4" w:rsidRDefault="00592E61">
            <w:pPr>
              <w:spacing w:after="0" w:line="256" w:lineRule="auto"/>
              <w:jc w:val="center"/>
              <w:rPr>
                <w:rFonts w:eastAsia="Calibri" w:cs="Times New Roman"/>
                <w:color w:val="C00000"/>
              </w:rPr>
            </w:pPr>
            <w:r w:rsidRPr="00E205B4">
              <w:rPr>
                <w:color w:val="C00000"/>
              </w:rPr>
              <w:t>1.13</w:t>
            </w:r>
            <w:r w:rsidRPr="00E205B4">
              <w:rPr>
                <w:color w:val="C00000"/>
              </w:rPr>
              <w:br/>
              <w:t>(1.10-1.17)</w:t>
            </w:r>
          </w:p>
        </w:tc>
      </w:tr>
      <w:tr w:rsidR="00592E61" w14:paraId="67216207"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B8FA79E"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Severe hematological disorders (CC 46)</w:t>
            </w:r>
          </w:p>
        </w:tc>
        <w:tc>
          <w:tcPr>
            <w:tcW w:w="721" w:type="pct"/>
            <w:tcBorders>
              <w:top w:val="single" w:sz="4" w:space="0" w:color="auto"/>
              <w:left w:val="single" w:sz="4" w:space="0" w:color="auto"/>
              <w:bottom w:val="single" w:sz="4" w:space="0" w:color="auto"/>
              <w:right w:val="single" w:sz="4" w:space="0" w:color="auto"/>
            </w:tcBorders>
            <w:vAlign w:val="center"/>
            <w:hideMark/>
          </w:tcPr>
          <w:p w14:paraId="711E116B" w14:textId="77777777" w:rsidR="00592E61" w:rsidRPr="00B960C8" w:rsidRDefault="00592E61">
            <w:pPr>
              <w:spacing w:after="0" w:line="256" w:lineRule="auto"/>
              <w:jc w:val="center"/>
              <w:rPr>
                <w:rFonts w:eastAsia="Calibri" w:cs="Times New Roman"/>
                <w:color w:val="FF0000"/>
              </w:rPr>
            </w:pPr>
            <w:r w:rsidRPr="00E205B4">
              <w:rPr>
                <w:color w:val="C00000"/>
              </w:rPr>
              <w:t>1.72</w:t>
            </w:r>
            <w:r w:rsidRPr="00E205B4">
              <w:rPr>
                <w:color w:val="C00000"/>
              </w:rPr>
              <w:br/>
              <w:t>(1.43-2.08)</w:t>
            </w:r>
          </w:p>
        </w:tc>
        <w:tc>
          <w:tcPr>
            <w:tcW w:w="721" w:type="pct"/>
            <w:tcBorders>
              <w:top w:val="single" w:sz="4" w:space="0" w:color="auto"/>
              <w:left w:val="single" w:sz="4" w:space="0" w:color="auto"/>
              <w:bottom w:val="single" w:sz="4" w:space="0" w:color="auto"/>
              <w:right w:val="single" w:sz="4" w:space="0" w:color="auto"/>
            </w:tcBorders>
            <w:vAlign w:val="center"/>
            <w:hideMark/>
          </w:tcPr>
          <w:p w14:paraId="298F187A" w14:textId="77777777" w:rsidR="00592E61" w:rsidRPr="00B960C8" w:rsidRDefault="00592E61">
            <w:pPr>
              <w:spacing w:after="0" w:line="256" w:lineRule="auto"/>
              <w:jc w:val="center"/>
              <w:rPr>
                <w:rFonts w:eastAsia="Calibri" w:cs="Times New Roman"/>
                <w:color w:val="FF0000"/>
              </w:rPr>
            </w:pPr>
            <w:r w:rsidRPr="00E205B4">
              <w:rPr>
                <w:color w:val="C00000"/>
              </w:rPr>
              <w:t>1.43</w:t>
            </w:r>
            <w:r w:rsidRPr="00E205B4">
              <w:rPr>
                <w:color w:val="C00000"/>
              </w:rPr>
              <w:br/>
              <w:t>(1.15-1.76)</w:t>
            </w:r>
          </w:p>
        </w:tc>
        <w:tc>
          <w:tcPr>
            <w:tcW w:w="721" w:type="pct"/>
            <w:tcBorders>
              <w:top w:val="single" w:sz="4" w:space="0" w:color="auto"/>
              <w:left w:val="single" w:sz="4" w:space="0" w:color="auto"/>
              <w:bottom w:val="single" w:sz="4" w:space="0" w:color="auto"/>
              <w:right w:val="single" w:sz="4" w:space="0" w:color="auto"/>
            </w:tcBorders>
            <w:vAlign w:val="center"/>
            <w:hideMark/>
          </w:tcPr>
          <w:p w14:paraId="71AADBA8" w14:textId="77777777" w:rsidR="00592E61" w:rsidRPr="00B960C8" w:rsidRDefault="00592E61">
            <w:pPr>
              <w:spacing w:after="0" w:line="256" w:lineRule="auto"/>
              <w:jc w:val="center"/>
              <w:rPr>
                <w:rFonts w:eastAsia="Calibri" w:cs="Times New Roman"/>
                <w:color w:val="FF0000"/>
              </w:rPr>
            </w:pPr>
            <w:r w:rsidRPr="00E205B4">
              <w:rPr>
                <w:color w:val="C00000"/>
              </w:rPr>
              <w:t>1.62</w:t>
            </w:r>
            <w:r w:rsidRPr="00E205B4">
              <w:rPr>
                <w:color w:val="C00000"/>
              </w:rPr>
              <w:br/>
              <w:t>(1.31-2.02)</w:t>
            </w:r>
          </w:p>
        </w:tc>
        <w:tc>
          <w:tcPr>
            <w:tcW w:w="721" w:type="pct"/>
            <w:tcBorders>
              <w:top w:val="single" w:sz="4" w:space="0" w:color="auto"/>
              <w:left w:val="single" w:sz="4" w:space="0" w:color="auto"/>
              <w:bottom w:val="single" w:sz="4" w:space="0" w:color="auto"/>
              <w:right w:val="single" w:sz="4" w:space="0" w:color="auto"/>
            </w:tcBorders>
            <w:vAlign w:val="center"/>
            <w:hideMark/>
          </w:tcPr>
          <w:p w14:paraId="42B9A5FB" w14:textId="77777777" w:rsidR="00592E61" w:rsidRPr="00E205B4" w:rsidRDefault="00592E61">
            <w:pPr>
              <w:spacing w:after="0" w:line="256" w:lineRule="auto"/>
              <w:jc w:val="center"/>
              <w:rPr>
                <w:rFonts w:eastAsia="Calibri" w:cs="Times New Roman"/>
                <w:color w:val="C00000"/>
              </w:rPr>
            </w:pPr>
            <w:r w:rsidRPr="00E205B4">
              <w:rPr>
                <w:color w:val="C00000"/>
              </w:rPr>
              <w:t>1.60</w:t>
            </w:r>
            <w:r w:rsidRPr="00E205B4">
              <w:rPr>
                <w:color w:val="C00000"/>
              </w:rPr>
              <w:br/>
              <w:t>(1.42-1.79)</w:t>
            </w:r>
          </w:p>
        </w:tc>
      </w:tr>
      <w:tr w:rsidR="00592E61" w14:paraId="3F3FE459"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06BA8A34"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Dementia or other specified brain disorders (CC 51-53)</w:t>
            </w:r>
          </w:p>
        </w:tc>
        <w:tc>
          <w:tcPr>
            <w:tcW w:w="721" w:type="pct"/>
            <w:tcBorders>
              <w:top w:val="single" w:sz="4" w:space="0" w:color="auto"/>
              <w:left w:val="single" w:sz="4" w:space="0" w:color="auto"/>
              <w:bottom w:val="single" w:sz="4" w:space="0" w:color="auto"/>
              <w:right w:val="single" w:sz="4" w:space="0" w:color="auto"/>
            </w:tcBorders>
            <w:vAlign w:val="center"/>
            <w:hideMark/>
          </w:tcPr>
          <w:p w14:paraId="3D549055" w14:textId="77777777" w:rsidR="00592E61" w:rsidRPr="00B960C8" w:rsidRDefault="00592E61">
            <w:pPr>
              <w:spacing w:after="0" w:line="256" w:lineRule="auto"/>
              <w:jc w:val="center"/>
              <w:rPr>
                <w:rFonts w:eastAsia="Calibri" w:cs="Times New Roman"/>
                <w:color w:val="FF0000"/>
              </w:rPr>
            </w:pPr>
            <w:r w:rsidRPr="00E205B4">
              <w:rPr>
                <w:color w:val="C00000"/>
              </w:rPr>
              <w:t>1.25</w:t>
            </w:r>
            <w:r w:rsidRPr="00E205B4">
              <w:rPr>
                <w:color w:val="C00000"/>
              </w:rPr>
              <w:br/>
              <w:t>(1.17-1.34)</w:t>
            </w:r>
          </w:p>
        </w:tc>
        <w:tc>
          <w:tcPr>
            <w:tcW w:w="721" w:type="pct"/>
            <w:tcBorders>
              <w:top w:val="single" w:sz="4" w:space="0" w:color="auto"/>
              <w:left w:val="single" w:sz="4" w:space="0" w:color="auto"/>
              <w:bottom w:val="single" w:sz="4" w:space="0" w:color="auto"/>
              <w:right w:val="single" w:sz="4" w:space="0" w:color="auto"/>
            </w:tcBorders>
            <w:vAlign w:val="center"/>
            <w:hideMark/>
          </w:tcPr>
          <w:p w14:paraId="7031E37E" w14:textId="77777777" w:rsidR="00592E61" w:rsidRPr="00B960C8" w:rsidRDefault="00592E61">
            <w:pPr>
              <w:spacing w:after="0" w:line="256" w:lineRule="auto"/>
              <w:jc w:val="center"/>
              <w:rPr>
                <w:rFonts w:eastAsia="Calibri" w:cs="Times New Roman"/>
                <w:color w:val="FF0000"/>
              </w:rPr>
            </w:pPr>
            <w:r w:rsidRPr="00E205B4">
              <w:rPr>
                <w:color w:val="C00000"/>
              </w:rPr>
              <w:t>1.25</w:t>
            </w:r>
            <w:r w:rsidRPr="00E205B4">
              <w:rPr>
                <w:color w:val="C00000"/>
              </w:rPr>
              <w:br/>
              <w:t>(1.17-1.34)</w:t>
            </w:r>
          </w:p>
        </w:tc>
        <w:tc>
          <w:tcPr>
            <w:tcW w:w="721" w:type="pct"/>
            <w:tcBorders>
              <w:top w:val="single" w:sz="4" w:space="0" w:color="auto"/>
              <w:left w:val="single" w:sz="4" w:space="0" w:color="auto"/>
              <w:bottom w:val="single" w:sz="4" w:space="0" w:color="auto"/>
              <w:right w:val="single" w:sz="4" w:space="0" w:color="auto"/>
            </w:tcBorders>
            <w:vAlign w:val="center"/>
            <w:hideMark/>
          </w:tcPr>
          <w:p w14:paraId="44F15814" w14:textId="77777777" w:rsidR="00592E61" w:rsidRPr="00B960C8" w:rsidRDefault="00592E61">
            <w:pPr>
              <w:spacing w:after="0" w:line="256" w:lineRule="auto"/>
              <w:jc w:val="center"/>
              <w:rPr>
                <w:rFonts w:eastAsia="Calibri" w:cs="Times New Roman"/>
                <w:color w:val="FF0000"/>
              </w:rPr>
            </w:pPr>
            <w:r w:rsidRPr="00E205B4">
              <w:rPr>
                <w:color w:val="C00000"/>
              </w:rPr>
              <w:t>1.17</w:t>
            </w:r>
            <w:r w:rsidRPr="00E205B4">
              <w:rPr>
                <w:color w:val="C00000"/>
              </w:rPr>
              <w:br/>
              <w:t>(1.09-1.26)</w:t>
            </w:r>
          </w:p>
        </w:tc>
        <w:tc>
          <w:tcPr>
            <w:tcW w:w="721" w:type="pct"/>
            <w:tcBorders>
              <w:top w:val="single" w:sz="4" w:space="0" w:color="auto"/>
              <w:left w:val="single" w:sz="4" w:space="0" w:color="auto"/>
              <w:bottom w:val="single" w:sz="4" w:space="0" w:color="auto"/>
              <w:right w:val="single" w:sz="4" w:space="0" w:color="auto"/>
            </w:tcBorders>
            <w:vAlign w:val="center"/>
            <w:hideMark/>
          </w:tcPr>
          <w:p w14:paraId="79CCC21E" w14:textId="77777777" w:rsidR="00592E61" w:rsidRPr="00E205B4" w:rsidRDefault="00592E61">
            <w:pPr>
              <w:spacing w:after="0" w:line="256" w:lineRule="auto"/>
              <w:jc w:val="center"/>
              <w:rPr>
                <w:rFonts w:eastAsia="Calibri" w:cs="Times New Roman"/>
                <w:color w:val="C00000"/>
              </w:rPr>
            </w:pPr>
            <w:r w:rsidRPr="00E205B4">
              <w:rPr>
                <w:color w:val="C00000"/>
              </w:rPr>
              <w:t>1.23</w:t>
            </w:r>
            <w:r w:rsidRPr="00E205B4">
              <w:rPr>
                <w:color w:val="C00000"/>
              </w:rPr>
              <w:br/>
              <w:t>(1.18-1.28)</w:t>
            </w:r>
          </w:p>
        </w:tc>
      </w:tr>
      <w:tr w:rsidR="00592E61" w14:paraId="595216E3"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127F018"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Major psychiatric disorders (CC 57-59)</w:t>
            </w:r>
          </w:p>
        </w:tc>
        <w:tc>
          <w:tcPr>
            <w:tcW w:w="721" w:type="pct"/>
            <w:tcBorders>
              <w:top w:val="single" w:sz="4" w:space="0" w:color="auto"/>
              <w:left w:val="single" w:sz="4" w:space="0" w:color="auto"/>
              <w:bottom w:val="single" w:sz="4" w:space="0" w:color="auto"/>
              <w:right w:val="single" w:sz="4" w:space="0" w:color="auto"/>
            </w:tcBorders>
            <w:vAlign w:val="center"/>
            <w:hideMark/>
          </w:tcPr>
          <w:p w14:paraId="44328051" w14:textId="77777777" w:rsidR="00592E61" w:rsidRPr="00B960C8" w:rsidRDefault="00592E61">
            <w:pPr>
              <w:spacing w:after="0" w:line="256" w:lineRule="auto"/>
              <w:jc w:val="center"/>
              <w:rPr>
                <w:rFonts w:eastAsia="Calibri" w:cs="Times New Roman"/>
                <w:color w:val="FF0000"/>
              </w:rPr>
            </w:pPr>
            <w:r w:rsidRPr="00E205B4">
              <w:rPr>
                <w:color w:val="C00000"/>
              </w:rPr>
              <w:t>1.35</w:t>
            </w:r>
            <w:r w:rsidRPr="00E205B4">
              <w:rPr>
                <w:color w:val="C00000"/>
              </w:rPr>
              <w:br/>
              <w:t>(1.26-1.45)</w:t>
            </w:r>
          </w:p>
        </w:tc>
        <w:tc>
          <w:tcPr>
            <w:tcW w:w="721" w:type="pct"/>
            <w:tcBorders>
              <w:top w:val="single" w:sz="4" w:space="0" w:color="auto"/>
              <w:left w:val="single" w:sz="4" w:space="0" w:color="auto"/>
              <w:bottom w:val="single" w:sz="4" w:space="0" w:color="auto"/>
              <w:right w:val="single" w:sz="4" w:space="0" w:color="auto"/>
            </w:tcBorders>
            <w:vAlign w:val="center"/>
            <w:hideMark/>
          </w:tcPr>
          <w:p w14:paraId="607174B9" w14:textId="77777777" w:rsidR="00592E61" w:rsidRPr="00B960C8" w:rsidRDefault="00592E61">
            <w:pPr>
              <w:spacing w:after="0" w:line="256" w:lineRule="auto"/>
              <w:jc w:val="center"/>
              <w:rPr>
                <w:rFonts w:eastAsia="Calibri" w:cs="Times New Roman"/>
                <w:color w:val="FF0000"/>
              </w:rPr>
            </w:pPr>
            <w:r w:rsidRPr="00E205B4">
              <w:rPr>
                <w:color w:val="C00000"/>
              </w:rPr>
              <w:t>1.30</w:t>
            </w:r>
            <w:r w:rsidRPr="00E205B4">
              <w:rPr>
                <w:color w:val="C00000"/>
              </w:rPr>
              <w:br/>
              <w:t>(1.22-1.39)</w:t>
            </w:r>
          </w:p>
        </w:tc>
        <w:tc>
          <w:tcPr>
            <w:tcW w:w="721" w:type="pct"/>
            <w:tcBorders>
              <w:top w:val="single" w:sz="4" w:space="0" w:color="auto"/>
              <w:left w:val="single" w:sz="4" w:space="0" w:color="auto"/>
              <w:bottom w:val="single" w:sz="4" w:space="0" w:color="auto"/>
              <w:right w:val="single" w:sz="4" w:space="0" w:color="auto"/>
            </w:tcBorders>
            <w:vAlign w:val="center"/>
            <w:hideMark/>
          </w:tcPr>
          <w:p w14:paraId="7B97BA1D" w14:textId="77777777" w:rsidR="00592E61" w:rsidRPr="00B960C8" w:rsidRDefault="00592E61">
            <w:pPr>
              <w:spacing w:after="0" w:line="256" w:lineRule="auto"/>
              <w:jc w:val="center"/>
              <w:rPr>
                <w:rFonts w:eastAsia="Calibri" w:cs="Times New Roman"/>
                <w:color w:val="FF0000"/>
              </w:rPr>
            </w:pPr>
            <w:r w:rsidRPr="00E205B4">
              <w:rPr>
                <w:color w:val="C00000"/>
              </w:rPr>
              <w:t>1.40</w:t>
            </w:r>
            <w:r w:rsidRPr="00E205B4">
              <w:rPr>
                <w:color w:val="C00000"/>
              </w:rPr>
              <w:br/>
              <w:t>(1.31-1.50)</w:t>
            </w:r>
          </w:p>
        </w:tc>
        <w:tc>
          <w:tcPr>
            <w:tcW w:w="721" w:type="pct"/>
            <w:tcBorders>
              <w:top w:val="single" w:sz="4" w:space="0" w:color="auto"/>
              <w:left w:val="single" w:sz="4" w:space="0" w:color="auto"/>
              <w:bottom w:val="single" w:sz="4" w:space="0" w:color="auto"/>
              <w:right w:val="single" w:sz="4" w:space="0" w:color="auto"/>
            </w:tcBorders>
            <w:vAlign w:val="center"/>
            <w:hideMark/>
          </w:tcPr>
          <w:p w14:paraId="06CBF3BC" w14:textId="77777777" w:rsidR="00592E61" w:rsidRPr="00E205B4" w:rsidRDefault="00592E61">
            <w:pPr>
              <w:spacing w:after="0" w:line="256" w:lineRule="auto"/>
              <w:jc w:val="center"/>
              <w:rPr>
                <w:rFonts w:eastAsia="Calibri" w:cs="Times New Roman"/>
                <w:color w:val="C00000"/>
              </w:rPr>
            </w:pPr>
            <w:r w:rsidRPr="00E205B4">
              <w:rPr>
                <w:color w:val="C00000"/>
              </w:rPr>
              <w:t>1.35</w:t>
            </w:r>
            <w:r w:rsidRPr="00E205B4">
              <w:rPr>
                <w:color w:val="C00000"/>
              </w:rPr>
              <w:br/>
              <w:t>(1.30-1.40)</w:t>
            </w:r>
          </w:p>
        </w:tc>
      </w:tr>
      <w:tr w:rsidR="00592E61" w14:paraId="240890D7"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3D44E705"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Hemiplegia, paraplegia, paralysis, functional disability (CC 70-74, 103-104, 189-190)</w:t>
            </w:r>
          </w:p>
        </w:tc>
        <w:tc>
          <w:tcPr>
            <w:tcW w:w="721" w:type="pct"/>
            <w:tcBorders>
              <w:top w:val="single" w:sz="4" w:space="0" w:color="auto"/>
              <w:left w:val="single" w:sz="4" w:space="0" w:color="auto"/>
              <w:bottom w:val="single" w:sz="4" w:space="0" w:color="auto"/>
              <w:right w:val="single" w:sz="4" w:space="0" w:color="auto"/>
            </w:tcBorders>
            <w:vAlign w:val="center"/>
            <w:hideMark/>
          </w:tcPr>
          <w:p w14:paraId="175F7B84" w14:textId="77777777" w:rsidR="00592E61" w:rsidRPr="00B960C8" w:rsidRDefault="00592E61">
            <w:pPr>
              <w:spacing w:after="0" w:line="256" w:lineRule="auto"/>
              <w:jc w:val="center"/>
              <w:rPr>
                <w:rFonts w:eastAsia="Calibri" w:cs="Times New Roman"/>
                <w:color w:val="FF0000"/>
              </w:rPr>
            </w:pPr>
            <w:r w:rsidRPr="00E205B4">
              <w:rPr>
                <w:color w:val="C00000"/>
              </w:rPr>
              <w:t>1.27</w:t>
            </w:r>
            <w:r w:rsidRPr="00E205B4">
              <w:rPr>
                <w:color w:val="C00000"/>
              </w:rPr>
              <w:br/>
              <w:t>(1.13-1.43)</w:t>
            </w:r>
          </w:p>
        </w:tc>
        <w:tc>
          <w:tcPr>
            <w:tcW w:w="721" w:type="pct"/>
            <w:tcBorders>
              <w:top w:val="single" w:sz="4" w:space="0" w:color="auto"/>
              <w:left w:val="single" w:sz="4" w:space="0" w:color="auto"/>
              <w:bottom w:val="single" w:sz="4" w:space="0" w:color="auto"/>
              <w:right w:val="single" w:sz="4" w:space="0" w:color="auto"/>
            </w:tcBorders>
            <w:vAlign w:val="center"/>
            <w:hideMark/>
          </w:tcPr>
          <w:p w14:paraId="4512427B"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(1.00-1.28)</w:t>
            </w:r>
          </w:p>
        </w:tc>
        <w:tc>
          <w:tcPr>
            <w:tcW w:w="721" w:type="pct"/>
            <w:tcBorders>
              <w:top w:val="single" w:sz="4" w:space="0" w:color="auto"/>
              <w:left w:val="single" w:sz="4" w:space="0" w:color="auto"/>
              <w:bottom w:val="single" w:sz="4" w:space="0" w:color="auto"/>
              <w:right w:val="single" w:sz="4" w:space="0" w:color="auto"/>
            </w:tcBorders>
            <w:vAlign w:val="center"/>
            <w:hideMark/>
          </w:tcPr>
          <w:p w14:paraId="688D461E" w14:textId="77777777" w:rsidR="00592E61" w:rsidRPr="00B960C8" w:rsidRDefault="00592E61">
            <w:pPr>
              <w:spacing w:after="0" w:line="256" w:lineRule="auto"/>
              <w:jc w:val="center"/>
              <w:rPr>
                <w:rFonts w:eastAsia="Calibri" w:cs="Times New Roman"/>
                <w:color w:val="FF0000"/>
              </w:rPr>
            </w:pPr>
            <w:r w:rsidRPr="00E205B4">
              <w:rPr>
                <w:color w:val="C00000"/>
              </w:rPr>
              <w:t>1.24</w:t>
            </w:r>
            <w:r w:rsidRPr="00E205B4">
              <w:rPr>
                <w:color w:val="C00000"/>
              </w:rPr>
              <w:br/>
              <w:t>(1.10-1.40)</w:t>
            </w:r>
          </w:p>
        </w:tc>
        <w:tc>
          <w:tcPr>
            <w:tcW w:w="721" w:type="pct"/>
            <w:tcBorders>
              <w:top w:val="single" w:sz="4" w:space="0" w:color="auto"/>
              <w:left w:val="single" w:sz="4" w:space="0" w:color="auto"/>
              <w:bottom w:val="single" w:sz="4" w:space="0" w:color="auto"/>
              <w:right w:val="single" w:sz="4" w:space="0" w:color="auto"/>
            </w:tcBorders>
            <w:vAlign w:val="center"/>
            <w:hideMark/>
          </w:tcPr>
          <w:p w14:paraId="0EC7DA26" w14:textId="77777777" w:rsidR="00592E61" w:rsidRPr="00E205B4" w:rsidRDefault="00592E61">
            <w:pPr>
              <w:spacing w:after="0" w:line="256" w:lineRule="auto"/>
              <w:jc w:val="center"/>
              <w:rPr>
                <w:rFonts w:eastAsia="Calibri" w:cs="Times New Roman"/>
                <w:color w:val="C00000"/>
              </w:rPr>
            </w:pPr>
            <w:r w:rsidRPr="00E205B4">
              <w:rPr>
                <w:color w:val="C00000"/>
              </w:rPr>
              <w:t>1.21</w:t>
            </w:r>
            <w:r w:rsidRPr="00E205B4">
              <w:rPr>
                <w:color w:val="C00000"/>
              </w:rPr>
              <w:br/>
              <w:t>(1.13-1.30)</w:t>
            </w:r>
          </w:p>
        </w:tc>
      </w:tr>
      <w:tr w:rsidR="00592E61" w14:paraId="4E501132"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77A941F2"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Polyneuropathy; other neuropathies (CC 75, 81)</w:t>
            </w:r>
          </w:p>
        </w:tc>
        <w:tc>
          <w:tcPr>
            <w:tcW w:w="721" w:type="pct"/>
            <w:tcBorders>
              <w:top w:val="single" w:sz="4" w:space="0" w:color="auto"/>
              <w:left w:val="single" w:sz="4" w:space="0" w:color="auto"/>
              <w:bottom w:val="single" w:sz="4" w:space="0" w:color="auto"/>
              <w:right w:val="single" w:sz="4" w:space="0" w:color="auto"/>
            </w:tcBorders>
            <w:vAlign w:val="center"/>
            <w:hideMark/>
          </w:tcPr>
          <w:p w14:paraId="3353E9CF" w14:textId="77777777" w:rsidR="00592E61" w:rsidRPr="00B960C8" w:rsidRDefault="00592E61">
            <w:pPr>
              <w:spacing w:after="0" w:line="256" w:lineRule="auto"/>
              <w:jc w:val="center"/>
              <w:rPr>
                <w:rFonts w:eastAsia="Calibri" w:cs="Times New Roman"/>
                <w:color w:val="FF0000"/>
              </w:rPr>
            </w:pPr>
            <w:r w:rsidRPr="00E205B4">
              <w:rPr>
                <w:color w:val="C00000"/>
              </w:rPr>
              <w:t>1.08</w:t>
            </w:r>
            <w:r w:rsidRPr="00E205B4">
              <w:rPr>
                <w:color w:val="C00000"/>
              </w:rPr>
              <w:br/>
              <w:t>(1.03-1.13)</w:t>
            </w:r>
          </w:p>
        </w:tc>
        <w:tc>
          <w:tcPr>
            <w:tcW w:w="721" w:type="pct"/>
            <w:tcBorders>
              <w:top w:val="single" w:sz="4" w:space="0" w:color="auto"/>
              <w:left w:val="single" w:sz="4" w:space="0" w:color="auto"/>
              <w:bottom w:val="single" w:sz="4" w:space="0" w:color="auto"/>
              <w:right w:val="single" w:sz="4" w:space="0" w:color="auto"/>
            </w:tcBorders>
            <w:vAlign w:val="center"/>
            <w:hideMark/>
          </w:tcPr>
          <w:p w14:paraId="353D7EA5" w14:textId="77777777" w:rsidR="00592E61" w:rsidRPr="00B960C8" w:rsidRDefault="00592E61">
            <w:pPr>
              <w:spacing w:after="0" w:line="256" w:lineRule="auto"/>
              <w:jc w:val="center"/>
              <w:rPr>
                <w:rFonts w:eastAsia="Calibri" w:cs="Times New Roman"/>
                <w:color w:val="FF0000"/>
              </w:rPr>
            </w:pPr>
            <w:r w:rsidRPr="00E205B4">
              <w:rPr>
                <w:color w:val="C00000"/>
              </w:rPr>
              <w:t>1.12</w:t>
            </w:r>
            <w:r w:rsidRPr="00E205B4">
              <w:rPr>
                <w:color w:val="C00000"/>
              </w:rPr>
              <w:br/>
              <w:t>(1.07-1.17)</w:t>
            </w:r>
          </w:p>
        </w:tc>
        <w:tc>
          <w:tcPr>
            <w:tcW w:w="721" w:type="pct"/>
            <w:tcBorders>
              <w:top w:val="single" w:sz="4" w:space="0" w:color="auto"/>
              <w:left w:val="single" w:sz="4" w:space="0" w:color="auto"/>
              <w:bottom w:val="single" w:sz="4" w:space="0" w:color="auto"/>
              <w:right w:val="single" w:sz="4" w:space="0" w:color="auto"/>
            </w:tcBorders>
            <w:vAlign w:val="center"/>
            <w:hideMark/>
          </w:tcPr>
          <w:p w14:paraId="13304E9F" w14:textId="77777777" w:rsidR="00592E61" w:rsidRPr="00B960C8" w:rsidRDefault="00592E61">
            <w:pPr>
              <w:spacing w:after="0" w:line="256" w:lineRule="auto"/>
              <w:jc w:val="center"/>
              <w:rPr>
                <w:rFonts w:eastAsia="Calibri" w:cs="Times New Roman"/>
                <w:color w:val="FF0000"/>
              </w:rPr>
            </w:pPr>
            <w:r w:rsidRPr="00E205B4">
              <w:rPr>
                <w:color w:val="C00000"/>
              </w:rPr>
              <w:t>1.09</w:t>
            </w:r>
            <w:r w:rsidRPr="00E205B4">
              <w:rPr>
                <w:color w:val="C00000"/>
              </w:rPr>
              <w:br/>
              <w:t>(1.04-1.14)</w:t>
            </w:r>
          </w:p>
        </w:tc>
        <w:tc>
          <w:tcPr>
            <w:tcW w:w="721" w:type="pct"/>
            <w:tcBorders>
              <w:top w:val="single" w:sz="4" w:space="0" w:color="auto"/>
              <w:left w:val="single" w:sz="4" w:space="0" w:color="auto"/>
              <w:bottom w:val="single" w:sz="4" w:space="0" w:color="auto"/>
              <w:right w:val="single" w:sz="4" w:space="0" w:color="auto"/>
            </w:tcBorders>
            <w:vAlign w:val="center"/>
            <w:hideMark/>
          </w:tcPr>
          <w:p w14:paraId="3F44D299" w14:textId="77777777" w:rsidR="00592E61" w:rsidRPr="00E205B4" w:rsidRDefault="00592E61">
            <w:pPr>
              <w:spacing w:after="0" w:line="256" w:lineRule="auto"/>
              <w:jc w:val="center"/>
              <w:rPr>
                <w:rFonts w:eastAsia="Calibri" w:cs="Times New Roman"/>
                <w:color w:val="C00000"/>
              </w:rPr>
            </w:pPr>
            <w:r w:rsidRPr="00E205B4">
              <w:rPr>
                <w:color w:val="C00000"/>
              </w:rPr>
              <w:t>1.10</w:t>
            </w:r>
            <w:r w:rsidRPr="00E205B4">
              <w:rPr>
                <w:color w:val="C00000"/>
              </w:rPr>
              <w:br/>
              <w:t>(1.07-1.13)</w:t>
            </w:r>
          </w:p>
        </w:tc>
      </w:tr>
      <w:tr w:rsidR="00592E61" w14:paraId="1242DBBD"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70B08E4B"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Congestive heart failure (CC 85)</w:t>
            </w:r>
          </w:p>
        </w:tc>
        <w:tc>
          <w:tcPr>
            <w:tcW w:w="721" w:type="pct"/>
            <w:tcBorders>
              <w:top w:val="single" w:sz="4" w:space="0" w:color="auto"/>
              <w:left w:val="single" w:sz="4" w:space="0" w:color="auto"/>
              <w:bottom w:val="single" w:sz="4" w:space="0" w:color="auto"/>
              <w:right w:val="single" w:sz="4" w:space="0" w:color="auto"/>
            </w:tcBorders>
            <w:vAlign w:val="center"/>
            <w:hideMark/>
          </w:tcPr>
          <w:p w14:paraId="404FB900" w14:textId="77777777" w:rsidR="00592E61" w:rsidRPr="00B960C8" w:rsidRDefault="00592E61">
            <w:pPr>
              <w:spacing w:after="0" w:line="256" w:lineRule="auto"/>
              <w:jc w:val="center"/>
              <w:rPr>
                <w:rFonts w:eastAsia="Calibri" w:cs="Times New Roman"/>
                <w:color w:val="FF0000"/>
              </w:rPr>
            </w:pPr>
            <w:r w:rsidRPr="00E205B4">
              <w:rPr>
                <w:color w:val="C00000"/>
              </w:rPr>
              <w:t>1.25</w:t>
            </w:r>
            <w:r w:rsidRPr="00E205B4">
              <w:rPr>
                <w:color w:val="C00000"/>
              </w:rPr>
              <w:br/>
              <w:t>(1.19-1.32)</w:t>
            </w:r>
          </w:p>
        </w:tc>
        <w:tc>
          <w:tcPr>
            <w:tcW w:w="721" w:type="pct"/>
            <w:tcBorders>
              <w:top w:val="single" w:sz="4" w:space="0" w:color="auto"/>
              <w:left w:val="single" w:sz="4" w:space="0" w:color="auto"/>
              <w:bottom w:val="single" w:sz="4" w:space="0" w:color="auto"/>
              <w:right w:val="single" w:sz="4" w:space="0" w:color="auto"/>
            </w:tcBorders>
            <w:vAlign w:val="center"/>
            <w:hideMark/>
          </w:tcPr>
          <w:p w14:paraId="4D790240" w14:textId="77777777" w:rsidR="00592E61" w:rsidRPr="00B960C8" w:rsidRDefault="00592E61">
            <w:pPr>
              <w:spacing w:after="0" w:line="256" w:lineRule="auto"/>
              <w:jc w:val="center"/>
              <w:rPr>
                <w:rFonts w:eastAsia="Calibri" w:cs="Times New Roman"/>
                <w:color w:val="FF0000"/>
              </w:rPr>
            </w:pPr>
            <w:r w:rsidRPr="00E205B4">
              <w:rPr>
                <w:color w:val="C00000"/>
              </w:rPr>
              <w:t>1.27</w:t>
            </w:r>
            <w:r w:rsidRPr="00E205B4">
              <w:rPr>
                <w:color w:val="C00000"/>
              </w:rPr>
              <w:br/>
              <w:t>(1.21-1.34)</w:t>
            </w:r>
          </w:p>
        </w:tc>
        <w:tc>
          <w:tcPr>
            <w:tcW w:w="721" w:type="pct"/>
            <w:tcBorders>
              <w:top w:val="single" w:sz="4" w:space="0" w:color="auto"/>
              <w:left w:val="single" w:sz="4" w:space="0" w:color="auto"/>
              <w:bottom w:val="single" w:sz="4" w:space="0" w:color="auto"/>
              <w:right w:val="single" w:sz="4" w:space="0" w:color="auto"/>
            </w:tcBorders>
            <w:vAlign w:val="center"/>
            <w:hideMark/>
          </w:tcPr>
          <w:p w14:paraId="36583581" w14:textId="77777777" w:rsidR="00592E61" w:rsidRPr="00B960C8" w:rsidRDefault="00592E61">
            <w:pPr>
              <w:spacing w:after="0" w:line="256" w:lineRule="auto"/>
              <w:jc w:val="center"/>
              <w:rPr>
                <w:rFonts w:eastAsia="Calibri" w:cs="Times New Roman"/>
                <w:color w:val="FF0000"/>
              </w:rPr>
            </w:pPr>
            <w:r w:rsidRPr="00E205B4">
              <w:rPr>
                <w:color w:val="C00000"/>
              </w:rPr>
              <w:t>1.29</w:t>
            </w:r>
            <w:r w:rsidRPr="00E205B4">
              <w:rPr>
                <w:color w:val="C00000"/>
              </w:rPr>
              <w:br/>
              <w:t>(1.22-1.36)</w:t>
            </w:r>
          </w:p>
        </w:tc>
        <w:tc>
          <w:tcPr>
            <w:tcW w:w="721" w:type="pct"/>
            <w:tcBorders>
              <w:top w:val="single" w:sz="4" w:space="0" w:color="auto"/>
              <w:left w:val="single" w:sz="4" w:space="0" w:color="auto"/>
              <w:bottom w:val="single" w:sz="4" w:space="0" w:color="auto"/>
              <w:right w:val="single" w:sz="4" w:space="0" w:color="auto"/>
            </w:tcBorders>
            <w:vAlign w:val="center"/>
            <w:hideMark/>
          </w:tcPr>
          <w:p w14:paraId="7109710C" w14:textId="77777777" w:rsidR="00592E61" w:rsidRPr="00E205B4" w:rsidRDefault="00592E61">
            <w:pPr>
              <w:spacing w:after="0" w:line="256" w:lineRule="auto"/>
              <w:jc w:val="center"/>
              <w:rPr>
                <w:rFonts w:eastAsia="Calibri" w:cs="Times New Roman"/>
                <w:color w:val="C00000"/>
              </w:rPr>
            </w:pPr>
            <w:r w:rsidRPr="00E205B4">
              <w:rPr>
                <w:color w:val="C00000"/>
              </w:rPr>
              <w:t>1.27</w:t>
            </w:r>
            <w:r w:rsidRPr="00E205B4">
              <w:rPr>
                <w:color w:val="C00000"/>
              </w:rPr>
              <w:br/>
              <w:t>(1.23-1.31)</w:t>
            </w:r>
          </w:p>
        </w:tc>
      </w:tr>
      <w:tr w:rsidR="00592E61" w14:paraId="7E490BC9"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29F4973C"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lastRenderedPageBreak/>
              <w:t>Coronary atherosclerosis or angina (CC 88-89)</w:t>
            </w:r>
          </w:p>
        </w:tc>
        <w:tc>
          <w:tcPr>
            <w:tcW w:w="721" w:type="pct"/>
            <w:tcBorders>
              <w:top w:val="single" w:sz="4" w:space="0" w:color="auto"/>
              <w:left w:val="single" w:sz="4" w:space="0" w:color="auto"/>
              <w:bottom w:val="single" w:sz="4" w:space="0" w:color="auto"/>
              <w:right w:val="single" w:sz="4" w:space="0" w:color="auto"/>
            </w:tcBorders>
            <w:vAlign w:val="center"/>
            <w:hideMark/>
          </w:tcPr>
          <w:p w14:paraId="275AADC4" w14:textId="77777777" w:rsidR="00592E61" w:rsidRPr="00B960C8" w:rsidRDefault="00592E61">
            <w:pPr>
              <w:spacing w:after="0" w:line="256" w:lineRule="auto"/>
              <w:jc w:val="center"/>
              <w:rPr>
                <w:rFonts w:eastAsia="Calibri" w:cs="Times New Roman"/>
                <w:color w:val="FF0000"/>
              </w:rPr>
            </w:pPr>
            <w:r w:rsidRPr="00E205B4">
              <w:rPr>
                <w:color w:val="C00000"/>
              </w:rPr>
              <w:t>1.20</w:t>
            </w:r>
            <w:r w:rsidRPr="00E205B4">
              <w:rPr>
                <w:color w:val="C00000"/>
              </w:rPr>
              <w:br/>
              <w:t>(1.15-1.25)</w:t>
            </w:r>
          </w:p>
        </w:tc>
        <w:tc>
          <w:tcPr>
            <w:tcW w:w="721" w:type="pct"/>
            <w:tcBorders>
              <w:top w:val="single" w:sz="4" w:space="0" w:color="auto"/>
              <w:left w:val="single" w:sz="4" w:space="0" w:color="auto"/>
              <w:bottom w:val="single" w:sz="4" w:space="0" w:color="auto"/>
              <w:right w:val="single" w:sz="4" w:space="0" w:color="auto"/>
            </w:tcBorders>
            <w:vAlign w:val="center"/>
            <w:hideMark/>
          </w:tcPr>
          <w:p w14:paraId="5CC9114B" w14:textId="77777777" w:rsidR="00592E61" w:rsidRPr="00B960C8" w:rsidRDefault="00592E61">
            <w:pPr>
              <w:spacing w:after="0" w:line="256" w:lineRule="auto"/>
              <w:jc w:val="center"/>
              <w:rPr>
                <w:rFonts w:eastAsia="Calibri" w:cs="Times New Roman"/>
                <w:color w:val="FF0000"/>
              </w:rPr>
            </w:pPr>
            <w:r w:rsidRPr="00E205B4">
              <w:rPr>
                <w:color w:val="C00000"/>
              </w:rPr>
              <w:t>1.21</w:t>
            </w:r>
            <w:r w:rsidRPr="00E205B4">
              <w:rPr>
                <w:color w:val="C00000"/>
              </w:rPr>
              <w:br/>
              <w:t>(1.16-1.26)</w:t>
            </w:r>
          </w:p>
        </w:tc>
        <w:tc>
          <w:tcPr>
            <w:tcW w:w="721" w:type="pct"/>
            <w:tcBorders>
              <w:top w:val="single" w:sz="4" w:space="0" w:color="auto"/>
              <w:left w:val="single" w:sz="4" w:space="0" w:color="auto"/>
              <w:bottom w:val="single" w:sz="4" w:space="0" w:color="auto"/>
              <w:right w:val="single" w:sz="4" w:space="0" w:color="auto"/>
            </w:tcBorders>
            <w:vAlign w:val="center"/>
            <w:hideMark/>
          </w:tcPr>
          <w:p w14:paraId="28A942F7" w14:textId="77777777" w:rsidR="00592E61" w:rsidRPr="00B960C8" w:rsidRDefault="00592E61">
            <w:pPr>
              <w:spacing w:after="0" w:line="256" w:lineRule="auto"/>
              <w:jc w:val="center"/>
              <w:rPr>
                <w:rFonts w:eastAsia="Calibri" w:cs="Times New Roman"/>
                <w:color w:val="FF0000"/>
              </w:rPr>
            </w:pPr>
            <w:r w:rsidRPr="00E205B4">
              <w:rPr>
                <w:color w:val="C00000"/>
              </w:rPr>
              <w:t>1.17</w:t>
            </w:r>
            <w:r w:rsidRPr="00E205B4">
              <w:rPr>
                <w:color w:val="C00000"/>
              </w:rPr>
              <w:br/>
              <w:t>(1.12-1.22)</w:t>
            </w:r>
          </w:p>
        </w:tc>
        <w:tc>
          <w:tcPr>
            <w:tcW w:w="721" w:type="pct"/>
            <w:tcBorders>
              <w:top w:val="single" w:sz="4" w:space="0" w:color="auto"/>
              <w:left w:val="single" w:sz="4" w:space="0" w:color="auto"/>
              <w:bottom w:val="single" w:sz="4" w:space="0" w:color="auto"/>
              <w:right w:val="single" w:sz="4" w:space="0" w:color="auto"/>
            </w:tcBorders>
            <w:vAlign w:val="center"/>
            <w:hideMark/>
          </w:tcPr>
          <w:p w14:paraId="007AB39C" w14:textId="77777777" w:rsidR="00592E61" w:rsidRPr="00E205B4" w:rsidRDefault="00592E61">
            <w:pPr>
              <w:spacing w:after="0" w:line="256" w:lineRule="auto"/>
              <w:jc w:val="center"/>
              <w:rPr>
                <w:rFonts w:eastAsia="Calibri" w:cs="Times New Roman"/>
                <w:color w:val="C00000"/>
              </w:rPr>
            </w:pPr>
            <w:r w:rsidRPr="00E205B4">
              <w:rPr>
                <w:color w:val="C00000"/>
              </w:rPr>
              <w:t>1.19</w:t>
            </w:r>
            <w:r w:rsidRPr="00E205B4">
              <w:rPr>
                <w:color w:val="C00000"/>
              </w:rPr>
              <w:br/>
              <w:t>(1.16-1.22)</w:t>
            </w:r>
          </w:p>
        </w:tc>
      </w:tr>
      <w:tr w:rsidR="00592E61" w14:paraId="3D8AF55C"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53560CFD"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Hypertension (CC 95)</w:t>
            </w:r>
          </w:p>
        </w:tc>
        <w:tc>
          <w:tcPr>
            <w:tcW w:w="721" w:type="pct"/>
            <w:tcBorders>
              <w:top w:val="single" w:sz="4" w:space="0" w:color="auto"/>
              <w:left w:val="single" w:sz="4" w:space="0" w:color="auto"/>
              <w:bottom w:val="single" w:sz="4" w:space="0" w:color="auto"/>
              <w:right w:val="single" w:sz="4" w:space="0" w:color="auto"/>
            </w:tcBorders>
            <w:vAlign w:val="center"/>
            <w:hideMark/>
          </w:tcPr>
          <w:p w14:paraId="273D2BBD" w14:textId="77777777" w:rsidR="00592E61" w:rsidRPr="00B960C8" w:rsidRDefault="00592E61">
            <w:pPr>
              <w:spacing w:after="0" w:line="256" w:lineRule="auto"/>
              <w:jc w:val="center"/>
              <w:rPr>
                <w:rFonts w:eastAsia="Calibri" w:cs="Times New Roman"/>
                <w:color w:val="FF0000"/>
              </w:rPr>
            </w:pPr>
            <w:r w:rsidRPr="00E205B4">
              <w:rPr>
                <w:color w:val="C00000"/>
              </w:rPr>
              <w:t>1.18</w:t>
            </w:r>
            <w:r w:rsidRPr="00E205B4">
              <w:rPr>
                <w:color w:val="C00000"/>
              </w:rPr>
              <w:br/>
              <w:t>(1.12-1.23)</w:t>
            </w:r>
          </w:p>
        </w:tc>
        <w:tc>
          <w:tcPr>
            <w:tcW w:w="721" w:type="pct"/>
            <w:tcBorders>
              <w:top w:val="single" w:sz="4" w:space="0" w:color="auto"/>
              <w:left w:val="single" w:sz="4" w:space="0" w:color="auto"/>
              <w:bottom w:val="single" w:sz="4" w:space="0" w:color="auto"/>
              <w:right w:val="single" w:sz="4" w:space="0" w:color="auto"/>
            </w:tcBorders>
            <w:vAlign w:val="center"/>
            <w:hideMark/>
          </w:tcPr>
          <w:p w14:paraId="70C3C5BA" w14:textId="77777777" w:rsidR="00592E61" w:rsidRPr="00B960C8" w:rsidRDefault="00592E61">
            <w:pPr>
              <w:spacing w:after="0" w:line="256" w:lineRule="auto"/>
              <w:jc w:val="center"/>
              <w:rPr>
                <w:rFonts w:eastAsia="Calibri" w:cs="Times New Roman"/>
                <w:color w:val="FF0000"/>
              </w:rPr>
            </w:pPr>
            <w:r w:rsidRPr="00E205B4">
              <w:rPr>
                <w:color w:val="C00000"/>
              </w:rPr>
              <w:t>1.19</w:t>
            </w:r>
            <w:r w:rsidRPr="00E205B4">
              <w:rPr>
                <w:color w:val="C00000"/>
              </w:rPr>
              <w:br/>
              <w:t>(1.13-1.25)</w:t>
            </w:r>
          </w:p>
        </w:tc>
        <w:tc>
          <w:tcPr>
            <w:tcW w:w="721" w:type="pct"/>
            <w:tcBorders>
              <w:top w:val="single" w:sz="4" w:space="0" w:color="auto"/>
              <w:left w:val="single" w:sz="4" w:space="0" w:color="auto"/>
              <w:bottom w:val="single" w:sz="4" w:space="0" w:color="auto"/>
              <w:right w:val="single" w:sz="4" w:space="0" w:color="auto"/>
            </w:tcBorders>
            <w:vAlign w:val="center"/>
            <w:hideMark/>
          </w:tcPr>
          <w:p w14:paraId="21856922" w14:textId="77777777" w:rsidR="00592E61" w:rsidRPr="00B960C8" w:rsidRDefault="00592E61">
            <w:pPr>
              <w:spacing w:after="0" w:line="256" w:lineRule="auto"/>
              <w:jc w:val="center"/>
              <w:rPr>
                <w:rFonts w:eastAsia="Calibri" w:cs="Times New Roman"/>
                <w:color w:val="FF0000"/>
              </w:rPr>
            </w:pPr>
            <w:r w:rsidRPr="00E205B4">
              <w:rPr>
                <w:color w:val="C00000"/>
              </w:rPr>
              <w:t>1.19</w:t>
            </w:r>
            <w:r w:rsidRPr="00E205B4">
              <w:rPr>
                <w:color w:val="C00000"/>
              </w:rPr>
              <w:br/>
              <w:t>(1.13-1.25)</w:t>
            </w:r>
          </w:p>
        </w:tc>
        <w:tc>
          <w:tcPr>
            <w:tcW w:w="721" w:type="pct"/>
            <w:tcBorders>
              <w:top w:val="single" w:sz="4" w:space="0" w:color="auto"/>
              <w:left w:val="single" w:sz="4" w:space="0" w:color="auto"/>
              <w:bottom w:val="single" w:sz="4" w:space="0" w:color="auto"/>
              <w:right w:val="single" w:sz="4" w:space="0" w:color="auto"/>
            </w:tcBorders>
            <w:vAlign w:val="center"/>
            <w:hideMark/>
          </w:tcPr>
          <w:p w14:paraId="161EFADF" w14:textId="77777777" w:rsidR="00592E61" w:rsidRPr="00E205B4" w:rsidRDefault="00592E61">
            <w:pPr>
              <w:spacing w:after="0" w:line="256" w:lineRule="auto"/>
              <w:jc w:val="center"/>
              <w:rPr>
                <w:rFonts w:eastAsia="Calibri" w:cs="Times New Roman"/>
                <w:color w:val="C00000"/>
              </w:rPr>
            </w:pPr>
            <w:r w:rsidRPr="00E205B4">
              <w:rPr>
                <w:color w:val="C00000"/>
              </w:rPr>
              <w:t>1.18</w:t>
            </w:r>
            <w:r w:rsidRPr="00E205B4">
              <w:rPr>
                <w:color w:val="C00000"/>
              </w:rPr>
              <w:br/>
              <w:t>(1.14-1.21)</w:t>
            </w:r>
          </w:p>
        </w:tc>
      </w:tr>
      <w:tr w:rsidR="00592E61" w14:paraId="5EFFDE91"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6F394AE"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Specified arrhythmias and other heart rhythm disorders (CC 96-97)</w:t>
            </w:r>
          </w:p>
        </w:tc>
        <w:tc>
          <w:tcPr>
            <w:tcW w:w="721" w:type="pct"/>
            <w:tcBorders>
              <w:top w:val="single" w:sz="4" w:space="0" w:color="auto"/>
              <w:left w:val="single" w:sz="4" w:space="0" w:color="auto"/>
              <w:bottom w:val="single" w:sz="4" w:space="0" w:color="auto"/>
              <w:right w:val="single" w:sz="4" w:space="0" w:color="auto"/>
            </w:tcBorders>
            <w:vAlign w:val="center"/>
            <w:hideMark/>
          </w:tcPr>
          <w:p w14:paraId="199B8AEA" w14:textId="77777777" w:rsidR="00592E61" w:rsidRPr="00B960C8" w:rsidRDefault="00592E61">
            <w:pPr>
              <w:spacing w:after="0" w:line="256" w:lineRule="auto"/>
              <w:jc w:val="center"/>
              <w:rPr>
                <w:rFonts w:eastAsia="Calibri" w:cs="Times New Roman"/>
                <w:color w:val="FF0000"/>
              </w:rPr>
            </w:pPr>
            <w:r w:rsidRPr="00E205B4">
              <w:rPr>
                <w:color w:val="C00000"/>
              </w:rPr>
              <w:t>1.19</w:t>
            </w:r>
            <w:r w:rsidRPr="00E205B4">
              <w:rPr>
                <w:color w:val="C00000"/>
              </w:rPr>
              <w:br/>
              <w:t>(1.15-1.24)</w:t>
            </w:r>
          </w:p>
        </w:tc>
        <w:tc>
          <w:tcPr>
            <w:tcW w:w="721" w:type="pct"/>
            <w:tcBorders>
              <w:top w:val="single" w:sz="4" w:space="0" w:color="auto"/>
              <w:left w:val="single" w:sz="4" w:space="0" w:color="auto"/>
              <w:bottom w:val="single" w:sz="4" w:space="0" w:color="auto"/>
              <w:right w:val="single" w:sz="4" w:space="0" w:color="auto"/>
            </w:tcBorders>
            <w:vAlign w:val="center"/>
            <w:hideMark/>
          </w:tcPr>
          <w:p w14:paraId="7F2CF338" w14:textId="77777777" w:rsidR="00592E61" w:rsidRPr="00B960C8" w:rsidRDefault="00592E61">
            <w:pPr>
              <w:spacing w:after="0" w:line="256" w:lineRule="auto"/>
              <w:jc w:val="center"/>
              <w:rPr>
                <w:rFonts w:eastAsia="Calibri" w:cs="Times New Roman"/>
                <w:color w:val="FF0000"/>
              </w:rPr>
            </w:pPr>
            <w:r w:rsidRPr="00E205B4">
              <w:rPr>
                <w:color w:val="C00000"/>
              </w:rPr>
              <w:t>1.14</w:t>
            </w:r>
            <w:r w:rsidRPr="00E205B4">
              <w:rPr>
                <w:color w:val="C00000"/>
              </w:rPr>
              <w:br/>
              <w:t>(1.10-1.19)</w:t>
            </w:r>
          </w:p>
        </w:tc>
        <w:tc>
          <w:tcPr>
            <w:tcW w:w="721" w:type="pct"/>
            <w:tcBorders>
              <w:top w:val="single" w:sz="4" w:space="0" w:color="auto"/>
              <w:left w:val="single" w:sz="4" w:space="0" w:color="auto"/>
              <w:bottom w:val="single" w:sz="4" w:space="0" w:color="auto"/>
              <w:right w:val="single" w:sz="4" w:space="0" w:color="auto"/>
            </w:tcBorders>
            <w:vAlign w:val="center"/>
            <w:hideMark/>
          </w:tcPr>
          <w:p w14:paraId="7A7B9EBB" w14:textId="77777777" w:rsidR="00592E61" w:rsidRPr="00B960C8" w:rsidRDefault="00592E61">
            <w:pPr>
              <w:spacing w:after="0" w:line="256" w:lineRule="auto"/>
              <w:jc w:val="center"/>
              <w:rPr>
                <w:rFonts w:eastAsia="Calibri" w:cs="Times New Roman"/>
                <w:color w:val="FF0000"/>
              </w:rPr>
            </w:pPr>
            <w:r w:rsidRPr="00E205B4">
              <w:rPr>
                <w:color w:val="C00000"/>
              </w:rPr>
              <w:t>1.20</w:t>
            </w:r>
            <w:r w:rsidRPr="00E205B4">
              <w:rPr>
                <w:color w:val="C00000"/>
              </w:rPr>
              <w:br/>
              <w:t>(1.15-1.25)</w:t>
            </w:r>
          </w:p>
        </w:tc>
        <w:tc>
          <w:tcPr>
            <w:tcW w:w="721" w:type="pct"/>
            <w:tcBorders>
              <w:top w:val="single" w:sz="4" w:space="0" w:color="auto"/>
              <w:left w:val="single" w:sz="4" w:space="0" w:color="auto"/>
              <w:bottom w:val="single" w:sz="4" w:space="0" w:color="auto"/>
              <w:right w:val="single" w:sz="4" w:space="0" w:color="auto"/>
            </w:tcBorders>
            <w:vAlign w:val="center"/>
            <w:hideMark/>
          </w:tcPr>
          <w:p w14:paraId="738561A5" w14:textId="77777777" w:rsidR="00592E61" w:rsidRPr="00E205B4" w:rsidRDefault="00592E61">
            <w:pPr>
              <w:spacing w:after="0" w:line="256" w:lineRule="auto"/>
              <w:jc w:val="center"/>
              <w:rPr>
                <w:rFonts w:eastAsia="Calibri" w:cs="Times New Roman"/>
                <w:color w:val="C00000"/>
              </w:rPr>
            </w:pPr>
            <w:r w:rsidRPr="00E205B4">
              <w:rPr>
                <w:color w:val="C00000"/>
              </w:rPr>
              <w:t>1.18</w:t>
            </w:r>
            <w:r w:rsidRPr="00E205B4">
              <w:rPr>
                <w:color w:val="C00000"/>
              </w:rPr>
              <w:br/>
              <w:t>(1.15-1.21)</w:t>
            </w:r>
          </w:p>
        </w:tc>
      </w:tr>
      <w:tr w:rsidR="00592E61" w14:paraId="63A94B1A"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190A429C"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Stroke (CC 99-100)</w:t>
            </w:r>
          </w:p>
        </w:tc>
        <w:tc>
          <w:tcPr>
            <w:tcW w:w="721" w:type="pct"/>
            <w:tcBorders>
              <w:top w:val="single" w:sz="4" w:space="0" w:color="auto"/>
              <w:left w:val="single" w:sz="4" w:space="0" w:color="auto"/>
              <w:bottom w:val="single" w:sz="4" w:space="0" w:color="auto"/>
              <w:right w:val="single" w:sz="4" w:space="0" w:color="auto"/>
            </w:tcBorders>
            <w:vAlign w:val="center"/>
            <w:hideMark/>
          </w:tcPr>
          <w:p w14:paraId="39AA1DA9"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(1.02-1.25)</w:t>
            </w:r>
          </w:p>
        </w:tc>
        <w:tc>
          <w:tcPr>
            <w:tcW w:w="721" w:type="pct"/>
            <w:tcBorders>
              <w:top w:val="single" w:sz="4" w:space="0" w:color="auto"/>
              <w:left w:val="single" w:sz="4" w:space="0" w:color="auto"/>
              <w:bottom w:val="single" w:sz="4" w:space="0" w:color="auto"/>
              <w:right w:val="single" w:sz="4" w:space="0" w:color="auto"/>
            </w:tcBorders>
            <w:vAlign w:val="center"/>
            <w:hideMark/>
          </w:tcPr>
          <w:p w14:paraId="4E409EB5" w14:textId="77777777" w:rsidR="00592E61" w:rsidRPr="00B960C8" w:rsidRDefault="00592E61">
            <w:pPr>
              <w:spacing w:after="0" w:line="256" w:lineRule="auto"/>
              <w:jc w:val="center"/>
              <w:rPr>
                <w:rFonts w:eastAsia="Calibri" w:cs="Times New Roman"/>
                <w:color w:val="FF0000"/>
              </w:rPr>
            </w:pPr>
            <w:r w:rsidRPr="00E205B4">
              <w:rPr>
                <w:color w:val="C00000"/>
              </w:rPr>
              <w:t>1.23</w:t>
            </w:r>
            <w:r w:rsidRPr="00E205B4">
              <w:rPr>
                <w:color w:val="C00000"/>
              </w:rPr>
              <w:br/>
              <w:t>(1.11-1.36)</w:t>
            </w:r>
          </w:p>
        </w:tc>
        <w:tc>
          <w:tcPr>
            <w:tcW w:w="721" w:type="pct"/>
            <w:tcBorders>
              <w:top w:val="single" w:sz="4" w:space="0" w:color="auto"/>
              <w:left w:val="single" w:sz="4" w:space="0" w:color="auto"/>
              <w:bottom w:val="single" w:sz="4" w:space="0" w:color="auto"/>
              <w:right w:val="single" w:sz="4" w:space="0" w:color="auto"/>
            </w:tcBorders>
            <w:vAlign w:val="center"/>
            <w:hideMark/>
          </w:tcPr>
          <w:p w14:paraId="20155614" w14:textId="77777777" w:rsidR="00592E61" w:rsidRPr="00B960C8" w:rsidRDefault="00592E61">
            <w:pPr>
              <w:spacing w:after="0" w:line="256" w:lineRule="auto"/>
              <w:jc w:val="center"/>
              <w:rPr>
                <w:rFonts w:eastAsia="Calibri" w:cs="Times New Roman"/>
                <w:color w:val="FF0000"/>
              </w:rPr>
            </w:pPr>
            <w:r w:rsidRPr="00E205B4">
              <w:rPr>
                <w:color w:val="C00000"/>
              </w:rPr>
              <w:t>1.17</w:t>
            </w:r>
            <w:r w:rsidRPr="00E205B4">
              <w:rPr>
                <w:color w:val="C00000"/>
              </w:rPr>
              <w:br/>
              <w:t>(1.05-1.30)</w:t>
            </w:r>
          </w:p>
        </w:tc>
        <w:tc>
          <w:tcPr>
            <w:tcW w:w="721" w:type="pct"/>
            <w:tcBorders>
              <w:top w:val="single" w:sz="4" w:space="0" w:color="auto"/>
              <w:left w:val="single" w:sz="4" w:space="0" w:color="auto"/>
              <w:bottom w:val="single" w:sz="4" w:space="0" w:color="auto"/>
              <w:right w:val="single" w:sz="4" w:space="0" w:color="auto"/>
            </w:tcBorders>
            <w:vAlign w:val="center"/>
            <w:hideMark/>
          </w:tcPr>
          <w:p w14:paraId="6D940C50" w14:textId="77777777" w:rsidR="00592E61" w:rsidRPr="00E205B4" w:rsidRDefault="00592E61">
            <w:pPr>
              <w:spacing w:after="0" w:line="256" w:lineRule="auto"/>
              <w:jc w:val="center"/>
              <w:rPr>
                <w:rFonts w:eastAsia="Calibri" w:cs="Times New Roman"/>
                <w:color w:val="C00000"/>
              </w:rPr>
            </w:pPr>
            <w:r w:rsidRPr="00E205B4">
              <w:rPr>
                <w:color w:val="C00000"/>
              </w:rPr>
              <w:t>1.17</w:t>
            </w:r>
            <w:r w:rsidRPr="00E205B4">
              <w:rPr>
                <w:color w:val="C00000"/>
              </w:rPr>
              <w:br/>
              <w:t>(1.11-1.25)</w:t>
            </w:r>
          </w:p>
        </w:tc>
      </w:tr>
      <w:tr w:rsidR="00592E61" w14:paraId="494B48FD"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70B30FF7"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Vascular or circulatory disease (CC 106-109)</w:t>
            </w:r>
          </w:p>
        </w:tc>
        <w:tc>
          <w:tcPr>
            <w:tcW w:w="721" w:type="pct"/>
            <w:tcBorders>
              <w:top w:val="single" w:sz="4" w:space="0" w:color="auto"/>
              <w:left w:val="single" w:sz="4" w:space="0" w:color="auto"/>
              <w:bottom w:val="single" w:sz="4" w:space="0" w:color="auto"/>
              <w:right w:val="single" w:sz="4" w:space="0" w:color="auto"/>
            </w:tcBorders>
            <w:vAlign w:val="center"/>
            <w:hideMark/>
          </w:tcPr>
          <w:p w14:paraId="207869AC"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(1.08-1.17)</w:t>
            </w:r>
          </w:p>
        </w:tc>
        <w:tc>
          <w:tcPr>
            <w:tcW w:w="721" w:type="pct"/>
            <w:tcBorders>
              <w:top w:val="single" w:sz="4" w:space="0" w:color="auto"/>
              <w:left w:val="single" w:sz="4" w:space="0" w:color="auto"/>
              <w:bottom w:val="single" w:sz="4" w:space="0" w:color="auto"/>
              <w:right w:val="single" w:sz="4" w:space="0" w:color="auto"/>
            </w:tcBorders>
            <w:vAlign w:val="center"/>
            <w:hideMark/>
          </w:tcPr>
          <w:p w14:paraId="467AB789"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(1.09-1.18)</w:t>
            </w:r>
          </w:p>
        </w:tc>
        <w:tc>
          <w:tcPr>
            <w:tcW w:w="721" w:type="pct"/>
            <w:tcBorders>
              <w:top w:val="single" w:sz="4" w:space="0" w:color="auto"/>
              <w:left w:val="single" w:sz="4" w:space="0" w:color="auto"/>
              <w:bottom w:val="single" w:sz="4" w:space="0" w:color="auto"/>
              <w:right w:val="single" w:sz="4" w:space="0" w:color="auto"/>
            </w:tcBorders>
            <w:vAlign w:val="center"/>
            <w:hideMark/>
          </w:tcPr>
          <w:p w14:paraId="6CDFEA9E" w14:textId="77777777" w:rsidR="00592E61" w:rsidRPr="00B960C8" w:rsidRDefault="00592E61">
            <w:pPr>
              <w:spacing w:after="0" w:line="256" w:lineRule="auto"/>
              <w:jc w:val="center"/>
              <w:rPr>
                <w:rFonts w:eastAsia="Calibri" w:cs="Times New Roman"/>
                <w:color w:val="FF0000"/>
              </w:rPr>
            </w:pPr>
            <w:r w:rsidRPr="00E205B4">
              <w:rPr>
                <w:color w:val="C00000"/>
              </w:rPr>
              <w:t>1.16</w:t>
            </w:r>
            <w:r w:rsidRPr="00E205B4">
              <w:rPr>
                <w:color w:val="C00000"/>
              </w:rPr>
              <w:br/>
              <w:t>(1.11-1.21)</w:t>
            </w:r>
          </w:p>
        </w:tc>
        <w:tc>
          <w:tcPr>
            <w:tcW w:w="721" w:type="pct"/>
            <w:tcBorders>
              <w:top w:val="single" w:sz="4" w:space="0" w:color="auto"/>
              <w:left w:val="single" w:sz="4" w:space="0" w:color="auto"/>
              <w:bottom w:val="single" w:sz="4" w:space="0" w:color="auto"/>
              <w:right w:val="single" w:sz="4" w:space="0" w:color="auto"/>
            </w:tcBorders>
            <w:vAlign w:val="center"/>
            <w:hideMark/>
          </w:tcPr>
          <w:p w14:paraId="6538A628" w14:textId="77777777" w:rsidR="00592E61" w:rsidRPr="00E205B4" w:rsidRDefault="00592E61">
            <w:pPr>
              <w:spacing w:after="0" w:line="256" w:lineRule="auto"/>
              <w:jc w:val="center"/>
              <w:rPr>
                <w:rFonts w:eastAsia="Calibri" w:cs="Times New Roman"/>
                <w:color w:val="C00000"/>
              </w:rPr>
            </w:pPr>
            <w:r w:rsidRPr="00E205B4">
              <w:rPr>
                <w:color w:val="C00000"/>
              </w:rPr>
              <w:t>1.14</w:t>
            </w:r>
            <w:r w:rsidRPr="00E205B4">
              <w:rPr>
                <w:color w:val="C00000"/>
              </w:rPr>
              <w:br/>
              <w:t>(1.11-1.16)</w:t>
            </w:r>
          </w:p>
        </w:tc>
      </w:tr>
      <w:tr w:rsidR="00592E61" w14:paraId="2624D5E1"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683BE06F"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Chronic obstructive pulmonary disease (COPD) (CC 111)</w:t>
            </w:r>
          </w:p>
        </w:tc>
        <w:tc>
          <w:tcPr>
            <w:tcW w:w="721" w:type="pct"/>
            <w:tcBorders>
              <w:top w:val="single" w:sz="4" w:space="0" w:color="auto"/>
              <w:left w:val="single" w:sz="4" w:space="0" w:color="auto"/>
              <w:bottom w:val="single" w:sz="4" w:space="0" w:color="auto"/>
              <w:right w:val="single" w:sz="4" w:space="0" w:color="auto"/>
            </w:tcBorders>
            <w:vAlign w:val="center"/>
            <w:hideMark/>
          </w:tcPr>
          <w:p w14:paraId="5C1DE9F3" w14:textId="77777777" w:rsidR="00592E61" w:rsidRPr="00B960C8" w:rsidRDefault="00592E61">
            <w:pPr>
              <w:spacing w:after="0" w:line="256" w:lineRule="auto"/>
              <w:jc w:val="center"/>
              <w:rPr>
                <w:rFonts w:eastAsia="Calibri" w:cs="Times New Roman"/>
                <w:color w:val="FF0000"/>
              </w:rPr>
            </w:pPr>
            <w:r w:rsidRPr="00E205B4">
              <w:rPr>
                <w:color w:val="C00000"/>
              </w:rPr>
              <w:t>1.46</w:t>
            </w:r>
            <w:r w:rsidRPr="00E205B4">
              <w:rPr>
                <w:color w:val="C00000"/>
              </w:rPr>
              <w:br/>
              <w:t>(1.39-1.52)</w:t>
            </w:r>
          </w:p>
        </w:tc>
        <w:tc>
          <w:tcPr>
            <w:tcW w:w="721" w:type="pct"/>
            <w:tcBorders>
              <w:top w:val="single" w:sz="4" w:space="0" w:color="auto"/>
              <w:left w:val="single" w:sz="4" w:space="0" w:color="auto"/>
              <w:bottom w:val="single" w:sz="4" w:space="0" w:color="auto"/>
              <w:right w:val="single" w:sz="4" w:space="0" w:color="auto"/>
            </w:tcBorders>
            <w:vAlign w:val="center"/>
            <w:hideMark/>
          </w:tcPr>
          <w:p w14:paraId="02A4F123" w14:textId="77777777" w:rsidR="00592E61" w:rsidRPr="00B960C8" w:rsidRDefault="00592E61">
            <w:pPr>
              <w:spacing w:after="0" w:line="256" w:lineRule="auto"/>
              <w:jc w:val="center"/>
              <w:rPr>
                <w:rFonts w:eastAsia="Calibri" w:cs="Times New Roman"/>
                <w:color w:val="FF0000"/>
              </w:rPr>
            </w:pPr>
            <w:r w:rsidRPr="00E205B4">
              <w:rPr>
                <w:color w:val="C00000"/>
              </w:rPr>
              <w:t>1.40</w:t>
            </w:r>
            <w:r w:rsidRPr="00E205B4">
              <w:rPr>
                <w:color w:val="C00000"/>
              </w:rPr>
              <w:br/>
              <w:t>(1.33-1.47)</w:t>
            </w:r>
          </w:p>
        </w:tc>
        <w:tc>
          <w:tcPr>
            <w:tcW w:w="721" w:type="pct"/>
            <w:tcBorders>
              <w:top w:val="single" w:sz="4" w:space="0" w:color="auto"/>
              <w:left w:val="single" w:sz="4" w:space="0" w:color="auto"/>
              <w:bottom w:val="single" w:sz="4" w:space="0" w:color="auto"/>
              <w:right w:val="single" w:sz="4" w:space="0" w:color="auto"/>
            </w:tcBorders>
            <w:vAlign w:val="center"/>
            <w:hideMark/>
          </w:tcPr>
          <w:p w14:paraId="0CC387BC" w14:textId="77777777" w:rsidR="00592E61" w:rsidRPr="00B960C8" w:rsidRDefault="00592E61">
            <w:pPr>
              <w:spacing w:after="0" w:line="256" w:lineRule="auto"/>
              <w:jc w:val="center"/>
              <w:rPr>
                <w:rFonts w:eastAsia="Calibri" w:cs="Times New Roman"/>
                <w:color w:val="FF0000"/>
              </w:rPr>
            </w:pPr>
            <w:r w:rsidRPr="00E205B4">
              <w:rPr>
                <w:color w:val="C00000"/>
              </w:rPr>
              <w:t>1.49</w:t>
            </w:r>
            <w:r w:rsidRPr="00E205B4">
              <w:rPr>
                <w:color w:val="C00000"/>
              </w:rPr>
              <w:br/>
              <w:t>(1.41-1.56)</w:t>
            </w:r>
          </w:p>
        </w:tc>
        <w:tc>
          <w:tcPr>
            <w:tcW w:w="721" w:type="pct"/>
            <w:tcBorders>
              <w:top w:val="single" w:sz="4" w:space="0" w:color="auto"/>
              <w:left w:val="single" w:sz="4" w:space="0" w:color="auto"/>
              <w:bottom w:val="single" w:sz="4" w:space="0" w:color="auto"/>
              <w:right w:val="single" w:sz="4" w:space="0" w:color="auto"/>
            </w:tcBorders>
            <w:vAlign w:val="center"/>
            <w:hideMark/>
          </w:tcPr>
          <w:p w14:paraId="443AFDBB" w14:textId="77777777" w:rsidR="00592E61" w:rsidRPr="00E205B4" w:rsidRDefault="00592E61">
            <w:pPr>
              <w:spacing w:after="0" w:line="256" w:lineRule="auto"/>
              <w:jc w:val="center"/>
              <w:rPr>
                <w:rFonts w:eastAsia="Calibri" w:cs="Times New Roman"/>
                <w:color w:val="C00000"/>
              </w:rPr>
            </w:pPr>
            <w:r w:rsidRPr="00E205B4">
              <w:rPr>
                <w:color w:val="C00000"/>
              </w:rPr>
              <w:t>1.44</w:t>
            </w:r>
            <w:r w:rsidRPr="00E205B4">
              <w:rPr>
                <w:color w:val="C00000"/>
              </w:rPr>
              <w:br/>
              <w:t>(1.40-1.48)</w:t>
            </w:r>
          </w:p>
        </w:tc>
      </w:tr>
      <w:tr w:rsidR="00592E61" w14:paraId="26565765"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6E2DD2F4"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Pneumonia (CC 114-116)</w:t>
            </w:r>
          </w:p>
        </w:tc>
        <w:tc>
          <w:tcPr>
            <w:tcW w:w="721" w:type="pct"/>
            <w:tcBorders>
              <w:top w:val="single" w:sz="4" w:space="0" w:color="auto"/>
              <w:left w:val="single" w:sz="4" w:space="0" w:color="auto"/>
              <w:bottom w:val="single" w:sz="4" w:space="0" w:color="auto"/>
              <w:right w:val="single" w:sz="4" w:space="0" w:color="auto"/>
            </w:tcBorders>
            <w:vAlign w:val="center"/>
            <w:hideMark/>
          </w:tcPr>
          <w:p w14:paraId="6F02E003" w14:textId="77777777" w:rsidR="00592E61" w:rsidRPr="00B960C8" w:rsidRDefault="00592E61">
            <w:pPr>
              <w:spacing w:after="0" w:line="256" w:lineRule="auto"/>
              <w:jc w:val="center"/>
              <w:rPr>
                <w:rFonts w:eastAsia="Calibri" w:cs="Times New Roman"/>
                <w:color w:val="FF0000"/>
              </w:rPr>
            </w:pPr>
            <w:r w:rsidRPr="00E205B4">
              <w:rPr>
                <w:color w:val="C00000"/>
              </w:rPr>
              <w:t>1.10</w:t>
            </w:r>
            <w:r w:rsidRPr="00E205B4">
              <w:rPr>
                <w:color w:val="C00000"/>
              </w:rPr>
              <w:br/>
              <w:t>(1.02-1.18)</w:t>
            </w:r>
          </w:p>
        </w:tc>
        <w:tc>
          <w:tcPr>
            <w:tcW w:w="721" w:type="pct"/>
            <w:tcBorders>
              <w:top w:val="single" w:sz="4" w:space="0" w:color="auto"/>
              <w:left w:val="single" w:sz="4" w:space="0" w:color="auto"/>
              <w:bottom w:val="single" w:sz="4" w:space="0" w:color="auto"/>
              <w:right w:val="single" w:sz="4" w:space="0" w:color="auto"/>
            </w:tcBorders>
            <w:vAlign w:val="center"/>
            <w:hideMark/>
          </w:tcPr>
          <w:p w14:paraId="5C58B937" w14:textId="77777777" w:rsidR="00592E61" w:rsidRPr="00B960C8" w:rsidRDefault="00592E61">
            <w:pPr>
              <w:spacing w:after="0" w:line="256" w:lineRule="auto"/>
              <w:jc w:val="center"/>
              <w:rPr>
                <w:rFonts w:eastAsia="Calibri" w:cs="Times New Roman"/>
                <w:color w:val="FF0000"/>
              </w:rPr>
            </w:pPr>
            <w:r w:rsidRPr="00E205B4">
              <w:rPr>
                <w:color w:val="C00000"/>
              </w:rPr>
              <w:t>1.19</w:t>
            </w:r>
            <w:r w:rsidRPr="00E205B4">
              <w:rPr>
                <w:color w:val="C00000"/>
              </w:rPr>
              <w:br/>
              <w:t>(1.11-1.28)</w:t>
            </w:r>
          </w:p>
        </w:tc>
        <w:tc>
          <w:tcPr>
            <w:tcW w:w="721" w:type="pct"/>
            <w:tcBorders>
              <w:top w:val="single" w:sz="4" w:space="0" w:color="auto"/>
              <w:left w:val="single" w:sz="4" w:space="0" w:color="auto"/>
              <w:bottom w:val="single" w:sz="4" w:space="0" w:color="auto"/>
              <w:right w:val="single" w:sz="4" w:space="0" w:color="auto"/>
            </w:tcBorders>
            <w:vAlign w:val="center"/>
            <w:hideMark/>
          </w:tcPr>
          <w:p w14:paraId="52C662FF" w14:textId="77777777" w:rsidR="00592E61" w:rsidRPr="00B960C8" w:rsidRDefault="00592E61">
            <w:pPr>
              <w:spacing w:after="0" w:line="256" w:lineRule="auto"/>
              <w:jc w:val="center"/>
              <w:rPr>
                <w:rFonts w:eastAsia="Calibri" w:cs="Times New Roman"/>
                <w:color w:val="FF0000"/>
              </w:rPr>
            </w:pPr>
            <w:r w:rsidRPr="00E205B4">
              <w:rPr>
                <w:color w:val="C00000"/>
              </w:rPr>
              <w:t>1.12</w:t>
            </w:r>
            <w:r w:rsidRPr="00E205B4">
              <w:rPr>
                <w:color w:val="C00000"/>
              </w:rPr>
              <w:br/>
              <w:t>(1.04-1.21)</w:t>
            </w:r>
          </w:p>
        </w:tc>
        <w:tc>
          <w:tcPr>
            <w:tcW w:w="721" w:type="pct"/>
            <w:tcBorders>
              <w:top w:val="single" w:sz="4" w:space="0" w:color="auto"/>
              <w:left w:val="single" w:sz="4" w:space="0" w:color="auto"/>
              <w:bottom w:val="single" w:sz="4" w:space="0" w:color="auto"/>
              <w:right w:val="single" w:sz="4" w:space="0" w:color="auto"/>
            </w:tcBorders>
            <w:vAlign w:val="center"/>
            <w:hideMark/>
          </w:tcPr>
          <w:p w14:paraId="1FD0BFAF" w14:textId="77777777" w:rsidR="00592E61" w:rsidRPr="00E205B4" w:rsidRDefault="00592E61">
            <w:pPr>
              <w:spacing w:after="0" w:line="256" w:lineRule="auto"/>
              <w:jc w:val="center"/>
              <w:rPr>
                <w:rFonts w:eastAsia="Calibri" w:cs="Times New Roman"/>
                <w:color w:val="C00000"/>
              </w:rPr>
            </w:pPr>
            <w:r w:rsidRPr="00E205B4">
              <w:rPr>
                <w:color w:val="C00000"/>
              </w:rPr>
              <w:t>1.13</w:t>
            </w:r>
            <w:r w:rsidRPr="00E205B4">
              <w:rPr>
                <w:color w:val="C00000"/>
              </w:rPr>
              <w:br/>
              <w:t>(1.09-1.18)</w:t>
            </w:r>
          </w:p>
        </w:tc>
      </w:tr>
      <w:tr w:rsidR="00592E61" w14:paraId="1BFDF8A8"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596387B8"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Dialysis status (CC 134)</w:t>
            </w:r>
          </w:p>
        </w:tc>
        <w:tc>
          <w:tcPr>
            <w:tcW w:w="721" w:type="pct"/>
            <w:tcBorders>
              <w:top w:val="single" w:sz="4" w:space="0" w:color="auto"/>
              <w:left w:val="single" w:sz="4" w:space="0" w:color="auto"/>
              <w:bottom w:val="single" w:sz="4" w:space="0" w:color="auto"/>
              <w:right w:val="single" w:sz="4" w:space="0" w:color="auto"/>
            </w:tcBorders>
            <w:vAlign w:val="center"/>
            <w:hideMark/>
          </w:tcPr>
          <w:p w14:paraId="5A5A895D" w14:textId="77777777" w:rsidR="00592E61" w:rsidRPr="00B960C8" w:rsidRDefault="00592E61">
            <w:pPr>
              <w:spacing w:after="0" w:line="256" w:lineRule="auto"/>
              <w:jc w:val="center"/>
              <w:rPr>
                <w:rFonts w:eastAsia="Calibri" w:cs="Times New Roman"/>
                <w:color w:val="FF0000"/>
              </w:rPr>
            </w:pPr>
            <w:r w:rsidRPr="00E205B4">
              <w:rPr>
                <w:color w:val="C00000"/>
              </w:rPr>
              <w:t>1.94</w:t>
            </w:r>
            <w:r w:rsidRPr="00E205B4">
              <w:rPr>
                <w:color w:val="C00000"/>
              </w:rPr>
              <w:br/>
              <w:t>(1.56-2.41)</w:t>
            </w:r>
          </w:p>
        </w:tc>
        <w:tc>
          <w:tcPr>
            <w:tcW w:w="721" w:type="pct"/>
            <w:tcBorders>
              <w:top w:val="single" w:sz="4" w:space="0" w:color="auto"/>
              <w:left w:val="single" w:sz="4" w:space="0" w:color="auto"/>
              <w:bottom w:val="single" w:sz="4" w:space="0" w:color="auto"/>
              <w:right w:val="single" w:sz="4" w:space="0" w:color="auto"/>
            </w:tcBorders>
            <w:vAlign w:val="center"/>
            <w:hideMark/>
          </w:tcPr>
          <w:p w14:paraId="5E54A7B9" w14:textId="77777777" w:rsidR="00592E61" w:rsidRPr="00B960C8" w:rsidRDefault="00592E61">
            <w:pPr>
              <w:spacing w:after="0" w:line="256" w:lineRule="auto"/>
              <w:jc w:val="center"/>
              <w:rPr>
                <w:rFonts w:eastAsia="Calibri" w:cs="Times New Roman"/>
                <w:color w:val="FF0000"/>
              </w:rPr>
            </w:pPr>
            <w:r w:rsidRPr="00E205B4">
              <w:rPr>
                <w:color w:val="C00000"/>
              </w:rPr>
              <w:t>2.03</w:t>
            </w:r>
            <w:r w:rsidRPr="00E205B4">
              <w:rPr>
                <w:color w:val="C00000"/>
              </w:rPr>
              <w:br/>
              <w:t>(1.63-2.53)</w:t>
            </w:r>
          </w:p>
        </w:tc>
        <w:tc>
          <w:tcPr>
            <w:tcW w:w="721" w:type="pct"/>
            <w:tcBorders>
              <w:top w:val="single" w:sz="4" w:space="0" w:color="auto"/>
              <w:left w:val="single" w:sz="4" w:space="0" w:color="auto"/>
              <w:bottom w:val="single" w:sz="4" w:space="0" w:color="auto"/>
              <w:right w:val="single" w:sz="4" w:space="0" w:color="auto"/>
            </w:tcBorders>
            <w:vAlign w:val="center"/>
            <w:hideMark/>
          </w:tcPr>
          <w:p w14:paraId="70B35678" w14:textId="77777777" w:rsidR="00592E61" w:rsidRPr="00B960C8" w:rsidRDefault="00592E61">
            <w:pPr>
              <w:spacing w:after="0" w:line="256" w:lineRule="auto"/>
              <w:jc w:val="center"/>
              <w:rPr>
                <w:rFonts w:eastAsia="Calibri" w:cs="Times New Roman"/>
                <w:color w:val="FF0000"/>
              </w:rPr>
            </w:pPr>
            <w:r w:rsidRPr="00E205B4">
              <w:rPr>
                <w:color w:val="C00000"/>
              </w:rPr>
              <w:t>1.87</w:t>
            </w:r>
            <w:r w:rsidRPr="00E205B4">
              <w:rPr>
                <w:color w:val="C00000"/>
              </w:rPr>
              <w:br/>
              <w:t>(1.48-2.36)</w:t>
            </w:r>
          </w:p>
        </w:tc>
        <w:tc>
          <w:tcPr>
            <w:tcW w:w="721" w:type="pct"/>
            <w:tcBorders>
              <w:top w:val="single" w:sz="4" w:space="0" w:color="auto"/>
              <w:left w:val="single" w:sz="4" w:space="0" w:color="auto"/>
              <w:bottom w:val="single" w:sz="4" w:space="0" w:color="auto"/>
              <w:right w:val="single" w:sz="4" w:space="0" w:color="auto"/>
            </w:tcBorders>
            <w:vAlign w:val="center"/>
            <w:hideMark/>
          </w:tcPr>
          <w:p w14:paraId="2B0939DF" w14:textId="77777777" w:rsidR="00592E61" w:rsidRPr="00E205B4" w:rsidRDefault="00592E61">
            <w:pPr>
              <w:spacing w:after="0" w:line="256" w:lineRule="auto"/>
              <w:jc w:val="center"/>
              <w:rPr>
                <w:rFonts w:eastAsia="Calibri" w:cs="Times New Roman"/>
                <w:color w:val="C00000"/>
              </w:rPr>
            </w:pPr>
            <w:r w:rsidRPr="00E205B4">
              <w:rPr>
                <w:color w:val="C00000"/>
              </w:rPr>
              <w:t>1.94</w:t>
            </w:r>
            <w:r w:rsidRPr="00E205B4">
              <w:rPr>
                <w:color w:val="C00000"/>
              </w:rPr>
              <w:br/>
              <w:t>(1.71-2.21)</w:t>
            </w:r>
          </w:p>
        </w:tc>
      </w:tr>
      <w:tr w:rsidR="00592E61" w14:paraId="1AE3DC45"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7938F3EF"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Renal failure (CC 135-140)</w:t>
            </w:r>
          </w:p>
        </w:tc>
        <w:tc>
          <w:tcPr>
            <w:tcW w:w="721" w:type="pct"/>
            <w:tcBorders>
              <w:top w:val="single" w:sz="4" w:space="0" w:color="auto"/>
              <w:left w:val="single" w:sz="4" w:space="0" w:color="auto"/>
              <w:bottom w:val="single" w:sz="4" w:space="0" w:color="auto"/>
              <w:right w:val="single" w:sz="4" w:space="0" w:color="auto"/>
            </w:tcBorders>
            <w:vAlign w:val="center"/>
            <w:hideMark/>
          </w:tcPr>
          <w:p w14:paraId="18F30CCA" w14:textId="77777777" w:rsidR="00592E61" w:rsidRPr="00B960C8" w:rsidRDefault="00592E61">
            <w:pPr>
              <w:spacing w:after="0" w:line="256" w:lineRule="auto"/>
              <w:jc w:val="center"/>
              <w:rPr>
                <w:rFonts w:eastAsia="Calibri" w:cs="Times New Roman"/>
                <w:color w:val="FF0000"/>
              </w:rPr>
            </w:pPr>
            <w:r w:rsidRPr="00E205B4">
              <w:rPr>
                <w:color w:val="C00000"/>
              </w:rPr>
              <w:t>1.33</w:t>
            </w:r>
            <w:r w:rsidRPr="00E205B4">
              <w:rPr>
                <w:color w:val="C00000"/>
              </w:rPr>
              <w:br/>
              <w:t>(1.27-1.39)</w:t>
            </w:r>
          </w:p>
        </w:tc>
        <w:tc>
          <w:tcPr>
            <w:tcW w:w="721" w:type="pct"/>
            <w:tcBorders>
              <w:top w:val="single" w:sz="4" w:space="0" w:color="auto"/>
              <w:left w:val="single" w:sz="4" w:space="0" w:color="auto"/>
              <w:bottom w:val="single" w:sz="4" w:space="0" w:color="auto"/>
              <w:right w:val="single" w:sz="4" w:space="0" w:color="auto"/>
            </w:tcBorders>
            <w:vAlign w:val="center"/>
            <w:hideMark/>
          </w:tcPr>
          <w:p w14:paraId="3F3E69B0" w14:textId="77777777" w:rsidR="00592E61" w:rsidRPr="00B960C8" w:rsidRDefault="00592E61">
            <w:pPr>
              <w:spacing w:after="0" w:line="256" w:lineRule="auto"/>
              <w:jc w:val="center"/>
              <w:rPr>
                <w:rFonts w:eastAsia="Calibri" w:cs="Times New Roman"/>
                <w:color w:val="FF0000"/>
              </w:rPr>
            </w:pPr>
            <w:r w:rsidRPr="00E205B4">
              <w:rPr>
                <w:color w:val="C00000"/>
              </w:rPr>
              <w:t>1.36</w:t>
            </w:r>
            <w:r w:rsidRPr="00E205B4">
              <w:rPr>
                <w:color w:val="C00000"/>
              </w:rPr>
              <w:br/>
              <w:t>(1.30-1.42)</w:t>
            </w:r>
          </w:p>
        </w:tc>
        <w:tc>
          <w:tcPr>
            <w:tcW w:w="721" w:type="pct"/>
            <w:tcBorders>
              <w:top w:val="single" w:sz="4" w:space="0" w:color="auto"/>
              <w:left w:val="single" w:sz="4" w:space="0" w:color="auto"/>
              <w:bottom w:val="single" w:sz="4" w:space="0" w:color="auto"/>
              <w:right w:val="single" w:sz="4" w:space="0" w:color="auto"/>
            </w:tcBorders>
            <w:vAlign w:val="center"/>
            <w:hideMark/>
          </w:tcPr>
          <w:p w14:paraId="586969A4" w14:textId="77777777" w:rsidR="00592E61" w:rsidRPr="00B960C8" w:rsidRDefault="00592E61">
            <w:pPr>
              <w:spacing w:after="0" w:line="256" w:lineRule="auto"/>
              <w:jc w:val="center"/>
              <w:rPr>
                <w:rFonts w:eastAsia="Calibri" w:cs="Times New Roman"/>
                <w:color w:val="FF0000"/>
              </w:rPr>
            </w:pPr>
            <w:r w:rsidRPr="00E205B4">
              <w:rPr>
                <w:color w:val="C00000"/>
              </w:rPr>
              <w:t>1.26</w:t>
            </w:r>
            <w:r w:rsidRPr="00E205B4">
              <w:rPr>
                <w:color w:val="C00000"/>
              </w:rPr>
              <w:br/>
              <w:t>(1.20-1.32)</w:t>
            </w:r>
          </w:p>
        </w:tc>
        <w:tc>
          <w:tcPr>
            <w:tcW w:w="721" w:type="pct"/>
            <w:tcBorders>
              <w:top w:val="single" w:sz="4" w:space="0" w:color="auto"/>
              <w:left w:val="single" w:sz="4" w:space="0" w:color="auto"/>
              <w:bottom w:val="single" w:sz="4" w:space="0" w:color="auto"/>
              <w:right w:val="single" w:sz="4" w:space="0" w:color="auto"/>
            </w:tcBorders>
            <w:vAlign w:val="center"/>
            <w:hideMark/>
          </w:tcPr>
          <w:p w14:paraId="5F069736" w14:textId="77777777" w:rsidR="00592E61" w:rsidRPr="00E205B4" w:rsidRDefault="00592E61">
            <w:pPr>
              <w:spacing w:after="0" w:line="256" w:lineRule="auto"/>
              <w:jc w:val="center"/>
              <w:rPr>
                <w:rFonts w:eastAsia="Calibri" w:cs="Times New Roman"/>
                <w:color w:val="C00000"/>
              </w:rPr>
            </w:pPr>
            <w:r w:rsidRPr="00E205B4">
              <w:rPr>
                <w:color w:val="C00000"/>
              </w:rPr>
              <w:t>1.31</w:t>
            </w:r>
            <w:r w:rsidRPr="00E205B4">
              <w:rPr>
                <w:color w:val="C00000"/>
              </w:rPr>
              <w:br/>
              <w:t>(1.28-1.35)</w:t>
            </w:r>
          </w:p>
        </w:tc>
      </w:tr>
      <w:tr w:rsidR="00592E61" w14:paraId="49147056"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3285FAE4"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Decubitus ulcer or chronic skin ulcer (CC 157-161)</w:t>
            </w:r>
          </w:p>
        </w:tc>
        <w:tc>
          <w:tcPr>
            <w:tcW w:w="721" w:type="pct"/>
            <w:tcBorders>
              <w:top w:val="single" w:sz="4" w:space="0" w:color="auto"/>
              <w:left w:val="single" w:sz="4" w:space="0" w:color="auto"/>
              <w:bottom w:val="single" w:sz="4" w:space="0" w:color="auto"/>
              <w:right w:val="single" w:sz="4" w:space="0" w:color="auto"/>
            </w:tcBorders>
            <w:vAlign w:val="center"/>
            <w:hideMark/>
          </w:tcPr>
          <w:p w14:paraId="58F6BCAA" w14:textId="77777777" w:rsidR="00592E61" w:rsidRPr="00B960C8" w:rsidRDefault="00592E61">
            <w:pPr>
              <w:spacing w:after="0" w:line="256" w:lineRule="auto"/>
              <w:jc w:val="center"/>
              <w:rPr>
                <w:rFonts w:eastAsia="Calibri" w:cs="Times New Roman"/>
                <w:color w:val="FF0000"/>
              </w:rPr>
            </w:pPr>
            <w:r w:rsidRPr="00E205B4">
              <w:rPr>
                <w:color w:val="C00000"/>
              </w:rPr>
              <w:t>1.09</w:t>
            </w:r>
            <w:r w:rsidRPr="00E205B4">
              <w:rPr>
                <w:color w:val="C00000"/>
              </w:rPr>
              <w:br/>
              <w:t>(0.99-1.19)</w:t>
            </w:r>
          </w:p>
        </w:tc>
        <w:tc>
          <w:tcPr>
            <w:tcW w:w="721" w:type="pct"/>
            <w:tcBorders>
              <w:top w:val="single" w:sz="4" w:space="0" w:color="auto"/>
              <w:left w:val="single" w:sz="4" w:space="0" w:color="auto"/>
              <w:bottom w:val="single" w:sz="4" w:space="0" w:color="auto"/>
              <w:right w:val="single" w:sz="4" w:space="0" w:color="auto"/>
            </w:tcBorders>
            <w:vAlign w:val="center"/>
            <w:hideMark/>
          </w:tcPr>
          <w:p w14:paraId="0CB0BCAC" w14:textId="77777777" w:rsidR="00592E61" w:rsidRPr="00B960C8" w:rsidRDefault="00592E61">
            <w:pPr>
              <w:spacing w:after="0" w:line="256" w:lineRule="auto"/>
              <w:jc w:val="center"/>
              <w:rPr>
                <w:rFonts w:eastAsia="Calibri" w:cs="Times New Roman"/>
                <w:color w:val="FF0000"/>
              </w:rPr>
            </w:pPr>
            <w:r w:rsidRPr="00E205B4">
              <w:rPr>
                <w:color w:val="C00000"/>
              </w:rPr>
              <w:t>1.23</w:t>
            </w:r>
            <w:r w:rsidRPr="00E205B4">
              <w:rPr>
                <w:color w:val="C00000"/>
              </w:rPr>
              <w:br/>
              <w:t>(1.12-1.35)</w:t>
            </w:r>
          </w:p>
        </w:tc>
        <w:tc>
          <w:tcPr>
            <w:tcW w:w="721" w:type="pct"/>
            <w:tcBorders>
              <w:top w:val="single" w:sz="4" w:space="0" w:color="auto"/>
              <w:left w:val="single" w:sz="4" w:space="0" w:color="auto"/>
              <w:bottom w:val="single" w:sz="4" w:space="0" w:color="auto"/>
              <w:right w:val="single" w:sz="4" w:space="0" w:color="auto"/>
            </w:tcBorders>
            <w:vAlign w:val="center"/>
            <w:hideMark/>
          </w:tcPr>
          <w:p w14:paraId="7342D013" w14:textId="77777777" w:rsidR="00592E61" w:rsidRPr="00B960C8" w:rsidRDefault="00592E61">
            <w:pPr>
              <w:spacing w:after="0" w:line="256" w:lineRule="auto"/>
              <w:jc w:val="center"/>
              <w:rPr>
                <w:rFonts w:eastAsia="Calibri" w:cs="Times New Roman"/>
                <w:color w:val="FF0000"/>
              </w:rPr>
            </w:pPr>
            <w:r w:rsidRPr="00E205B4">
              <w:rPr>
                <w:color w:val="C00000"/>
              </w:rPr>
              <w:t>1.21</w:t>
            </w:r>
            <w:r w:rsidRPr="00E205B4">
              <w:rPr>
                <w:color w:val="C00000"/>
              </w:rPr>
              <w:br/>
              <w:t>(1.09-1.33)</w:t>
            </w:r>
          </w:p>
        </w:tc>
        <w:tc>
          <w:tcPr>
            <w:tcW w:w="721" w:type="pct"/>
            <w:tcBorders>
              <w:top w:val="single" w:sz="4" w:space="0" w:color="auto"/>
              <w:left w:val="single" w:sz="4" w:space="0" w:color="auto"/>
              <w:bottom w:val="single" w:sz="4" w:space="0" w:color="auto"/>
              <w:right w:val="single" w:sz="4" w:space="0" w:color="auto"/>
            </w:tcBorders>
            <w:vAlign w:val="center"/>
            <w:hideMark/>
          </w:tcPr>
          <w:p w14:paraId="65354E94" w14:textId="77777777" w:rsidR="00592E61" w:rsidRPr="00E205B4" w:rsidRDefault="00592E61">
            <w:pPr>
              <w:spacing w:after="0" w:line="256" w:lineRule="auto"/>
              <w:jc w:val="center"/>
              <w:rPr>
                <w:rFonts w:eastAsia="Calibri" w:cs="Times New Roman"/>
                <w:color w:val="C00000"/>
              </w:rPr>
            </w:pPr>
            <w:r w:rsidRPr="00E205B4">
              <w:rPr>
                <w:color w:val="C00000"/>
              </w:rPr>
              <w:t>1.17</w:t>
            </w:r>
            <w:r w:rsidRPr="00E205B4">
              <w:rPr>
                <w:color w:val="C00000"/>
              </w:rPr>
              <w:br/>
              <w:t>(1.11-1.24)</w:t>
            </w:r>
          </w:p>
        </w:tc>
      </w:tr>
      <w:tr w:rsidR="00592E61" w14:paraId="32A8C2FF"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302674A6" w14:textId="77777777" w:rsidR="00592E61" w:rsidRPr="00B960C8" w:rsidRDefault="00592E61">
            <w:pPr>
              <w:spacing w:after="0" w:line="256" w:lineRule="auto"/>
              <w:ind w:left="66"/>
              <w:rPr>
                <w:rFonts w:eastAsia="Times New Roman" w:cs="Calibri"/>
                <w:color w:val="FF0000"/>
              </w:rPr>
            </w:pPr>
            <w:r w:rsidRPr="00E205B4">
              <w:rPr>
                <w:rFonts w:eastAsia="Times New Roman" w:cs="Times New Roman"/>
                <w:color w:val="C00000"/>
              </w:rPr>
              <w:t>Cellulitis, local skin infection (CC 164)</w:t>
            </w:r>
          </w:p>
        </w:tc>
        <w:tc>
          <w:tcPr>
            <w:tcW w:w="721" w:type="pct"/>
            <w:tcBorders>
              <w:top w:val="single" w:sz="4" w:space="0" w:color="auto"/>
              <w:left w:val="single" w:sz="4" w:space="0" w:color="auto"/>
              <w:bottom w:val="single" w:sz="4" w:space="0" w:color="auto"/>
              <w:right w:val="single" w:sz="4" w:space="0" w:color="auto"/>
            </w:tcBorders>
            <w:vAlign w:val="center"/>
            <w:hideMark/>
          </w:tcPr>
          <w:p w14:paraId="4E55E33D" w14:textId="77777777" w:rsidR="00592E61" w:rsidRPr="00B960C8" w:rsidRDefault="00592E61">
            <w:pPr>
              <w:spacing w:after="0" w:line="256" w:lineRule="auto"/>
              <w:jc w:val="center"/>
              <w:rPr>
                <w:rFonts w:eastAsia="Calibri" w:cs="Times New Roman"/>
                <w:color w:val="FF0000"/>
              </w:rPr>
            </w:pPr>
            <w:r w:rsidRPr="00E205B4">
              <w:rPr>
                <w:color w:val="C00000"/>
              </w:rPr>
              <w:t>1.08</w:t>
            </w:r>
            <w:r w:rsidRPr="00E205B4">
              <w:rPr>
                <w:color w:val="C00000"/>
              </w:rPr>
              <w:br/>
              <w:t>(1.01-1.15)</w:t>
            </w:r>
          </w:p>
        </w:tc>
        <w:tc>
          <w:tcPr>
            <w:tcW w:w="721" w:type="pct"/>
            <w:tcBorders>
              <w:top w:val="single" w:sz="4" w:space="0" w:color="auto"/>
              <w:left w:val="single" w:sz="4" w:space="0" w:color="auto"/>
              <w:bottom w:val="single" w:sz="4" w:space="0" w:color="auto"/>
              <w:right w:val="single" w:sz="4" w:space="0" w:color="auto"/>
            </w:tcBorders>
            <w:vAlign w:val="center"/>
            <w:hideMark/>
          </w:tcPr>
          <w:p w14:paraId="4FFB7A52" w14:textId="77777777" w:rsidR="00592E61" w:rsidRPr="00B960C8" w:rsidRDefault="00592E61">
            <w:pPr>
              <w:spacing w:after="0" w:line="256" w:lineRule="auto"/>
              <w:jc w:val="center"/>
              <w:rPr>
                <w:rFonts w:eastAsia="Calibri" w:cs="Times New Roman"/>
                <w:color w:val="FF0000"/>
              </w:rPr>
            </w:pPr>
            <w:r w:rsidRPr="00E205B4">
              <w:rPr>
                <w:color w:val="C00000"/>
              </w:rPr>
              <w:t>1.15</w:t>
            </w:r>
            <w:r w:rsidRPr="00E205B4">
              <w:rPr>
                <w:color w:val="C00000"/>
              </w:rPr>
              <w:br/>
              <w:t>(1.08-1.22)</w:t>
            </w:r>
          </w:p>
        </w:tc>
        <w:tc>
          <w:tcPr>
            <w:tcW w:w="721" w:type="pct"/>
            <w:tcBorders>
              <w:top w:val="single" w:sz="4" w:space="0" w:color="auto"/>
              <w:left w:val="single" w:sz="4" w:space="0" w:color="auto"/>
              <w:bottom w:val="single" w:sz="4" w:space="0" w:color="auto"/>
              <w:right w:val="single" w:sz="4" w:space="0" w:color="auto"/>
            </w:tcBorders>
            <w:vAlign w:val="center"/>
            <w:hideMark/>
          </w:tcPr>
          <w:p w14:paraId="7D90697C" w14:textId="77777777" w:rsidR="00592E61" w:rsidRPr="00B960C8" w:rsidRDefault="00592E61">
            <w:pPr>
              <w:spacing w:after="0" w:line="256" w:lineRule="auto"/>
              <w:jc w:val="center"/>
              <w:rPr>
                <w:rFonts w:eastAsia="Calibri" w:cs="Times New Roman"/>
                <w:color w:val="FF0000"/>
              </w:rPr>
            </w:pPr>
            <w:r w:rsidRPr="00E205B4">
              <w:rPr>
                <w:color w:val="C00000"/>
              </w:rPr>
              <w:t>1.22</w:t>
            </w:r>
            <w:r w:rsidRPr="00E205B4">
              <w:rPr>
                <w:color w:val="C00000"/>
              </w:rPr>
              <w:br/>
              <w:t>(1.14-1.30)</w:t>
            </w:r>
          </w:p>
        </w:tc>
        <w:tc>
          <w:tcPr>
            <w:tcW w:w="721" w:type="pct"/>
            <w:tcBorders>
              <w:top w:val="single" w:sz="4" w:space="0" w:color="auto"/>
              <w:left w:val="single" w:sz="4" w:space="0" w:color="auto"/>
              <w:bottom w:val="single" w:sz="4" w:space="0" w:color="auto"/>
              <w:right w:val="single" w:sz="4" w:space="0" w:color="auto"/>
            </w:tcBorders>
            <w:vAlign w:val="center"/>
            <w:hideMark/>
          </w:tcPr>
          <w:p w14:paraId="282BC81D" w14:textId="77777777" w:rsidR="00592E61" w:rsidRPr="00E205B4" w:rsidRDefault="00592E61">
            <w:pPr>
              <w:spacing w:after="0" w:line="256" w:lineRule="auto"/>
              <w:jc w:val="center"/>
              <w:rPr>
                <w:rFonts w:eastAsia="Calibri" w:cs="Times New Roman"/>
                <w:color w:val="C00000"/>
              </w:rPr>
            </w:pPr>
            <w:r w:rsidRPr="00E205B4">
              <w:rPr>
                <w:color w:val="C00000"/>
              </w:rPr>
              <w:t>1.14</w:t>
            </w:r>
            <w:r w:rsidRPr="00E205B4">
              <w:rPr>
                <w:color w:val="C00000"/>
              </w:rPr>
              <w:br/>
              <w:t>(1.10-1.19)</w:t>
            </w:r>
          </w:p>
        </w:tc>
      </w:tr>
      <w:tr w:rsidR="00592E61" w14:paraId="42542B6E"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0F4D8EE6" w14:textId="77777777" w:rsidR="00592E61" w:rsidRPr="00B960C8" w:rsidRDefault="00592E61">
            <w:pPr>
              <w:spacing w:after="0" w:line="256" w:lineRule="auto"/>
              <w:ind w:left="66"/>
              <w:rPr>
                <w:rFonts w:eastAsia="Times New Roman" w:cs="Calibri"/>
                <w:color w:val="FF0000"/>
              </w:rPr>
            </w:pPr>
            <w:r w:rsidRPr="00E205B4">
              <w:rPr>
                <w:color w:val="C00000"/>
              </w:rPr>
              <w:t>Other injuries (modified) (CC 174)</w:t>
            </w:r>
          </w:p>
        </w:tc>
        <w:tc>
          <w:tcPr>
            <w:tcW w:w="721" w:type="pct"/>
            <w:tcBorders>
              <w:top w:val="single" w:sz="4" w:space="0" w:color="auto"/>
              <w:left w:val="single" w:sz="4" w:space="0" w:color="auto"/>
              <w:bottom w:val="single" w:sz="4" w:space="0" w:color="auto"/>
              <w:right w:val="single" w:sz="4" w:space="0" w:color="auto"/>
            </w:tcBorders>
            <w:vAlign w:val="center"/>
            <w:hideMark/>
          </w:tcPr>
          <w:p w14:paraId="2D6FD45D" w14:textId="77777777" w:rsidR="00592E61" w:rsidRPr="00B960C8" w:rsidRDefault="00592E61">
            <w:pPr>
              <w:spacing w:after="0" w:line="256" w:lineRule="auto"/>
              <w:jc w:val="center"/>
              <w:rPr>
                <w:rFonts w:eastAsia="Calibri" w:cs="Times New Roman"/>
                <w:color w:val="FF0000"/>
              </w:rPr>
            </w:pPr>
            <w:r w:rsidRPr="00E205B4">
              <w:rPr>
                <w:color w:val="C00000"/>
              </w:rPr>
              <w:t>1.16</w:t>
            </w:r>
            <w:r w:rsidRPr="00E205B4">
              <w:rPr>
                <w:color w:val="C00000"/>
              </w:rPr>
              <w:br/>
              <w:t>(1.11-1.20)</w:t>
            </w:r>
          </w:p>
        </w:tc>
        <w:tc>
          <w:tcPr>
            <w:tcW w:w="721" w:type="pct"/>
            <w:tcBorders>
              <w:top w:val="single" w:sz="4" w:space="0" w:color="auto"/>
              <w:left w:val="single" w:sz="4" w:space="0" w:color="auto"/>
              <w:bottom w:val="single" w:sz="4" w:space="0" w:color="auto"/>
              <w:right w:val="single" w:sz="4" w:space="0" w:color="auto"/>
            </w:tcBorders>
            <w:vAlign w:val="center"/>
            <w:hideMark/>
          </w:tcPr>
          <w:p w14:paraId="3632C037" w14:textId="77777777" w:rsidR="00592E61" w:rsidRPr="00B960C8" w:rsidRDefault="00592E61">
            <w:pPr>
              <w:spacing w:after="0" w:line="256" w:lineRule="auto"/>
              <w:jc w:val="center"/>
              <w:rPr>
                <w:rFonts w:eastAsia="Calibri" w:cs="Times New Roman"/>
                <w:color w:val="FF0000"/>
              </w:rPr>
            </w:pPr>
            <w:r w:rsidRPr="00E205B4">
              <w:rPr>
                <w:color w:val="C00000"/>
              </w:rPr>
              <w:t>1.11</w:t>
            </w:r>
            <w:r w:rsidRPr="00E205B4">
              <w:rPr>
                <w:color w:val="C00000"/>
              </w:rPr>
              <w:br/>
              <w:t>(1.07-1.15)</w:t>
            </w:r>
          </w:p>
        </w:tc>
        <w:tc>
          <w:tcPr>
            <w:tcW w:w="721" w:type="pct"/>
            <w:tcBorders>
              <w:top w:val="single" w:sz="4" w:space="0" w:color="auto"/>
              <w:left w:val="single" w:sz="4" w:space="0" w:color="auto"/>
              <w:bottom w:val="single" w:sz="4" w:space="0" w:color="auto"/>
              <w:right w:val="single" w:sz="4" w:space="0" w:color="auto"/>
            </w:tcBorders>
            <w:vAlign w:val="center"/>
            <w:hideMark/>
          </w:tcPr>
          <w:p w14:paraId="5404BBF2"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(1.08-1.17)</w:t>
            </w:r>
          </w:p>
        </w:tc>
        <w:tc>
          <w:tcPr>
            <w:tcW w:w="721" w:type="pct"/>
            <w:tcBorders>
              <w:top w:val="single" w:sz="4" w:space="0" w:color="auto"/>
              <w:left w:val="single" w:sz="4" w:space="0" w:color="auto"/>
              <w:bottom w:val="single" w:sz="4" w:space="0" w:color="auto"/>
              <w:right w:val="single" w:sz="4" w:space="0" w:color="auto"/>
            </w:tcBorders>
            <w:vAlign w:val="center"/>
            <w:hideMark/>
          </w:tcPr>
          <w:p w14:paraId="54AB1512" w14:textId="77777777" w:rsidR="00592E61" w:rsidRPr="00E205B4" w:rsidRDefault="00592E61">
            <w:pPr>
              <w:spacing w:after="0" w:line="256" w:lineRule="auto"/>
              <w:jc w:val="center"/>
              <w:rPr>
                <w:rFonts w:eastAsia="Calibri" w:cs="Times New Roman"/>
                <w:color w:val="C00000"/>
              </w:rPr>
            </w:pPr>
            <w:r w:rsidRPr="00E205B4">
              <w:rPr>
                <w:color w:val="C00000"/>
              </w:rPr>
              <w:t>1.13</w:t>
            </w:r>
            <w:r w:rsidRPr="00E205B4">
              <w:rPr>
                <w:color w:val="C00000"/>
              </w:rPr>
              <w:br/>
              <w:t>(1.11-1.16)</w:t>
            </w:r>
          </w:p>
        </w:tc>
      </w:tr>
      <w:tr w:rsidR="00592E61" w14:paraId="6A33D9C7" w14:textId="77777777" w:rsidTr="00592E61">
        <w:trPr>
          <w:cantSplit/>
          <w:trHeight w:val="245"/>
          <w:jc w:val="center"/>
        </w:trPr>
        <w:tc>
          <w:tcPr>
            <w:tcW w:w="2116" w:type="pct"/>
            <w:tcBorders>
              <w:top w:val="single" w:sz="4" w:space="0" w:color="auto"/>
              <w:left w:val="single" w:sz="4" w:space="0" w:color="auto"/>
              <w:bottom w:val="single" w:sz="4" w:space="0" w:color="auto"/>
              <w:right w:val="single" w:sz="4" w:space="0" w:color="auto"/>
            </w:tcBorders>
            <w:vAlign w:val="center"/>
            <w:hideMark/>
          </w:tcPr>
          <w:p w14:paraId="3212F746" w14:textId="77777777" w:rsidR="00592E61" w:rsidRPr="00B960C8" w:rsidRDefault="00592E61">
            <w:pPr>
              <w:spacing w:after="0" w:line="256" w:lineRule="auto"/>
              <w:ind w:left="66"/>
              <w:rPr>
                <w:rFonts w:eastAsia="Times New Roman" w:cs="Calibri"/>
                <w:color w:val="FF0000"/>
              </w:rPr>
            </w:pPr>
            <w:r w:rsidRPr="00E205B4">
              <w:rPr>
                <w:rFonts w:ascii="Calibri" w:hAnsi="Calibri" w:cs="Calibri"/>
                <w:color w:val="C00000"/>
                <w:shd w:val="clear" w:color="auto" w:fill="FFFFFF"/>
              </w:rPr>
              <w:t>Major symptoms, abnormalities (CC 178), except ICD-10-CM codes R09.01 and R09.02 (for discharges on or after October 1, 2015) and ICD-9-CM diagnosis codes 799.01 and 799.02 (for discharges prior to October 1, 2015)</w:t>
            </w:r>
          </w:p>
        </w:tc>
        <w:tc>
          <w:tcPr>
            <w:tcW w:w="721" w:type="pct"/>
            <w:tcBorders>
              <w:top w:val="single" w:sz="4" w:space="0" w:color="auto"/>
              <w:left w:val="single" w:sz="4" w:space="0" w:color="auto"/>
              <w:bottom w:val="single" w:sz="4" w:space="0" w:color="auto"/>
              <w:right w:val="single" w:sz="4" w:space="0" w:color="auto"/>
            </w:tcBorders>
            <w:vAlign w:val="center"/>
            <w:hideMark/>
          </w:tcPr>
          <w:p w14:paraId="1CA509E1" w14:textId="77777777" w:rsidR="00592E61" w:rsidRPr="00B960C8" w:rsidRDefault="00592E61">
            <w:pPr>
              <w:spacing w:after="0" w:line="256" w:lineRule="auto"/>
              <w:jc w:val="center"/>
              <w:rPr>
                <w:rFonts w:eastAsia="Calibri" w:cs="Times New Roman"/>
                <w:color w:val="FF0000"/>
              </w:rPr>
            </w:pPr>
            <w:r w:rsidRPr="00E205B4">
              <w:rPr>
                <w:color w:val="C00000"/>
              </w:rPr>
              <w:t>1.18</w:t>
            </w:r>
            <w:r w:rsidRPr="00E205B4">
              <w:rPr>
                <w:color w:val="C00000"/>
              </w:rPr>
              <w:br/>
              <w:t>(1.13-1.23)</w:t>
            </w:r>
          </w:p>
        </w:tc>
        <w:tc>
          <w:tcPr>
            <w:tcW w:w="721" w:type="pct"/>
            <w:tcBorders>
              <w:top w:val="single" w:sz="4" w:space="0" w:color="auto"/>
              <w:left w:val="single" w:sz="4" w:space="0" w:color="auto"/>
              <w:bottom w:val="single" w:sz="4" w:space="0" w:color="auto"/>
              <w:right w:val="single" w:sz="4" w:space="0" w:color="auto"/>
            </w:tcBorders>
            <w:vAlign w:val="center"/>
            <w:hideMark/>
          </w:tcPr>
          <w:p w14:paraId="0278C13A" w14:textId="77777777" w:rsidR="00592E61" w:rsidRPr="00B960C8" w:rsidRDefault="00592E61">
            <w:pPr>
              <w:spacing w:after="0" w:line="256" w:lineRule="auto"/>
              <w:jc w:val="center"/>
              <w:rPr>
                <w:rFonts w:eastAsia="Calibri" w:cs="Times New Roman"/>
                <w:color w:val="FF0000"/>
              </w:rPr>
            </w:pPr>
            <w:r w:rsidRPr="00E205B4">
              <w:rPr>
                <w:color w:val="C00000"/>
              </w:rPr>
              <w:t>1.19</w:t>
            </w:r>
            <w:r w:rsidRPr="00E205B4">
              <w:rPr>
                <w:color w:val="C00000"/>
              </w:rPr>
              <w:br/>
              <w:t>(1.14-1.24)</w:t>
            </w:r>
          </w:p>
        </w:tc>
        <w:tc>
          <w:tcPr>
            <w:tcW w:w="721" w:type="pct"/>
            <w:tcBorders>
              <w:top w:val="single" w:sz="4" w:space="0" w:color="auto"/>
              <w:left w:val="single" w:sz="4" w:space="0" w:color="auto"/>
              <w:bottom w:val="single" w:sz="4" w:space="0" w:color="auto"/>
              <w:right w:val="single" w:sz="4" w:space="0" w:color="auto"/>
            </w:tcBorders>
            <w:vAlign w:val="center"/>
            <w:hideMark/>
          </w:tcPr>
          <w:p w14:paraId="6D99824B" w14:textId="77777777" w:rsidR="00592E61" w:rsidRPr="00B960C8" w:rsidRDefault="00592E61">
            <w:pPr>
              <w:spacing w:after="0" w:line="256" w:lineRule="auto"/>
              <w:jc w:val="center"/>
              <w:rPr>
                <w:rFonts w:eastAsia="Calibri" w:cs="Times New Roman"/>
                <w:color w:val="FF0000"/>
              </w:rPr>
            </w:pPr>
            <w:r w:rsidRPr="00E205B4">
              <w:rPr>
                <w:color w:val="C00000"/>
              </w:rPr>
              <w:t>1.13</w:t>
            </w:r>
            <w:r w:rsidRPr="00E205B4">
              <w:rPr>
                <w:color w:val="C00000"/>
              </w:rPr>
              <w:br/>
              <w:t>(1.08-1.18)</w:t>
            </w:r>
          </w:p>
        </w:tc>
        <w:tc>
          <w:tcPr>
            <w:tcW w:w="721" w:type="pct"/>
            <w:tcBorders>
              <w:top w:val="single" w:sz="4" w:space="0" w:color="auto"/>
              <w:left w:val="single" w:sz="4" w:space="0" w:color="auto"/>
              <w:bottom w:val="single" w:sz="4" w:space="0" w:color="auto"/>
              <w:right w:val="single" w:sz="4" w:space="0" w:color="auto"/>
            </w:tcBorders>
            <w:vAlign w:val="center"/>
            <w:hideMark/>
          </w:tcPr>
          <w:p w14:paraId="3528683E" w14:textId="77777777" w:rsidR="00592E61" w:rsidRPr="00E205B4" w:rsidRDefault="00592E61">
            <w:pPr>
              <w:spacing w:after="0" w:line="256" w:lineRule="auto"/>
              <w:jc w:val="center"/>
              <w:rPr>
                <w:rFonts w:eastAsia="Calibri" w:cs="Times New Roman"/>
                <w:color w:val="C00000"/>
              </w:rPr>
            </w:pPr>
            <w:r w:rsidRPr="00E205B4">
              <w:rPr>
                <w:color w:val="C00000"/>
              </w:rPr>
              <w:t>1.17</w:t>
            </w:r>
            <w:r w:rsidRPr="00E205B4">
              <w:rPr>
                <w:color w:val="C00000"/>
              </w:rPr>
              <w:br/>
              <w:t>(1.14-1.20)</w:t>
            </w:r>
          </w:p>
        </w:tc>
      </w:tr>
    </w:tbl>
    <w:p w14:paraId="6A5ABBAA" w14:textId="1A1188BA" w:rsidR="002E5BCF" w:rsidRDefault="009C7513" w:rsidP="00F95B1A">
      <w:pPr>
        <w:autoSpaceDE w:val="0"/>
        <w:autoSpaceDN w:val="0"/>
        <w:adjustRightInd w:val="0"/>
        <w:spacing w:before="120"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w:t>
      </w:r>
      <w:r w:rsidR="00C208A4">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27186E6" w14:textId="77777777" w:rsidR="002E5BCF" w:rsidRDefault="005B3EFC" w:rsidP="003B74A1">
      <w:pPr>
        <w:autoSpaceDE w:val="0"/>
        <w:autoSpaceDN w:val="0"/>
        <w:adjustRightInd w:val="0"/>
        <w:spacing w:before="120" w:after="120" w:line="240" w:lineRule="auto"/>
        <w:rPr>
          <w:rFonts w:cstheme="minorHAnsi"/>
          <w:bCs/>
          <w:color w:val="C00000"/>
        </w:rPr>
      </w:pPr>
      <w:r w:rsidRPr="00E205B4">
        <w:rPr>
          <w:rFonts w:cstheme="minorHAnsi"/>
          <w:bCs/>
          <w:color w:val="C00000"/>
        </w:rPr>
        <w:t>Throughout this section, we present new SRF testing results based on the current testing dataset (2020); in addition, we show prior analyses included in the 2016 endorsement maintenance forms for comparison purposes.</w:t>
      </w:r>
    </w:p>
    <w:p w14:paraId="0275BAD8" w14:textId="72702C5F" w:rsidR="003B74A1" w:rsidRDefault="00160014" w:rsidP="00357BD8">
      <w:pPr>
        <w:pStyle w:val="Caption"/>
        <w:rPr>
          <w:rFonts w:cstheme="minorHAnsi"/>
          <w:bCs/>
          <w:color w:val="7030A0"/>
          <w:u w:val="single"/>
        </w:rPr>
      </w:pPr>
      <w:r w:rsidRPr="00357BD8">
        <w:rPr>
          <w:b/>
          <w:i w:val="0"/>
          <w:color w:val="7030A0"/>
          <w:sz w:val="22"/>
        </w:rPr>
        <w:t xml:space="preserve">Table </w:t>
      </w:r>
      <w:r w:rsidRPr="00357BD8">
        <w:rPr>
          <w:b/>
          <w:i w:val="0"/>
          <w:color w:val="7030A0"/>
          <w:sz w:val="22"/>
        </w:rPr>
        <w:fldChar w:fldCharType="begin"/>
      </w:r>
      <w:r w:rsidRPr="00357BD8">
        <w:rPr>
          <w:b/>
          <w:i w:val="0"/>
          <w:color w:val="7030A0"/>
          <w:sz w:val="22"/>
        </w:rPr>
        <w:instrText xml:space="preserve"> SEQ Table \* ARABIC </w:instrText>
      </w:r>
      <w:r w:rsidRPr="00357BD8">
        <w:rPr>
          <w:b/>
          <w:i w:val="0"/>
          <w:color w:val="7030A0"/>
          <w:sz w:val="22"/>
        </w:rPr>
        <w:fldChar w:fldCharType="separate"/>
      </w:r>
      <w:r w:rsidR="006F2E6B">
        <w:rPr>
          <w:b/>
          <w:i w:val="0"/>
          <w:noProof/>
          <w:color w:val="7030A0"/>
          <w:sz w:val="22"/>
        </w:rPr>
        <w:t>7</w:t>
      </w:r>
      <w:r w:rsidRPr="00357BD8">
        <w:rPr>
          <w:b/>
          <w:i w:val="0"/>
          <w:color w:val="7030A0"/>
          <w:sz w:val="22"/>
        </w:rPr>
        <w:fldChar w:fldCharType="end"/>
      </w:r>
      <w:r w:rsidRPr="00357BD8">
        <w:rPr>
          <w:i w:val="0"/>
          <w:sz w:val="22"/>
        </w:rPr>
        <w:t xml:space="preserve">. </w:t>
      </w:r>
      <w:r w:rsidR="005B3EFC" w:rsidRPr="00357BD8">
        <w:rPr>
          <w:rFonts w:cstheme="minorHAnsi"/>
          <w:bCs/>
          <w:i w:val="0"/>
          <w:color w:val="7030A0"/>
          <w:sz w:val="22"/>
          <w:u w:val="single"/>
        </w:rPr>
        <w:t xml:space="preserve">Variation in prevalence of the factor across measured entities in </w:t>
      </w:r>
      <w:r w:rsidR="005B3EFC" w:rsidRPr="00357BD8">
        <w:rPr>
          <w:rFonts w:cstheme="minorHAnsi"/>
          <w:bCs/>
          <w:i w:val="0"/>
          <w:color w:val="C00000"/>
          <w:sz w:val="22"/>
          <w:u w:val="single"/>
        </w:rPr>
        <w:t>2020</w:t>
      </w:r>
      <w:r w:rsidR="007D1B1B" w:rsidRPr="00357BD8">
        <w:rPr>
          <w:rFonts w:cstheme="minorHAnsi"/>
          <w:bCs/>
          <w:i w:val="0"/>
          <w:color w:val="7030A0"/>
          <w:sz w:val="22"/>
          <w:u w:val="single"/>
        </w:rPr>
        <w:t xml:space="preserve"> and 2016</w:t>
      </w:r>
    </w:p>
    <w:tbl>
      <w:tblPr>
        <w:tblStyle w:val="TableGrid"/>
        <w:tblW w:w="0" w:type="auto"/>
        <w:tblInd w:w="1075" w:type="dxa"/>
        <w:tblLook w:val="04A0" w:firstRow="1" w:lastRow="0" w:firstColumn="1" w:lastColumn="0" w:noHBand="0" w:noVBand="1"/>
      </w:tblPr>
      <w:tblGrid>
        <w:gridCol w:w="2041"/>
        <w:gridCol w:w="2189"/>
        <w:gridCol w:w="2250"/>
      </w:tblGrid>
      <w:tr w:rsidR="003B74A1" w14:paraId="59899C67" w14:textId="77777777" w:rsidTr="00C5768B">
        <w:trPr>
          <w:cantSplit/>
          <w:tblHeader/>
        </w:trPr>
        <w:tc>
          <w:tcPr>
            <w:tcW w:w="2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659425" w14:textId="77777777" w:rsidR="003B74A1" w:rsidRDefault="003B74A1" w:rsidP="00C5768B">
            <w:pPr>
              <w:autoSpaceDE w:val="0"/>
              <w:autoSpaceDN w:val="0"/>
              <w:adjustRightInd w:val="0"/>
              <w:spacing w:before="120" w:after="120"/>
              <w:jc w:val="center"/>
              <w:rPr>
                <w:rFonts w:cstheme="minorHAnsi"/>
                <w:b/>
                <w:bCs/>
              </w:rPr>
            </w:pPr>
            <w:r>
              <w:rPr>
                <w:rFonts w:cstheme="minorHAnsi"/>
                <w:b/>
                <w:bCs/>
                <w:color w:val="7030A0"/>
              </w:rPr>
              <w:lastRenderedPageBreak/>
              <w:t>SRFs</w:t>
            </w:r>
          </w:p>
        </w:tc>
        <w:tc>
          <w:tcPr>
            <w:tcW w:w="2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F0F3EE" w14:textId="77777777" w:rsidR="003B74A1" w:rsidRDefault="003B74A1" w:rsidP="00C5768B">
            <w:pPr>
              <w:autoSpaceDE w:val="0"/>
              <w:autoSpaceDN w:val="0"/>
              <w:adjustRightInd w:val="0"/>
              <w:spacing w:before="120" w:after="120"/>
              <w:jc w:val="center"/>
              <w:rPr>
                <w:rFonts w:cstheme="minorHAnsi"/>
                <w:b/>
                <w:bCs/>
                <w:color w:val="C00000"/>
              </w:rPr>
            </w:pPr>
            <w:r>
              <w:rPr>
                <w:rFonts w:cstheme="minorHAnsi"/>
                <w:b/>
                <w:bCs/>
                <w:color w:val="C00000"/>
              </w:rPr>
              <w:t>2020 Prevalence</w:t>
            </w:r>
            <w:r>
              <w:rPr>
                <w:rFonts w:cstheme="minorHAnsi"/>
                <w:b/>
                <w:bCs/>
                <w:color w:val="C00000"/>
              </w:rPr>
              <w:br/>
              <w:t>% (IQR)</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CADCE9" w14:textId="77777777" w:rsidR="003B74A1" w:rsidRDefault="003B74A1" w:rsidP="00C5768B">
            <w:pPr>
              <w:autoSpaceDE w:val="0"/>
              <w:autoSpaceDN w:val="0"/>
              <w:adjustRightInd w:val="0"/>
              <w:spacing w:before="120" w:after="120"/>
              <w:jc w:val="center"/>
              <w:rPr>
                <w:rFonts w:cstheme="minorHAnsi"/>
                <w:bCs/>
              </w:rPr>
            </w:pPr>
            <w:r>
              <w:rPr>
                <w:rFonts w:cstheme="minorHAnsi"/>
                <w:b/>
                <w:bCs/>
                <w:color w:val="7030A0"/>
              </w:rPr>
              <w:t>2016 Prevalence</w:t>
            </w:r>
            <w:r>
              <w:rPr>
                <w:rFonts w:cstheme="minorHAnsi"/>
                <w:b/>
                <w:bCs/>
                <w:color w:val="7030A0"/>
              </w:rPr>
              <w:br/>
              <w:t>% (IQR)</w:t>
            </w:r>
          </w:p>
        </w:tc>
      </w:tr>
      <w:tr w:rsidR="003B74A1" w14:paraId="1CDDD10B" w14:textId="77777777" w:rsidTr="00C5768B">
        <w:trPr>
          <w:cantSplit/>
          <w:tblHeader/>
        </w:trPr>
        <w:tc>
          <w:tcPr>
            <w:tcW w:w="2041" w:type="dxa"/>
            <w:tcBorders>
              <w:top w:val="single" w:sz="4" w:space="0" w:color="auto"/>
              <w:left w:val="single" w:sz="4" w:space="0" w:color="auto"/>
              <w:bottom w:val="single" w:sz="4" w:space="0" w:color="auto"/>
              <w:right w:val="single" w:sz="4" w:space="0" w:color="auto"/>
            </w:tcBorders>
            <w:hideMark/>
          </w:tcPr>
          <w:p w14:paraId="0F41F962" w14:textId="77777777" w:rsidR="003B74A1" w:rsidRDefault="003B74A1" w:rsidP="00C5768B">
            <w:pPr>
              <w:autoSpaceDE w:val="0"/>
              <w:autoSpaceDN w:val="0"/>
              <w:adjustRightInd w:val="0"/>
              <w:spacing w:before="120" w:after="120"/>
              <w:rPr>
                <w:rFonts w:cstheme="minorHAnsi"/>
                <w:bCs/>
                <w:color w:val="7030A0"/>
              </w:rPr>
            </w:pPr>
            <w:r>
              <w:rPr>
                <w:rFonts w:cstheme="minorHAnsi"/>
                <w:bCs/>
                <w:color w:val="7030A0"/>
              </w:rPr>
              <w:t>Dual</w:t>
            </w:r>
          </w:p>
        </w:tc>
        <w:tc>
          <w:tcPr>
            <w:tcW w:w="2189" w:type="dxa"/>
            <w:tcBorders>
              <w:top w:val="single" w:sz="4" w:space="0" w:color="auto"/>
              <w:left w:val="single" w:sz="4" w:space="0" w:color="auto"/>
              <w:bottom w:val="single" w:sz="4" w:space="0" w:color="auto"/>
              <w:right w:val="single" w:sz="4" w:space="0" w:color="auto"/>
            </w:tcBorders>
            <w:hideMark/>
          </w:tcPr>
          <w:p w14:paraId="7108CF88" w14:textId="7CE3FCA9" w:rsidR="003B74A1" w:rsidRDefault="003B74A1" w:rsidP="00C5768B">
            <w:pPr>
              <w:autoSpaceDE w:val="0"/>
              <w:autoSpaceDN w:val="0"/>
              <w:adjustRightInd w:val="0"/>
              <w:spacing w:before="120" w:after="120"/>
              <w:jc w:val="center"/>
              <w:rPr>
                <w:rFonts w:cstheme="minorHAnsi"/>
                <w:bCs/>
                <w:color w:val="C00000"/>
              </w:rPr>
            </w:pPr>
            <w:r>
              <w:rPr>
                <w:rFonts w:cstheme="minorHAnsi"/>
                <w:bCs/>
                <w:color w:val="C00000"/>
              </w:rPr>
              <w:t>3.4% (1.4-7.8%)</w:t>
            </w:r>
          </w:p>
        </w:tc>
        <w:tc>
          <w:tcPr>
            <w:tcW w:w="2250" w:type="dxa"/>
            <w:tcBorders>
              <w:top w:val="single" w:sz="4" w:space="0" w:color="auto"/>
              <w:left w:val="single" w:sz="4" w:space="0" w:color="auto"/>
              <w:bottom w:val="single" w:sz="4" w:space="0" w:color="auto"/>
              <w:right w:val="single" w:sz="4" w:space="0" w:color="auto"/>
            </w:tcBorders>
            <w:hideMark/>
          </w:tcPr>
          <w:p w14:paraId="7A0E97AD" w14:textId="09ABA226" w:rsidR="003B74A1" w:rsidRDefault="003B74A1" w:rsidP="00C5768B">
            <w:pPr>
              <w:autoSpaceDE w:val="0"/>
              <w:autoSpaceDN w:val="0"/>
              <w:adjustRightInd w:val="0"/>
              <w:spacing w:before="120" w:after="120"/>
              <w:jc w:val="center"/>
              <w:rPr>
                <w:rFonts w:cstheme="minorHAnsi"/>
                <w:bCs/>
                <w:color w:val="7030A0"/>
              </w:rPr>
            </w:pPr>
            <w:r>
              <w:rPr>
                <w:rFonts w:cstheme="minorHAnsi"/>
                <w:bCs/>
                <w:color w:val="7030A0"/>
              </w:rPr>
              <w:t>6.7% (3.9-11.8%)</w:t>
            </w:r>
          </w:p>
        </w:tc>
      </w:tr>
      <w:tr w:rsidR="003B74A1" w14:paraId="4BB320DE" w14:textId="77777777" w:rsidTr="00C5768B">
        <w:trPr>
          <w:cantSplit/>
          <w:tblHeader/>
        </w:trPr>
        <w:tc>
          <w:tcPr>
            <w:tcW w:w="2041" w:type="dxa"/>
            <w:tcBorders>
              <w:top w:val="single" w:sz="4" w:space="0" w:color="auto"/>
              <w:left w:val="single" w:sz="4" w:space="0" w:color="auto"/>
              <w:bottom w:val="single" w:sz="4" w:space="0" w:color="auto"/>
              <w:right w:val="single" w:sz="4" w:space="0" w:color="auto"/>
            </w:tcBorders>
            <w:hideMark/>
          </w:tcPr>
          <w:p w14:paraId="04A95CF4" w14:textId="77777777" w:rsidR="003B74A1" w:rsidRDefault="003B74A1" w:rsidP="00C5768B">
            <w:pPr>
              <w:autoSpaceDE w:val="0"/>
              <w:autoSpaceDN w:val="0"/>
              <w:adjustRightInd w:val="0"/>
              <w:spacing w:before="120" w:after="120"/>
              <w:rPr>
                <w:rFonts w:cstheme="minorHAnsi"/>
                <w:bCs/>
                <w:color w:val="7030A0"/>
              </w:rPr>
            </w:pPr>
            <w:r>
              <w:rPr>
                <w:rFonts w:cstheme="minorHAnsi"/>
                <w:bCs/>
                <w:color w:val="7030A0"/>
              </w:rPr>
              <w:t xml:space="preserve">AHRQ Low SES </w:t>
            </w:r>
          </w:p>
        </w:tc>
        <w:tc>
          <w:tcPr>
            <w:tcW w:w="2189" w:type="dxa"/>
            <w:tcBorders>
              <w:top w:val="single" w:sz="4" w:space="0" w:color="auto"/>
              <w:left w:val="single" w:sz="4" w:space="0" w:color="auto"/>
              <w:bottom w:val="single" w:sz="4" w:space="0" w:color="auto"/>
              <w:right w:val="single" w:sz="4" w:space="0" w:color="auto"/>
            </w:tcBorders>
            <w:hideMark/>
          </w:tcPr>
          <w:p w14:paraId="705FBAD4" w14:textId="18782FC6" w:rsidR="003B74A1" w:rsidRDefault="003B74A1" w:rsidP="00C5768B">
            <w:pPr>
              <w:autoSpaceDE w:val="0"/>
              <w:autoSpaceDN w:val="0"/>
              <w:adjustRightInd w:val="0"/>
              <w:spacing w:before="120" w:after="120"/>
              <w:jc w:val="center"/>
              <w:rPr>
                <w:rFonts w:cstheme="minorHAnsi"/>
                <w:bCs/>
                <w:color w:val="C00000"/>
              </w:rPr>
            </w:pPr>
            <w:r>
              <w:rPr>
                <w:rFonts w:cstheme="minorHAnsi"/>
                <w:bCs/>
                <w:color w:val="C00000"/>
              </w:rPr>
              <w:t>11.6% (4.9-23.8%)</w:t>
            </w:r>
          </w:p>
        </w:tc>
        <w:tc>
          <w:tcPr>
            <w:tcW w:w="2250" w:type="dxa"/>
            <w:tcBorders>
              <w:top w:val="single" w:sz="4" w:space="0" w:color="auto"/>
              <w:left w:val="single" w:sz="4" w:space="0" w:color="auto"/>
              <w:bottom w:val="single" w:sz="4" w:space="0" w:color="auto"/>
              <w:right w:val="single" w:sz="4" w:space="0" w:color="auto"/>
            </w:tcBorders>
            <w:hideMark/>
          </w:tcPr>
          <w:p w14:paraId="238F4E14" w14:textId="55CD7999" w:rsidR="003B74A1" w:rsidRDefault="003B74A1" w:rsidP="00C5768B">
            <w:pPr>
              <w:autoSpaceDE w:val="0"/>
              <w:autoSpaceDN w:val="0"/>
              <w:adjustRightInd w:val="0"/>
              <w:spacing w:before="120" w:after="120"/>
              <w:jc w:val="center"/>
              <w:rPr>
                <w:rFonts w:cstheme="minorHAnsi"/>
                <w:bCs/>
                <w:color w:val="7030A0"/>
              </w:rPr>
            </w:pPr>
            <w:r>
              <w:rPr>
                <w:rFonts w:cstheme="minorHAnsi"/>
                <w:bCs/>
                <w:color w:val="7030A0"/>
              </w:rPr>
              <w:t>12.9% (6.4-24.2%)</w:t>
            </w:r>
          </w:p>
        </w:tc>
      </w:tr>
    </w:tbl>
    <w:p w14:paraId="64F3F6FC" w14:textId="0EDFFB36" w:rsidR="003B74A1" w:rsidRDefault="0026750D" w:rsidP="003B74A1">
      <w:pPr>
        <w:autoSpaceDE w:val="0"/>
        <w:autoSpaceDN w:val="0"/>
        <w:adjustRightInd w:val="0"/>
        <w:spacing w:before="120" w:after="120" w:line="240" w:lineRule="auto"/>
        <w:rPr>
          <w:rFonts w:cstheme="minorHAnsi"/>
          <w:b/>
          <w:bCs/>
        </w:rPr>
      </w:pPr>
      <w:r w:rsidRPr="00E205B4">
        <w:rPr>
          <w:rFonts w:cstheme="minorHAnsi"/>
          <w:bCs/>
          <w:color w:val="C00000"/>
        </w:rPr>
        <w:t xml:space="preserve">The prevalence of social </w:t>
      </w:r>
      <w:r w:rsidR="00C208A4">
        <w:rPr>
          <w:rFonts w:cstheme="minorHAnsi"/>
          <w:bCs/>
          <w:color w:val="C00000"/>
        </w:rPr>
        <w:t>risk factors in the THA/TKA</w:t>
      </w:r>
      <w:r w:rsidRPr="00E205B4">
        <w:rPr>
          <w:rFonts w:cstheme="minorHAnsi"/>
          <w:bCs/>
          <w:color w:val="C00000"/>
        </w:rPr>
        <w:t xml:space="preserve"> cohort varies widely across measured entities in 2020. The median percentage of dual eligible patients was </w:t>
      </w:r>
      <w:r w:rsidR="007B13AB">
        <w:rPr>
          <w:rFonts w:cstheme="minorHAnsi"/>
          <w:bCs/>
          <w:color w:val="C00000"/>
        </w:rPr>
        <w:t>3.4</w:t>
      </w:r>
      <w:r w:rsidRPr="00E205B4">
        <w:rPr>
          <w:rFonts w:cstheme="minorHAnsi"/>
          <w:bCs/>
          <w:color w:val="C00000"/>
        </w:rPr>
        <w:t xml:space="preserve">% (IQR </w:t>
      </w:r>
      <w:r w:rsidR="00CE342A" w:rsidRPr="00E205B4">
        <w:rPr>
          <w:rFonts w:cstheme="minorHAnsi"/>
          <w:bCs/>
          <w:color w:val="C00000"/>
        </w:rPr>
        <w:t>1.4</w:t>
      </w:r>
      <w:r w:rsidRPr="00E205B4">
        <w:rPr>
          <w:rFonts w:cstheme="minorHAnsi"/>
          <w:bCs/>
          <w:color w:val="C00000"/>
        </w:rPr>
        <w:t>%-</w:t>
      </w:r>
      <w:r w:rsidR="00CE342A" w:rsidRPr="00E205B4">
        <w:rPr>
          <w:rFonts w:cstheme="minorHAnsi"/>
          <w:bCs/>
          <w:color w:val="C00000"/>
        </w:rPr>
        <w:t>7.8</w:t>
      </w:r>
      <w:r w:rsidRPr="00E205B4">
        <w:rPr>
          <w:rFonts w:cstheme="minorHAnsi"/>
          <w:bCs/>
          <w:color w:val="C00000"/>
        </w:rPr>
        <w:t>%) and the median percentage of patients with an AHRQ SES index score adjusted for cost of living at the census block group level equal to or below 42.7</w:t>
      </w:r>
      <w:r w:rsidR="00221EF1">
        <w:rPr>
          <w:rFonts w:cstheme="minorHAnsi"/>
          <w:bCs/>
          <w:color w:val="C00000"/>
        </w:rPr>
        <w:t xml:space="preserve"> (lowest quartile)</w:t>
      </w:r>
      <w:r w:rsidRPr="00E205B4">
        <w:rPr>
          <w:rFonts w:cstheme="minorHAnsi"/>
          <w:bCs/>
          <w:color w:val="C00000"/>
        </w:rPr>
        <w:t xml:space="preserve"> was 1</w:t>
      </w:r>
      <w:r w:rsidR="002638E6" w:rsidRPr="00E205B4">
        <w:rPr>
          <w:rFonts w:cstheme="minorHAnsi"/>
          <w:bCs/>
          <w:color w:val="C00000"/>
        </w:rPr>
        <w:t>1</w:t>
      </w:r>
      <w:r w:rsidRPr="00E205B4">
        <w:rPr>
          <w:rFonts w:cstheme="minorHAnsi"/>
          <w:bCs/>
          <w:color w:val="C00000"/>
        </w:rPr>
        <w:t xml:space="preserve">.6% (IQR </w:t>
      </w:r>
      <w:r w:rsidR="002638E6" w:rsidRPr="00E205B4">
        <w:rPr>
          <w:rFonts w:cstheme="minorHAnsi"/>
          <w:bCs/>
          <w:color w:val="C00000"/>
        </w:rPr>
        <w:t>4.9</w:t>
      </w:r>
      <w:r w:rsidRPr="00E205B4">
        <w:rPr>
          <w:rFonts w:cstheme="minorHAnsi"/>
          <w:bCs/>
          <w:color w:val="C00000"/>
        </w:rPr>
        <w:t>%-</w:t>
      </w:r>
      <w:r w:rsidR="002638E6" w:rsidRPr="00E205B4">
        <w:rPr>
          <w:rFonts w:cstheme="minorHAnsi"/>
          <w:bCs/>
          <w:color w:val="C00000"/>
        </w:rPr>
        <w:t>23</w:t>
      </w:r>
      <w:r w:rsidRPr="00E205B4">
        <w:rPr>
          <w:rFonts w:cstheme="minorHAnsi"/>
          <w:bCs/>
          <w:color w:val="C00000"/>
        </w:rPr>
        <w:t>.</w:t>
      </w:r>
      <w:r w:rsidR="002638E6" w:rsidRPr="00E205B4">
        <w:rPr>
          <w:rFonts w:cstheme="minorHAnsi"/>
          <w:bCs/>
          <w:color w:val="C00000"/>
        </w:rPr>
        <w:t>8</w:t>
      </w:r>
      <w:r w:rsidRPr="00E205B4">
        <w:rPr>
          <w:rFonts w:cstheme="minorHAnsi"/>
          <w:bCs/>
          <w:color w:val="C00000"/>
        </w:rPr>
        <w:t xml:space="preserve">%) in 2020. These results are consistent with the 2016 results presented above. </w:t>
      </w:r>
      <w:r w:rsidR="00221EF1" w:rsidRPr="00043DA7">
        <w:rPr>
          <w:color w:val="C00000"/>
        </w:rPr>
        <w:t xml:space="preserve">For both SRF variables, patient-level </w:t>
      </w:r>
      <w:r w:rsidR="00221EF1">
        <w:rPr>
          <w:color w:val="C00000"/>
        </w:rPr>
        <w:t>prevalence has</w:t>
      </w:r>
      <w:r w:rsidR="00221EF1" w:rsidRPr="00043DA7">
        <w:rPr>
          <w:color w:val="C00000"/>
        </w:rPr>
        <w:t xml:space="preserve"> declined among all characteristic groups of patients.</w:t>
      </w:r>
    </w:p>
    <w:p w14:paraId="678DC2AE" w14:textId="54632395" w:rsidR="003B74A1" w:rsidRDefault="00545F37" w:rsidP="00545F37">
      <w:pPr>
        <w:pStyle w:val="Caption"/>
        <w:rPr>
          <w:rFonts w:cstheme="minorHAnsi"/>
          <w:bCs/>
          <w:color w:val="7030A0"/>
          <w:u w:val="single"/>
        </w:rPr>
      </w:pPr>
      <w:r w:rsidRPr="00357BD8">
        <w:rPr>
          <w:b/>
          <w:i w:val="0"/>
          <w:color w:val="7030A0"/>
          <w:sz w:val="22"/>
        </w:rPr>
        <w:t xml:space="preserve">Table </w:t>
      </w:r>
      <w:r w:rsidRPr="00357BD8">
        <w:rPr>
          <w:b/>
          <w:i w:val="0"/>
          <w:color w:val="7030A0"/>
          <w:sz w:val="22"/>
        </w:rPr>
        <w:fldChar w:fldCharType="begin"/>
      </w:r>
      <w:r w:rsidRPr="00357BD8">
        <w:rPr>
          <w:b/>
          <w:i w:val="0"/>
          <w:color w:val="7030A0"/>
          <w:sz w:val="22"/>
        </w:rPr>
        <w:instrText xml:space="preserve"> SEQ Table \* ARABIC </w:instrText>
      </w:r>
      <w:r w:rsidRPr="00357BD8">
        <w:rPr>
          <w:b/>
          <w:i w:val="0"/>
          <w:color w:val="7030A0"/>
          <w:sz w:val="22"/>
        </w:rPr>
        <w:fldChar w:fldCharType="separate"/>
      </w:r>
      <w:r w:rsidR="006F2E6B">
        <w:rPr>
          <w:b/>
          <w:i w:val="0"/>
          <w:noProof/>
          <w:color w:val="7030A0"/>
          <w:sz w:val="22"/>
        </w:rPr>
        <w:t>8</w:t>
      </w:r>
      <w:r w:rsidRPr="00357BD8">
        <w:rPr>
          <w:b/>
          <w:i w:val="0"/>
          <w:color w:val="7030A0"/>
          <w:sz w:val="22"/>
        </w:rPr>
        <w:fldChar w:fldCharType="end"/>
      </w:r>
      <w:r w:rsidRPr="00357BD8">
        <w:rPr>
          <w:b/>
          <w:i w:val="0"/>
          <w:color w:val="7030A0"/>
          <w:sz w:val="22"/>
        </w:rPr>
        <w:t>.</w:t>
      </w:r>
      <w:r w:rsidRPr="00357BD8">
        <w:rPr>
          <w:i w:val="0"/>
          <w:color w:val="7030A0"/>
          <w:sz w:val="22"/>
        </w:rPr>
        <w:t xml:space="preserve"> </w:t>
      </w:r>
      <w:r w:rsidR="00130700" w:rsidRPr="00357BD8">
        <w:rPr>
          <w:rFonts w:cstheme="minorHAnsi"/>
          <w:bCs/>
          <w:i w:val="0"/>
          <w:color w:val="7030A0"/>
          <w:sz w:val="22"/>
          <w:u w:val="single"/>
        </w:rPr>
        <w:t xml:space="preserve">Comparison of observed readmission rates in patients with and without social risk </w:t>
      </w:r>
      <w:r w:rsidR="005B3EFC" w:rsidRPr="00357BD8">
        <w:rPr>
          <w:rFonts w:cstheme="minorHAnsi"/>
          <w:bCs/>
          <w:i w:val="0"/>
          <w:color w:val="7030A0"/>
          <w:sz w:val="22"/>
          <w:u w:val="single"/>
        </w:rPr>
        <w:t xml:space="preserve">in 2020 </w:t>
      </w:r>
      <w:r w:rsidR="007B13AB" w:rsidRPr="00357BD8">
        <w:rPr>
          <w:rFonts w:cstheme="minorHAnsi"/>
          <w:bCs/>
          <w:i w:val="0"/>
          <w:color w:val="7030A0"/>
          <w:sz w:val="22"/>
          <w:u w:val="single"/>
        </w:rPr>
        <w:t>and 2016</w:t>
      </w:r>
    </w:p>
    <w:tbl>
      <w:tblPr>
        <w:tblStyle w:val="TableGrid"/>
        <w:tblW w:w="0" w:type="auto"/>
        <w:tblInd w:w="85" w:type="dxa"/>
        <w:tblLook w:val="04A0" w:firstRow="1" w:lastRow="0" w:firstColumn="1" w:lastColumn="0" w:noHBand="0" w:noVBand="1"/>
      </w:tblPr>
      <w:tblGrid>
        <w:gridCol w:w="4050"/>
        <w:gridCol w:w="2250"/>
        <w:gridCol w:w="2160"/>
      </w:tblGrid>
      <w:tr w:rsidR="000532F6" w14:paraId="46CE6C92" w14:textId="77777777" w:rsidTr="00C5768B">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67BF3D" w14:textId="77777777" w:rsidR="000532F6" w:rsidRDefault="000532F6" w:rsidP="00C5768B">
            <w:pPr>
              <w:autoSpaceDE w:val="0"/>
              <w:autoSpaceDN w:val="0"/>
              <w:adjustRightInd w:val="0"/>
              <w:spacing w:before="120" w:after="120"/>
              <w:rPr>
                <w:rFonts w:cstheme="minorHAnsi"/>
                <w:b/>
                <w:bCs/>
                <w:color w:val="7030A0"/>
              </w:rPr>
            </w:pPr>
            <w:bookmarkStart w:id="35" w:name="_Hlk40183568"/>
            <w:r>
              <w:rPr>
                <w:rFonts w:cstheme="minorHAnsi"/>
                <w:b/>
                <w:bCs/>
                <w:color w:val="7030A0"/>
              </w:rPr>
              <w:t>SRFs</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207680" w14:textId="77777777" w:rsidR="000532F6" w:rsidRDefault="000532F6" w:rsidP="00C5768B">
            <w:pPr>
              <w:autoSpaceDE w:val="0"/>
              <w:autoSpaceDN w:val="0"/>
              <w:adjustRightInd w:val="0"/>
              <w:spacing w:before="120" w:after="120"/>
              <w:rPr>
                <w:rFonts w:cstheme="minorHAnsi"/>
                <w:b/>
                <w:bCs/>
                <w:color w:val="C00000"/>
              </w:rPr>
            </w:pPr>
            <w:r>
              <w:rPr>
                <w:rFonts w:cstheme="minorHAnsi"/>
                <w:b/>
                <w:bCs/>
                <w:color w:val="C00000"/>
              </w:rPr>
              <w:t>2020 Observed Rate</w:t>
            </w:r>
          </w:p>
        </w:tc>
        <w:tc>
          <w:tcPr>
            <w:tcW w:w="2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6F098F" w14:textId="77777777" w:rsidR="000532F6" w:rsidRDefault="000532F6" w:rsidP="00C5768B">
            <w:pPr>
              <w:autoSpaceDE w:val="0"/>
              <w:autoSpaceDN w:val="0"/>
              <w:adjustRightInd w:val="0"/>
              <w:spacing w:before="120" w:after="120"/>
              <w:rPr>
                <w:rFonts w:cstheme="minorHAnsi"/>
                <w:bCs/>
                <w:color w:val="7030A0"/>
              </w:rPr>
            </w:pPr>
            <w:r>
              <w:rPr>
                <w:rFonts w:cstheme="minorHAnsi"/>
                <w:b/>
                <w:bCs/>
                <w:color w:val="7030A0"/>
              </w:rPr>
              <w:t>2016 Observed Rate</w:t>
            </w:r>
          </w:p>
        </w:tc>
      </w:tr>
      <w:tr w:rsidR="000532F6" w14:paraId="55B3A4D0" w14:textId="77777777" w:rsidTr="00C5768B">
        <w:tc>
          <w:tcPr>
            <w:tcW w:w="4050" w:type="dxa"/>
            <w:tcBorders>
              <w:top w:val="single" w:sz="4" w:space="0" w:color="auto"/>
              <w:left w:val="single" w:sz="4" w:space="0" w:color="auto"/>
              <w:bottom w:val="single" w:sz="4" w:space="0" w:color="auto"/>
              <w:right w:val="single" w:sz="4" w:space="0" w:color="auto"/>
            </w:tcBorders>
            <w:hideMark/>
          </w:tcPr>
          <w:p w14:paraId="7827EAA9" w14:textId="77777777" w:rsidR="000532F6" w:rsidRDefault="000532F6" w:rsidP="00C5768B">
            <w:pPr>
              <w:autoSpaceDE w:val="0"/>
              <w:autoSpaceDN w:val="0"/>
              <w:adjustRightInd w:val="0"/>
              <w:spacing w:before="120" w:after="120"/>
              <w:rPr>
                <w:rFonts w:cstheme="minorHAnsi"/>
                <w:bCs/>
                <w:color w:val="7030A0"/>
              </w:rPr>
            </w:pPr>
            <w:r>
              <w:rPr>
                <w:rFonts w:cstheme="minorHAnsi"/>
                <w:bCs/>
                <w:color w:val="7030A0"/>
              </w:rPr>
              <w:t>Dual (vs. Non-Dual)</w:t>
            </w:r>
          </w:p>
        </w:tc>
        <w:tc>
          <w:tcPr>
            <w:tcW w:w="2250" w:type="dxa"/>
            <w:tcBorders>
              <w:top w:val="single" w:sz="4" w:space="0" w:color="auto"/>
              <w:left w:val="single" w:sz="4" w:space="0" w:color="auto"/>
              <w:bottom w:val="single" w:sz="4" w:space="0" w:color="auto"/>
              <w:right w:val="single" w:sz="4" w:space="0" w:color="auto"/>
            </w:tcBorders>
            <w:hideMark/>
          </w:tcPr>
          <w:p w14:paraId="2E625C7E" w14:textId="51006143" w:rsidR="000532F6" w:rsidRDefault="000532F6" w:rsidP="00C5768B">
            <w:pPr>
              <w:autoSpaceDE w:val="0"/>
              <w:autoSpaceDN w:val="0"/>
              <w:adjustRightInd w:val="0"/>
              <w:spacing w:before="120" w:after="120"/>
              <w:jc w:val="center"/>
              <w:rPr>
                <w:rFonts w:cstheme="minorHAnsi"/>
                <w:bCs/>
                <w:color w:val="C00000"/>
              </w:rPr>
            </w:pPr>
            <w:r>
              <w:rPr>
                <w:rFonts w:cstheme="minorHAnsi"/>
                <w:bCs/>
                <w:color w:val="C00000"/>
              </w:rPr>
              <w:t>6.1% (vs. 3.9%)</w:t>
            </w:r>
          </w:p>
        </w:tc>
        <w:tc>
          <w:tcPr>
            <w:tcW w:w="2160" w:type="dxa"/>
            <w:tcBorders>
              <w:top w:val="single" w:sz="4" w:space="0" w:color="auto"/>
              <w:left w:val="single" w:sz="4" w:space="0" w:color="auto"/>
              <w:bottom w:val="single" w:sz="4" w:space="0" w:color="auto"/>
              <w:right w:val="single" w:sz="4" w:space="0" w:color="auto"/>
            </w:tcBorders>
            <w:hideMark/>
          </w:tcPr>
          <w:p w14:paraId="0E83146F" w14:textId="24C304DC" w:rsidR="000532F6" w:rsidRDefault="000532F6" w:rsidP="00C5768B">
            <w:pPr>
              <w:autoSpaceDE w:val="0"/>
              <w:autoSpaceDN w:val="0"/>
              <w:adjustRightInd w:val="0"/>
              <w:spacing w:before="120" w:after="120"/>
              <w:jc w:val="center"/>
              <w:rPr>
                <w:rFonts w:cstheme="minorHAnsi"/>
                <w:bCs/>
                <w:color w:val="7030A0"/>
              </w:rPr>
            </w:pPr>
            <w:r>
              <w:rPr>
                <w:rFonts w:cstheme="minorHAnsi"/>
                <w:bCs/>
                <w:color w:val="7030A0"/>
              </w:rPr>
              <w:t>6.7% (vs. 4.7%)</w:t>
            </w:r>
          </w:p>
        </w:tc>
      </w:tr>
      <w:tr w:rsidR="000532F6" w14:paraId="0152054F" w14:textId="77777777" w:rsidTr="00C5768B">
        <w:tc>
          <w:tcPr>
            <w:tcW w:w="4050" w:type="dxa"/>
            <w:tcBorders>
              <w:top w:val="single" w:sz="4" w:space="0" w:color="auto"/>
              <w:left w:val="single" w:sz="4" w:space="0" w:color="auto"/>
              <w:bottom w:val="single" w:sz="4" w:space="0" w:color="auto"/>
              <w:right w:val="single" w:sz="4" w:space="0" w:color="auto"/>
            </w:tcBorders>
            <w:hideMark/>
          </w:tcPr>
          <w:p w14:paraId="67C6AC22" w14:textId="77777777" w:rsidR="000532F6" w:rsidRDefault="000532F6" w:rsidP="00C5768B">
            <w:pPr>
              <w:autoSpaceDE w:val="0"/>
              <w:autoSpaceDN w:val="0"/>
              <w:adjustRightInd w:val="0"/>
              <w:spacing w:before="120" w:after="120"/>
              <w:rPr>
                <w:rFonts w:cstheme="minorHAnsi"/>
                <w:bCs/>
                <w:color w:val="7030A0"/>
              </w:rPr>
            </w:pPr>
            <w:r>
              <w:rPr>
                <w:rFonts w:cstheme="minorHAnsi"/>
                <w:bCs/>
                <w:color w:val="7030A0"/>
              </w:rPr>
              <w:t>AHRQ Low SES (vs. SES score above 42.7)</w:t>
            </w:r>
          </w:p>
        </w:tc>
        <w:tc>
          <w:tcPr>
            <w:tcW w:w="2250" w:type="dxa"/>
            <w:tcBorders>
              <w:top w:val="single" w:sz="4" w:space="0" w:color="auto"/>
              <w:left w:val="single" w:sz="4" w:space="0" w:color="auto"/>
              <w:bottom w:val="single" w:sz="4" w:space="0" w:color="auto"/>
              <w:right w:val="single" w:sz="4" w:space="0" w:color="auto"/>
            </w:tcBorders>
            <w:hideMark/>
          </w:tcPr>
          <w:p w14:paraId="4BC675C2" w14:textId="184551F7" w:rsidR="000532F6" w:rsidRDefault="000532F6" w:rsidP="00C5768B">
            <w:pPr>
              <w:autoSpaceDE w:val="0"/>
              <w:autoSpaceDN w:val="0"/>
              <w:adjustRightInd w:val="0"/>
              <w:spacing w:before="120" w:after="120"/>
              <w:jc w:val="center"/>
              <w:rPr>
                <w:rFonts w:cstheme="minorHAnsi"/>
                <w:bCs/>
                <w:color w:val="C00000"/>
              </w:rPr>
            </w:pPr>
            <w:r>
              <w:rPr>
                <w:rFonts w:cstheme="minorHAnsi"/>
                <w:bCs/>
                <w:color w:val="C00000"/>
              </w:rPr>
              <w:t>4.7% (vs 3.9%)</w:t>
            </w:r>
          </w:p>
        </w:tc>
        <w:tc>
          <w:tcPr>
            <w:tcW w:w="2160" w:type="dxa"/>
            <w:tcBorders>
              <w:top w:val="single" w:sz="4" w:space="0" w:color="auto"/>
              <w:left w:val="single" w:sz="4" w:space="0" w:color="auto"/>
              <w:bottom w:val="single" w:sz="4" w:space="0" w:color="auto"/>
              <w:right w:val="single" w:sz="4" w:space="0" w:color="auto"/>
            </w:tcBorders>
            <w:hideMark/>
          </w:tcPr>
          <w:p w14:paraId="17A0726A" w14:textId="1BF8F7CC" w:rsidR="000532F6" w:rsidRDefault="000532F6" w:rsidP="00C5768B">
            <w:pPr>
              <w:autoSpaceDE w:val="0"/>
              <w:autoSpaceDN w:val="0"/>
              <w:adjustRightInd w:val="0"/>
              <w:spacing w:before="120" w:after="120"/>
              <w:jc w:val="center"/>
              <w:rPr>
                <w:rFonts w:cstheme="minorHAnsi"/>
                <w:bCs/>
                <w:color w:val="7030A0"/>
              </w:rPr>
            </w:pPr>
            <w:r>
              <w:rPr>
                <w:rFonts w:cstheme="minorHAnsi"/>
                <w:bCs/>
                <w:color w:val="7030A0"/>
              </w:rPr>
              <w:t>5.5% (vs. 4.8%)</w:t>
            </w:r>
          </w:p>
        </w:tc>
        <w:bookmarkEnd w:id="35"/>
      </w:tr>
    </w:tbl>
    <w:p w14:paraId="25C01D09" w14:textId="2D81CE7D" w:rsidR="003B74A1" w:rsidRDefault="00CE54B4" w:rsidP="003B74A1">
      <w:pPr>
        <w:autoSpaceDE w:val="0"/>
        <w:autoSpaceDN w:val="0"/>
        <w:adjustRightInd w:val="0"/>
        <w:spacing w:before="120" w:after="120" w:line="240" w:lineRule="auto"/>
        <w:rPr>
          <w:rFonts w:cstheme="minorHAnsi"/>
          <w:b/>
          <w:bCs/>
        </w:rPr>
      </w:pPr>
      <w:r w:rsidRPr="00E205B4">
        <w:rPr>
          <w:rFonts w:cstheme="minorHAnsi"/>
          <w:bCs/>
          <w:color w:val="C00000"/>
        </w:rPr>
        <w:t xml:space="preserve">The patient-level observed THA/TKA readmission rates are higher for dual-eligible patients (6.1%) compared with 3.9% for non-dual patients in 2020. Similarly, the readmission rate for patients with an AHRQ SES index score equal to or below 42.7 was 4.7% compared with 3.9% for patients with an AHRQ SES index score above 42.7 in 2020. </w:t>
      </w:r>
      <w:r w:rsidRPr="00E205B4">
        <w:rPr>
          <w:color w:val="C00000"/>
        </w:rPr>
        <w:t>For both SRF variables, patient-level readmission rates have declined among all characteristic groups of patients.</w:t>
      </w:r>
    </w:p>
    <w:p w14:paraId="692921AA" w14:textId="1BA05E04" w:rsidR="003B74A1" w:rsidRDefault="00141475" w:rsidP="003B74A1">
      <w:pPr>
        <w:autoSpaceDE w:val="0"/>
        <w:autoSpaceDN w:val="0"/>
        <w:adjustRightInd w:val="0"/>
        <w:spacing w:before="120" w:after="120" w:line="240" w:lineRule="auto"/>
        <w:rPr>
          <w:rFonts w:cstheme="minorHAnsi"/>
          <w:b/>
          <w:bCs/>
        </w:rPr>
      </w:pPr>
      <w:bookmarkStart w:id="36" w:name="_Hlk42775102"/>
      <w:r>
        <w:rPr>
          <w:rFonts w:cstheme="minorHAnsi"/>
          <w:bCs/>
          <w:color w:val="C00000"/>
          <w:u w:val="single"/>
        </w:rPr>
        <w:t>Incremental effect of SRF</w:t>
      </w:r>
      <w:r w:rsidR="00CE54B4" w:rsidRPr="00E205B4">
        <w:rPr>
          <w:rFonts w:cstheme="minorHAnsi"/>
          <w:bCs/>
          <w:color w:val="C00000"/>
          <w:u w:val="single"/>
        </w:rPr>
        <w:t xml:space="preserve"> variables in a multivariable model in 2020 and 2016</w:t>
      </w:r>
    </w:p>
    <w:p w14:paraId="6F746F1D" w14:textId="4AFC4E2C" w:rsidR="003B74A1" w:rsidRPr="00221EF1" w:rsidRDefault="00CE54B4" w:rsidP="003B74A1">
      <w:pPr>
        <w:autoSpaceDE w:val="0"/>
        <w:autoSpaceDN w:val="0"/>
        <w:adjustRightInd w:val="0"/>
        <w:spacing w:before="120" w:after="120" w:line="240" w:lineRule="auto"/>
        <w:rPr>
          <w:rFonts w:cstheme="minorHAnsi"/>
          <w:b/>
          <w:bCs/>
          <w:color w:val="C00000"/>
        </w:rPr>
      </w:pPr>
      <w:r w:rsidRPr="00221EF1">
        <w:rPr>
          <w:rFonts w:cstheme="minorHAnsi"/>
          <w:bCs/>
          <w:color w:val="C00000"/>
        </w:rPr>
        <w:t>We</w:t>
      </w:r>
      <w:r w:rsidR="00130700">
        <w:rPr>
          <w:rFonts w:cstheme="minorHAnsi"/>
          <w:bCs/>
          <w:color w:val="C00000"/>
        </w:rPr>
        <w:t xml:space="preserve"> </w:t>
      </w:r>
      <w:r w:rsidRPr="00221EF1">
        <w:rPr>
          <w:rFonts w:cstheme="minorHAnsi"/>
          <w:bCs/>
          <w:color w:val="C00000"/>
        </w:rPr>
        <w:t xml:space="preserve">examined the strength and significance of the SRF variables in the context of a multivariable model. </w:t>
      </w:r>
      <w:r w:rsidR="00221EF1" w:rsidRPr="00221EF1">
        <w:rPr>
          <w:rFonts w:cstheme="minorHAnsi"/>
          <w:bCs/>
          <w:color w:val="C00000"/>
        </w:rPr>
        <w:t>W</w:t>
      </w:r>
      <w:r w:rsidRPr="00221EF1">
        <w:rPr>
          <w:rFonts w:cstheme="minorHAnsi"/>
          <w:bCs/>
          <w:color w:val="C00000"/>
        </w:rPr>
        <w:t xml:space="preserve">hen we include these variables in a multivariable model that includes </w:t>
      </w:r>
      <w:proofErr w:type="gramStart"/>
      <w:r w:rsidRPr="00221EF1">
        <w:rPr>
          <w:rFonts w:cstheme="minorHAnsi"/>
          <w:bCs/>
          <w:color w:val="C00000"/>
        </w:rPr>
        <w:t>all of</w:t>
      </w:r>
      <w:proofErr w:type="gramEnd"/>
      <w:r w:rsidRPr="00221EF1">
        <w:rPr>
          <w:rFonts w:cstheme="minorHAnsi"/>
          <w:bCs/>
          <w:color w:val="C00000"/>
        </w:rPr>
        <w:t xml:space="preserve"> the claims-based clinical variables, the effect size of</w:t>
      </w:r>
      <w:r w:rsidR="00221EF1" w:rsidRPr="00221EF1">
        <w:rPr>
          <w:rFonts w:cstheme="minorHAnsi"/>
          <w:bCs/>
          <w:color w:val="C00000"/>
        </w:rPr>
        <w:t xml:space="preserve"> each of these variables is moderate</w:t>
      </w:r>
      <w:r w:rsidRPr="00221EF1">
        <w:rPr>
          <w:rFonts w:cstheme="minorHAnsi"/>
          <w:bCs/>
          <w:color w:val="C00000"/>
        </w:rPr>
        <w:t>.</w:t>
      </w:r>
      <w:r w:rsidR="005A312D" w:rsidRPr="00221EF1">
        <w:rPr>
          <w:rFonts w:cstheme="minorHAnsi"/>
          <w:bCs/>
          <w:color w:val="C00000"/>
        </w:rPr>
        <w:t xml:space="preserve"> </w:t>
      </w:r>
      <w:r w:rsidR="00210DF1" w:rsidRPr="00221EF1">
        <w:rPr>
          <w:rFonts w:cstheme="minorHAnsi"/>
          <w:bCs/>
          <w:color w:val="C00000"/>
        </w:rPr>
        <w:t>In 2020, dual eligibility and the AHRQ SES index have effect sizes</w:t>
      </w:r>
      <w:r w:rsidR="00221EF1">
        <w:rPr>
          <w:rFonts w:cstheme="minorHAnsi"/>
          <w:bCs/>
          <w:color w:val="C00000"/>
        </w:rPr>
        <w:t xml:space="preserve"> (odds ratios)</w:t>
      </w:r>
      <w:r w:rsidR="00210DF1" w:rsidRPr="00221EF1">
        <w:rPr>
          <w:rFonts w:cstheme="minorHAnsi"/>
          <w:bCs/>
          <w:color w:val="C00000"/>
        </w:rPr>
        <w:t xml:space="preserve"> of 1.26 and 1.12 when added independently to the model,</w:t>
      </w:r>
      <w:r w:rsidR="005A312D" w:rsidRPr="00221EF1">
        <w:rPr>
          <w:rFonts w:cstheme="minorHAnsi"/>
          <w:bCs/>
          <w:color w:val="C00000"/>
        </w:rPr>
        <w:t xml:space="preserve"> </w:t>
      </w:r>
      <w:proofErr w:type="gramStart"/>
      <w:r w:rsidR="005A312D" w:rsidRPr="00221EF1">
        <w:rPr>
          <w:rFonts w:cstheme="minorHAnsi"/>
          <w:bCs/>
          <w:color w:val="C00000"/>
        </w:rPr>
        <w:t>similar to</w:t>
      </w:r>
      <w:proofErr w:type="gramEnd"/>
      <w:r w:rsidR="005A312D" w:rsidRPr="00221EF1">
        <w:rPr>
          <w:rFonts w:cstheme="minorHAnsi"/>
          <w:bCs/>
          <w:color w:val="C00000"/>
        </w:rPr>
        <w:t xml:space="preserve"> the 2016 findings (1.</w:t>
      </w:r>
      <w:r w:rsidR="00D62829" w:rsidRPr="00221EF1">
        <w:rPr>
          <w:rFonts w:cstheme="minorHAnsi"/>
          <w:bCs/>
          <w:color w:val="C00000"/>
        </w:rPr>
        <w:t>22</w:t>
      </w:r>
      <w:r w:rsidR="005A312D" w:rsidRPr="00221EF1">
        <w:rPr>
          <w:rFonts w:cstheme="minorHAnsi"/>
          <w:bCs/>
          <w:color w:val="C00000"/>
        </w:rPr>
        <w:t xml:space="preserve"> and 1</w:t>
      </w:r>
      <w:r w:rsidR="00C3516A" w:rsidRPr="00221EF1">
        <w:rPr>
          <w:rFonts w:cstheme="minorHAnsi"/>
          <w:bCs/>
          <w:color w:val="C00000"/>
        </w:rPr>
        <w:t>.</w:t>
      </w:r>
      <w:r w:rsidR="00A132B7" w:rsidRPr="00221EF1">
        <w:rPr>
          <w:rFonts w:cstheme="minorHAnsi"/>
          <w:bCs/>
          <w:color w:val="C00000"/>
        </w:rPr>
        <w:t>0</w:t>
      </w:r>
      <w:r w:rsidR="00D62829" w:rsidRPr="00221EF1">
        <w:rPr>
          <w:rFonts w:cstheme="minorHAnsi"/>
          <w:bCs/>
          <w:color w:val="C00000"/>
        </w:rPr>
        <w:t>9</w:t>
      </w:r>
      <w:r w:rsidR="005A312D" w:rsidRPr="00221EF1">
        <w:rPr>
          <w:rFonts w:cstheme="minorHAnsi"/>
          <w:bCs/>
          <w:color w:val="C00000"/>
        </w:rPr>
        <w:t xml:space="preserve">, respectively). </w:t>
      </w:r>
      <w:r w:rsidR="00210DF1" w:rsidRPr="00221EF1">
        <w:rPr>
          <w:rFonts w:cstheme="minorHAnsi"/>
          <w:bCs/>
          <w:color w:val="C00000"/>
        </w:rPr>
        <w:t>Furthermore, the effect size of each variable is attenuated (1.24 and 1.09 for dual and SES) when both are added to the model.</w:t>
      </w:r>
    </w:p>
    <w:p w14:paraId="1D9AE16D" w14:textId="09537878" w:rsidR="003B74A1" w:rsidRPr="00221EF1" w:rsidRDefault="00CE54B4" w:rsidP="003B74A1">
      <w:pPr>
        <w:autoSpaceDE w:val="0"/>
        <w:autoSpaceDN w:val="0"/>
        <w:adjustRightInd w:val="0"/>
        <w:spacing w:before="120" w:after="120" w:line="240" w:lineRule="auto"/>
        <w:rPr>
          <w:rFonts w:cstheme="minorHAnsi"/>
          <w:b/>
          <w:bCs/>
          <w:color w:val="C00000"/>
        </w:rPr>
      </w:pPr>
      <w:r w:rsidRPr="00221EF1">
        <w:rPr>
          <w:rFonts w:cstheme="minorHAnsi"/>
          <w:bCs/>
          <w:color w:val="C00000"/>
        </w:rPr>
        <w:t>We also find that the c-statistic is essentially unchanged with the addition of any of these v</w:t>
      </w:r>
      <w:r w:rsidR="007B13AB">
        <w:rPr>
          <w:rFonts w:cstheme="minorHAnsi"/>
          <w:bCs/>
          <w:color w:val="C00000"/>
        </w:rPr>
        <w:t>ariables into the model (</w:t>
      </w:r>
      <w:hyperlink w:anchor="Table8" w:history="1">
        <w:r w:rsidR="007B13AB" w:rsidRPr="00055EB3">
          <w:rPr>
            <w:rStyle w:val="Hyperlink"/>
            <w:rFonts w:cstheme="minorHAnsi"/>
          </w:rPr>
          <w:t xml:space="preserve">Table </w:t>
        </w:r>
        <w:r w:rsidR="007D1B1B" w:rsidRPr="00055EB3">
          <w:rPr>
            <w:rStyle w:val="Hyperlink"/>
            <w:rFonts w:cstheme="minorHAnsi"/>
          </w:rPr>
          <w:t>8</w:t>
        </w:r>
      </w:hyperlink>
      <w:r w:rsidR="007D1B1B">
        <w:rPr>
          <w:rFonts w:cstheme="minorHAnsi"/>
          <w:bCs/>
          <w:color w:val="C00000"/>
        </w:rPr>
        <w:t>)</w:t>
      </w:r>
      <w:r w:rsidRPr="00221EF1">
        <w:rPr>
          <w:rFonts w:cstheme="minorHAnsi"/>
          <w:bCs/>
          <w:color w:val="C00000"/>
        </w:rPr>
        <w:t>.</w:t>
      </w:r>
    </w:p>
    <w:p w14:paraId="31FCA8E5" w14:textId="7A58FAB2" w:rsidR="000532F6" w:rsidRPr="00EE71CC" w:rsidRDefault="00EE71CC" w:rsidP="00EE71CC">
      <w:pPr>
        <w:pStyle w:val="Caption"/>
        <w:rPr>
          <w:rFonts w:cstheme="minorHAnsi"/>
          <w:bCs/>
          <w:i w:val="0"/>
          <w:color w:val="7030A0"/>
          <w:sz w:val="22"/>
        </w:rPr>
      </w:pPr>
      <w:bookmarkStart w:id="37" w:name="Table8"/>
      <w:r w:rsidRPr="00EE71CC">
        <w:rPr>
          <w:b/>
          <w:i w:val="0"/>
          <w:color w:val="7030A0"/>
          <w:sz w:val="22"/>
        </w:rPr>
        <w:t xml:space="preserve">Table </w:t>
      </w:r>
      <w:r w:rsidRPr="00EE71CC">
        <w:rPr>
          <w:b/>
          <w:i w:val="0"/>
          <w:color w:val="7030A0"/>
          <w:sz w:val="22"/>
        </w:rPr>
        <w:fldChar w:fldCharType="begin"/>
      </w:r>
      <w:r w:rsidRPr="00EE71CC">
        <w:rPr>
          <w:b/>
          <w:i w:val="0"/>
          <w:color w:val="7030A0"/>
          <w:sz w:val="22"/>
        </w:rPr>
        <w:instrText xml:space="preserve"> SEQ Table \* ARABIC </w:instrText>
      </w:r>
      <w:r w:rsidRPr="00EE71CC">
        <w:rPr>
          <w:b/>
          <w:i w:val="0"/>
          <w:color w:val="7030A0"/>
          <w:sz w:val="22"/>
        </w:rPr>
        <w:fldChar w:fldCharType="separate"/>
      </w:r>
      <w:r w:rsidR="006F2E6B">
        <w:rPr>
          <w:b/>
          <w:i w:val="0"/>
          <w:noProof/>
          <w:color w:val="7030A0"/>
          <w:sz w:val="22"/>
        </w:rPr>
        <w:t>9</w:t>
      </w:r>
      <w:r w:rsidRPr="00EE71CC">
        <w:rPr>
          <w:b/>
          <w:i w:val="0"/>
          <w:color w:val="7030A0"/>
          <w:sz w:val="22"/>
        </w:rPr>
        <w:fldChar w:fldCharType="end"/>
      </w:r>
      <w:bookmarkEnd w:id="37"/>
      <w:r w:rsidR="005B3EFC" w:rsidRPr="00EE71CC">
        <w:rPr>
          <w:rFonts w:cstheme="minorHAnsi"/>
          <w:b/>
          <w:bCs/>
          <w:i w:val="0"/>
          <w:color w:val="7030A0"/>
          <w:sz w:val="22"/>
        </w:rPr>
        <w:t>.</w:t>
      </w:r>
      <w:r w:rsidR="006D3E6E">
        <w:rPr>
          <w:rFonts w:cstheme="minorHAnsi"/>
          <w:b/>
          <w:bCs/>
          <w:i w:val="0"/>
          <w:color w:val="7030A0"/>
          <w:sz w:val="22"/>
        </w:rPr>
        <w:t xml:space="preserve"> Comparison of C-statistics in 2020 and 2016 in the THA/TKA Readmission Models</w:t>
      </w:r>
    </w:p>
    <w:tbl>
      <w:tblPr>
        <w:tblStyle w:val="TableGrid"/>
        <w:tblW w:w="9487" w:type="dxa"/>
        <w:tblInd w:w="85" w:type="dxa"/>
        <w:tblLook w:val="04A0" w:firstRow="1" w:lastRow="0" w:firstColumn="1" w:lastColumn="0" w:noHBand="0" w:noVBand="1"/>
      </w:tblPr>
      <w:tblGrid>
        <w:gridCol w:w="5621"/>
        <w:gridCol w:w="2180"/>
        <w:gridCol w:w="1686"/>
      </w:tblGrid>
      <w:tr w:rsidR="000532F6" w:rsidRPr="006F5BE7" w14:paraId="78B30237" w14:textId="77777777" w:rsidTr="003D2A7C">
        <w:trPr>
          <w:cantSplit/>
          <w:trHeight w:val="371"/>
          <w:tblHeader/>
        </w:trPr>
        <w:tc>
          <w:tcPr>
            <w:tcW w:w="5621" w:type="dxa"/>
            <w:shd w:val="clear" w:color="auto" w:fill="BFBFBF" w:themeFill="background1" w:themeFillShade="BF"/>
            <w:vAlign w:val="center"/>
          </w:tcPr>
          <w:p w14:paraId="133C3177" w14:textId="42FE5051" w:rsidR="000532F6" w:rsidRPr="00430530" w:rsidRDefault="000532F6" w:rsidP="003D2A7C">
            <w:pPr>
              <w:autoSpaceDE w:val="0"/>
              <w:autoSpaceDN w:val="0"/>
              <w:adjustRightInd w:val="0"/>
              <w:spacing w:before="120" w:after="120"/>
              <w:rPr>
                <w:rFonts w:cstheme="minorHAnsi"/>
                <w:b/>
                <w:bCs/>
                <w:color w:val="7030A0"/>
              </w:rPr>
            </w:pPr>
            <w:bookmarkStart w:id="38" w:name="_Hlk40359082"/>
            <w:r>
              <w:rPr>
                <w:rFonts w:cstheme="minorHAnsi"/>
                <w:b/>
                <w:bCs/>
                <w:color w:val="7030A0"/>
              </w:rPr>
              <w:lastRenderedPageBreak/>
              <w:t>THA/TKA</w:t>
            </w:r>
            <w:r w:rsidRPr="00430530">
              <w:rPr>
                <w:rFonts w:cstheme="minorHAnsi"/>
                <w:b/>
                <w:bCs/>
                <w:color w:val="7030A0"/>
              </w:rPr>
              <w:t xml:space="preserve"> Readmission Models</w:t>
            </w:r>
          </w:p>
        </w:tc>
        <w:tc>
          <w:tcPr>
            <w:tcW w:w="2180" w:type="dxa"/>
            <w:shd w:val="clear" w:color="auto" w:fill="BFBFBF" w:themeFill="background1" w:themeFillShade="BF"/>
            <w:vAlign w:val="center"/>
          </w:tcPr>
          <w:p w14:paraId="07426D8A" w14:textId="77777777" w:rsidR="000532F6" w:rsidRPr="006F5BE7" w:rsidRDefault="000532F6" w:rsidP="003D2A7C">
            <w:pPr>
              <w:autoSpaceDE w:val="0"/>
              <w:autoSpaceDN w:val="0"/>
              <w:adjustRightInd w:val="0"/>
              <w:spacing w:before="120" w:after="120"/>
              <w:jc w:val="center"/>
              <w:rPr>
                <w:rFonts w:cstheme="minorHAnsi"/>
                <w:b/>
                <w:bCs/>
                <w:color w:val="C00000"/>
              </w:rPr>
            </w:pPr>
            <w:r w:rsidRPr="006F5BE7">
              <w:rPr>
                <w:rFonts w:cstheme="minorHAnsi"/>
                <w:b/>
                <w:bCs/>
                <w:color w:val="C00000"/>
              </w:rPr>
              <w:t xml:space="preserve">2020 </w:t>
            </w:r>
            <w:r>
              <w:rPr>
                <w:rFonts w:cstheme="minorHAnsi"/>
                <w:b/>
                <w:bCs/>
                <w:color w:val="C00000"/>
              </w:rPr>
              <w:t>C-Statistic</w:t>
            </w:r>
          </w:p>
        </w:tc>
        <w:tc>
          <w:tcPr>
            <w:tcW w:w="1686" w:type="dxa"/>
            <w:shd w:val="clear" w:color="auto" w:fill="BFBFBF" w:themeFill="background1" w:themeFillShade="BF"/>
            <w:vAlign w:val="center"/>
          </w:tcPr>
          <w:p w14:paraId="1A70E94E" w14:textId="77777777" w:rsidR="000532F6" w:rsidRPr="00430530" w:rsidRDefault="000532F6" w:rsidP="003D2A7C">
            <w:pPr>
              <w:autoSpaceDE w:val="0"/>
              <w:autoSpaceDN w:val="0"/>
              <w:adjustRightInd w:val="0"/>
              <w:spacing w:before="120" w:after="120"/>
              <w:jc w:val="center"/>
              <w:rPr>
                <w:rFonts w:cstheme="minorHAnsi"/>
                <w:bCs/>
                <w:color w:val="7030A0"/>
              </w:rPr>
            </w:pPr>
            <w:r w:rsidRPr="00430530">
              <w:rPr>
                <w:rFonts w:cstheme="minorHAnsi"/>
                <w:b/>
                <w:bCs/>
                <w:color w:val="7030A0"/>
              </w:rPr>
              <w:t>2016 C-Statistic</w:t>
            </w:r>
          </w:p>
        </w:tc>
      </w:tr>
      <w:tr w:rsidR="000532F6" w:rsidRPr="006F5BE7" w14:paraId="4A4CFBD2" w14:textId="77777777" w:rsidTr="003D2A7C">
        <w:trPr>
          <w:cantSplit/>
          <w:trHeight w:val="957"/>
          <w:tblHeader/>
        </w:trPr>
        <w:tc>
          <w:tcPr>
            <w:tcW w:w="5621" w:type="dxa"/>
            <w:tcBorders>
              <w:bottom w:val="single" w:sz="4" w:space="0" w:color="auto"/>
            </w:tcBorders>
            <w:vAlign w:val="center"/>
          </w:tcPr>
          <w:p w14:paraId="0668F09E" w14:textId="4A261684" w:rsidR="000532F6" w:rsidRPr="00430530" w:rsidRDefault="000532F6" w:rsidP="003D2A7C">
            <w:pPr>
              <w:autoSpaceDE w:val="0"/>
              <w:autoSpaceDN w:val="0"/>
              <w:adjustRightInd w:val="0"/>
              <w:spacing w:before="120" w:after="120"/>
              <w:rPr>
                <w:rFonts w:cstheme="minorHAnsi"/>
                <w:bCs/>
                <w:color w:val="7030A0"/>
              </w:rPr>
            </w:pPr>
            <w:bookmarkStart w:id="39" w:name="_Hlk40183958"/>
            <w:r w:rsidRPr="00430530">
              <w:rPr>
                <w:rFonts w:cstheme="minorHAnsi"/>
                <w:bCs/>
                <w:color w:val="7030A0"/>
              </w:rPr>
              <w:t xml:space="preserve">Base Model: risk-adjusted model using the original clinical risk variables selected for the 2020 CMS public report of the </w:t>
            </w:r>
            <w:r w:rsidR="00C208A4">
              <w:rPr>
                <w:rFonts w:cstheme="minorHAnsi"/>
                <w:bCs/>
                <w:color w:val="7030A0"/>
              </w:rPr>
              <w:t>THA/TKA</w:t>
            </w:r>
            <w:r w:rsidRPr="00430530">
              <w:rPr>
                <w:rFonts w:cstheme="minorHAnsi"/>
                <w:bCs/>
                <w:color w:val="7030A0"/>
              </w:rPr>
              <w:t xml:space="preserve"> readmission measure</w:t>
            </w:r>
          </w:p>
        </w:tc>
        <w:tc>
          <w:tcPr>
            <w:tcW w:w="2180" w:type="dxa"/>
            <w:tcBorders>
              <w:bottom w:val="single" w:sz="4" w:space="0" w:color="auto"/>
            </w:tcBorders>
            <w:vAlign w:val="center"/>
          </w:tcPr>
          <w:p w14:paraId="02E3A1F6" w14:textId="79BDDFB9" w:rsidR="000532F6" w:rsidRPr="00430530" w:rsidRDefault="000532F6" w:rsidP="003D2A7C">
            <w:pPr>
              <w:autoSpaceDE w:val="0"/>
              <w:autoSpaceDN w:val="0"/>
              <w:adjustRightInd w:val="0"/>
              <w:spacing w:before="120" w:after="120"/>
              <w:jc w:val="center"/>
              <w:rPr>
                <w:rFonts w:cstheme="minorHAnsi"/>
                <w:bCs/>
                <w:color w:val="C00000"/>
              </w:rPr>
            </w:pPr>
            <w:r w:rsidRPr="00430530">
              <w:rPr>
                <w:rFonts w:cstheme="minorHAnsi"/>
                <w:bCs/>
                <w:color w:val="C00000"/>
              </w:rPr>
              <w:t>0.6</w:t>
            </w:r>
            <w:r w:rsidR="007B13AB">
              <w:rPr>
                <w:rFonts w:cstheme="minorHAnsi"/>
                <w:bCs/>
                <w:color w:val="C00000"/>
              </w:rPr>
              <w:t>7</w:t>
            </w:r>
          </w:p>
        </w:tc>
        <w:tc>
          <w:tcPr>
            <w:tcW w:w="1686" w:type="dxa"/>
            <w:tcBorders>
              <w:bottom w:val="single" w:sz="4" w:space="0" w:color="auto"/>
            </w:tcBorders>
            <w:vAlign w:val="center"/>
          </w:tcPr>
          <w:p w14:paraId="71C9158F" w14:textId="4BDF9515" w:rsidR="000532F6" w:rsidRPr="00430530" w:rsidRDefault="000532F6" w:rsidP="003D2A7C">
            <w:pPr>
              <w:autoSpaceDE w:val="0"/>
              <w:autoSpaceDN w:val="0"/>
              <w:adjustRightInd w:val="0"/>
              <w:spacing w:before="120" w:after="120"/>
              <w:jc w:val="center"/>
              <w:rPr>
                <w:rFonts w:cstheme="minorHAnsi"/>
                <w:bCs/>
                <w:color w:val="7030A0"/>
              </w:rPr>
            </w:pPr>
            <w:r w:rsidRPr="00430530">
              <w:rPr>
                <w:rFonts w:cstheme="minorHAnsi"/>
                <w:bCs/>
                <w:color w:val="7030A0"/>
              </w:rPr>
              <w:t>0.6</w:t>
            </w:r>
            <w:r w:rsidR="007B13AB">
              <w:rPr>
                <w:rFonts w:cstheme="minorHAnsi"/>
                <w:bCs/>
                <w:color w:val="7030A0"/>
              </w:rPr>
              <w:t>5</w:t>
            </w:r>
          </w:p>
        </w:tc>
      </w:tr>
      <w:tr w:rsidR="000532F6" w:rsidRPr="006F5BE7" w14:paraId="31217F97" w14:textId="77777777" w:rsidTr="003D2A7C">
        <w:trPr>
          <w:cantSplit/>
          <w:trHeight w:val="766"/>
          <w:tblHeader/>
        </w:trPr>
        <w:tc>
          <w:tcPr>
            <w:tcW w:w="5621" w:type="dxa"/>
            <w:tcBorders>
              <w:top w:val="single" w:sz="4" w:space="0" w:color="auto"/>
            </w:tcBorders>
            <w:vAlign w:val="center"/>
          </w:tcPr>
          <w:p w14:paraId="06659536" w14:textId="77777777" w:rsidR="000532F6" w:rsidRPr="00430530" w:rsidRDefault="000532F6" w:rsidP="003D2A7C">
            <w:pPr>
              <w:autoSpaceDE w:val="0"/>
              <w:autoSpaceDN w:val="0"/>
              <w:adjustRightInd w:val="0"/>
              <w:spacing w:before="120" w:after="120"/>
              <w:rPr>
                <w:rFonts w:cstheme="minorHAnsi"/>
                <w:bCs/>
                <w:color w:val="7030A0"/>
              </w:rPr>
            </w:pPr>
            <w:r w:rsidRPr="00430530">
              <w:rPr>
                <w:rFonts w:cstheme="minorHAnsi"/>
                <w:bCs/>
                <w:color w:val="7030A0"/>
              </w:rPr>
              <w:t>Base Model plus AHRQ Low SES based on beneficiary residential 9-digit ZIP codes (SES9) as a social risk variable</w:t>
            </w:r>
          </w:p>
        </w:tc>
        <w:tc>
          <w:tcPr>
            <w:tcW w:w="2180" w:type="dxa"/>
            <w:tcBorders>
              <w:top w:val="single" w:sz="4" w:space="0" w:color="auto"/>
            </w:tcBorders>
            <w:vAlign w:val="center"/>
          </w:tcPr>
          <w:p w14:paraId="0219FE01" w14:textId="0814DFB4" w:rsidR="000532F6" w:rsidRPr="00430530" w:rsidRDefault="000532F6" w:rsidP="003D2A7C">
            <w:pPr>
              <w:autoSpaceDE w:val="0"/>
              <w:autoSpaceDN w:val="0"/>
              <w:adjustRightInd w:val="0"/>
              <w:spacing w:before="120" w:after="120"/>
              <w:jc w:val="center"/>
              <w:rPr>
                <w:rFonts w:cstheme="minorHAnsi"/>
                <w:bCs/>
                <w:color w:val="C00000"/>
              </w:rPr>
            </w:pPr>
            <w:r w:rsidRPr="00430530">
              <w:rPr>
                <w:rFonts w:cstheme="minorHAnsi"/>
                <w:bCs/>
                <w:color w:val="C00000"/>
              </w:rPr>
              <w:t>0.6</w:t>
            </w:r>
            <w:r w:rsidR="00F40548">
              <w:rPr>
                <w:rFonts w:cstheme="minorHAnsi"/>
                <w:bCs/>
                <w:color w:val="C00000"/>
              </w:rPr>
              <w:t>7</w:t>
            </w:r>
          </w:p>
        </w:tc>
        <w:tc>
          <w:tcPr>
            <w:tcW w:w="1686" w:type="dxa"/>
            <w:tcBorders>
              <w:top w:val="single" w:sz="4" w:space="0" w:color="auto"/>
            </w:tcBorders>
            <w:vAlign w:val="center"/>
          </w:tcPr>
          <w:p w14:paraId="3A32277B" w14:textId="68528498" w:rsidR="000532F6" w:rsidRPr="00430530" w:rsidRDefault="000532F6" w:rsidP="003D2A7C">
            <w:pPr>
              <w:autoSpaceDE w:val="0"/>
              <w:autoSpaceDN w:val="0"/>
              <w:adjustRightInd w:val="0"/>
              <w:spacing w:before="120" w:after="120"/>
              <w:jc w:val="center"/>
              <w:rPr>
                <w:rFonts w:cstheme="minorHAnsi"/>
                <w:bCs/>
                <w:color w:val="7030A0"/>
              </w:rPr>
            </w:pPr>
            <w:r w:rsidRPr="00430530">
              <w:rPr>
                <w:rFonts w:cstheme="minorHAnsi"/>
                <w:bCs/>
                <w:color w:val="7030A0"/>
              </w:rPr>
              <w:t>0.6</w:t>
            </w:r>
            <w:r w:rsidR="007B13AB">
              <w:rPr>
                <w:rFonts w:cstheme="minorHAnsi"/>
                <w:bCs/>
                <w:color w:val="7030A0"/>
              </w:rPr>
              <w:t>5</w:t>
            </w:r>
          </w:p>
        </w:tc>
      </w:tr>
      <w:bookmarkEnd w:id="39"/>
      <w:tr w:rsidR="000532F6" w:rsidRPr="006F5BE7" w14:paraId="158D09A1" w14:textId="77777777" w:rsidTr="003D2A7C">
        <w:trPr>
          <w:cantSplit/>
          <w:trHeight w:val="569"/>
          <w:tblHeader/>
        </w:trPr>
        <w:tc>
          <w:tcPr>
            <w:tcW w:w="5621" w:type="dxa"/>
            <w:vAlign w:val="center"/>
          </w:tcPr>
          <w:p w14:paraId="6D288F88" w14:textId="77777777" w:rsidR="000532F6" w:rsidRPr="00430530" w:rsidRDefault="000532F6" w:rsidP="003D2A7C">
            <w:pPr>
              <w:autoSpaceDE w:val="0"/>
              <w:autoSpaceDN w:val="0"/>
              <w:adjustRightInd w:val="0"/>
              <w:spacing w:before="120" w:after="120"/>
              <w:rPr>
                <w:rFonts w:cstheme="minorHAnsi"/>
                <w:bCs/>
                <w:color w:val="7030A0"/>
              </w:rPr>
            </w:pPr>
            <w:r w:rsidRPr="00430530">
              <w:rPr>
                <w:rFonts w:cstheme="minorHAnsi"/>
                <w:bCs/>
                <w:color w:val="7030A0"/>
              </w:rPr>
              <w:t>Base Model plus dual eligibility (dual) as a social risk variable</w:t>
            </w:r>
          </w:p>
        </w:tc>
        <w:tc>
          <w:tcPr>
            <w:tcW w:w="2180" w:type="dxa"/>
            <w:vAlign w:val="center"/>
          </w:tcPr>
          <w:p w14:paraId="48173FC7" w14:textId="0C64C5D0" w:rsidR="000532F6" w:rsidRPr="00430530" w:rsidRDefault="000532F6" w:rsidP="003D2A7C">
            <w:pPr>
              <w:autoSpaceDE w:val="0"/>
              <w:autoSpaceDN w:val="0"/>
              <w:adjustRightInd w:val="0"/>
              <w:spacing w:before="120" w:after="120"/>
              <w:jc w:val="center"/>
              <w:rPr>
                <w:rFonts w:cstheme="minorHAnsi"/>
                <w:bCs/>
                <w:color w:val="C00000"/>
              </w:rPr>
            </w:pPr>
            <w:r w:rsidRPr="00430530">
              <w:rPr>
                <w:rFonts w:cstheme="minorHAnsi"/>
                <w:bCs/>
                <w:color w:val="C00000"/>
              </w:rPr>
              <w:t>0.6</w:t>
            </w:r>
            <w:r w:rsidR="00F40548">
              <w:rPr>
                <w:rFonts w:cstheme="minorHAnsi"/>
                <w:bCs/>
                <w:color w:val="C00000"/>
              </w:rPr>
              <w:t>7</w:t>
            </w:r>
          </w:p>
        </w:tc>
        <w:tc>
          <w:tcPr>
            <w:tcW w:w="1686" w:type="dxa"/>
            <w:vAlign w:val="center"/>
          </w:tcPr>
          <w:p w14:paraId="3EF69A5F" w14:textId="36ACEABE" w:rsidR="000532F6" w:rsidRPr="00430530" w:rsidRDefault="000532F6" w:rsidP="003D2A7C">
            <w:pPr>
              <w:autoSpaceDE w:val="0"/>
              <w:autoSpaceDN w:val="0"/>
              <w:adjustRightInd w:val="0"/>
              <w:spacing w:before="120" w:after="120"/>
              <w:jc w:val="center"/>
              <w:rPr>
                <w:rFonts w:cstheme="minorHAnsi"/>
                <w:bCs/>
                <w:color w:val="7030A0"/>
              </w:rPr>
            </w:pPr>
            <w:r w:rsidRPr="00430530">
              <w:rPr>
                <w:rFonts w:cstheme="minorHAnsi"/>
                <w:bCs/>
                <w:color w:val="7030A0"/>
              </w:rPr>
              <w:t>0.6</w:t>
            </w:r>
            <w:r w:rsidR="007B13AB">
              <w:rPr>
                <w:rFonts w:cstheme="minorHAnsi"/>
                <w:bCs/>
                <w:color w:val="7030A0"/>
              </w:rPr>
              <w:t>5</w:t>
            </w:r>
          </w:p>
        </w:tc>
      </w:tr>
      <w:tr w:rsidR="000532F6" w:rsidRPr="00161A75" w14:paraId="0FC2A373" w14:textId="77777777" w:rsidTr="003D2A7C">
        <w:trPr>
          <w:cantSplit/>
          <w:trHeight w:val="562"/>
          <w:tblHeader/>
        </w:trPr>
        <w:tc>
          <w:tcPr>
            <w:tcW w:w="5621" w:type="dxa"/>
            <w:vAlign w:val="center"/>
          </w:tcPr>
          <w:p w14:paraId="5EB7142B" w14:textId="77777777" w:rsidR="000532F6" w:rsidRPr="00430530" w:rsidRDefault="000532F6" w:rsidP="003D2A7C">
            <w:pPr>
              <w:autoSpaceDE w:val="0"/>
              <w:autoSpaceDN w:val="0"/>
              <w:adjustRightInd w:val="0"/>
              <w:spacing w:before="120" w:after="120"/>
              <w:rPr>
                <w:rFonts w:cstheme="minorHAnsi"/>
                <w:bCs/>
                <w:color w:val="7030A0"/>
              </w:rPr>
            </w:pPr>
            <w:r w:rsidRPr="00430530">
              <w:rPr>
                <w:rFonts w:cstheme="minorHAnsi"/>
                <w:bCs/>
                <w:color w:val="7030A0"/>
              </w:rPr>
              <w:t>Base Model plus SES9 and dual as social risk variables</w:t>
            </w:r>
          </w:p>
        </w:tc>
        <w:tc>
          <w:tcPr>
            <w:tcW w:w="2180" w:type="dxa"/>
            <w:vAlign w:val="center"/>
          </w:tcPr>
          <w:p w14:paraId="308D95AE" w14:textId="5ED082CE" w:rsidR="000532F6" w:rsidRPr="00430530" w:rsidRDefault="000532F6" w:rsidP="003D2A7C">
            <w:pPr>
              <w:autoSpaceDE w:val="0"/>
              <w:autoSpaceDN w:val="0"/>
              <w:adjustRightInd w:val="0"/>
              <w:spacing w:before="120" w:after="120"/>
              <w:jc w:val="center"/>
              <w:rPr>
                <w:rFonts w:cstheme="minorHAnsi"/>
                <w:bCs/>
                <w:color w:val="C00000"/>
              </w:rPr>
            </w:pPr>
            <w:r w:rsidRPr="00430530">
              <w:rPr>
                <w:rFonts w:cstheme="minorHAnsi"/>
                <w:bCs/>
                <w:color w:val="C00000"/>
              </w:rPr>
              <w:t>0.6</w:t>
            </w:r>
            <w:r w:rsidR="00F40548">
              <w:rPr>
                <w:rFonts w:cstheme="minorHAnsi"/>
                <w:bCs/>
                <w:color w:val="C00000"/>
              </w:rPr>
              <w:t>7</w:t>
            </w:r>
          </w:p>
        </w:tc>
        <w:tc>
          <w:tcPr>
            <w:tcW w:w="1686" w:type="dxa"/>
            <w:vAlign w:val="center"/>
          </w:tcPr>
          <w:p w14:paraId="42B408CE" w14:textId="77777777" w:rsidR="000532F6" w:rsidRPr="00430530" w:rsidRDefault="000532F6" w:rsidP="003D2A7C">
            <w:pPr>
              <w:autoSpaceDE w:val="0"/>
              <w:autoSpaceDN w:val="0"/>
              <w:adjustRightInd w:val="0"/>
              <w:spacing w:before="120" w:after="120"/>
              <w:jc w:val="center"/>
              <w:rPr>
                <w:rFonts w:cstheme="minorHAnsi"/>
                <w:bCs/>
                <w:color w:val="7030A0"/>
              </w:rPr>
            </w:pPr>
            <w:r w:rsidRPr="00430530">
              <w:rPr>
                <w:rFonts w:cstheme="minorHAnsi"/>
                <w:bCs/>
                <w:color w:val="7030A0"/>
              </w:rPr>
              <w:t>--</w:t>
            </w:r>
          </w:p>
        </w:tc>
      </w:tr>
    </w:tbl>
    <w:bookmarkEnd w:id="38"/>
    <w:p w14:paraId="5C482883" w14:textId="015FD026" w:rsidR="003B74A1" w:rsidRPr="00F40548" w:rsidRDefault="003C119F" w:rsidP="003B74A1">
      <w:pPr>
        <w:autoSpaceDE w:val="0"/>
        <w:autoSpaceDN w:val="0"/>
        <w:adjustRightInd w:val="0"/>
        <w:spacing w:before="120" w:after="120" w:line="240" w:lineRule="auto"/>
        <w:rPr>
          <w:rFonts w:cstheme="minorHAnsi"/>
          <w:b/>
          <w:bCs/>
          <w:color w:val="7030A0"/>
        </w:rPr>
      </w:pPr>
      <w:r w:rsidRPr="00F40548">
        <w:rPr>
          <w:rFonts w:cstheme="minorHAnsi"/>
          <w:bCs/>
          <w:color w:val="7030A0"/>
        </w:rPr>
        <w:t xml:space="preserve">Furthermore, we find that the addition of any of these variables into the model has little to no effect on hospital performance. We examined the change in hospitals’ RSRRs with the addition of any of these variables. </w:t>
      </w:r>
      <w:r w:rsidR="00C10243" w:rsidRPr="00F40548">
        <w:rPr>
          <w:rFonts w:cstheme="minorHAnsi"/>
          <w:bCs/>
          <w:color w:val="7030A0"/>
        </w:rPr>
        <w:t xml:space="preserve">The median absolute change in hospitals’ RSRRs when adding a dual eligibility indicator is </w:t>
      </w:r>
      <w:r w:rsidR="00C10243" w:rsidRPr="00F40548">
        <w:rPr>
          <w:rFonts w:cstheme="minorHAnsi"/>
          <w:bCs/>
          <w:color w:val="C00000"/>
        </w:rPr>
        <w:t>0.007%</w:t>
      </w:r>
      <w:r w:rsidR="00C10243" w:rsidRPr="00F40548">
        <w:rPr>
          <w:rFonts w:cstheme="minorHAnsi"/>
          <w:bCs/>
          <w:color w:val="7030A0"/>
        </w:rPr>
        <w:t xml:space="preserve"> (interquartile range [IQR] -</w:t>
      </w:r>
      <w:r w:rsidR="00C10243" w:rsidRPr="00F40548">
        <w:rPr>
          <w:rFonts w:cstheme="minorHAnsi"/>
          <w:bCs/>
          <w:color w:val="C00000"/>
        </w:rPr>
        <w:t>0.004%</w:t>
      </w:r>
      <w:r w:rsidR="00C10243" w:rsidRPr="00F40548">
        <w:rPr>
          <w:rFonts w:cstheme="minorHAnsi"/>
          <w:bCs/>
          <w:color w:val="7030A0"/>
        </w:rPr>
        <w:t xml:space="preserve"> –</w:t>
      </w:r>
      <w:r w:rsidR="00C10243" w:rsidRPr="00F40548">
        <w:rPr>
          <w:rFonts w:cstheme="minorHAnsi"/>
          <w:bCs/>
          <w:color w:val="C00000"/>
        </w:rPr>
        <w:t>0.009</w:t>
      </w:r>
      <w:r w:rsidR="00F40548" w:rsidRPr="00F40548">
        <w:rPr>
          <w:rFonts w:cstheme="minorHAnsi"/>
          <w:bCs/>
          <w:color w:val="C00000"/>
        </w:rPr>
        <w:t>%</w:t>
      </w:r>
      <w:r w:rsidR="00C10243" w:rsidRPr="00F40548">
        <w:rPr>
          <w:rFonts w:cstheme="minorHAnsi"/>
          <w:bCs/>
          <w:color w:val="7030A0"/>
        </w:rPr>
        <w:t xml:space="preserve">) with a correlation coefficient between RSRRs for each hospital with and without dual eligibility added of </w:t>
      </w:r>
      <w:r w:rsidR="00C10243" w:rsidRPr="00F40548">
        <w:rPr>
          <w:rFonts w:cstheme="minorHAnsi"/>
          <w:bCs/>
          <w:color w:val="C00000"/>
        </w:rPr>
        <w:t>0.999</w:t>
      </w:r>
      <w:r w:rsidR="00C10243" w:rsidRPr="00F40548">
        <w:rPr>
          <w:rFonts w:cstheme="minorHAnsi"/>
          <w:bCs/>
          <w:color w:val="7030A0"/>
        </w:rPr>
        <w:t xml:space="preserve">. The median absolute change in hospitals’ RSRRs when adding a low AHRQ SES Index score indicator to the model is </w:t>
      </w:r>
      <w:r w:rsidR="00C10243" w:rsidRPr="00F40548">
        <w:rPr>
          <w:rFonts w:cstheme="minorHAnsi"/>
          <w:bCs/>
          <w:color w:val="C00000"/>
        </w:rPr>
        <w:t>0.039%</w:t>
      </w:r>
      <w:r w:rsidR="00C10243" w:rsidRPr="00F40548">
        <w:rPr>
          <w:rFonts w:cstheme="minorHAnsi"/>
          <w:bCs/>
          <w:color w:val="7030A0"/>
        </w:rPr>
        <w:t xml:space="preserve"> (IQR -</w:t>
      </w:r>
      <w:r w:rsidR="00C10243" w:rsidRPr="00F40548">
        <w:rPr>
          <w:rFonts w:cstheme="minorHAnsi"/>
          <w:bCs/>
          <w:color w:val="C00000"/>
        </w:rPr>
        <w:t>0.016%</w:t>
      </w:r>
      <w:r w:rsidR="00C10243" w:rsidRPr="00F40548">
        <w:rPr>
          <w:rFonts w:cstheme="minorHAnsi"/>
          <w:bCs/>
          <w:color w:val="7030A0"/>
        </w:rPr>
        <w:t xml:space="preserve"> –</w:t>
      </w:r>
      <w:r w:rsidR="00C10243" w:rsidRPr="00F40548">
        <w:rPr>
          <w:rFonts w:cstheme="minorHAnsi"/>
          <w:bCs/>
          <w:color w:val="C00000"/>
        </w:rPr>
        <w:t>0.045%</w:t>
      </w:r>
      <w:r w:rsidR="00C10243" w:rsidRPr="00F40548">
        <w:rPr>
          <w:rFonts w:cstheme="minorHAnsi"/>
          <w:bCs/>
          <w:color w:val="7030A0"/>
        </w:rPr>
        <w:t>)</w:t>
      </w:r>
      <w:r w:rsidR="00CF3161" w:rsidRPr="00F40548">
        <w:rPr>
          <w:rFonts w:cstheme="minorHAnsi"/>
          <w:bCs/>
          <w:color w:val="7030A0"/>
        </w:rPr>
        <w:t xml:space="preserve"> </w:t>
      </w:r>
      <w:r w:rsidR="00C10243" w:rsidRPr="00F40548">
        <w:rPr>
          <w:rFonts w:cstheme="minorHAnsi"/>
          <w:bCs/>
          <w:color w:val="7030A0"/>
        </w:rPr>
        <w:t xml:space="preserve">with a correlation coefficient between RSRRs for each hospital with and without an indicator for a low AHRQ SES Index score adjusted for cost of living at the census block group level is </w:t>
      </w:r>
      <w:r w:rsidR="00C10243" w:rsidRPr="00F40548">
        <w:rPr>
          <w:rFonts w:cstheme="minorHAnsi"/>
          <w:bCs/>
          <w:color w:val="C00000"/>
        </w:rPr>
        <w:t>0.980</w:t>
      </w:r>
      <w:r w:rsidR="00C10243" w:rsidRPr="00F40548">
        <w:rPr>
          <w:rFonts w:cstheme="minorHAnsi"/>
          <w:bCs/>
          <w:color w:val="7030A0"/>
        </w:rPr>
        <w:t>.</w:t>
      </w:r>
    </w:p>
    <w:p w14:paraId="3BBA8C9C" w14:textId="77777777" w:rsidR="003B74A1" w:rsidRPr="00F40548" w:rsidRDefault="002A0603" w:rsidP="003B74A1">
      <w:pPr>
        <w:autoSpaceDE w:val="0"/>
        <w:autoSpaceDN w:val="0"/>
        <w:adjustRightInd w:val="0"/>
        <w:spacing w:before="120" w:after="120" w:line="240" w:lineRule="auto"/>
        <w:rPr>
          <w:rFonts w:cstheme="minorHAnsi"/>
          <w:b/>
          <w:bCs/>
          <w:color w:val="7030A0"/>
        </w:rPr>
      </w:pPr>
      <w:r w:rsidRPr="00F40548">
        <w:rPr>
          <w:rFonts w:cstheme="minorHAnsi"/>
          <w:bCs/>
          <w:color w:val="7030A0"/>
          <w:u w:val="single"/>
        </w:rPr>
        <w:t>Contextual Effect Analysis</w:t>
      </w:r>
    </w:p>
    <w:p w14:paraId="37A3BDA3" w14:textId="77777777" w:rsidR="003B74A1" w:rsidRPr="00F40548" w:rsidRDefault="002A0603" w:rsidP="003B74A1">
      <w:pPr>
        <w:autoSpaceDE w:val="0"/>
        <w:autoSpaceDN w:val="0"/>
        <w:adjustRightInd w:val="0"/>
        <w:spacing w:before="120" w:after="120" w:line="240" w:lineRule="auto"/>
        <w:rPr>
          <w:rFonts w:cstheme="minorHAnsi"/>
          <w:b/>
          <w:bCs/>
          <w:color w:val="7030A0"/>
        </w:rPr>
      </w:pPr>
      <w:r w:rsidRPr="00F40548">
        <w:rPr>
          <w:rFonts w:cstheme="minorHAnsi"/>
          <w:bCs/>
          <w:color w:val="7030A0"/>
        </w:rPr>
        <w:t xml:space="preserve">As described in </w:t>
      </w:r>
      <w:r w:rsidRPr="00F40548">
        <w:rPr>
          <w:rFonts w:cstheme="minorHAnsi"/>
          <w:noProof/>
          <w:color w:val="C00000"/>
        </w:rPr>
        <w:t>2b3.3a</w:t>
      </w:r>
      <w:r w:rsidRPr="00F40548">
        <w:rPr>
          <w:rFonts w:cstheme="minorHAnsi"/>
          <w:bCs/>
          <w:color w:val="7030A0"/>
        </w:rPr>
        <w:t xml:space="preserve">, we performed a decomposition analysis in </w:t>
      </w:r>
      <w:r w:rsidRPr="00F40548">
        <w:rPr>
          <w:rFonts w:cstheme="minorHAnsi"/>
          <w:bCs/>
          <w:color w:val="C00000"/>
        </w:rPr>
        <w:t xml:space="preserve">2020 </w:t>
      </w:r>
      <w:r w:rsidRPr="00F40548">
        <w:rPr>
          <w:rFonts w:cstheme="minorHAnsi"/>
          <w:bCs/>
          <w:color w:val="7030A0"/>
        </w:rPr>
        <w:t xml:space="preserve">and 2016 for each SRF variable to assess whether there was a corresponding contextual effect. </w:t>
      </w:r>
      <w:proofErr w:type="gramStart"/>
      <w:r w:rsidRPr="00F40548">
        <w:rPr>
          <w:rFonts w:cstheme="minorHAnsi"/>
          <w:bCs/>
          <w:color w:val="7030A0"/>
        </w:rPr>
        <w:t>In order to</w:t>
      </w:r>
      <w:proofErr w:type="gramEnd"/>
      <w:r w:rsidRPr="00F40548">
        <w:rPr>
          <w:rFonts w:cstheme="minorHAnsi"/>
          <w:bCs/>
          <w:color w:val="7030A0"/>
        </w:rPr>
        <w:t xml:space="preserve"> better interpret the magnitude of results, we performed the same analysis for selected clinical risk factors. The results are described in the tables/figures below.</w:t>
      </w:r>
    </w:p>
    <w:p w14:paraId="7F0D0A1C" w14:textId="6D634259" w:rsidR="003B74A1" w:rsidRPr="00F40548" w:rsidRDefault="002A0603" w:rsidP="003B74A1">
      <w:pPr>
        <w:autoSpaceDE w:val="0"/>
        <w:autoSpaceDN w:val="0"/>
        <w:adjustRightInd w:val="0"/>
        <w:spacing w:before="120" w:after="120" w:line="240" w:lineRule="auto"/>
        <w:rPr>
          <w:rFonts w:cstheme="minorHAnsi"/>
          <w:b/>
          <w:bCs/>
          <w:color w:val="7030A0"/>
        </w:rPr>
      </w:pPr>
      <w:r w:rsidRPr="00F40548">
        <w:rPr>
          <w:rFonts w:cstheme="minorHAnsi"/>
          <w:bCs/>
          <w:color w:val="7030A0"/>
        </w:rPr>
        <w:t>Both the patient-level and hospital-level dual eligibility, and low AHRQ SES Index effects were significantly associated with</w:t>
      </w:r>
      <w:r w:rsidR="00C208A4">
        <w:rPr>
          <w:rFonts w:cstheme="minorHAnsi"/>
          <w:bCs/>
          <w:color w:val="7030A0"/>
        </w:rPr>
        <w:t xml:space="preserve"> THA/TKA</w:t>
      </w:r>
      <w:r w:rsidRPr="00F40548">
        <w:rPr>
          <w:rFonts w:cstheme="minorHAnsi"/>
          <w:bCs/>
          <w:color w:val="7030A0"/>
        </w:rPr>
        <w:t xml:space="preserve"> readmission in the decomposition analysis. </w:t>
      </w:r>
      <w:r w:rsidRPr="00F40548">
        <w:rPr>
          <w:rFonts w:cstheme="minorHAnsi"/>
          <w:b/>
          <w:bCs/>
          <w:color w:val="7030A0"/>
        </w:rPr>
        <w:t>That the hospital level effects were significant indicates that if the dual eligible o</w:t>
      </w:r>
      <w:r w:rsidR="00130700">
        <w:rPr>
          <w:rFonts w:cstheme="minorHAnsi"/>
          <w:b/>
          <w:bCs/>
          <w:color w:val="7030A0"/>
        </w:rPr>
        <w:t>r low AHRQ SES Index variables we</w:t>
      </w:r>
      <w:r w:rsidRPr="00F40548">
        <w:rPr>
          <w:rFonts w:cstheme="minorHAnsi"/>
          <w:b/>
          <w:bCs/>
          <w:color w:val="7030A0"/>
        </w:rPr>
        <w:t>re used in the model to adjust for patient-level differences, then some of the differences between hospitals would also be adjusted for, potentially obscuring a signal of hospital quality</w:t>
      </w:r>
      <w:r w:rsidRPr="00F40548">
        <w:rPr>
          <w:rFonts w:cstheme="minorHAnsi"/>
          <w:bCs/>
          <w:color w:val="7030A0"/>
        </w:rPr>
        <w:t>.</w:t>
      </w:r>
    </w:p>
    <w:p w14:paraId="35613472" w14:textId="1DA45C23" w:rsidR="003B74A1" w:rsidRPr="00F40548" w:rsidRDefault="002A0603" w:rsidP="003B74A1">
      <w:pPr>
        <w:autoSpaceDE w:val="0"/>
        <w:autoSpaceDN w:val="0"/>
        <w:adjustRightInd w:val="0"/>
        <w:spacing w:before="120" w:after="120" w:line="240" w:lineRule="auto"/>
        <w:rPr>
          <w:rFonts w:cstheme="minorHAnsi"/>
          <w:b/>
          <w:bCs/>
          <w:color w:val="7030A0"/>
        </w:rPr>
      </w:pPr>
      <w:r w:rsidRPr="00F40548">
        <w:rPr>
          <w:rFonts w:cstheme="minorHAnsi"/>
          <w:bCs/>
          <w:color w:val="7030A0"/>
        </w:rPr>
        <w:t xml:space="preserve">To assess the relative contributions of the patient- and hospital-level effects, we calculated a range of predicted probabilities of readmission for the SRF variables and clinical covariates (comorbidities), as described in section </w:t>
      </w:r>
      <w:r w:rsidRPr="00F40548">
        <w:rPr>
          <w:rFonts w:cstheme="minorHAnsi"/>
          <w:noProof/>
          <w:color w:val="C00000"/>
        </w:rPr>
        <w:t>2b3.3a</w:t>
      </w:r>
      <w:r w:rsidRPr="00F40548">
        <w:rPr>
          <w:rFonts w:cstheme="minorHAnsi"/>
          <w:bCs/>
          <w:color w:val="7030A0"/>
        </w:rPr>
        <w:t>. The results are presented in the figures and table below (table of</w:t>
      </w:r>
      <w:r w:rsidR="00221EF1">
        <w:rPr>
          <w:rFonts w:cstheme="minorHAnsi"/>
          <w:bCs/>
          <w:color w:val="7030A0"/>
        </w:rPr>
        <w:t xml:space="preserve"> predicted probabilities for SRF</w:t>
      </w:r>
      <w:r w:rsidRPr="00F40548">
        <w:rPr>
          <w:rFonts w:cstheme="minorHAnsi"/>
          <w:bCs/>
          <w:color w:val="7030A0"/>
        </w:rPr>
        <w:t xml:space="preserve"> variables).</w:t>
      </w:r>
    </w:p>
    <w:p w14:paraId="73D503DF" w14:textId="5CE9E440" w:rsidR="003B74A1" w:rsidRPr="00221EF1" w:rsidRDefault="005638F5" w:rsidP="003B74A1">
      <w:pPr>
        <w:autoSpaceDE w:val="0"/>
        <w:autoSpaceDN w:val="0"/>
        <w:adjustRightInd w:val="0"/>
        <w:spacing w:before="120" w:after="120" w:line="240" w:lineRule="auto"/>
        <w:rPr>
          <w:rFonts w:cstheme="minorHAnsi"/>
          <w:b/>
          <w:bCs/>
          <w:color w:val="C00000"/>
        </w:rPr>
      </w:pPr>
      <w:r w:rsidRPr="003C10FC">
        <w:rPr>
          <w:rFonts w:cstheme="minorHAnsi"/>
          <w:bCs/>
          <w:color w:val="C00000"/>
        </w:rPr>
        <w:t xml:space="preserve">For </w:t>
      </w:r>
      <w:r>
        <w:rPr>
          <w:rFonts w:cstheme="minorHAnsi"/>
          <w:bCs/>
          <w:color w:val="C00000"/>
        </w:rPr>
        <w:t>the AHRQ SES index</w:t>
      </w:r>
      <w:r w:rsidRPr="003C10FC">
        <w:rPr>
          <w:rFonts w:cstheme="minorHAnsi"/>
          <w:bCs/>
          <w:color w:val="C00000"/>
        </w:rPr>
        <w:t xml:space="preserve">, the hospital-level effect (P95-P5) is </w:t>
      </w:r>
      <w:r>
        <w:rPr>
          <w:rFonts w:cstheme="minorHAnsi"/>
          <w:bCs/>
          <w:color w:val="C00000"/>
        </w:rPr>
        <w:t xml:space="preserve">slightly </w:t>
      </w:r>
      <w:r w:rsidRPr="003C10FC">
        <w:rPr>
          <w:rFonts w:cstheme="minorHAnsi"/>
          <w:bCs/>
          <w:color w:val="C00000"/>
        </w:rPr>
        <w:t>greater than the patient</w:t>
      </w:r>
      <w:r w:rsidR="00130700">
        <w:rPr>
          <w:rFonts w:cstheme="minorHAnsi"/>
          <w:bCs/>
          <w:color w:val="C00000"/>
        </w:rPr>
        <w:t xml:space="preserve">-level effect (delta) (Figures </w:t>
      </w:r>
      <w:hyperlink w:anchor="Figure3" w:history="1">
        <w:r w:rsidR="00130700" w:rsidRPr="008E3319">
          <w:rPr>
            <w:rStyle w:val="Hyperlink"/>
            <w:rFonts w:cstheme="minorHAnsi"/>
          </w:rPr>
          <w:t>3</w:t>
        </w:r>
      </w:hyperlink>
      <w:r w:rsidR="00130700">
        <w:rPr>
          <w:rFonts w:cstheme="minorHAnsi"/>
          <w:bCs/>
          <w:color w:val="C00000"/>
        </w:rPr>
        <w:t xml:space="preserve"> and </w:t>
      </w:r>
      <w:hyperlink w:anchor="Figure4" w:history="1">
        <w:r w:rsidR="00130700" w:rsidRPr="008E3319">
          <w:rPr>
            <w:rStyle w:val="Hyperlink"/>
            <w:rFonts w:cstheme="minorHAnsi"/>
          </w:rPr>
          <w:t>4</w:t>
        </w:r>
      </w:hyperlink>
      <w:r w:rsidRPr="003C10FC">
        <w:rPr>
          <w:rFonts w:cstheme="minorHAnsi"/>
          <w:bCs/>
          <w:color w:val="C00000"/>
        </w:rPr>
        <w:t xml:space="preserve">; predicted probabilities for SES variables); however, the patient-level effect is greater than the hospital-level effect for dual eligible status. </w:t>
      </w:r>
      <w:r w:rsidR="002A0603" w:rsidRPr="00221EF1">
        <w:rPr>
          <w:rFonts w:cstheme="minorHAnsi"/>
          <w:bCs/>
          <w:color w:val="C00000"/>
        </w:rPr>
        <w:t xml:space="preserve">For clinical variables, the patient-level effect (delta) is greater than the hospital-level effect (P95-P5) for </w:t>
      </w:r>
      <w:r w:rsidR="00221EF1" w:rsidRPr="00221EF1">
        <w:rPr>
          <w:rFonts w:cstheme="minorHAnsi"/>
          <w:bCs/>
          <w:color w:val="C00000"/>
        </w:rPr>
        <w:t>metastatic cancer, renal failure,</w:t>
      </w:r>
      <w:r w:rsidR="00130700">
        <w:rPr>
          <w:rFonts w:cstheme="minorHAnsi"/>
          <w:bCs/>
          <w:color w:val="C00000"/>
        </w:rPr>
        <w:t xml:space="preserve"> and COPD (Figures </w:t>
      </w:r>
      <w:hyperlink w:anchor="Figure3" w:history="1">
        <w:r w:rsidR="00130700" w:rsidRPr="008E3319">
          <w:rPr>
            <w:rStyle w:val="Hyperlink"/>
            <w:rFonts w:cstheme="minorHAnsi"/>
          </w:rPr>
          <w:t>3</w:t>
        </w:r>
      </w:hyperlink>
      <w:r w:rsidR="00130700">
        <w:rPr>
          <w:rFonts w:cstheme="minorHAnsi"/>
          <w:bCs/>
          <w:color w:val="C00000"/>
        </w:rPr>
        <w:t xml:space="preserve"> and </w:t>
      </w:r>
      <w:hyperlink w:anchor="Figure4" w:history="1">
        <w:r w:rsidR="00130700" w:rsidRPr="008E3319">
          <w:rPr>
            <w:rStyle w:val="Hyperlink"/>
            <w:rFonts w:cstheme="minorHAnsi"/>
          </w:rPr>
          <w:t>4</w:t>
        </w:r>
      </w:hyperlink>
      <w:r w:rsidR="002A0603" w:rsidRPr="00221EF1">
        <w:rPr>
          <w:rFonts w:cstheme="minorHAnsi"/>
          <w:bCs/>
          <w:color w:val="C00000"/>
        </w:rPr>
        <w:t xml:space="preserve">; predicted probabilities for clinical variables). </w:t>
      </w:r>
      <w:r>
        <w:rPr>
          <w:rFonts w:cstheme="minorHAnsi"/>
          <w:bCs/>
          <w:color w:val="C00000"/>
        </w:rPr>
        <w:t>In sum, including SRF</w:t>
      </w:r>
      <w:r w:rsidR="002A0603" w:rsidRPr="00221EF1">
        <w:rPr>
          <w:rFonts w:cstheme="minorHAnsi"/>
          <w:bCs/>
          <w:color w:val="C00000"/>
        </w:rPr>
        <w:t xml:space="preserve"> variables into the model would predominantly adjust for a hospital-level effect, which is an important signal of hospital quality.</w:t>
      </w:r>
    </w:p>
    <w:p w14:paraId="47A5B6D3" w14:textId="4AF63756" w:rsidR="003B74A1" w:rsidRPr="00627FF2" w:rsidRDefault="002A0603" w:rsidP="003B74A1">
      <w:pPr>
        <w:autoSpaceDE w:val="0"/>
        <w:autoSpaceDN w:val="0"/>
        <w:adjustRightInd w:val="0"/>
        <w:spacing w:before="120" w:after="120" w:line="240" w:lineRule="auto"/>
        <w:rPr>
          <w:rFonts w:cstheme="minorHAnsi"/>
          <w:bCs/>
          <w:color w:val="7030A0"/>
        </w:rPr>
      </w:pPr>
      <w:r w:rsidRPr="00627FF2">
        <w:rPr>
          <w:rFonts w:cstheme="minorHAnsi"/>
          <w:bCs/>
          <w:color w:val="7030A0"/>
        </w:rPr>
        <w:t>In the context of our conceptual model, we find clear evidence supporting the f</w:t>
      </w:r>
      <w:r w:rsidR="00130700">
        <w:rPr>
          <w:rFonts w:cstheme="minorHAnsi"/>
          <w:bCs/>
          <w:color w:val="7030A0"/>
        </w:rPr>
        <w:t>irst two mechanisms by which SRFs</w:t>
      </w:r>
      <w:r w:rsidRPr="00627FF2">
        <w:rPr>
          <w:rFonts w:cstheme="minorHAnsi"/>
          <w:bCs/>
          <w:color w:val="7030A0"/>
        </w:rPr>
        <w:t xml:space="preserve"> might be related to poor outcomes. First, we find that although unadjusted rates of readmission are higher for patients</w:t>
      </w:r>
      <w:r w:rsidR="00130700">
        <w:rPr>
          <w:rFonts w:cstheme="minorHAnsi"/>
          <w:bCs/>
          <w:color w:val="7030A0"/>
        </w:rPr>
        <w:t xml:space="preserve"> of low SES, the addition of SRFs</w:t>
      </w:r>
      <w:r w:rsidRPr="00627FF2">
        <w:rPr>
          <w:rFonts w:cstheme="minorHAnsi"/>
          <w:bCs/>
          <w:color w:val="7030A0"/>
        </w:rPr>
        <w:t xml:space="preserve"> to the readmission risk model, which </w:t>
      </w:r>
      <w:r w:rsidRPr="00627FF2">
        <w:rPr>
          <w:rFonts w:cstheme="minorHAnsi"/>
          <w:bCs/>
          <w:color w:val="7030A0"/>
        </w:rPr>
        <w:lastRenderedPageBreak/>
        <w:t xml:space="preserve">already adjusts for clinical factors, makes very little difference. </w:t>
      </w:r>
      <w:proofErr w:type="gramStart"/>
      <w:r w:rsidRPr="00627FF2">
        <w:rPr>
          <w:rFonts w:cstheme="minorHAnsi"/>
          <w:bCs/>
          <w:color w:val="7030A0"/>
        </w:rPr>
        <w:t>In particular, there</w:t>
      </w:r>
      <w:proofErr w:type="gramEnd"/>
      <w:r w:rsidRPr="00627FF2">
        <w:rPr>
          <w:rFonts w:cstheme="minorHAnsi"/>
          <w:bCs/>
          <w:color w:val="7030A0"/>
        </w:rPr>
        <w:t xml:space="preserve"> is little-to-no change in model performance or hospital </w:t>
      </w:r>
      <w:r w:rsidR="00130700">
        <w:rPr>
          <w:rFonts w:cstheme="minorHAnsi"/>
          <w:bCs/>
          <w:color w:val="7030A0"/>
        </w:rPr>
        <w:t>results with the addition of SRFs</w:t>
      </w:r>
      <w:r w:rsidRPr="00627FF2">
        <w:rPr>
          <w:rFonts w:cstheme="minorHAnsi"/>
          <w:bCs/>
          <w:color w:val="7030A0"/>
        </w:rPr>
        <w:t>. This suggests that the model already largely accounts for the differences in clinical risk factors (degree of illness and comorbidities) among patients of varied SES.</w:t>
      </w:r>
    </w:p>
    <w:p w14:paraId="5DA0ACAE" w14:textId="64E66C35" w:rsidR="00693CB5" w:rsidRPr="006E4AD3" w:rsidRDefault="00693CB5" w:rsidP="00693CB5">
      <w:pPr>
        <w:autoSpaceDE w:val="0"/>
        <w:autoSpaceDN w:val="0"/>
        <w:adjustRightInd w:val="0"/>
        <w:spacing w:before="120" w:after="120" w:line="240" w:lineRule="auto"/>
        <w:rPr>
          <w:rFonts w:cstheme="minorHAnsi"/>
          <w:bCs/>
          <w:color w:val="7030A0"/>
        </w:rPr>
      </w:pPr>
      <w:r w:rsidRPr="006E4AD3">
        <w:rPr>
          <w:rFonts w:cstheme="minorHAnsi"/>
          <w:bCs/>
          <w:color w:val="7030A0"/>
        </w:rPr>
        <w:t xml:space="preserve">Second, the predominance of </w:t>
      </w:r>
      <w:r w:rsidR="005638F5">
        <w:rPr>
          <w:rFonts w:cstheme="minorHAnsi"/>
          <w:bCs/>
          <w:color w:val="7030A0"/>
        </w:rPr>
        <w:t>the hospital-level effect of SRF</w:t>
      </w:r>
      <w:r w:rsidRPr="006E4AD3">
        <w:rPr>
          <w:rFonts w:cstheme="minorHAnsi"/>
          <w:bCs/>
          <w:color w:val="7030A0"/>
        </w:rPr>
        <w:t xml:space="preserve"> variables in the decomposition analyses </w:t>
      </w:r>
      <w:r w:rsidR="00130700">
        <w:rPr>
          <w:rFonts w:cstheme="minorHAnsi"/>
          <w:bCs/>
          <w:color w:val="C00000"/>
        </w:rPr>
        <w:t xml:space="preserve">for 2020 and 2016 (Figures </w:t>
      </w:r>
      <w:hyperlink w:anchor="Figure3" w:history="1">
        <w:r w:rsidR="00130700" w:rsidRPr="008E3319">
          <w:rPr>
            <w:rStyle w:val="Hyperlink"/>
            <w:rFonts w:cstheme="minorHAnsi"/>
          </w:rPr>
          <w:t>3</w:t>
        </w:r>
      </w:hyperlink>
      <w:r w:rsidR="00130700">
        <w:rPr>
          <w:rFonts w:cstheme="minorHAnsi"/>
          <w:bCs/>
          <w:color w:val="C00000"/>
        </w:rPr>
        <w:t xml:space="preserve"> and </w:t>
      </w:r>
      <w:hyperlink w:anchor="Figure4" w:history="1">
        <w:r w:rsidR="00130700" w:rsidRPr="008E3319">
          <w:rPr>
            <w:rStyle w:val="Hyperlink"/>
            <w:rFonts w:cstheme="minorHAnsi"/>
          </w:rPr>
          <w:t>4</w:t>
        </w:r>
      </w:hyperlink>
      <w:r w:rsidRPr="00043DA7">
        <w:rPr>
          <w:rFonts w:cstheme="minorHAnsi"/>
          <w:bCs/>
          <w:color w:val="C00000"/>
        </w:rPr>
        <w:t xml:space="preserve"> below)</w:t>
      </w:r>
      <w:r w:rsidRPr="00391B1B">
        <w:rPr>
          <w:rFonts w:cstheme="minorHAnsi"/>
          <w:bCs/>
        </w:rPr>
        <w:t xml:space="preserve"> </w:t>
      </w:r>
      <w:r w:rsidRPr="006E4AD3">
        <w:rPr>
          <w:rFonts w:cstheme="minorHAnsi"/>
          <w:bCs/>
          <w:color w:val="7030A0"/>
        </w:rPr>
        <w:t>suggests the risk associated with low SES is in large part due to lower quality of care at hospitals where more patients with these risk factors are treated. D</w:t>
      </w:r>
      <w:r w:rsidR="00130700">
        <w:rPr>
          <w:rFonts w:cstheme="minorHAnsi"/>
          <w:bCs/>
          <w:color w:val="7030A0"/>
        </w:rPr>
        <w:t>irect adjustment for patient SRFs</w:t>
      </w:r>
      <w:r w:rsidRPr="006E4AD3">
        <w:rPr>
          <w:rFonts w:cstheme="minorHAnsi"/>
          <w:bCs/>
          <w:color w:val="7030A0"/>
        </w:rPr>
        <w:t xml:space="preserve"> would essentially “over adjust” the measure, that is to say, it would be adjusting for an endogenous factor, one that influences the outcome through the site of treatment (hospital), as much as through an attribute of the patient.</w:t>
      </w:r>
    </w:p>
    <w:p w14:paraId="162B158B" w14:textId="24E4B763" w:rsidR="003B74A1" w:rsidRPr="00627FF2" w:rsidRDefault="002A0603" w:rsidP="003B74A1">
      <w:pPr>
        <w:autoSpaceDE w:val="0"/>
        <w:autoSpaceDN w:val="0"/>
        <w:adjustRightInd w:val="0"/>
        <w:spacing w:before="120" w:after="120" w:line="240" w:lineRule="auto"/>
        <w:rPr>
          <w:rFonts w:cstheme="minorHAnsi"/>
          <w:bCs/>
          <w:color w:val="7030A0"/>
        </w:rPr>
      </w:pPr>
      <w:r w:rsidRPr="00627FF2">
        <w:rPr>
          <w:rFonts w:cstheme="minorHAnsi"/>
          <w:bCs/>
          <w:color w:val="7030A0"/>
        </w:rPr>
        <w:t xml:space="preserve">In comparison, we did not observe the same predominance of the hospital-level effect among the clinical covariates, reinforcing the sense that </w:t>
      </w:r>
      <w:r w:rsidR="005638F5">
        <w:rPr>
          <w:rFonts w:cstheme="minorHAnsi"/>
          <w:bCs/>
          <w:color w:val="7030A0"/>
        </w:rPr>
        <w:t>SRFs</w:t>
      </w:r>
      <w:r w:rsidRPr="00627FF2">
        <w:rPr>
          <w:rFonts w:cstheme="minorHAnsi"/>
          <w:bCs/>
          <w:color w:val="7030A0"/>
        </w:rPr>
        <w:t xml:space="preserve"> have a distinct causal pathway in their impact on readmission risk.</w:t>
      </w:r>
    </w:p>
    <w:p w14:paraId="30E02ACE" w14:textId="42966A43" w:rsidR="003B74A1" w:rsidRPr="00F76F07" w:rsidRDefault="00F76F07" w:rsidP="00F76F07">
      <w:pPr>
        <w:pStyle w:val="Caption"/>
        <w:rPr>
          <w:i w:val="0"/>
          <w:color w:val="7030A0"/>
          <w:sz w:val="22"/>
        </w:rPr>
      </w:pPr>
      <w:r w:rsidRPr="00F76F07">
        <w:rPr>
          <w:b/>
          <w:i w:val="0"/>
          <w:color w:val="7030A0"/>
          <w:sz w:val="22"/>
        </w:rPr>
        <w:t xml:space="preserve">Table </w:t>
      </w:r>
      <w:r w:rsidRPr="00F76F07">
        <w:rPr>
          <w:b/>
          <w:i w:val="0"/>
          <w:color w:val="7030A0"/>
          <w:sz w:val="22"/>
        </w:rPr>
        <w:fldChar w:fldCharType="begin"/>
      </w:r>
      <w:r w:rsidRPr="00F76F07">
        <w:rPr>
          <w:b/>
          <w:i w:val="0"/>
          <w:color w:val="7030A0"/>
          <w:sz w:val="22"/>
        </w:rPr>
        <w:instrText xml:space="preserve"> SEQ Table \* ARABIC </w:instrText>
      </w:r>
      <w:r w:rsidRPr="00F76F07">
        <w:rPr>
          <w:b/>
          <w:i w:val="0"/>
          <w:color w:val="7030A0"/>
          <w:sz w:val="22"/>
        </w:rPr>
        <w:fldChar w:fldCharType="separate"/>
      </w:r>
      <w:r w:rsidR="006F2E6B">
        <w:rPr>
          <w:b/>
          <w:i w:val="0"/>
          <w:noProof/>
          <w:color w:val="7030A0"/>
          <w:sz w:val="22"/>
        </w:rPr>
        <w:t>10</w:t>
      </w:r>
      <w:r w:rsidRPr="00F76F07">
        <w:rPr>
          <w:b/>
          <w:i w:val="0"/>
          <w:color w:val="7030A0"/>
          <w:sz w:val="22"/>
        </w:rPr>
        <w:fldChar w:fldCharType="end"/>
      </w:r>
      <w:r w:rsidR="003C119F" w:rsidRPr="00F76F07">
        <w:rPr>
          <w:rFonts w:cstheme="minorHAnsi"/>
          <w:b/>
          <w:bCs/>
          <w:i w:val="0"/>
          <w:color w:val="7030A0"/>
          <w:sz w:val="22"/>
        </w:rPr>
        <w:t>.</w:t>
      </w:r>
      <w:r w:rsidR="003C119F" w:rsidRPr="00F76F07">
        <w:rPr>
          <w:rFonts w:cstheme="minorHAnsi"/>
          <w:bCs/>
          <w:i w:val="0"/>
          <w:color w:val="7030A0"/>
          <w:sz w:val="22"/>
        </w:rPr>
        <w:t xml:space="preserve"> </w:t>
      </w:r>
      <w:r w:rsidR="003C119F" w:rsidRPr="00F76F07">
        <w:rPr>
          <w:i w:val="0"/>
          <w:color w:val="7030A0"/>
          <w:sz w:val="22"/>
        </w:rPr>
        <w:t>Parameter Estimates for Hospital-Level and Patient-Level in 2020 and 2016 from Decomposition Analysi</w:t>
      </w:r>
      <w:r w:rsidR="003B74A1" w:rsidRPr="00F76F07">
        <w:rPr>
          <w:i w:val="0"/>
          <w:color w:val="7030A0"/>
          <w:sz w:val="22"/>
        </w:rPr>
        <w:t>s</w:t>
      </w:r>
    </w:p>
    <w:tbl>
      <w:tblPr>
        <w:tblStyle w:val="TableGrid"/>
        <w:tblW w:w="9517" w:type="dxa"/>
        <w:tblInd w:w="85" w:type="dxa"/>
        <w:tblLook w:val="04A0" w:firstRow="1" w:lastRow="0" w:firstColumn="1" w:lastColumn="0" w:noHBand="0" w:noVBand="1"/>
      </w:tblPr>
      <w:tblGrid>
        <w:gridCol w:w="3982"/>
        <w:gridCol w:w="2816"/>
        <w:gridCol w:w="2719"/>
      </w:tblGrid>
      <w:tr w:rsidR="00693CB5" w:rsidRPr="00430530" w14:paraId="33A9E5E8" w14:textId="77777777" w:rsidTr="00C5768B">
        <w:trPr>
          <w:trHeight w:val="667"/>
        </w:trPr>
        <w:tc>
          <w:tcPr>
            <w:tcW w:w="3982" w:type="dxa"/>
            <w:shd w:val="clear" w:color="auto" w:fill="BFBFBF" w:themeFill="background1" w:themeFillShade="BF"/>
          </w:tcPr>
          <w:p w14:paraId="051F31E0" w14:textId="77777777" w:rsidR="00693CB5" w:rsidRPr="00430530" w:rsidRDefault="00693CB5" w:rsidP="00C5768B">
            <w:pPr>
              <w:autoSpaceDE w:val="0"/>
              <w:autoSpaceDN w:val="0"/>
              <w:adjustRightInd w:val="0"/>
              <w:spacing w:before="120" w:after="120"/>
              <w:jc w:val="center"/>
              <w:rPr>
                <w:rFonts w:cstheme="minorHAnsi"/>
                <w:b/>
                <w:bCs/>
              </w:rPr>
            </w:pPr>
            <w:r w:rsidRPr="00430530">
              <w:rPr>
                <w:rFonts w:cstheme="minorHAnsi"/>
                <w:b/>
                <w:bCs/>
                <w:color w:val="7030A0"/>
              </w:rPr>
              <w:t>Parameter</w:t>
            </w:r>
          </w:p>
        </w:tc>
        <w:tc>
          <w:tcPr>
            <w:tcW w:w="2816" w:type="dxa"/>
            <w:shd w:val="clear" w:color="auto" w:fill="BFBFBF" w:themeFill="background1" w:themeFillShade="BF"/>
          </w:tcPr>
          <w:p w14:paraId="18C91EF7" w14:textId="77777777" w:rsidR="00693CB5" w:rsidRPr="00430530" w:rsidRDefault="00693CB5" w:rsidP="00C5768B">
            <w:pPr>
              <w:autoSpaceDE w:val="0"/>
              <w:autoSpaceDN w:val="0"/>
              <w:adjustRightInd w:val="0"/>
              <w:spacing w:before="120" w:after="120"/>
              <w:jc w:val="center"/>
              <w:rPr>
                <w:rFonts w:cstheme="minorHAnsi"/>
                <w:b/>
                <w:bCs/>
                <w:color w:val="C00000"/>
              </w:rPr>
            </w:pPr>
            <w:r w:rsidRPr="00430530">
              <w:rPr>
                <w:rFonts w:cstheme="minorHAnsi"/>
                <w:b/>
                <w:bCs/>
                <w:color w:val="C00000"/>
              </w:rPr>
              <w:t>2020 Estimate (standard error), p-value</w:t>
            </w:r>
          </w:p>
        </w:tc>
        <w:tc>
          <w:tcPr>
            <w:tcW w:w="2719" w:type="dxa"/>
            <w:shd w:val="clear" w:color="auto" w:fill="BFBFBF" w:themeFill="background1" w:themeFillShade="BF"/>
          </w:tcPr>
          <w:p w14:paraId="76B5B33B" w14:textId="77777777" w:rsidR="00693CB5" w:rsidRPr="00430530" w:rsidRDefault="00693CB5" w:rsidP="00C5768B">
            <w:pPr>
              <w:autoSpaceDE w:val="0"/>
              <w:autoSpaceDN w:val="0"/>
              <w:adjustRightInd w:val="0"/>
              <w:spacing w:before="120" w:after="120"/>
              <w:jc w:val="center"/>
              <w:rPr>
                <w:rFonts w:cstheme="minorHAnsi"/>
                <w:b/>
                <w:bCs/>
              </w:rPr>
            </w:pPr>
            <w:r w:rsidRPr="00430530">
              <w:rPr>
                <w:rFonts w:cstheme="minorHAnsi"/>
                <w:b/>
                <w:bCs/>
                <w:color w:val="7030A0"/>
              </w:rPr>
              <w:t>2016 Estimate (standard error), p-value</w:t>
            </w:r>
          </w:p>
        </w:tc>
      </w:tr>
      <w:tr w:rsidR="00693CB5" w:rsidRPr="00430530" w14:paraId="17684191" w14:textId="77777777" w:rsidTr="00C5768B">
        <w:trPr>
          <w:trHeight w:val="839"/>
        </w:trPr>
        <w:tc>
          <w:tcPr>
            <w:tcW w:w="3982" w:type="dxa"/>
            <w:tcBorders>
              <w:bottom w:val="single" w:sz="4" w:space="0" w:color="auto"/>
            </w:tcBorders>
          </w:tcPr>
          <w:p w14:paraId="17E5B858" w14:textId="77777777" w:rsidR="00693CB5" w:rsidRPr="00430530" w:rsidRDefault="00693CB5" w:rsidP="00C5768B">
            <w:pPr>
              <w:autoSpaceDE w:val="0"/>
              <w:autoSpaceDN w:val="0"/>
              <w:adjustRightInd w:val="0"/>
              <w:spacing w:before="120" w:after="120"/>
              <w:rPr>
                <w:rFonts w:cstheme="minorHAnsi"/>
                <w:bCs/>
                <w:color w:val="7030A0"/>
              </w:rPr>
            </w:pPr>
            <w:r w:rsidRPr="00430530">
              <w:rPr>
                <w:rFonts w:cstheme="minorHAnsi"/>
                <w:bCs/>
                <w:color w:val="7030A0"/>
              </w:rPr>
              <w:t>Low SES census block group (AHRQ SES index linked to 9-digit ZIP – Adjusted for Cost of Living) – Patient Level</w:t>
            </w:r>
          </w:p>
        </w:tc>
        <w:tc>
          <w:tcPr>
            <w:tcW w:w="2816" w:type="dxa"/>
            <w:tcBorders>
              <w:bottom w:val="single" w:sz="4" w:space="0" w:color="auto"/>
            </w:tcBorders>
          </w:tcPr>
          <w:p w14:paraId="62DDD13F" w14:textId="2481AA54" w:rsidR="00693CB5" w:rsidRPr="00430530" w:rsidRDefault="00693CB5" w:rsidP="00C5768B">
            <w:pPr>
              <w:autoSpaceDE w:val="0"/>
              <w:autoSpaceDN w:val="0"/>
              <w:adjustRightInd w:val="0"/>
              <w:spacing w:before="120" w:after="120"/>
              <w:jc w:val="center"/>
              <w:rPr>
                <w:rFonts w:cstheme="minorHAnsi"/>
                <w:bCs/>
                <w:color w:val="C00000"/>
              </w:rPr>
            </w:pPr>
            <w:r w:rsidRPr="00430530">
              <w:rPr>
                <w:rFonts w:cstheme="minorHAnsi"/>
                <w:bCs/>
                <w:color w:val="C00000"/>
              </w:rPr>
              <w:t>0.</w:t>
            </w:r>
            <w:r w:rsidR="00AC06E0">
              <w:rPr>
                <w:rFonts w:cstheme="minorHAnsi"/>
                <w:bCs/>
                <w:color w:val="C00000"/>
              </w:rPr>
              <w:t>060</w:t>
            </w:r>
            <w:r w:rsidRPr="00430530">
              <w:rPr>
                <w:rFonts w:cstheme="minorHAnsi"/>
                <w:bCs/>
                <w:color w:val="C00000"/>
              </w:rPr>
              <w:t xml:space="preserve"> (0</w:t>
            </w:r>
            <w:r w:rsidR="00302FBF">
              <w:rPr>
                <w:rFonts w:cstheme="minorHAnsi"/>
                <w:bCs/>
                <w:color w:val="C00000"/>
              </w:rPr>
              <w:t>.0</w:t>
            </w:r>
            <w:r w:rsidR="00AC06E0">
              <w:rPr>
                <w:rFonts w:cstheme="minorHAnsi"/>
                <w:bCs/>
                <w:color w:val="C00000"/>
              </w:rPr>
              <w:t>1</w:t>
            </w:r>
            <w:r w:rsidR="00A07819">
              <w:rPr>
                <w:rFonts w:cstheme="minorHAnsi"/>
                <w:bCs/>
                <w:color w:val="C00000"/>
              </w:rPr>
              <w:t>7</w:t>
            </w:r>
            <w:r w:rsidRPr="00430530">
              <w:rPr>
                <w:rFonts w:cstheme="minorHAnsi"/>
                <w:bCs/>
                <w:color w:val="C00000"/>
              </w:rPr>
              <w:t xml:space="preserve">), </w:t>
            </w:r>
            <w:r w:rsidR="00A07819">
              <w:rPr>
                <w:rFonts w:cstheme="minorHAnsi"/>
                <w:bCs/>
                <w:color w:val="C00000"/>
              </w:rPr>
              <w:t>&lt;0.001</w:t>
            </w:r>
          </w:p>
        </w:tc>
        <w:tc>
          <w:tcPr>
            <w:tcW w:w="2719" w:type="dxa"/>
            <w:tcBorders>
              <w:bottom w:val="single" w:sz="4" w:space="0" w:color="auto"/>
            </w:tcBorders>
          </w:tcPr>
          <w:p w14:paraId="72B15073" w14:textId="726B7432" w:rsidR="00693CB5" w:rsidRPr="00430530" w:rsidRDefault="00693CB5" w:rsidP="00C5768B">
            <w:pPr>
              <w:autoSpaceDE w:val="0"/>
              <w:autoSpaceDN w:val="0"/>
              <w:adjustRightInd w:val="0"/>
              <w:spacing w:before="120" w:after="120"/>
              <w:jc w:val="center"/>
              <w:rPr>
                <w:rFonts w:cstheme="minorHAnsi"/>
                <w:bCs/>
                <w:color w:val="7030A0"/>
              </w:rPr>
            </w:pPr>
            <w:r w:rsidRPr="00430530">
              <w:rPr>
                <w:rFonts w:cstheme="minorHAnsi"/>
                <w:bCs/>
                <w:color w:val="7030A0"/>
              </w:rPr>
              <w:t>0.</w:t>
            </w:r>
            <w:r w:rsidR="00AC06E0">
              <w:rPr>
                <w:rFonts w:cstheme="minorHAnsi"/>
                <w:bCs/>
                <w:color w:val="7030A0"/>
              </w:rPr>
              <w:t>062</w:t>
            </w:r>
            <w:r w:rsidRPr="00430530">
              <w:rPr>
                <w:rFonts w:cstheme="minorHAnsi"/>
                <w:bCs/>
                <w:color w:val="7030A0"/>
              </w:rPr>
              <w:t xml:space="preserve"> (0.</w:t>
            </w:r>
            <w:r w:rsidR="00302FBF">
              <w:rPr>
                <w:rFonts w:cstheme="minorHAnsi"/>
                <w:bCs/>
                <w:color w:val="7030A0"/>
              </w:rPr>
              <w:t>0</w:t>
            </w:r>
            <w:r w:rsidR="00AC06E0">
              <w:rPr>
                <w:rFonts w:cstheme="minorHAnsi"/>
                <w:bCs/>
                <w:color w:val="7030A0"/>
              </w:rPr>
              <w:t>15</w:t>
            </w:r>
            <w:r w:rsidRPr="00430530">
              <w:rPr>
                <w:rFonts w:cstheme="minorHAnsi"/>
                <w:bCs/>
                <w:color w:val="7030A0"/>
              </w:rPr>
              <w:t>), &lt;0.0001</w:t>
            </w:r>
          </w:p>
        </w:tc>
      </w:tr>
      <w:tr w:rsidR="00693CB5" w:rsidRPr="00430530" w14:paraId="1E976367" w14:textId="77777777" w:rsidTr="00C5768B">
        <w:trPr>
          <w:trHeight w:val="829"/>
        </w:trPr>
        <w:tc>
          <w:tcPr>
            <w:tcW w:w="3982" w:type="dxa"/>
            <w:tcBorders>
              <w:top w:val="single" w:sz="4" w:space="0" w:color="auto"/>
            </w:tcBorders>
          </w:tcPr>
          <w:p w14:paraId="15A81FD6" w14:textId="77777777" w:rsidR="00693CB5" w:rsidRPr="00430530" w:rsidRDefault="00693CB5" w:rsidP="00C5768B">
            <w:pPr>
              <w:autoSpaceDE w:val="0"/>
              <w:autoSpaceDN w:val="0"/>
              <w:adjustRightInd w:val="0"/>
              <w:spacing w:before="120" w:after="120"/>
              <w:rPr>
                <w:rFonts w:cstheme="minorHAnsi"/>
                <w:bCs/>
                <w:color w:val="7030A0"/>
              </w:rPr>
            </w:pPr>
            <w:r w:rsidRPr="00430530">
              <w:rPr>
                <w:rFonts w:cstheme="minorHAnsi"/>
                <w:bCs/>
                <w:color w:val="7030A0"/>
              </w:rPr>
              <w:t>Low SES census block group (AHRQ SES index linked to 9-digit ZIP – Adjusted for Cost of Living) – Hospital Level</w:t>
            </w:r>
          </w:p>
        </w:tc>
        <w:tc>
          <w:tcPr>
            <w:tcW w:w="2816" w:type="dxa"/>
            <w:tcBorders>
              <w:top w:val="single" w:sz="4" w:space="0" w:color="auto"/>
            </w:tcBorders>
          </w:tcPr>
          <w:p w14:paraId="6DDA0525" w14:textId="323A4DCB" w:rsidR="00693CB5" w:rsidRPr="00430530" w:rsidRDefault="00693CB5" w:rsidP="00C5768B">
            <w:pPr>
              <w:autoSpaceDE w:val="0"/>
              <w:autoSpaceDN w:val="0"/>
              <w:adjustRightInd w:val="0"/>
              <w:spacing w:before="120" w:after="120"/>
              <w:jc w:val="center"/>
              <w:rPr>
                <w:rFonts w:cstheme="minorHAnsi"/>
                <w:bCs/>
                <w:color w:val="C00000"/>
              </w:rPr>
            </w:pPr>
            <w:r w:rsidRPr="00430530">
              <w:rPr>
                <w:rFonts w:cstheme="minorHAnsi"/>
                <w:bCs/>
                <w:color w:val="C00000"/>
              </w:rPr>
              <w:t>0.</w:t>
            </w:r>
            <w:r w:rsidR="00AC06E0">
              <w:rPr>
                <w:rFonts w:cstheme="minorHAnsi"/>
                <w:bCs/>
                <w:color w:val="C00000"/>
              </w:rPr>
              <w:t>512</w:t>
            </w:r>
            <w:r w:rsidRPr="00430530">
              <w:rPr>
                <w:rFonts w:cstheme="minorHAnsi"/>
                <w:bCs/>
                <w:color w:val="C00000"/>
              </w:rPr>
              <w:t xml:space="preserve"> (0.0</w:t>
            </w:r>
            <w:r w:rsidR="00AC06E0">
              <w:rPr>
                <w:rFonts w:cstheme="minorHAnsi"/>
                <w:bCs/>
                <w:color w:val="C00000"/>
              </w:rPr>
              <w:t>63</w:t>
            </w:r>
            <w:r w:rsidRPr="00430530">
              <w:rPr>
                <w:rFonts w:cstheme="minorHAnsi"/>
                <w:bCs/>
                <w:color w:val="C00000"/>
              </w:rPr>
              <w:t>), &lt;0.0001</w:t>
            </w:r>
          </w:p>
        </w:tc>
        <w:tc>
          <w:tcPr>
            <w:tcW w:w="2719" w:type="dxa"/>
            <w:tcBorders>
              <w:top w:val="single" w:sz="4" w:space="0" w:color="auto"/>
            </w:tcBorders>
          </w:tcPr>
          <w:p w14:paraId="60044351" w14:textId="54066EAC" w:rsidR="00693CB5" w:rsidRPr="00430530" w:rsidRDefault="00693CB5" w:rsidP="00C5768B">
            <w:pPr>
              <w:autoSpaceDE w:val="0"/>
              <w:autoSpaceDN w:val="0"/>
              <w:adjustRightInd w:val="0"/>
              <w:spacing w:before="120" w:after="120"/>
              <w:jc w:val="center"/>
              <w:rPr>
                <w:rFonts w:cstheme="minorHAnsi"/>
                <w:bCs/>
                <w:color w:val="7030A0"/>
              </w:rPr>
            </w:pPr>
            <w:r w:rsidRPr="00430530">
              <w:rPr>
                <w:rFonts w:cstheme="minorHAnsi"/>
                <w:bCs/>
                <w:color w:val="7030A0"/>
              </w:rPr>
              <w:t>0.</w:t>
            </w:r>
            <w:r w:rsidR="003E3E37">
              <w:rPr>
                <w:rFonts w:cstheme="minorHAnsi"/>
                <w:bCs/>
                <w:color w:val="7030A0"/>
              </w:rPr>
              <w:t>301</w:t>
            </w:r>
            <w:r w:rsidRPr="00430530">
              <w:rPr>
                <w:rFonts w:cstheme="minorHAnsi"/>
                <w:bCs/>
                <w:color w:val="7030A0"/>
              </w:rPr>
              <w:t xml:space="preserve"> (0.0</w:t>
            </w:r>
            <w:r w:rsidR="003E3E37">
              <w:rPr>
                <w:rFonts w:cstheme="minorHAnsi"/>
                <w:bCs/>
                <w:color w:val="7030A0"/>
              </w:rPr>
              <w:t>54</w:t>
            </w:r>
            <w:r w:rsidRPr="00430530">
              <w:rPr>
                <w:rFonts w:cstheme="minorHAnsi"/>
                <w:bCs/>
                <w:color w:val="7030A0"/>
              </w:rPr>
              <w:t>), &lt;0.0001</w:t>
            </w:r>
          </w:p>
        </w:tc>
      </w:tr>
      <w:tr w:rsidR="00693CB5" w:rsidRPr="00430530" w14:paraId="423166C0" w14:textId="77777777" w:rsidTr="00C5768B">
        <w:trPr>
          <w:trHeight w:val="419"/>
        </w:trPr>
        <w:tc>
          <w:tcPr>
            <w:tcW w:w="3982" w:type="dxa"/>
          </w:tcPr>
          <w:p w14:paraId="30CD2C41" w14:textId="77777777" w:rsidR="00693CB5" w:rsidRPr="00430530" w:rsidRDefault="00693CB5" w:rsidP="00C5768B">
            <w:pPr>
              <w:autoSpaceDE w:val="0"/>
              <w:autoSpaceDN w:val="0"/>
              <w:adjustRightInd w:val="0"/>
              <w:spacing w:before="120" w:after="120"/>
              <w:rPr>
                <w:rFonts w:cstheme="minorHAnsi"/>
                <w:bCs/>
                <w:color w:val="7030A0"/>
              </w:rPr>
            </w:pPr>
            <w:r w:rsidRPr="00430530">
              <w:rPr>
                <w:rFonts w:cstheme="minorHAnsi"/>
                <w:bCs/>
                <w:color w:val="7030A0"/>
              </w:rPr>
              <w:t xml:space="preserve">Dual-Eligible – Patient Level </w:t>
            </w:r>
          </w:p>
        </w:tc>
        <w:tc>
          <w:tcPr>
            <w:tcW w:w="2816" w:type="dxa"/>
          </w:tcPr>
          <w:p w14:paraId="4A27782E" w14:textId="7EA53101" w:rsidR="00693CB5" w:rsidRPr="00430530" w:rsidRDefault="0099595A" w:rsidP="00C5768B">
            <w:pPr>
              <w:autoSpaceDE w:val="0"/>
              <w:autoSpaceDN w:val="0"/>
              <w:adjustRightInd w:val="0"/>
              <w:spacing w:before="120" w:after="120"/>
              <w:jc w:val="center"/>
              <w:rPr>
                <w:rFonts w:cstheme="minorHAnsi"/>
                <w:bCs/>
                <w:color w:val="C00000"/>
              </w:rPr>
            </w:pPr>
            <w:r w:rsidRPr="00430530">
              <w:rPr>
                <w:rFonts w:cstheme="minorHAnsi"/>
                <w:bCs/>
                <w:color w:val="C00000"/>
              </w:rPr>
              <w:t>0.</w:t>
            </w:r>
            <w:r>
              <w:rPr>
                <w:rFonts w:cstheme="minorHAnsi"/>
                <w:bCs/>
                <w:color w:val="C00000"/>
              </w:rPr>
              <w:t>209</w:t>
            </w:r>
            <w:r w:rsidRPr="00430530">
              <w:rPr>
                <w:rFonts w:cstheme="minorHAnsi"/>
                <w:bCs/>
                <w:color w:val="C00000"/>
              </w:rPr>
              <w:t xml:space="preserve"> (0</w:t>
            </w:r>
            <w:r>
              <w:rPr>
                <w:rFonts w:cstheme="minorHAnsi"/>
                <w:bCs/>
                <w:color w:val="C00000"/>
              </w:rPr>
              <w:t>.02</w:t>
            </w:r>
            <w:r w:rsidR="00A07819">
              <w:rPr>
                <w:rFonts w:cstheme="minorHAnsi"/>
                <w:bCs/>
                <w:color w:val="C00000"/>
              </w:rPr>
              <w:t>4</w:t>
            </w:r>
            <w:r w:rsidRPr="00430530">
              <w:rPr>
                <w:rFonts w:cstheme="minorHAnsi"/>
                <w:bCs/>
                <w:color w:val="C00000"/>
              </w:rPr>
              <w:t>), &lt;0.0001</w:t>
            </w:r>
          </w:p>
        </w:tc>
        <w:tc>
          <w:tcPr>
            <w:tcW w:w="2719" w:type="dxa"/>
          </w:tcPr>
          <w:p w14:paraId="673A49E3" w14:textId="55F518DA" w:rsidR="00693CB5" w:rsidRPr="00430530" w:rsidRDefault="0099595A" w:rsidP="00C5768B">
            <w:pPr>
              <w:autoSpaceDE w:val="0"/>
              <w:autoSpaceDN w:val="0"/>
              <w:adjustRightInd w:val="0"/>
              <w:spacing w:before="120" w:after="120"/>
              <w:jc w:val="center"/>
              <w:rPr>
                <w:rFonts w:cstheme="minorHAnsi"/>
                <w:bCs/>
                <w:color w:val="7030A0"/>
              </w:rPr>
            </w:pPr>
            <w:r w:rsidRPr="00430530">
              <w:rPr>
                <w:rFonts w:cstheme="minorHAnsi"/>
                <w:bCs/>
                <w:color w:val="7030A0"/>
              </w:rPr>
              <w:t>0.</w:t>
            </w:r>
            <w:r>
              <w:rPr>
                <w:rFonts w:cstheme="minorHAnsi"/>
                <w:bCs/>
                <w:color w:val="7030A0"/>
              </w:rPr>
              <w:t>182</w:t>
            </w:r>
            <w:r w:rsidRPr="00430530">
              <w:rPr>
                <w:rFonts w:cstheme="minorHAnsi"/>
                <w:bCs/>
                <w:color w:val="7030A0"/>
              </w:rPr>
              <w:t xml:space="preserve"> (0.</w:t>
            </w:r>
            <w:r>
              <w:rPr>
                <w:rFonts w:cstheme="minorHAnsi"/>
                <w:bCs/>
                <w:color w:val="7030A0"/>
              </w:rPr>
              <w:t>018</w:t>
            </w:r>
            <w:r w:rsidRPr="00430530">
              <w:rPr>
                <w:rFonts w:cstheme="minorHAnsi"/>
                <w:bCs/>
                <w:color w:val="7030A0"/>
              </w:rPr>
              <w:t>), &lt;0.0001</w:t>
            </w:r>
          </w:p>
        </w:tc>
      </w:tr>
      <w:tr w:rsidR="00693CB5" w:rsidRPr="00430530" w14:paraId="1B445639" w14:textId="77777777" w:rsidTr="00C5768B">
        <w:trPr>
          <w:trHeight w:val="419"/>
        </w:trPr>
        <w:tc>
          <w:tcPr>
            <w:tcW w:w="3982" w:type="dxa"/>
          </w:tcPr>
          <w:p w14:paraId="7C3FB30E" w14:textId="77777777" w:rsidR="00693CB5" w:rsidRPr="00430530" w:rsidRDefault="00693CB5" w:rsidP="00C5768B">
            <w:pPr>
              <w:autoSpaceDE w:val="0"/>
              <w:autoSpaceDN w:val="0"/>
              <w:adjustRightInd w:val="0"/>
              <w:spacing w:before="120" w:after="120"/>
              <w:rPr>
                <w:rFonts w:cstheme="minorHAnsi"/>
                <w:bCs/>
                <w:color w:val="7030A0"/>
              </w:rPr>
            </w:pPr>
            <w:r w:rsidRPr="00430530">
              <w:rPr>
                <w:rFonts w:cstheme="minorHAnsi"/>
                <w:bCs/>
                <w:color w:val="7030A0"/>
              </w:rPr>
              <w:t>Dual-Eligible – Hospital Level</w:t>
            </w:r>
          </w:p>
        </w:tc>
        <w:tc>
          <w:tcPr>
            <w:tcW w:w="2816" w:type="dxa"/>
          </w:tcPr>
          <w:p w14:paraId="32C52216" w14:textId="186886CF" w:rsidR="00693CB5" w:rsidRPr="00430530" w:rsidRDefault="00693CB5" w:rsidP="00C5768B">
            <w:pPr>
              <w:autoSpaceDE w:val="0"/>
              <w:autoSpaceDN w:val="0"/>
              <w:adjustRightInd w:val="0"/>
              <w:spacing w:before="120" w:after="120"/>
              <w:jc w:val="center"/>
              <w:rPr>
                <w:rFonts w:cstheme="minorHAnsi"/>
                <w:bCs/>
                <w:color w:val="C00000"/>
              </w:rPr>
            </w:pPr>
            <w:r w:rsidRPr="00430530">
              <w:rPr>
                <w:rFonts w:cstheme="minorHAnsi"/>
                <w:bCs/>
                <w:color w:val="C00000"/>
              </w:rPr>
              <w:t>0.</w:t>
            </w:r>
            <w:r w:rsidR="00AC06E0">
              <w:rPr>
                <w:rFonts w:cstheme="minorHAnsi"/>
                <w:bCs/>
                <w:color w:val="C00000"/>
              </w:rPr>
              <w:t>47</w:t>
            </w:r>
            <w:r w:rsidR="00A07819">
              <w:rPr>
                <w:rFonts w:cstheme="minorHAnsi"/>
                <w:bCs/>
                <w:color w:val="C00000"/>
              </w:rPr>
              <w:t>1</w:t>
            </w:r>
            <w:r w:rsidRPr="00430530">
              <w:rPr>
                <w:rFonts w:cstheme="minorHAnsi"/>
                <w:bCs/>
                <w:color w:val="C00000"/>
              </w:rPr>
              <w:t xml:space="preserve"> (0.0</w:t>
            </w:r>
            <w:r w:rsidR="00AC06E0">
              <w:rPr>
                <w:rFonts w:cstheme="minorHAnsi"/>
                <w:bCs/>
                <w:color w:val="C00000"/>
              </w:rPr>
              <w:t>9</w:t>
            </w:r>
            <w:r w:rsidR="00A07819">
              <w:rPr>
                <w:rFonts w:cstheme="minorHAnsi"/>
                <w:bCs/>
                <w:color w:val="C00000"/>
              </w:rPr>
              <w:t>4</w:t>
            </w:r>
            <w:r w:rsidRPr="00430530">
              <w:rPr>
                <w:rFonts w:cstheme="minorHAnsi"/>
                <w:bCs/>
                <w:color w:val="C00000"/>
              </w:rPr>
              <w:t>), &lt;0.0001</w:t>
            </w:r>
          </w:p>
        </w:tc>
        <w:tc>
          <w:tcPr>
            <w:tcW w:w="2719" w:type="dxa"/>
          </w:tcPr>
          <w:p w14:paraId="4FB98586" w14:textId="4934CB8B" w:rsidR="00693CB5" w:rsidRPr="00430530" w:rsidRDefault="00693CB5" w:rsidP="00C5768B">
            <w:pPr>
              <w:autoSpaceDE w:val="0"/>
              <w:autoSpaceDN w:val="0"/>
              <w:adjustRightInd w:val="0"/>
              <w:spacing w:before="120" w:after="120"/>
              <w:jc w:val="center"/>
              <w:rPr>
                <w:rFonts w:cstheme="minorHAnsi"/>
                <w:bCs/>
                <w:color w:val="7030A0"/>
              </w:rPr>
            </w:pPr>
            <w:r w:rsidRPr="00430530">
              <w:rPr>
                <w:rFonts w:cstheme="minorHAnsi"/>
                <w:bCs/>
                <w:color w:val="7030A0"/>
              </w:rPr>
              <w:t>0.</w:t>
            </w:r>
            <w:r w:rsidR="00AC06E0">
              <w:rPr>
                <w:rFonts w:cstheme="minorHAnsi"/>
                <w:bCs/>
                <w:color w:val="7030A0"/>
              </w:rPr>
              <w:t>319</w:t>
            </w:r>
            <w:r w:rsidRPr="00430530">
              <w:rPr>
                <w:rFonts w:cstheme="minorHAnsi"/>
                <w:bCs/>
                <w:color w:val="7030A0"/>
              </w:rPr>
              <w:t xml:space="preserve"> (0.0</w:t>
            </w:r>
            <w:r w:rsidR="00AC06E0">
              <w:rPr>
                <w:rFonts w:cstheme="minorHAnsi"/>
                <w:bCs/>
                <w:color w:val="7030A0"/>
              </w:rPr>
              <w:t>72</w:t>
            </w:r>
            <w:r w:rsidRPr="00430530">
              <w:rPr>
                <w:rFonts w:cstheme="minorHAnsi"/>
                <w:bCs/>
                <w:color w:val="7030A0"/>
              </w:rPr>
              <w:t>), &lt;0.0001</w:t>
            </w:r>
          </w:p>
        </w:tc>
      </w:tr>
    </w:tbl>
    <w:p w14:paraId="71E55421" w14:textId="490E3362" w:rsidR="003B74A1" w:rsidRPr="00CF3638" w:rsidRDefault="00CF3638" w:rsidP="00CF3638">
      <w:pPr>
        <w:pStyle w:val="Caption"/>
        <w:spacing w:before="120" w:after="120"/>
        <w:rPr>
          <w:i w:val="0"/>
          <w:color w:val="C00000"/>
          <w:sz w:val="22"/>
        </w:rPr>
      </w:pPr>
      <w:bookmarkStart w:id="40" w:name="Figure3"/>
      <w:r w:rsidRPr="00CF3638">
        <w:rPr>
          <w:b/>
          <w:i w:val="0"/>
          <w:color w:val="C00000"/>
          <w:sz w:val="22"/>
        </w:rPr>
        <w:t xml:space="preserve">Figure </w:t>
      </w:r>
      <w:r w:rsidRPr="00CF3638">
        <w:rPr>
          <w:b/>
          <w:i w:val="0"/>
          <w:color w:val="C00000"/>
          <w:sz w:val="22"/>
        </w:rPr>
        <w:fldChar w:fldCharType="begin"/>
      </w:r>
      <w:r w:rsidRPr="00CF3638">
        <w:rPr>
          <w:b/>
          <w:i w:val="0"/>
          <w:color w:val="C00000"/>
          <w:sz w:val="22"/>
        </w:rPr>
        <w:instrText xml:space="preserve"> SEQ Figure \* ARABIC </w:instrText>
      </w:r>
      <w:r w:rsidRPr="00CF3638">
        <w:rPr>
          <w:b/>
          <w:i w:val="0"/>
          <w:color w:val="C00000"/>
          <w:sz w:val="22"/>
        </w:rPr>
        <w:fldChar w:fldCharType="separate"/>
      </w:r>
      <w:r w:rsidR="002E3841">
        <w:rPr>
          <w:b/>
          <w:i w:val="0"/>
          <w:noProof/>
          <w:color w:val="C00000"/>
          <w:sz w:val="22"/>
        </w:rPr>
        <w:t>3</w:t>
      </w:r>
      <w:r w:rsidRPr="00CF3638">
        <w:rPr>
          <w:b/>
          <w:i w:val="0"/>
          <w:color w:val="C00000"/>
          <w:sz w:val="22"/>
        </w:rPr>
        <w:fldChar w:fldCharType="end"/>
      </w:r>
      <w:r w:rsidR="003C119F" w:rsidRPr="00CF3638">
        <w:rPr>
          <w:rFonts w:cstheme="minorHAnsi"/>
          <w:b/>
          <w:bCs/>
          <w:i w:val="0"/>
          <w:color w:val="C00000"/>
          <w:sz w:val="22"/>
        </w:rPr>
        <w:t>.</w:t>
      </w:r>
      <w:r w:rsidR="003C119F" w:rsidRPr="00CF3638">
        <w:rPr>
          <w:rFonts w:cstheme="minorHAnsi"/>
          <w:bCs/>
          <w:i w:val="0"/>
          <w:color w:val="C00000"/>
          <w:sz w:val="22"/>
        </w:rPr>
        <w:t xml:space="preserve"> </w:t>
      </w:r>
      <w:bookmarkEnd w:id="40"/>
      <w:r w:rsidR="003C119F" w:rsidRPr="00CF3638">
        <w:rPr>
          <w:i w:val="0"/>
          <w:color w:val="C00000"/>
          <w:sz w:val="22"/>
        </w:rPr>
        <w:t>Decomposition Analysis for 20</w:t>
      </w:r>
      <w:r w:rsidR="00577854" w:rsidRPr="00CF3638">
        <w:rPr>
          <w:i w:val="0"/>
          <w:color w:val="C00000"/>
          <w:sz w:val="22"/>
        </w:rPr>
        <w:t>16</w:t>
      </w:r>
      <w:r w:rsidR="003C119F" w:rsidRPr="00CF3638">
        <w:rPr>
          <w:i w:val="0"/>
          <w:color w:val="C00000"/>
          <w:sz w:val="22"/>
        </w:rPr>
        <w:t>, THA/TKA Readmissio</w:t>
      </w:r>
      <w:r w:rsidR="003B74A1" w:rsidRPr="00CF3638">
        <w:rPr>
          <w:i w:val="0"/>
          <w:color w:val="C00000"/>
          <w:sz w:val="22"/>
        </w:rPr>
        <w:t>n</w:t>
      </w:r>
    </w:p>
    <w:p w14:paraId="0B94F52A" w14:textId="03A21B11" w:rsidR="00087574" w:rsidRDefault="00087574" w:rsidP="003B74A1">
      <w:pPr>
        <w:autoSpaceDE w:val="0"/>
        <w:autoSpaceDN w:val="0"/>
        <w:adjustRightInd w:val="0"/>
        <w:spacing w:before="120" w:after="120" w:line="240" w:lineRule="auto"/>
        <w:rPr>
          <w:rFonts w:cstheme="minorHAnsi"/>
          <w:b/>
          <w:bCs/>
        </w:rPr>
      </w:pPr>
      <w:r>
        <w:rPr>
          <w:rFonts w:cstheme="minorHAnsi"/>
          <w:b/>
          <w:bCs/>
          <w:noProof/>
        </w:rPr>
        <w:lastRenderedPageBreak/>
        <w:drawing>
          <wp:inline distT="0" distB="0" distL="0" distR="0" wp14:anchorId="4248B8C4" wp14:editId="0EC344B6">
            <wp:extent cx="5499100" cy="2646045"/>
            <wp:effectExtent l="0" t="0" r="6350" b="1905"/>
            <wp:docPr id="1" name="Picture 1" descr="Figure 3. Decomposition Analysis for 2016, THA/TKA Read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99100" cy="2646045"/>
                    </a:xfrm>
                    <a:prstGeom prst="rect">
                      <a:avLst/>
                    </a:prstGeom>
                    <a:noFill/>
                  </pic:spPr>
                </pic:pic>
              </a:graphicData>
            </a:graphic>
          </wp:inline>
        </w:drawing>
      </w:r>
    </w:p>
    <w:p w14:paraId="10F5D9F4" w14:textId="52672F10" w:rsidR="003B74A1" w:rsidRPr="00CF3638" w:rsidRDefault="00CF3638" w:rsidP="00CF3638">
      <w:pPr>
        <w:pStyle w:val="Caption"/>
        <w:spacing w:before="120" w:after="120"/>
        <w:rPr>
          <w:rFonts w:cstheme="minorHAnsi"/>
          <w:b/>
          <w:bCs/>
          <w:i w:val="0"/>
          <w:color w:val="C00000"/>
          <w:sz w:val="22"/>
        </w:rPr>
      </w:pPr>
      <w:bookmarkStart w:id="41" w:name="Figure4"/>
      <w:r w:rsidRPr="00CF3638">
        <w:rPr>
          <w:b/>
          <w:i w:val="0"/>
          <w:color w:val="C00000"/>
          <w:sz w:val="22"/>
        </w:rPr>
        <w:t xml:space="preserve">Figure </w:t>
      </w:r>
      <w:r w:rsidRPr="00CF3638">
        <w:rPr>
          <w:b/>
          <w:i w:val="0"/>
          <w:color w:val="C00000"/>
          <w:sz w:val="22"/>
        </w:rPr>
        <w:fldChar w:fldCharType="begin"/>
      </w:r>
      <w:r w:rsidRPr="00CF3638">
        <w:rPr>
          <w:b/>
          <w:i w:val="0"/>
          <w:color w:val="C00000"/>
          <w:sz w:val="22"/>
        </w:rPr>
        <w:instrText xml:space="preserve"> SEQ Figure \* ARABIC </w:instrText>
      </w:r>
      <w:r w:rsidRPr="00CF3638">
        <w:rPr>
          <w:b/>
          <w:i w:val="0"/>
          <w:color w:val="C00000"/>
          <w:sz w:val="22"/>
        </w:rPr>
        <w:fldChar w:fldCharType="separate"/>
      </w:r>
      <w:r w:rsidR="002E3841">
        <w:rPr>
          <w:b/>
          <w:i w:val="0"/>
          <w:noProof/>
          <w:color w:val="C00000"/>
          <w:sz w:val="22"/>
        </w:rPr>
        <w:t>4</w:t>
      </w:r>
      <w:r w:rsidRPr="00CF3638">
        <w:rPr>
          <w:b/>
          <w:i w:val="0"/>
          <w:color w:val="C00000"/>
          <w:sz w:val="22"/>
        </w:rPr>
        <w:fldChar w:fldCharType="end"/>
      </w:r>
      <w:bookmarkEnd w:id="41"/>
      <w:r w:rsidR="00577854" w:rsidRPr="00CF3638">
        <w:rPr>
          <w:rFonts w:cstheme="minorHAnsi"/>
          <w:bCs/>
          <w:i w:val="0"/>
          <w:color w:val="C00000"/>
          <w:sz w:val="22"/>
        </w:rPr>
        <w:t xml:space="preserve">. </w:t>
      </w:r>
      <w:r w:rsidR="00577854" w:rsidRPr="00CF3638">
        <w:rPr>
          <w:i w:val="0"/>
          <w:color w:val="C00000"/>
          <w:sz w:val="22"/>
        </w:rPr>
        <w:t>Decomposition Analysis for 2020, THA/TKA Readmission</w:t>
      </w:r>
    </w:p>
    <w:p w14:paraId="73E24E5F" w14:textId="6E2B1C3A" w:rsidR="003B74A1" w:rsidRDefault="00087574" w:rsidP="003B74A1">
      <w:pPr>
        <w:autoSpaceDE w:val="0"/>
        <w:autoSpaceDN w:val="0"/>
        <w:adjustRightInd w:val="0"/>
        <w:spacing w:before="120" w:after="120" w:line="240" w:lineRule="auto"/>
        <w:rPr>
          <w:rFonts w:cstheme="minorHAnsi"/>
          <w:b/>
          <w:bCs/>
        </w:rPr>
      </w:pPr>
      <w:r>
        <w:rPr>
          <w:rFonts w:cstheme="minorHAnsi"/>
          <w:b/>
          <w:bCs/>
          <w:noProof/>
        </w:rPr>
        <w:drawing>
          <wp:inline distT="0" distB="0" distL="0" distR="0" wp14:anchorId="7F2E23DC" wp14:editId="430F363E">
            <wp:extent cx="5499100" cy="2646045"/>
            <wp:effectExtent l="0" t="0" r="6350" b="1905"/>
            <wp:docPr id="7" name="Picture 7" descr="Figure 4. Decomposition Analysis for 2020, THA/TKA Read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99100" cy="2646045"/>
                    </a:xfrm>
                    <a:prstGeom prst="rect">
                      <a:avLst/>
                    </a:prstGeom>
                    <a:noFill/>
                  </pic:spPr>
                </pic:pic>
              </a:graphicData>
            </a:graphic>
          </wp:inline>
        </w:drawing>
      </w:r>
    </w:p>
    <w:p w14:paraId="71CC9B26" w14:textId="77777777" w:rsidR="003B74A1" w:rsidRPr="00637BD9" w:rsidRDefault="002A0603" w:rsidP="003B74A1">
      <w:pPr>
        <w:autoSpaceDE w:val="0"/>
        <w:autoSpaceDN w:val="0"/>
        <w:adjustRightInd w:val="0"/>
        <w:spacing w:before="120" w:after="120" w:line="240" w:lineRule="auto"/>
        <w:rPr>
          <w:rFonts w:cstheme="minorHAnsi"/>
          <w:b/>
          <w:bCs/>
          <w:color w:val="C00000"/>
        </w:rPr>
      </w:pPr>
      <w:r w:rsidRPr="00637BD9">
        <w:rPr>
          <w:rFonts w:cstheme="minorHAnsi"/>
          <w:bCs/>
          <w:color w:val="C00000"/>
          <w:u w:val="single"/>
        </w:rPr>
        <w:t>Summary</w:t>
      </w:r>
    </w:p>
    <w:p w14:paraId="1261B722" w14:textId="77777777" w:rsidR="00403E98" w:rsidRPr="00403E98" w:rsidRDefault="00403E98" w:rsidP="00403E98">
      <w:pPr>
        <w:spacing w:line="240" w:lineRule="auto"/>
        <w:rPr>
          <w:rFonts w:eastAsia="Times New Roman" w:cstheme="minorHAnsi"/>
          <w:color w:val="C00000"/>
        </w:rPr>
      </w:pPr>
      <w:bookmarkStart w:id="42" w:name="_Hlk43987698"/>
      <w:bookmarkEnd w:id="36"/>
      <w:r w:rsidRPr="00403E98">
        <w:rPr>
          <w:rFonts w:eastAsia="Times New Roman" w:cstheme="minorHAnsi"/>
          <w:color w:val="C00000"/>
        </w:rPr>
        <w:t xml:space="preserve">For risk-adjusted outcome measures, CMS first considers adjustment for clinical comorbidities, frailty indicators, and then examines additional risk imparted by SRFs after the potential for greater disease burden is included in the risk model (see section 2b3.3a). We believe that this is consistent with NQF current guidance and is appropriate given the evidence cited in our submission that people who experience greater social risk are more likely to have more disease burden compared with those who have less social risk; and that this is clearly not a signal of hospital quality. In addition, according to NQF guidance, developers should assess social risk factors for their contribution of unique variation in the outcome – that they are not redundant (NQF, 2014). Therefore, if clinical risk factors explain all or most of the patient variation in the outcome, then NQF guidance does not support adding social risk factors that do not account for variation. CMS’s decisions about which risk factors should be included in each measure’s risk-adjustment model are based on whether inclusion of such variables is likely to make the measures more successful at illuminating quality differences and motivating quality improvement. (This aim should be distinguished from decisions made in response to concerns about the impact of related </w:t>
      </w:r>
      <w:r w:rsidRPr="00403E98">
        <w:rPr>
          <w:rFonts w:eastAsia="Times New Roman" w:cstheme="minorHAnsi"/>
          <w:color w:val="C00000"/>
        </w:rPr>
        <w:lastRenderedPageBreak/>
        <w:t>payment programs on safety-net hospitals; concerns which can be addressed through other policy mechanisms.)</w:t>
      </w:r>
    </w:p>
    <w:p w14:paraId="49BB42A2" w14:textId="72F61A74" w:rsidR="00403E98" w:rsidRPr="00403E98" w:rsidRDefault="00403E98" w:rsidP="00403E98">
      <w:pPr>
        <w:spacing w:line="240" w:lineRule="auto"/>
        <w:rPr>
          <w:rFonts w:eastAsia="Times New Roman" w:cstheme="minorHAnsi"/>
          <w:color w:val="C00000"/>
        </w:rPr>
      </w:pPr>
      <w:r w:rsidRPr="00403E98">
        <w:rPr>
          <w:rFonts w:eastAsia="Times New Roman" w:cstheme="minorHAnsi"/>
          <w:color w:val="C00000"/>
        </w:rPr>
        <w:t>We found wide variation in the prevalence of the two SRFs we examined, with a large proportion of hospitals treating zero patients with these SRFs. We also found that both had some association with readmission risk. However, adjustment for these factors did not have a material impact on hospital RSRRs, suggesting that existing clinical risk factors capture much of the risk related to social risk.</w:t>
      </w:r>
    </w:p>
    <w:p w14:paraId="2FF80BEE" w14:textId="77777777" w:rsidR="00403E98" w:rsidRPr="00403E98" w:rsidRDefault="00403E98" w:rsidP="00403E98">
      <w:pPr>
        <w:spacing w:line="240" w:lineRule="auto"/>
        <w:rPr>
          <w:rFonts w:eastAsia="Times New Roman" w:cstheme="minorHAnsi"/>
          <w:color w:val="C00000"/>
        </w:rPr>
      </w:pPr>
      <w:r w:rsidRPr="00403E98">
        <w:rPr>
          <w:rFonts w:eastAsia="Times New Roman" w:cstheme="minorHAnsi"/>
          <w:color w:val="C00000"/>
        </w:rPr>
        <w:t>Ongoing research aims to identify valid patient-level social risk factors and highlight disparities related to social risk – in fact, ASPE’s latest report to Congress highlights which SRFs are valid in claims data, and that adjustment for SRFs in publicly reported quality measures is not recommended because providers should be accountable for overall outcomes, regardless of social risk (ASPE 2020). As additional variables become available, they will be considered for testing and inclusion within the measure. There are alternative ways to adjust for social risk as part of measure program implementation, such as stratification or peer grouping, which CMS recently applied to the Hospital Readmission Reduction Program (HRRP). CMS also confidentially reports disparities in the readmission measures to hospitals so that they have more detailed, actionable information about their patient population’s social risk. Given these empiric findings and program considerations, CMS chose not to include these two SRFs in the final risk model at this time.</w:t>
      </w:r>
    </w:p>
    <w:p w14:paraId="2CC27412" w14:textId="77777777" w:rsidR="00403E98" w:rsidRDefault="00403E98" w:rsidP="00403E98">
      <w:pPr>
        <w:spacing w:line="240" w:lineRule="auto"/>
        <w:rPr>
          <w:rFonts w:eastAsia="Times New Roman" w:cstheme="minorHAnsi"/>
          <w:color w:val="C00000"/>
        </w:rPr>
      </w:pPr>
      <w:r w:rsidRPr="00403E98">
        <w:rPr>
          <w:rFonts w:eastAsia="Times New Roman" w:cstheme="minorHAnsi"/>
          <w:color w:val="C00000"/>
        </w:rPr>
        <w:t>We acknowledge the importance of balancing these competing considerations and are committed to constant refinement and improvement of risk adjustment models used in all measures. We will continue to reevaluate this model and available risk factors on an ongoing basis, with the goal of producing the most accurate and fair risk adjustment models for assessing provider performance.</w:t>
      </w:r>
    </w:p>
    <w:p w14:paraId="3530112D" w14:textId="69102E05" w:rsidR="00130700" w:rsidRPr="00485173" w:rsidRDefault="00130700" w:rsidP="00403E98">
      <w:pPr>
        <w:spacing w:line="240" w:lineRule="auto"/>
        <w:rPr>
          <w:color w:val="C00000"/>
        </w:rPr>
      </w:pPr>
      <w:r w:rsidRPr="00485173">
        <w:rPr>
          <w:color w:val="C00000"/>
          <w:u w:val="single"/>
        </w:rPr>
        <w:t>References</w:t>
      </w:r>
      <w:r w:rsidRPr="00485173">
        <w:rPr>
          <w:color w:val="C00000"/>
        </w:rPr>
        <w:t>:</w:t>
      </w:r>
    </w:p>
    <w:p w14:paraId="5D7CA1CE" w14:textId="77777777" w:rsidR="00403E98" w:rsidRPr="00403E98" w:rsidRDefault="00403E98" w:rsidP="00403E98">
      <w:pPr>
        <w:autoSpaceDE w:val="0"/>
        <w:autoSpaceDN w:val="0"/>
        <w:adjustRightInd w:val="0"/>
        <w:spacing w:before="120" w:after="120" w:line="240" w:lineRule="auto"/>
        <w:rPr>
          <w:rFonts w:cstheme="minorHAnsi"/>
          <w:bCs/>
          <w:color w:val="C00000"/>
        </w:rPr>
      </w:pPr>
      <w:bookmarkStart w:id="43" w:name="_Hlk43278056"/>
      <w:r w:rsidRPr="00403E98">
        <w:rPr>
          <w:rFonts w:cstheme="minorHAnsi"/>
          <w:bCs/>
          <w:color w:val="C00000"/>
        </w:rPr>
        <w:t xml:space="preserve">Department of Health and Human Services, Office of the Assistant Secretary of Planning and Evaluation (ASPE). Second Report to Congress: Social Risk Factors and Performance in Medicare’s Value-based Purchasing Programs. 2020; </w:t>
      </w:r>
      <w:hyperlink r:id="rId32" w:history="1">
        <w:r w:rsidRPr="00185587">
          <w:rPr>
            <w:rStyle w:val="Hyperlink"/>
            <w:rFonts w:cstheme="minorHAnsi"/>
          </w:rPr>
          <w:t>https://aspe.hhs.gov/system/files/pdf/263676/Social-Risk-in-Medicare%E2%80%99s-VBP-2nd-Report.pdf</w:t>
        </w:r>
      </w:hyperlink>
      <w:r w:rsidRPr="00403E98">
        <w:rPr>
          <w:rFonts w:cstheme="minorHAnsi"/>
          <w:bCs/>
          <w:color w:val="C00000"/>
        </w:rPr>
        <w:t>. Accessed July 2, 2020.</w:t>
      </w:r>
    </w:p>
    <w:p w14:paraId="100FC231" w14:textId="086446D8" w:rsidR="00130700" w:rsidRPr="00485173" w:rsidRDefault="00130700" w:rsidP="00130700">
      <w:pPr>
        <w:spacing w:line="240" w:lineRule="auto"/>
        <w:rPr>
          <w:color w:val="C00000"/>
        </w:rPr>
      </w:pPr>
      <w:r w:rsidRPr="00485173">
        <w:rPr>
          <w:rFonts w:cstheme="minorHAnsi"/>
          <w:color w:val="C00000"/>
        </w:rPr>
        <w:t xml:space="preserve">National Quality Forum (NQF). Risk adjustment for socioeconomic status or other sociodemographic factors: Technical report. 2014; </w:t>
      </w:r>
      <w:hyperlink r:id="rId33" w:history="1">
        <w:r w:rsidRPr="00485173">
          <w:rPr>
            <w:rStyle w:val="Hyperlink"/>
            <w:rFonts w:cstheme="minorHAnsi"/>
            <w:color w:val="C00000"/>
          </w:rPr>
          <w:t>http://www.qualityforum.org/Publications/2014/08/Risk_Adjustment_for_Socioeconomic_Status_or_Other_Sociodemographic_Factors.aspx</w:t>
        </w:r>
      </w:hyperlink>
      <w:r w:rsidRPr="00485173">
        <w:rPr>
          <w:rFonts w:cstheme="minorHAnsi"/>
          <w:color w:val="C00000"/>
        </w:rPr>
        <w:t>. Accessed June 16, 2020.</w:t>
      </w:r>
    </w:p>
    <w:bookmarkEnd w:id="43"/>
    <w:bookmarkEnd w:id="42"/>
    <w:p w14:paraId="403D5FB6" w14:textId="77777777" w:rsidR="00AC0BFA" w:rsidRDefault="009C7513" w:rsidP="00AC0BFA">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bookmarkStart w:id="44" w:name="_Hlk33452663"/>
    </w:p>
    <w:p w14:paraId="4FED56FB" w14:textId="77777777" w:rsidR="00AC0BFA" w:rsidRPr="00AC0BFA" w:rsidRDefault="009D6E97" w:rsidP="00AC0BFA">
      <w:pPr>
        <w:autoSpaceDE w:val="0"/>
        <w:autoSpaceDN w:val="0"/>
        <w:adjustRightInd w:val="0"/>
        <w:spacing w:before="120" w:after="120" w:line="240" w:lineRule="auto"/>
        <w:rPr>
          <w:rFonts w:cstheme="minorHAnsi"/>
          <w:bCs/>
          <w:color w:val="7030A0"/>
        </w:rPr>
      </w:pPr>
      <w:r w:rsidRPr="00AC0BFA">
        <w:rPr>
          <w:rFonts w:cstheme="minorHAnsi"/>
          <w:bCs/>
          <w:color w:val="7030A0"/>
          <w:u w:val="single"/>
        </w:rPr>
        <w:t>Approach to assessing model performance</w:t>
      </w:r>
    </w:p>
    <w:p w14:paraId="11976149" w14:textId="77777777" w:rsidR="00AC0BFA" w:rsidRPr="00AC0BFA" w:rsidRDefault="009D6E97" w:rsidP="00AC0BFA">
      <w:pPr>
        <w:autoSpaceDE w:val="0"/>
        <w:autoSpaceDN w:val="0"/>
        <w:adjustRightInd w:val="0"/>
        <w:spacing w:before="120" w:after="120" w:line="240" w:lineRule="auto"/>
        <w:rPr>
          <w:rFonts w:cstheme="minorHAnsi"/>
          <w:bCs/>
          <w:color w:val="7030A0"/>
        </w:rPr>
      </w:pPr>
      <w:r w:rsidRPr="00AC0BFA">
        <w:rPr>
          <w:rFonts w:cstheme="minorHAnsi"/>
          <w:bCs/>
          <w:color w:val="7030A0"/>
        </w:rPr>
        <w:t>We computed three summary statistics for assessing model performance (Harrell and Shih, 2001) for the expanded cohort:</w:t>
      </w:r>
    </w:p>
    <w:p w14:paraId="7C4F428E" w14:textId="77777777" w:rsidR="00AC0BFA" w:rsidRPr="00AC0BFA" w:rsidRDefault="009D6E97" w:rsidP="00AC0BFA">
      <w:pPr>
        <w:autoSpaceDE w:val="0"/>
        <w:autoSpaceDN w:val="0"/>
        <w:adjustRightInd w:val="0"/>
        <w:spacing w:before="120" w:after="120" w:line="240" w:lineRule="auto"/>
        <w:rPr>
          <w:rFonts w:cstheme="minorHAnsi"/>
          <w:bCs/>
          <w:color w:val="7030A0"/>
        </w:rPr>
      </w:pPr>
      <w:r w:rsidRPr="00AC0BFA">
        <w:rPr>
          <w:rFonts w:cstheme="minorHAnsi"/>
          <w:b/>
          <w:bCs/>
          <w:i/>
          <w:color w:val="7030A0"/>
        </w:rPr>
        <w:t>Discrimination Statistics</w:t>
      </w:r>
    </w:p>
    <w:p w14:paraId="1635ED83" w14:textId="3DB003A3" w:rsidR="00AC0BFA" w:rsidRPr="00AC0BFA" w:rsidRDefault="009D6E97" w:rsidP="00AC0BFA">
      <w:pPr>
        <w:pStyle w:val="ListParagraph"/>
        <w:numPr>
          <w:ilvl w:val="0"/>
          <w:numId w:val="37"/>
        </w:numPr>
        <w:autoSpaceDE w:val="0"/>
        <w:autoSpaceDN w:val="0"/>
        <w:adjustRightInd w:val="0"/>
        <w:spacing w:before="120" w:after="120" w:line="240" w:lineRule="auto"/>
        <w:rPr>
          <w:rFonts w:cstheme="minorHAnsi"/>
          <w:bCs/>
          <w:color w:val="7030A0"/>
        </w:rPr>
      </w:pPr>
      <w:r w:rsidRPr="00AC0BFA">
        <w:rPr>
          <w:color w:val="7030A0"/>
        </w:rPr>
        <w:t>Area under the receiver operating characteristic (ROC) curve (the c-statistic) is the probability that predicting the outcome is better than chance, which is a measure of how accurately a statistical model is able to distinguish between a patien</w:t>
      </w:r>
      <w:r w:rsidR="0027499B">
        <w:rPr>
          <w:color w:val="7030A0"/>
        </w:rPr>
        <w:t>t with and without an outcome</w:t>
      </w:r>
    </w:p>
    <w:p w14:paraId="14C7ACB5" w14:textId="3ADC544C" w:rsidR="00AC0BFA" w:rsidRPr="00AC0BFA" w:rsidRDefault="009D6E97" w:rsidP="00AC0BFA">
      <w:pPr>
        <w:pStyle w:val="ListParagraph"/>
        <w:numPr>
          <w:ilvl w:val="0"/>
          <w:numId w:val="37"/>
        </w:numPr>
        <w:autoSpaceDE w:val="0"/>
        <w:autoSpaceDN w:val="0"/>
        <w:adjustRightInd w:val="0"/>
        <w:spacing w:before="120" w:after="120" w:line="240" w:lineRule="auto"/>
        <w:rPr>
          <w:rFonts w:cstheme="minorHAnsi"/>
          <w:bCs/>
          <w:color w:val="7030A0"/>
        </w:rPr>
      </w:pPr>
      <w:r w:rsidRPr="00AC0BFA">
        <w:rPr>
          <w:rFonts w:cstheme="minorHAnsi"/>
          <w:bCs/>
          <w:color w:val="7030A0"/>
        </w:rPr>
        <w:lastRenderedPageBreak/>
        <w:t xml:space="preserve">Predictive ability </w:t>
      </w:r>
      <w:r w:rsidRPr="00AC0BFA">
        <w:rPr>
          <w:color w:val="7030A0"/>
        </w:rPr>
        <w:t>(discrimination in predictive ability measures the ability to distinguish high-risk subjects from low-risk subjects; therefore, we would hope to see a wide range between the lowest decile and highest decile.</w:t>
      </w:r>
    </w:p>
    <w:p w14:paraId="6D90A17E" w14:textId="77777777" w:rsidR="00AC0BFA" w:rsidRPr="00AC0BFA" w:rsidRDefault="009D6E97" w:rsidP="00AC0BFA">
      <w:pPr>
        <w:autoSpaceDE w:val="0"/>
        <w:autoSpaceDN w:val="0"/>
        <w:adjustRightInd w:val="0"/>
        <w:spacing w:before="120" w:after="120" w:line="240" w:lineRule="auto"/>
        <w:rPr>
          <w:rFonts w:cstheme="minorHAnsi"/>
          <w:bCs/>
          <w:color w:val="7030A0"/>
        </w:rPr>
      </w:pPr>
      <w:r w:rsidRPr="00AC0BFA">
        <w:rPr>
          <w:b/>
          <w:i/>
          <w:color w:val="7030A0"/>
        </w:rPr>
        <w:t>Calibration Statistics</w:t>
      </w:r>
    </w:p>
    <w:p w14:paraId="7C530575" w14:textId="64DAB1AF" w:rsidR="00AC0BFA" w:rsidRPr="00AC0BFA" w:rsidRDefault="009D6E97" w:rsidP="00AC0BFA">
      <w:pPr>
        <w:pStyle w:val="ListParagraph"/>
        <w:numPr>
          <w:ilvl w:val="0"/>
          <w:numId w:val="37"/>
        </w:numPr>
        <w:autoSpaceDE w:val="0"/>
        <w:autoSpaceDN w:val="0"/>
        <w:adjustRightInd w:val="0"/>
        <w:spacing w:before="120" w:after="120" w:line="240" w:lineRule="auto"/>
        <w:rPr>
          <w:rFonts w:cstheme="minorHAnsi"/>
          <w:bCs/>
          <w:color w:val="7030A0"/>
        </w:rPr>
      </w:pPr>
      <w:r w:rsidRPr="00AC0BFA">
        <w:rPr>
          <w:rFonts w:cstheme="minorHAnsi"/>
          <w:bCs/>
          <w:color w:val="7030A0"/>
        </w:rPr>
        <w:t>Over-fitting indices (over-fitting refers to the phenomenon in which a model accurately describes the relationship between predictive variables and outcome in the development dataset but fails to provide valid predictions in new patients)</w:t>
      </w:r>
    </w:p>
    <w:p w14:paraId="2C92F34D" w14:textId="3B208E7F" w:rsidR="00AC0BFA" w:rsidRPr="00AC0BFA" w:rsidRDefault="009D6E97" w:rsidP="00AC0BFA">
      <w:pPr>
        <w:autoSpaceDE w:val="0"/>
        <w:autoSpaceDN w:val="0"/>
        <w:adjustRightInd w:val="0"/>
        <w:spacing w:before="120" w:after="120" w:line="240" w:lineRule="auto"/>
        <w:rPr>
          <w:rFonts w:cstheme="minorHAnsi"/>
          <w:bCs/>
          <w:color w:val="7030A0"/>
        </w:rPr>
      </w:pPr>
      <w:r w:rsidRPr="00AC0BFA">
        <w:rPr>
          <w:rFonts w:cstheme="minorHAnsi"/>
          <w:bCs/>
          <w:color w:val="7030A0"/>
        </w:rPr>
        <w:t xml:space="preserve">We tested the performance of the model for </w:t>
      </w:r>
      <w:r w:rsidR="005638F5">
        <w:rPr>
          <w:rFonts w:cstheme="minorHAnsi"/>
          <w:b/>
          <w:bCs/>
          <w:color w:val="7030A0"/>
        </w:rPr>
        <w:t>the development data</w:t>
      </w:r>
      <w:r w:rsidRPr="00AC0BFA">
        <w:rPr>
          <w:rFonts w:cstheme="minorHAnsi"/>
          <w:b/>
          <w:bCs/>
          <w:color w:val="7030A0"/>
        </w:rPr>
        <w:t xml:space="preserve">set </w:t>
      </w:r>
      <w:r w:rsidRPr="00AC0BFA">
        <w:rPr>
          <w:rFonts w:cstheme="minorHAnsi"/>
          <w:bCs/>
          <w:color w:val="7030A0"/>
        </w:rPr>
        <w:t>described in section 1.7.</w:t>
      </w:r>
    </w:p>
    <w:p w14:paraId="42382429" w14:textId="77777777" w:rsidR="00AC0BFA" w:rsidRPr="00AC0BFA" w:rsidRDefault="009D6E97" w:rsidP="00AC0BFA">
      <w:pPr>
        <w:autoSpaceDE w:val="0"/>
        <w:autoSpaceDN w:val="0"/>
        <w:adjustRightInd w:val="0"/>
        <w:spacing w:before="120" w:after="120" w:line="240" w:lineRule="auto"/>
        <w:rPr>
          <w:rFonts w:cstheme="minorHAnsi"/>
          <w:bCs/>
          <w:color w:val="7030A0"/>
        </w:rPr>
      </w:pPr>
      <w:r w:rsidRPr="00AC0BFA">
        <w:rPr>
          <w:rFonts w:cstheme="minorHAnsi"/>
          <w:bCs/>
          <w:color w:val="7030A0"/>
          <w:u w:val="single"/>
        </w:rPr>
        <w:t>References:</w:t>
      </w:r>
    </w:p>
    <w:p w14:paraId="1FDF4718" w14:textId="6C84EAFF" w:rsidR="009D6E97" w:rsidRPr="00AC0BFA" w:rsidRDefault="009D6E97" w:rsidP="00AC0BFA">
      <w:pPr>
        <w:autoSpaceDE w:val="0"/>
        <w:autoSpaceDN w:val="0"/>
        <w:adjustRightInd w:val="0"/>
        <w:spacing w:before="120" w:after="120" w:line="240" w:lineRule="auto"/>
        <w:rPr>
          <w:rFonts w:cstheme="minorHAnsi"/>
          <w:bCs/>
          <w:color w:val="7030A0"/>
        </w:rPr>
      </w:pPr>
      <w:r w:rsidRPr="00AC0BFA">
        <w:rPr>
          <w:color w:val="7030A0"/>
        </w:rPr>
        <w:t xml:space="preserve">Harrell FE and Shih YC, </w:t>
      </w:r>
      <w:proofErr w:type="gramStart"/>
      <w:r w:rsidRPr="00AC0BFA">
        <w:rPr>
          <w:color w:val="7030A0"/>
        </w:rPr>
        <w:t>Using</w:t>
      </w:r>
      <w:proofErr w:type="gramEnd"/>
      <w:r w:rsidRPr="00AC0BFA">
        <w:rPr>
          <w:color w:val="7030A0"/>
        </w:rPr>
        <w:t xml:space="preserve"> full probability models to compute probabilities of actual interest to decision makers, </w:t>
      </w:r>
      <w:r w:rsidRPr="00AC0BFA">
        <w:rPr>
          <w:i/>
          <w:iCs/>
          <w:color w:val="7030A0"/>
        </w:rPr>
        <w:t>Int. J. Technol. Assess. Health Care</w:t>
      </w:r>
      <w:r w:rsidRPr="00AC0BFA">
        <w:rPr>
          <w:color w:val="7030A0"/>
        </w:rPr>
        <w:t xml:space="preserve"> </w:t>
      </w:r>
      <w:r w:rsidRPr="00AC0BFA">
        <w:rPr>
          <w:rStyle w:val="Strong"/>
          <w:b w:val="0"/>
          <w:color w:val="7030A0"/>
        </w:rPr>
        <w:t>17</w:t>
      </w:r>
      <w:r w:rsidRPr="00AC0BFA">
        <w:rPr>
          <w:color w:val="7030A0"/>
        </w:rPr>
        <w:t xml:space="preserve"> (2001), pp. 17–26.</w:t>
      </w:r>
      <w:bookmarkEnd w:id="44"/>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AC0BFA">
        <w:rPr>
          <w:rFonts w:cstheme="minorHAnsi"/>
          <w:b/>
          <w:bCs/>
          <w:i/>
        </w:rPr>
        <w:t>If</w:t>
      </w:r>
      <w:r w:rsidR="00743E46" w:rsidRPr="00AC0BFA">
        <w:rPr>
          <w:rFonts w:cstheme="minorHAnsi"/>
          <w:b/>
          <w:bCs/>
          <w:i/>
        </w:rPr>
        <w:t xml:space="preserve"> stratified, skip to </w:t>
      </w:r>
      <w:hyperlink w:anchor="question2b49" w:history="1">
        <w:r w:rsidR="009C7513" w:rsidRPr="00AC0BFA">
          <w:rPr>
            <w:rStyle w:val="Hyperlink"/>
            <w:rFonts w:cstheme="minorHAnsi"/>
            <w:b/>
            <w:bCs/>
            <w:i/>
          </w:rPr>
          <w:t>2b3.9</w:t>
        </w:r>
      </w:hyperlink>
    </w:p>
    <w:p w14:paraId="6B4421A3" w14:textId="2586DD37" w:rsidR="00AC0BFA" w:rsidRDefault="00743E46" w:rsidP="0027499B">
      <w:pPr>
        <w:autoSpaceDE w:val="0"/>
        <w:autoSpaceDN w:val="0"/>
        <w:adjustRightInd w:val="0"/>
        <w:spacing w:before="120"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bookmarkStart w:id="45" w:name="_Hlk8636326"/>
    </w:p>
    <w:p w14:paraId="5833B264" w14:textId="77777777" w:rsidR="00AC0BFA" w:rsidRPr="00AC0BFA" w:rsidRDefault="00026A15" w:rsidP="00AC0BFA">
      <w:pPr>
        <w:autoSpaceDE w:val="0"/>
        <w:autoSpaceDN w:val="0"/>
        <w:adjustRightInd w:val="0"/>
        <w:spacing w:before="120" w:after="120" w:line="240" w:lineRule="auto"/>
        <w:rPr>
          <w:rFonts w:cstheme="minorHAnsi"/>
          <w:b/>
          <w:bCs/>
          <w:color w:val="7030A0"/>
        </w:rPr>
      </w:pPr>
      <w:r w:rsidRPr="00AC0BFA">
        <w:rPr>
          <w:rFonts w:cstheme="minorHAnsi"/>
          <w:noProof/>
          <w:color w:val="7030A0"/>
          <w:u w:val="single"/>
        </w:rPr>
        <w:t xml:space="preserve">Development and Validation Dataset: </w:t>
      </w:r>
    </w:p>
    <w:p w14:paraId="171B232B" w14:textId="77777777" w:rsidR="00AC0BFA" w:rsidRPr="00AC0BFA" w:rsidRDefault="00026A15" w:rsidP="00AC0BFA">
      <w:pPr>
        <w:autoSpaceDE w:val="0"/>
        <w:autoSpaceDN w:val="0"/>
        <w:adjustRightInd w:val="0"/>
        <w:spacing w:before="120" w:after="120" w:line="240" w:lineRule="auto"/>
        <w:rPr>
          <w:rFonts w:cstheme="minorHAnsi"/>
          <w:b/>
          <w:bCs/>
          <w:color w:val="7030A0"/>
        </w:rPr>
      </w:pPr>
      <w:r w:rsidRPr="00AC0BFA">
        <w:rPr>
          <w:rFonts w:cstheme="minorHAnsi"/>
          <w:noProof/>
          <w:color w:val="7030A0"/>
        </w:rPr>
        <w:t>C-statistic = 0.65</w:t>
      </w:r>
    </w:p>
    <w:p w14:paraId="350D1673" w14:textId="7ACC2593" w:rsidR="00AC0BFA" w:rsidRPr="00AC0BFA" w:rsidRDefault="00026A15" w:rsidP="00AC0BFA">
      <w:pPr>
        <w:autoSpaceDE w:val="0"/>
        <w:autoSpaceDN w:val="0"/>
        <w:adjustRightInd w:val="0"/>
        <w:spacing w:before="120" w:after="120" w:line="240" w:lineRule="auto"/>
        <w:rPr>
          <w:rFonts w:cstheme="minorHAnsi"/>
          <w:noProof/>
          <w:color w:val="7030A0"/>
        </w:rPr>
      </w:pPr>
      <w:r w:rsidRPr="00AC0BFA">
        <w:rPr>
          <w:rFonts w:cstheme="minorHAnsi"/>
          <w:noProof/>
          <w:color w:val="7030A0"/>
        </w:rPr>
        <w:t>Predictive ability (lowest decile %, highest decile %): (</w:t>
      </w:r>
      <w:r w:rsidR="007D1B1B">
        <w:rPr>
          <w:rFonts w:cstheme="minorHAnsi"/>
          <w:noProof/>
          <w:color w:val="7030A0"/>
        </w:rPr>
        <w:t>1.8</w:t>
      </w:r>
      <w:r w:rsidR="00310EEA" w:rsidRPr="00AC0BFA">
        <w:rPr>
          <w:rFonts w:cstheme="minorHAnsi"/>
          <w:noProof/>
          <w:color w:val="7030A0"/>
        </w:rPr>
        <w:t>, 1</w:t>
      </w:r>
      <w:r w:rsidR="007D1B1B">
        <w:rPr>
          <w:rFonts w:cstheme="minorHAnsi"/>
          <w:noProof/>
          <w:color w:val="7030A0"/>
        </w:rPr>
        <w:t>0.9</w:t>
      </w:r>
      <w:r w:rsidRPr="00AC0BFA">
        <w:rPr>
          <w:rFonts w:cstheme="minorHAnsi"/>
          <w:noProof/>
          <w:color w:val="7030A0"/>
        </w:rPr>
        <w:t>)</w:t>
      </w:r>
    </w:p>
    <w:p w14:paraId="7CA3E6BC" w14:textId="77777777" w:rsidR="00AC0BFA" w:rsidRPr="007B13AB" w:rsidRDefault="00026A15" w:rsidP="00AC0BFA">
      <w:pPr>
        <w:autoSpaceDE w:val="0"/>
        <w:autoSpaceDN w:val="0"/>
        <w:adjustRightInd w:val="0"/>
        <w:spacing w:before="120" w:after="120" w:line="240" w:lineRule="auto"/>
        <w:rPr>
          <w:rFonts w:cstheme="minorHAnsi"/>
          <w:b/>
          <w:bCs/>
          <w:color w:val="C00000"/>
        </w:rPr>
      </w:pPr>
      <w:r w:rsidRPr="007B13AB">
        <w:rPr>
          <w:rFonts w:cstheme="minorHAnsi"/>
          <w:noProof/>
          <w:color w:val="C00000"/>
          <w:u w:val="single"/>
        </w:rPr>
        <w:t>Results for the Testing Dataset</w:t>
      </w:r>
    </w:p>
    <w:p w14:paraId="4F715B5F" w14:textId="1D28D987" w:rsidR="00AC0BFA" w:rsidRPr="007B13AB" w:rsidRDefault="00026A15" w:rsidP="00AC0BFA">
      <w:pPr>
        <w:autoSpaceDE w:val="0"/>
        <w:autoSpaceDN w:val="0"/>
        <w:adjustRightInd w:val="0"/>
        <w:spacing w:before="120" w:after="120" w:line="240" w:lineRule="auto"/>
        <w:rPr>
          <w:rFonts w:cstheme="minorHAnsi"/>
          <w:b/>
          <w:bCs/>
          <w:color w:val="C00000"/>
        </w:rPr>
      </w:pPr>
      <w:r w:rsidRPr="007B13AB">
        <w:rPr>
          <w:rFonts w:cstheme="minorHAnsi"/>
          <w:noProof/>
          <w:color w:val="C00000"/>
        </w:rPr>
        <w:t>C-statistic = 0.6</w:t>
      </w:r>
      <w:r w:rsidR="005638F5" w:rsidRPr="007B13AB">
        <w:rPr>
          <w:rFonts w:cstheme="minorHAnsi"/>
          <w:noProof/>
          <w:color w:val="C00000"/>
        </w:rPr>
        <w:t>7</w:t>
      </w:r>
    </w:p>
    <w:p w14:paraId="73B9247A" w14:textId="77777777" w:rsidR="00AC0BFA" w:rsidRPr="007B13AB" w:rsidRDefault="00026A15" w:rsidP="00AC0BFA">
      <w:pPr>
        <w:autoSpaceDE w:val="0"/>
        <w:autoSpaceDN w:val="0"/>
        <w:adjustRightInd w:val="0"/>
        <w:spacing w:before="120" w:after="120" w:line="240" w:lineRule="auto"/>
        <w:rPr>
          <w:rFonts w:cstheme="minorHAnsi"/>
          <w:noProof/>
          <w:color w:val="C00000"/>
        </w:rPr>
      </w:pPr>
      <w:r w:rsidRPr="007B13AB">
        <w:rPr>
          <w:rFonts w:cstheme="minorHAnsi"/>
          <w:noProof/>
          <w:color w:val="C00000"/>
        </w:rPr>
        <w:t>Predictive ability (lowest decile %, highest decile %): (</w:t>
      </w:r>
      <w:r w:rsidR="00202767" w:rsidRPr="007B13AB">
        <w:rPr>
          <w:rFonts w:cstheme="minorHAnsi"/>
          <w:noProof/>
          <w:color w:val="C00000"/>
        </w:rPr>
        <w:t>1.3</w:t>
      </w:r>
      <w:r w:rsidRPr="007B13AB">
        <w:rPr>
          <w:rFonts w:cstheme="minorHAnsi"/>
          <w:noProof/>
          <w:color w:val="C00000"/>
        </w:rPr>
        <w:t xml:space="preserve">, </w:t>
      </w:r>
      <w:r w:rsidR="00202767" w:rsidRPr="007B13AB">
        <w:rPr>
          <w:rFonts w:cstheme="minorHAnsi"/>
          <w:noProof/>
          <w:color w:val="C00000"/>
        </w:rPr>
        <w:t>9.8</w:t>
      </w:r>
      <w:r w:rsidRPr="007B13AB">
        <w:rPr>
          <w:rFonts w:cstheme="minorHAnsi"/>
          <w:noProof/>
          <w:color w:val="C00000"/>
        </w:rPr>
        <w:t>)</w:t>
      </w:r>
      <w:bookmarkEnd w:id="45"/>
    </w:p>
    <w:p w14:paraId="68A2F43B" w14:textId="7A38E514" w:rsidR="00026A15" w:rsidRPr="007B13AB" w:rsidRDefault="00026A15" w:rsidP="00AC0BFA">
      <w:pPr>
        <w:autoSpaceDE w:val="0"/>
        <w:autoSpaceDN w:val="0"/>
        <w:adjustRightInd w:val="0"/>
        <w:spacing w:before="120" w:after="120" w:line="240" w:lineRule="auto"/>
        <w:rPr>
          <w:rFonts w:cstheme="minorHAnsi"/>
          <w:b/>
          <w:bCs/>
          <w:color w:val="C00000"/>
        </w:rPr>
      </w:pPr>
      <w:r w:rsidRPr="007B13AB">
        <w:rPr>
          <w:color w:val="C00000"/>
        </w:rPr>
        <w:t>For comparison of model with and without inclusion of social risk factors, see above section.</w:t>
      </w:r>
    </w:p>
    <w:p w14:paraId="4422C1DB" w14:textId="77777777" w:rsidR="00B900A1" w:rsidRDefault="009C7513" w:rsidP="00B900A1">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w:t>
      </w:r>
    </w:p>
    <w:p w14:paraId="52F29AFA" w14:textId="309B638C" w:rsidR="00B900A1" w:rsidRPr="00B900A1" w:rsidRDefault="003D6949" w:rsidP="00B900A1">
      <w:pPr>
        <w:autoSpaceDE w:val="0"/>
        <w:autoSpaceDN w:val="0"/>
        <w:adjustRightInd w:val="0"/>
        <w:spacing w:before="120" w:after="120" w:line="240" w:lineRule="auto"/>
        <w:rPr>
          <w:rFonts w:cstheme="minorHAnsi"/>
          <w:bCs/>
          <w:color w:val="7030A0"/>
        </w:rPr>
      </w:pPr>
      <w:r w:rsidRPr="00B900A1">
        <w:rPr>
          <w:rFonts w:cstheme="minorHAnsi"/>
          <w:bCs/>
          <w:color w:val="7030A0"/>
        </w:rPr>
        <w:t xml:space="preserve">For the original measure development </w:t>
      </w:r>
      <w:r w:rsidR="00737B4F" w:rsidRPr="00B900A1">
        <w:rPr>
          <w:rFonts w:cstheme="minorHAnsi"/>
          <w:bCs/>
          <w:color w:val="7030A0"/>
        </w:rPr>
        <w:t>cohort,</w:t>
      </w:r>
      <w:r w:rsidRPr="00B900A1">
        <w:rPr>
          <w:rFonts w:cstheme="minorHAnsi"/>
          <w:bCs/>
          <w:color w:val="7030A0"/>
        </w:rPr>
        <w:t xml:space="preserve"> the results are summarized below</w:t>
      </w:r>
      <w:r w:rsidR="00B900A1" w:rsidRPr="00B900A1">
        <w:rPr>
          <w:rFonts w:cstheme="minorHAnsi"/>
          <w:bCs/>
          <w:color w:val="7030A0"/>
        </w:rPr>
        <w:t>:</w:t>
      </w:r>
    </w:p>
    <w:p w14:paraId="2E95AADB" w14:textId="77777777" w:rsidR="00B900A1" w:rsidRPr="00B900A1" w:rsidRDefault="003D6949" w:rsidP="00B900A1">
      <w:pPr>
        <w:autoSpaceDE w:val="0"/>
        <w:autoSpaceDN w:val="0"/>
        <w:adjustRightInd w:val="0"/>
        <w:spacing w:before="120" w:after="120" w:line="240" w:lineRule="auto"/>
        <w:rPr>
          <w:rFonts w:cstheme="minorHAnsi"/>
          <w:b/>
          <w:bCs/>
          <w:color w:val="7030A0"/>
        </w:rPr>
      </w:pPr>
      <w:r w:rsidRPr="00B900A1">
        <w:rPr>
          <w:color w:val="7030A0"/>
        </w:rPr>
        <w:t xml:space="preserve">First </w:t>
      </w:r>
      <w:r w:rsidRPr="00B900A1">
        <w:rPr>
          <w:rFonts w:cstheme="minorHAnsi"/>
          <w:bCs/>
          <w:color w:val="7030A0"/>
        </w:rPr>
        <w:t>half of split sample: Calibration: (0, 1)</w:t>
      </w:r>
    </w:p>
    <w:p w14:paraId="7907E693" w14:textId="3EC851C0" w:rsidR="003D6949" w:rsidRPr="00B900A1" w:rsidRDefault="003D6949" w:rsidP="00B900A1">
      <w:pPr>
        <w:autoSpaceDE w:val="0"/>
        <w:autoSpaceDN w:val="0"/>
        <w:adjustRightInd w:val="0"/>
        <w:spacing w:before="120" w:after="120" w:line="240" w:lineRule="auto"/>
        <w:rPr>
          <w:rFonts w:cstheme="minorHAnsi"/>
          <w:b/>
          <w:bCs/>
          <w:color w:val="7030A0"/>
        </w:rPr>
      </w:pPr>
      <w:r w:rsidRPr="00B900A1">
        <w:rPr>
          <w:color w:val="7030A0"/>
        </w:rPr>
        <w:t>Second</w:t>
      </w:r>
      <w:r w:rsidRPr="00B900A1">
        <w:rPr>
          <w:rFonts w:cstheme="minorHAnsi"/>
          <w:bCs/>
          <w:color w:val="7030A0"/>
        </w:rPr>
        <w:t xml:space="preserve"> half of split sample: Calibration: (-0.06, 0.98)</w:t>
      </w:r>
    </w:p>
    <w:p w14:paraId="67E339CF" w14:textId="77777777" w:rsidR="00B900A1" w:rsidRDefault="009C7513" w:rsidP="00B900A1">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318B6026" w14:textId="2A80B329" w:rsidR="00B900A1" w:rsidRDefault="003D6949" w:rsidP="0097242E">
      <w:pPr>
        <w:autoSpaceDE w:val="0"/>
        <w:autoSpaceDN w:val="0"/>
        <w:adjustRightInd w:val="0"/>
        <w:spacing w:before="120" w:after="120" w:line="240" w:lineRule="auto"/>
        <w:rPr>
          <w:rFonts w:cstheme="minorHAnsi"/>
          <w:bCs/>
        </w:rPr>
      </w:pPr>
      <w:r w:rsidRPr="0097242E">
        <w:rPr>
          <w:rFonts w:cstheme="minorHAnsi"/>
          <w:bCs/>
          <w:color w:val="7030A0"/>
        </w:rPr>
        <w:t xml:space="preserve">The risk decile plot is a graphical depiction of the deciles calculated to measure predictive ability. </w:t>
      </w:r>
      <w:r w:rsidRPr="0097242E">
        <w:rPr>
          <w:rFonts w:cstheme="minorHAnsi"/>
          <w:color w:val="7030A0"/>
        </w:rPr>
        <w:t xml:space="preserve">Below, we present the risk decile plot showing the distributions for Medicare FFS data from </w:t>
      </w:r>
      <w:r w:rsidR="00B35114">
        <w:rPr>
          <w:rFonts w:ascii="Calibri" w:hAnsi="Calibri" w:cs="Times New Roman"/>
          <w:color w:val="C00000"/>
          <w:kern w:val="24"/>
        </w:rPr>
        <w:t>July 2016 – June 2019</w:t>
      </w:r>
      <w:r w:rsidRPr="00E205B4">
        <w:rPr>
          <w:rFonts w:ascii="Calibri" w:hAnsi="Calibri" w:cs="Times New Roman"/>
          <w:color w:val="C00000"/>
          <w:kern w:val="24"/>
        </w:rPr>
        <w:t xml:space="preserve"> (Testing Dataset)</w:t>
      </w:r>
      <w:r w:rsidRPr="0097242E">
        <w:rPr>
          <w:rFonts w:ascii="Calibri" w:hAnsi="Calibri" w:cs="Times New Roman"/>
          <w:color w:val="7030A0"/>
          <w:kern w:val="24"/>
        </w:rPr>
        <w:t>.</w:t>
      </w:r>
    </w:p>
    <w:p w14:paraId="64F5D015" w14:textId="6134C56E" w:rsidR="00B900A1" w:rsidRPr="005F1DB6" w:rsidRDefault="005F1DB6" w:rsidP="005F1DB6">
      <w:pPr>
        <w:pStyle w:val="Caption"/>
        <w:rPr>
          <w:rFonts w:cstheme="minorHAnsi"/>
          <w:bCs/>
          <w:i w:val="0"/>
          <w:color w:val="7030A0"/>
          <w:sz w:val="22"/>
        </w:rPr>
      </w:pPr>
      <w:r w:rsidRPr="005F1DB6">
        <w:rPr>
          <w:b/>
          <w:i w:val="0"/>
          <w:color w:val="7030A0"/>
          <w:sz w:val="22"/>
        </w:rPr>
        <w:t xml:space="preserve">Figure </w:t>
      </w:r>
      <w:r w:rsidRPr="005F1DB6">
        <w:rPr>
          <w:b/>
          <w:i w:val="0"/>
          <w:color w:val="7030A0"/>
          <w:sz w:val="22"/>
        </w:rPr>
        <w:fldChar w:fldCharType="begin"/>
      </w:r>
      <w:r w:rsidRPr="005F1DB6">
        <w:rPr>
          <w:b/>
          <w:i w:val="0"/>
          <w:color w:val="7030A0"/>
          <w:sz w:val="22"/>
        </w:rPr>
        <w:instrText xml:space="preserve"> SEQ Figure \* ARABIC </w:instrText>
      </w:r>
      <w:r w:rsidRPr="005F1DB6">
        <w:rPr>
          <w:b/>
          <w:i w:val="0"/>
          <w:color w:val="7030A0"/>
          <w:sz w:val="22"/>
        </w:rPr>
        <w:fldChar w:fldCharType="separate"/>
      </w:r>
      <w:r w:rsidR="002E3841">
        <w:rPr>
          <w:b/>
          <w:i w:val="0"/>
          <w:noProof/>
          <w:color w:val="7030A0"/>
          <w:sz w:val="22"/>
        </w:rPr>
        <w:t>5</w:t>
      </w:r>
      <w:r w:rsidRPr="005F1DB6">
        <w:rPr>
          <w:b/>
          <w:i w:val="0"/>
          <w:color w:val="7030A0"/>
          <w:sz w:val="22"/>
        </w:rPr>
        <w:fldChar w:fldCharType="end"/>
      </w:r>
      <w:bookmarkStart w:id="46" w:name="IDX"/>
      <w:bookmarkEnd w:id="46"/>
      <w:r>
        <w:rPr>
          <w:rFonts w:ascii="Calibri" w:hAnsi="Calibri" w:cs="Times New Roman"/>
          <w:b/>
          <w:color w:val="7030A0"/>
          <w:kern w:val="24"/>
        </w:rPr>
        <w:t>.</w:t>
      </w:r>
      <w:r w:rsidR="00357BD8">
        <w:rPr>
          <w:rFonts w:ascii="Calibri" w:hAnsi="Calibri" w:cs="Times New Roman"/>
          <w:b/>
          <w:color w:val="7030A0"/>
          <w:kern w:val="24"/>
        </w:rPr>
        <w:t xml:space="preserve"> </w:t>
      </w:r>
      <w:r w:rsidRPr="00357BD8">
        <w:rPr>
          <w:rFonts w:ascii="Calibri" w:hAnsi="Calibri" w:cs="Times New Roman"/>
          <w:i w:val="0"/>
          <w:color w:val="7030A0"/>
          <w:kern w:val="24"/>
          <w:sz w:val="22"/>
        </w:rPr>
        <w:t xml:space="preserve">Risk </w:t>
      </w:r>
      <w:r>
        <w:rPr>
          <w:rFonts w:ascii="Calibri" w:hAnsi="Calibri" w:cs="Times New Roman"/>
          <w:i w:val="0"/>
          <w:color w:val="7030A0"/>
          <w:kern w:val="24"/>
          <w:sz w:val="22"/>
        </w:rPr>
        <w:t>Decile Plot for Distribution of Medicare FFS Data from July 2016 – June 2020</w:t>
      </w:r>
    </w:p>
    <w:p w14:paraId="5DA14071" w14:textId="2AADB497" w:rsidR="009123AE" w:rsidRPr="00B900A1" w:rsidRDefault="003D6949" w:rsidP="0097242E">
      <w:pPr>
        <w:autoSpaceDE w:val="0"/>
        <w:autoSpaceDN w:val="0"/>
        <w:adjustRightInd w:val="0"/>
        <w:spacing w:before="120" w:after="120" w:line="240" w:lineRule="auto"/>
        <w:rPr>
          <w:rFonts w:cstheme="minorHAnsi"/>
          <w:bCs/>
        </w:rPr>
      </w:pPr>
      <w:r>
        <w:rPr>
          <w:noProof/>
          <w:sz w:val="24"/>
          <w:szCs w:val="24"/>
        </w:rPr>
        <w:lastRenderedPageBreak/>
        <w:drawing>
          <wp:inline distT="0" distB="0" distL="0" distR="0" wp14:anchorId="60D89F8E" wp14:editId="66BD8FF5">
            <wp:extent cx="5461000" cy="4095750"/>
            <wp:effectExtent l="0" t="0" r="6350" b="0"/>
            <wp:docPr id="4" name="Picture 4" descr="Figure 5&#10;&#10;The risk decile plot is a graphical depiction of the deciles calculated to measure predictive ability. Below, we present the risk decile plot showing the distributions for Medicare FFS data from July 2016 – June 2020 (Testing Data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63037" cy="4097278"/>
                    </a:xfrm>
                    <a:prstGeom prst="rect">
                      <a:avLst/>
                    </a:prstGeom>
                    <a:noFill/>
                    <a:ln>
                      <a:noFill/>
                    </a:ln>
                  </pic:spPr>
                </pic:pic>
              </a:graphicData>
            </a:graphic>
          </wp:inline>
        </w:drawing>
      </w:r>
    </w:p>
    <w:p w14:paraId="3E08CB50" w14:textId="77777777" w:rsidR="0097242E" w:rsidRDefault="009C7513" w:rsidP="0097242E">
      <w:pPr>
        <w:autoSpaceDE w:val="0"/>
        <w:autoSpaceDN w:val="0"/>
        <w:adjustRightInd w:val="0"/>
        <w:spacing w:after="0" w:line="240" w:lineRule="auto"/>
        <w:rPr>
          <w:rFonts w:cstheme="minorHAnsi"/>
          <w:bCs/>
        </w:rPr>
      </w:pPr>
      <w:bookmarkStart w:id="47" w:name="question2b49"/>
      <w:bookmarkEnd w:id="47"/>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w:t>
      </w:r>
    </w:p>
    <w:p w14:paraId="45559C4A" w14:textId="3FD73493" w:rsidR="009123AE" w:rsidRPr="0097242E" w:rsidRDefault="009123AE" w:rsidP="0097242E">
      <w:pPr>
        <w:autoSpaceDE w:val="0"/>
        <w:autoSpaceDN w:val="0"/>
        <w:adjustRightInd w:val="0"/>
        <w:spacing w:before="120" w:after="120" w:line="240" w:lineRule="auto"/>
        <w:rPr>
          <w:rFonts w:cstheme="minorHAnsi"/>
          <w:bCs/>
          <w:color w:val="7030A0"/>
        </w:rPr>
      </w:pPr>
      <w:r w:rsidRPr="0097242E">
        <w:rPr>
          <w:rFonts w:cstheme="minorHAnsi"/>
          <w:bCs/>
          <w:color w:val="7030A0"/>
        </w:rPr>
        <w:t>N/A</w:t>
      </w:r>
    </w:p>
    <w:p w14:paraId="6BB0E662" w14:textId="77777777" w:rsidR="0097242E" w:rsidRDefault="009C7513" w:rsidP="0097242E">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3455D809" w14:textId="77777777" w:rsidR="0097242E" w:rsidRPr="0097242E" w:rsidRDefault="00C81544" w:rsidP="0097242E">
      <w:pPr>
        <w:autoSpaceDE w:val="0"/>
        <w:autoSpaceDN w:val="0"/>
        <w:adjustRightInd w:val="0"/>
        <w:spacing w:before="120" w:after="120" w:line="240" w:lineRule="auto"/>
        <w:rPr>
          <w:rFonts w:cstheme="minorHAnsi"/>
          <w:bCs/>
          <w:color w:val="7030A0"/>
        </w:rPr>
      </w:pPr>
      <w:r w:rsidRPr="0097242E">
        <w:rPr>
          <w:rFonts w:cstheme="minorHAnsi"/>
          <w:b/>
          <w:bCs/>
          <w:i/>
          <w:color w:val="7030A0"/>
        </w:rPr>
        <w:t>Discrimination Statistics</w:t>
      </w:r>
    </w:p>
    <w:p w14:paraId="42F0A5B5" w14:textId="6C336EC2" w:rsidR="0097242E" w:rsidRPr="0097242E" w:rsidRDefault="00C81544" w:rsidP="0097242E">
      <w:pPr>
        <w:autoSpaceDE w:val="0"/>
        <w:autoSpaceDN w:val="0"/>
        <w:adjustRightInd w:val="0"/>
        <w:spacing w:before="120" w:after="120" w:line="240" w:lineRule="auto"/>
        <w:rPr>
          <w:rFonts w:cstheme="minorHAnsi"/>
          <w:bCs/>
          <w:color w:val="7030A0"/>
        </w:rPr>
      </w:pPr>
      <w:r w:rsidRPr="0097242E">
        <w:rPr>
          <w:rFonts w:cstheme="minorHAnsi"/>
          <w:bCs/>
          <w:color w:val="7030A0"/>
        </w:rPr>
        <w:t xml:space="preserve">The c-statistic of </w:t>
      </w:r>
      <w:r w:rsidRPr="00E205B4">
        <w:rPr>
          <w:rFonts w:cstheme="minorHAnsi"/>
          <w:bCs/>
          <w:color w:val="C00000"/>
        </w:rPr>
        <w:t>0.</w:t>
      </w:r>
      <w:r w:rsidR="005638F5">
        <w:rPr>
          <w:rFonts w:cstheme="minorHAnsi"/>
          <w:bCs/>
          <w:color w:val="C00000"/>
        </w:rPr>
        <w:t>67</w:t>
      </w:r>
      <w:r w:rsidRPr="00E205B4">
        <w:rPr>
          <w:rFonts w:cstheme="minorHAnsi"/>
          <w:bCs/>
          <w:color w:val="C00000"/>
        </w:rPr>
        <w:t xml:space="preserve"> </w:t>
      </w:r>
      <w:r w:rsidRPr="0097242E">
        <w:rPr>
          <w:rFonts w:cstheme="minorHAnsi"/>
          <w:bCs/>
          <w:color w:val="7030A0"/>
        </w:rPr>
        <w:t>indicate</w:t>
      </w:r>
      <w:r w:rsidR="005638F5">
        <w:rPr>
          <w:rFonts w:cstheme="minorHAnsi"/>
          <w:bCs/>
          <w:color w:val="7030A0"/>
        </w:rPr>
        <w:t>s</w:t>
      </w:r>
      <w:r w:rsidRPr="0097242E">
        <w:rPr>
          <w:rFonts w:cstheme="minorHAnsi"/>
          <w:bCs/>
          <w:color w:val="7030A0"/>
        </w:rPr>
        <w:t xml:space="preserve"> fair model discrimination. The model indicated a wide range between the lowest decile and highest decile, indicating the ability to distinguish high-risk subjects from low-risk subjects.</w:t>
      </w:r>
    </w:p>
    <w:p w14:paraId="0EE69479" w14:textId="77777777" w:rsidR="0097242E" w:rsidRPr="0097242E" w:rsidRDefault="00C81544" w:rsidP="0097242E">
      <w:pPr>
        <w:autoSpaceDE w:val="0"/>
        <w:autoSpaceDN w:val="0"/>
        <w:adjustRightInd w:val="0"/>
        <w:spacing w:before="120" w:after="120" w:line="240" w:lineRule="auto"/>
        <w:rPr>
          <w:rFonts w:cstheme="minorHAnsi"/>
          <w:bCs/>
          <w:color w:val="7030A0"/>
        </w:rPr>
      </w:pPr>
      <w:r w:rsidRPr="0097242E">
        <w:rPr>
          <w:b/>
          <w:i/>
          <w:color w:val="7030A0"/>
        </w:rPr>
        <w:t>Calibration Statistics</w:t>
      </w:r>
    </w:p>
    <w:p w14:paraId="0B727390" w14:textId="77777777" w:rsidR="0097242E" w:rsidRPr="0097242E" w:rsidRDefault="00C81544" w:rsidP="0097242E">
      <w:pPr>
        <w:autoSpaceDE w:val="0"/>
        <w:autoSpaceDN w:val="0"/>
        <w:adjustRightInd w:val="0"/>
        <w:spacing w:before="120" w:after="120" w:line="240" w:lineRule="auto"/>
        <w:rPr>
          <w:bCs/>
          <w:i/>
          <w:color w:val="7030A0"/>
        </w:rPr>
      </w:pPr>
      <w:r w:rsidRPr="0097242E">
        <w:rPr>
          <w:bCs/>
          <w:i/>
          <w:color w:val="7030A0"/>
        </w:rPr>
        <w:t>Over-fitting (Calibration γ0, γ1)</w:t>
      </w:r>
    </w:p>
    <w:p w14:paraId="78205B47" w14:textId="77777777" w:rsidR="0097242E" w:rsidRDefault="00C81544" w:rsidP="0097242E">
      <w:pPr>
        <w:autoSpaceDE w:val="0"/>
        <w:autoSpaceDN w:val="0"/>
        <w:adjustRightInd w:val="0"/>
        <w:spacing w:before="120" w:after="120" w:line="240" w:lineRule="auto"/>
        <w:rPr>
          <w:rFonts w:cstheme="minorHAnsi"/>
          <w:bCs/>
        </w:rPr>
      </w:pPr>
      <w:r w:rsidRPr="0097242E">
        <w:rPr>
          <w:color w:val="7030A0"/>
        </w:rPr>
        <w:t xml:space="preserve">If the γ0 in the validation samples are substantially far from zero and the γ1 is substantially far from one, there is potential evidence of over-fitting. </w:t>
      </w:r>
      <w:r w:rsidRPr="0097242E">
        <w:rPr>
          <w:bCs/>
          <w:color w:val="7030A0"/>
        </w:rPr>
        <w:t>The calibration value of close to 0 at one end and close to 1 to the other end indicates calibration of the model.</w:t>
      </w:r>
    </w:p>
    <w:p w14:paraId="1ACD82E8" w14:textId="77777777" w:rsidR="0097242E" w:rsidRPr="0097242E" w:rsidRDefault="00C81544" w:rsidP="0097242E">
      <w:pPr>
        <w:autoSpaceDE w:val="0"/>
        <w:autoSpaceDN w:val="0"/>
        <w:adjustRightInd w:val="0"/>
        <w:spacing w:before="120" w:after="120" w:line="240" w:lineRule="auto"/>
        <w:rPr>
          <w:rFonts w:cstheme="minorHAnsi"/>
          <w:bCs/>
          <w:color w:val="7030A0"/>
        </w:rPr>
      </w:pPr>
      <w:r w:rsidRPr="0097242E">
        <w:rPr>
          <w:rFonts w:cstheme="minorHAnsi"/>
          <w:b/>
          <w:bCs/>
          <w:i/>
          <w:color w:val="7030A0"/>
        </w:rPr>
        <w:t>Risk Decile Plots</w:t>
      </w:r>
    </w:p>
    <w:p w14:paraId="6B4A274A" w14:textId="77777777" w:rsidR="0097242E" w:rsidRPr="0097242E" w:rsidRDefault="00C81544" w:rsidP="0097242E">
      <w:pPr>
        <w:autoSpaceDE w:val="0"/>
        <w:autoSpaceDN w:val="0"/>
        <w:adjustRightInd w:val="0"/>
        <w:spacing w:before="120" w:after="120" w:line="240" w:lineRule="auto"/>
        <w:rPr>
          <w:rFonts w:cstheme="minorHAnsi"/>
          <w:bCs/>
          <w:color w:val="7030A0"/>
        </w:rPr>
      </w:pPr>
      <w:r w:rsidRPr="0097242E">
        <w:rPr>
          <w:bCs/>
          <w:color w:val="7030A0"/>
        </w:rPr>
        <w:t>Higher deciles of the predicted outcomes are associated with higher observed outcomes, which show a good calibration of the model. This plot indicates good discrimination of the model and good predictive ability.</w:t>
      </w:r>
    </w:p>
    <w:p w14:paraId="250A1651" w14:textId="77777777" w:rsidR="0097242E" w:rsidRPr="0097242E" w:rsidRDefault="00C81544" w:rsidP="0097242E">
      <w:pPr>
        <w:autoSpaceDE w:val="0"/>
        <w:autoSpaceDN w:val="0"/>
        <w:adjustRightInd w:val="0"/>
        <w:spacing w:before="120" w:after="120" w:line="240" w:lineRule="auto"/>
        <w:rPr>
          <w:b/>
          <w:bCs/>
          <w:i/>
          <w:color w:val="7030A0"/>
        </w:rPr>
      </w:pPr>
      <w:r w:rsidRPr="0097242E">
        <w:rPr>
          <w:b/>
          <w:bCs/>
          <w:i/>
          <w:color w:val="7030A0"/>
        </w:rPr>
        <w:t>Overall Interpretation</w:t>
      </w:r>
    </w:p>
    <w:p w14:paraId="0CABD003" w14:textId="15DD1FAD" w:rsidR="00092566" w:rsidRPr="0097242E" w:rsidRDefault="00C81544" w:rsidP="0097242E">
      <w:pPr>
        <w:autoSpaceDE w:val="0"/>
        <w:autoSpaceDN w:val="0"/>
        <w:adjustRightInd w:val="0"/>
        <w:spacing w:before="120" w:after="120" w:line="240" w:lineRule="auto"/>
        <w:rPr>
          <w:rFonts w:cstheme="minorHAnsi"/>
          <w:color w:val="7030A0"/>
        </w:rPr>
      </w:pPr>
      <w:r w:rsidRPr="0097242E">
        <w:rPr>
          <w:color w:val="7030A0"/>
        </w:rPr>
        <w:lastRenderedPageBreak/>
        <w:t>Interpreted together, our diagnostic results demonstrate the risk-adjustment model adequately controls for differences in patient characteristics (case mix)</w:t>
      </w:r>
      <w:r w:rsidR="00437615" w:rsidRPr="0097242E">
        <w:rPr>
          <w:color w:val="7030A0"/>
        </w:rPr>
        <w:t xml:space="preserve"> and is comparable to other (add outcome name [e.g. readmission, mortality, etc.]) outcome measures.</w:t>
      </w:r>
    </w:p>
    <w:p w14:paraId="59B29F1D" w14:textId="7B7090BA" w:rsidR="0097242E" w:rsidRDefault="009C7513" w:rsidP="0097242E">
      <w:pPr>
        <w:spacing w:after="0" w:line="240" w:lineRule="auto"/>
        <w:rPr>
          <w:rFonts w:cstheme="minorHAnsi"/>
        </w:rPr>
      </w:pPr>
      <w:r w:rsidRPr="0097242E">
        <w:rPr>
          <w:rFonts w:cstheme="minorHAnsi"/>
          <w:b/>
        </w:rPr>
        <w:t>2b3</w:t>
      </w:r>
      <w:r w:rsidR="009B1A15" w:rsidRPr="0097242E">
        <w:rPr>
          <w:rFonts w:cstheme="minorHAnsi"/>
          <w:b/>
        </w:rPr>
        <w:t>.11.</w:t>
      </w:r>
      <w:r w:rsidR="009B1A15" w:rsidRPr="0097242E">
        <w:rPr>
          <w:rFonts w:cstheme="minorHAnsi"/>
        </w:rPr>
        <w:t xml:space="preserve"> </w:t>
      </w:r>
      <w:r w:rsidR="00092566" w:rsidRPr="0097242E">
        <w:rPr>
          <w:rFonts w:cstheme="minorHAnsi"/>
          <w:b/>
        </w:rPr>
        <w:t>Optional</w:t>
      </w:r>
      <w:r w:rsidR="009B1A15" w:rsidRPr="0097242E">
        <w:rPr>
          <w:rFonts w:cstheme="minorHAnsi"/>
          <w:b/>
        </w:rPr>
        <w:t xml:space="preserve"> Additional Testing</w:t>
      </w:r>
      <w:r w:rsidR="004756E1" w:rsidRPr="0097242E">
        <w:rPr>
          <w:rFonts w:cstheme="minorHAnsi"/>
          <w:b/>
        </w:rPr>
        <w:t xml:space="preserve"> for Risk Adjustment</w:t>
      </w:r>
      <w:r w:rsidR="00092566" w:rsidRPr="0097242E">
        <w:rPr>
          <w:rFonts w:cstheme="minorHAnsi"/>
          <w:b/>
        </w:rPr>
        <w:t xml:space="preserve"> </w:t>
      </w:r>
      <w:r w:rsidR="00092566" w:rsidRPr="0097242E">
        <w:rPr>
          <w:rFonts w:cstheme="minorHAnsi"/>
        </w:rPr>
        <w:t>(</w:t>
      </w:r>
      <w:r w:rsidR="00092566" w:rsidRPr="0097242E">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286D17DF" w14:textId="56E93AB2" w:rsidR="00FD0997" w:rsidRDefault="00FD0997" w:rsidP="0097242E">
      <w:pPr>
        <w:spacing w:after="0" w:line="240" w:lineRule="auto"/>
        <w:rPr>
          <w:rFonts w:cstheme="minorHAnsi"/>
        </w:rPr>
      </w:pPr>
    </w:p>
    <w:p w14:paraId="4C7DACA9" w14:textId="521C60E8" w:rsidR="00FD0997" w:rsidRPr="00FD0997" w:rsidRDefault="00FD0997" w:rsidP="0097242E">
      <w:pPr>
        <w:spacing w:after="0" w:line="240" w:lineRule="auto"/>
        <w:rPr>
          <w:rFonts w:cstheme="minorHAnsi"/>
          <w:color w:val="00B0F0"/>
        </w:rPr>
      </w:pPr>
      <w:r w:rsidRPr="00FD0997">
        <w:rPr>
          <w:rFonts w:cstheme="minorHAnsi"/>
          <w:color w:val="00B0F0"/>
        </w:rPr>
        <w:t>N/A</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48" w:name="section2b5"/>
      <w:bookmarkEnd w:id="48"/>
      <w:r>
        <w:rPr>
          <w:rFonts w:cstheme="minorHAnsi"/>
          <w:b/>
          <w:bCs/>
        </w:rPr>
        <w:t>2b4</w:t>
      </w:r>
      <w:r w:rsidR="00D61410" w:rsidRPr="00A25024">
        <w:rPr>
          <w:rFonts w:cstheme="minorHAnsi"/>
          <w:b/>
          <w:bCs/>
        </w:rPr>
        <w:t>. IDENTIFICATION OF STATISTICALLY SIGNIFICANT &amp; MEANINGFUL DIFFERENCES IN PERFORMANCE</w:t>
      </w:r>
    </w:p>
    <w:p w14:paraId="25C431AA" w14:textId="77777777" w:rsidR="005159C2" w:rsidRDefault="009C7513" w:rsidP="005159C2">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w:t>
      </w:r>
    </w:p>
    <w:p w14:paraId="0B6AA391" w14:textId="77777777" w:rsidR="005159C2" w:rsidRDefault="00B947A4" w:rsidP="005159C2">
      <w:pPr>
        <w:autoSpaceDE w:val="0"/>
        <w:autoSpaceDN w:val="0"/>
        <w:adjustRightInd w:val="0"/>
        <w:spacing w:before="120" w:after="120" w:line="240" w:lineRule="auto"/>
        <w:rPr>
          <w:color w:val="C00000"/>
        </w:rPr>
      </w:pPr>
      <w:r w:rsidRPr="00E205B4">
        <w:rPr>
          <w:rFonts w:ascii="Calibri" w:hAnsi="Calibri" w:cs="Calibri"/>
          <w:color w:val="C00000"/>
        </w:rPr>
        <w:t>The measure score is hospital-specific risk-standardized readmission rates. These rates are obtained as the ratio of predicted to expected readmissions, multiplied by the national unadjusted rate. The “predicted” number of readmissions (the numerator) is calculated using the coefficients estimated by regressing the risk factors and the hospital-specific intercept on the risk of readmissions. The estimated hospital-specific intercept is added to the sum of the estimated regression coefficients multiplied by the patient characteristics. The results are then transformed and summed over all patients attributed to a hospital to get a predicted value. The “expected” number of readmissions (the denominator) is obtained in the same manner, but a common intercept using all hospitals in our sample is added in place of the hospital-specific intercept. The results are then transformed and summed over all patients in the hospital to get an expected value. To assess hospital performance for each reporting period, we re-estimated the model coefficients using the years of data in that period.</w:t>
      </w:r>
    </w:p>
    <w:p w14:paraId="63288531" w14:textId="77777777" w:rsidR="00060F40" w:rsidRDefault="00B947A4" w:rsidP="00060F40">
      <w:pPr>
        <w:autoSpaceDE w:val="0"/>
        <w:autoSpaceDN w:val="0"/>
        <w:adjustRightInd w:val="0"/>
        <w:spacing w:before="120" w:after="120" w:line="240" w:lineRule="auto"/>
        <w:rPr>
          <w:rFonts w:cstheme="minorHAnsi"/>
          <w:bCs/>
        </w:rPr>
      </w:pPr>
      <w:r w:rsidRPr="00E205B4">
        <w:rPr>
          <w:color w:val="C00000"/>
        </w:rPr>
        <w:t>We characterize the degree of variability by:</w:t>
      </w:r>
    </w:p>
    <w:p w14:paraId="05870238" w14:textId="27671812" w:rsidR="00060F40" w:rsidRPr="00060F40" w:rsidRDefault="00B1014B" w:rsidP="00060F40">
      <w:pPr>
        <w:pStyle w:val="ListParagraph"/>
        <w:numPr>
          <w:ilvl w:val="0"/>
          <w:numId w:val="45"/>
        </w:numPr>
        <w:autoSpaceDE w:val="0"/>
        <w:autoSpaceDN w:val="0"/>
        <w:adjustRightInd w:val="0"/>
        <w:spacing w:before="120" w:after="120" w:line="240" w:lineRule="auto"/>
        <w:rPr>
          <w:rFonts w:cstheme="minorHAnsi"/>
          <w:bCs/>
        </w:rPr>
      </w:pPr>
      <w:r w:rsidRPr="00060F40">
        <w:rPr>
          <w:rFonts w:cstheme="minorHAnsi"/>
          <w:bCs/>
          <w:color w:val="C00000"/>
        </w:rPr>
        <w:t>Reporting the distribution of RSRRs</w:t>
      </w:r>
      <w:r w:rsidR="005159C2" w:rsidRPr="00060F40">
        <w:rPr>
          <w:rFonts w:cstheme="minorHAnsi"/>
          <w:bCs/>
          <w:color w:val="C00000"/>
        </w:rPr>
        <w:t>:</w:t>
      </w:r>
      <w:r w:rsidR="005159C2" w:rsidRPr="00060F40">
        <w:rPr>
          <w:rFonts w:cstheme="minorHAnsi"/>
          <w:bCs/>
          <w:color w:val="C00000"/>
        </w:rPr>
        <w:br/>
      </w:r>
      <w:r w:rsidRPr="00060F40">
        <w:rPr>
          <w:rFonts w:cstheme="minorHAnsi"/>
          <w:bCs/>
          <w:color w:val="C00000"/>
        </w:rPr>
        <w:t xml:space="preserve">For public reporting of the measure, CMS characterizes the uncertainty associated with the RSRR by estimating the 95% interval estimate. This is </w:t>
      </w:r>
      <w:proofErr w:type="gramStart"/>
      <w:r w:rsidRPr="00060F40">
        <w:rPr>
          <w:rFonts w:cstheme="minorHAnsi"/>
          <w:bCs/>
          <w:color w:val="C00000"/>
        </w:rPr>
        <w:t>similar to</w:t>
      </w:r>
      <w:proofErr w:type="gramEnd"/>
      <w:r w:rsidRPr="00060F40">
        <w:rPr>
          <w:rFonts w:cstheme="minorHAnsi"/>
          <w:bCs/>
          <w:color w:val="C00000"/>
        </w:rPr>
        <w:t xml:space="preserve"> a 95% confidence interval but is calculated differently. If the RSRR’s interval estimate does not include the national observed readmission rate (because it is lower or higher than the rate), then CMS is confident that the hospital’s RSRR is different from the national rate, and describes the hospital on the Hospital Compare website as “better than the U.S. national rate” or “worse than the U.S. national rate.” If the interval includes the national rate, then CMS describes the hospital’s RSRR as “no different than the U.S. national rate” or “the difference is uncertain.” CMS does not classify performance for hospitals that have fewer than 25 cases in the three-year period.</w:t>
      </w:r>
    </w:p>
    <w:p w14:paraId="5853E80D" w14:textId="5185F025" w:rsidR="005159C2" w:rsidRPr="00060F40" w:rsidRDefault="00B947A4" w:rsidP="00060F40">
      <w:pPr>
        <w:pStyle w:val="ListParagraph"/>
        <w:numPr>
          <w:ilvl w:val="0"/>
          <w:numId w:val="45"/>
        </w:numPr>
        <w:autoSpaceDE w:val="0"/>
        <w:autoSpaceDN w:val="0"/>
        <w:adjustRightInd w:val="0"/>
        <w:spacing w:before="120" w:after="120" w:line="240" w:lineRule="auto"/>
        <w:rPr>
          <w:rFonts w:cstheme="minorHAnsi"/>
          <w:bCs/>
        </w:rPr>
      </w:pPr>
      <w:r w:rsidRPr="00060F40">
        <w:rPr>
          <w:rFonts w:cstheme="minorHAnsi"/>
          <w:bCs/>
          <w:color w:val="C00000"/>
        </w:rPr>
        <w:t xml:space="preserve">Providing the median odds ratio (MOR) (Merlo et al, 2006). The median odds ratio represents the median increase in the odds of a readmission within 30 days of a </w:t>
      </w:r>
      <w:r w:rsidR="008A1ACC" w:rsidRPr="00060F40">
        <w:rPr>
          <w:rFonts w:ascii="Calibri" w:eastAsia="Times New Roman" w:hAnsi="Calibri" w:cs="Calibri"/>
          <w:color w:val="C00000"/>
        </w:rPr>
        <w:t>THA/TKA</w:t>
      </w:r>
      <w:r w:rsidR="008A1ACC" w:rsidRPr="00060F40">
        <w:rPr>
          <w:rFonts w:cstheme="minorHAnsi"/>
          <w:bCs/>
          <w:color w:val="C00000"/>
        </w:rPr>
        <w:t xml:space="preserve"> </w:t>
      </w:r>
      <w:r w:rsidRPr="00060F40">
        <w:rPr>
          <w:rFonts w:cstheme="minorHAnsi"/>
          <w:bCs/>
          <w:color w:val="C00000"/>
        </w:rPr>
        <w:t>admission date on a single patient if the admission occurred at a higher risk hospital compared to a lower risk hospital. MOR quantifies the between hospital variance in terms of odds ratio, it is comparable to the fixed effects odds ratio.</w:t>
      </w:r>
    </w:p>
    <w:p w14:paraId="77B2ABC9" w14:textId="77777777" w:rsidR="005159C2" w:rsidRDefault="00B947A4" w:rsidP="005159C2">
      <w:pPr>
        <w:autoSpaceDE w:val="0"/>
        <w:autoSpaceDN w:val="0"/>
        <w:adjustRightInd w:val="0"/>
        <w:spacing w:before="120" w:after="120" w:line="240" w:lineRule="auto"/>
        <w:rPr>
          <w:rFonts w:cstheme="minorHAnsi"/>
          <w:bCs/>
        </w:rPr>
      </w:pPr>
      <w:r w:rsidRPr="00E205B4">
        <w:rPr>
          <w:rFonts w:cstheme="minorHAnsi"/>
          <w:bCs/>
          <w:color w:val="C00000"/>
          <w:u w:val="single"/>
        </w:rPr>
        <w:t>Reference</w:t>
      </w:r>
    </w:p>
    <w:p w14:paraId="3214B58A" w14:textId="030BD338" w:rsidR="00B947A4" w:rsidRPr="005159C2" w:rsidRDefault="00B947A4" w:rsidP="005159C2">
      <w:pPr>
        <w:autoSpaceDE w:val="0"/>
        <w:autoSpaceDN w:val="0"/>
        <w:adjustRightInd w:val="0"/>
        <w:spacing w:before="120" w:after="120" w:line="240" w:lineRule="auto"/>
        <w:rPr>
          <w:rFonts w:cstheme="minorHAnsi"/>
          <w:bCs/>
        </w:rPr>
      </w:pPr>
      <w:r w:rsidRPr="00E205B4">
        <w:rPr>
          <w:rFonts w:cstheme="minorHAnsi"/>
          <w:bCs/>
          <w:color w:val="C00000"/>
        </w:rPr>
        <w:t xml:space="preserve">Merlo J, </w:t>
      </w:r>
      <w:proofErr w:type="spellStart"/>
      <w:r w:rsidRPr="00E205B4">
        <w:rPr>
          <w:rFonts w:cstheme="minorHAnsi"/>
          <w:bCs/>
          <w:color w:val="C00000"/>
        </w:rPr>
        <w:t>Chaix</w:t>
      </w:r>
      <w:proofErr w:type="spellEnd"/>
      <w:r w:rsidRPr="00E205B4">
        <w:rPr>
          <w:rFonts w:cstheme="minorHAnsi"/>
          <w:bCs/>
          <w:color w:val="C00000"/>
        </w:rPr>
        <w:t xml:space="preserve"> B, </w:t>
      </w:r>
      <w:proofErr w:type="spellStart"/>
      <w:r w:rsidRPr="00E205B4">
        <w:rPr>
          <w:rFonts w:cstheme="minorHAnsi"/>
          <w:bCs/>
          <w:color w:val="C00000"/>
        </w:rPr>
        <w:t>Ohlsson</w:t>
      </w:r>
      <w:proofErr w:type="spellEnd"/>
      <w:r w:rsidRPr="00E205B4">
        <w:rPr>
          <w:rFonts w:cstheme="minorHAnsi"/>
          <w:bCs/>
          <w:color w:val="C00000"/>
        </w:rPr>
        <w:t xml:space="preserve"> H, Beckman A, </w:t>
      </w:r>
      <w:proofErr w:type="spellStart"/>
      <w:r w:rsidRPr="00E205B4">
        <w:rPr>
          <w:rFonts w:cstheme="minorHAnsi"/>
          <w:bCs/>
          <w:color w:val="C00000"/>
        </w:rPr>
        <w:t>Johnell</w:t>
      </w:r>
      <w:proofErr w:type="spellEnd"/>
      <w:r w:rsidRPr="00E205B4">
        <w:rPr>
          <w:rFonts w:cstheme="minorHAnsi"/>
          <w:bCs/>
          <w:color w:val="C00000"/>
        </w:rPr>
        <w:t xml:space="preserve"> K, </w:t>
      </w:r>
      <w:proofErr w:type="spellStart"/>
      <w:r w:rsidRPr="00E205B4">
        <w:rPr>
          <w:rFonts w:cstheme="minorHAnsi"/>
          <w:bCs/>
          <w:color w:val="C00000"/>
        </w:rPr>
        <w:t>Hjerpe</w:t>
      </w:r>
      <w:proofErr w:type="spellEnd"/>
      <w:r w:rsidRPr="00E205B4">
        <w:rPr>
          <w:rFonts w:cstheme="minorHAnsi"/>
          <w:bCs/>
          <w:color w:val="C00000"/>
        </w:rPr>
        <w:t xml:space="preserve"> P, </w:t>
      </w:r>
      <w:proofErr w:type="spellStart"/>
      <w:r w:rsidRPr="00E205B4">
        <w:rPr>
          <w:rFonts w:cstheme="minorHAnsi"/>
          <w:bCs/>
          <w:color w:val="C00000"/>
        </w:rPr>
        <w:t>Råstam</w:t>
      </w:r>
      <w:proofErr w:type="spellEnd"/>
      <w:r w:rsidRPr="00E205B4">
        <w:rPr>
          <w:rFonts w:cstheme="minorHAnsi"/>
          <w:bCs/>
          <w:color w:val="C00000"/>
        </w:rPr>
        <w:t xml:space="preserve"> L, Larsen K. (2006) A brief conceptual tutorial of multilevel analysis in social epidemiology: Using measures of clustering in </w:t>
      </w:r>
      <w:r w:rsidRPr="00E205B4">
        <w:rPr>
          <w:rFonts w:cstheme="minorHAnsi"/>
          <w:bCs/>
          <w:color w:val="C00000"/>
        </w:rPr>
        <w:lastRenderedPageBreak/>
        <w:t>multilevel logistic regression to investigate contextual phenomena. J Epidemiol Community Health, 60(4):290-7.</w:t>
      </w:r>
    </w:p>
    <w:p w14:paraId="31C933B3" w14:textId="77777777" w:rsidR="00FD28EA" w:rsidRDefault="009C7513" w:rsidP="000E6D57">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373AD999" w14:textId="77777777" w:rsidR="00FD28EA" w:rsidRDefault="00E45A4F" w:rsidP="00FD28EA">
      <w:pPr>
        <w:autoSpaceDE w:val="0"/>
        <w:autoSpaceDN w:val="0"/>
        <w:adjustRightInd w:val="0"/>
        <w:spacing w:before="120" w:after="120" w:line="240" w:lineRule="auto"/>
        <w:rPr>
          <w:rFonts w:cstheme="minorHAnsi"/>
          <w:color w:val="7030A0"/>
        </w:rPr>
      </w:pPr>
      <w:r w:rsidRPr="000E6D57">
        <w:rPr>
          <w:rFonts w:cstheme="minorHAnsi"/>
          <w:color w:val="7030A0"/>
        </w:rPr>
        <w:t>Analyses of Medicare FFS data show substantial variation in RSRRs among hospitals.</w:t>
      </w:r>
    </w:p>
    <w:p w14:paraId="75B127B8" w14:textId="64A82962" w:rsidR="00FD28EA" w:rsidRPr="002E3841" w:rsidRDefault="002E3841" w:rsidP="002E3841">
      <w:pPr>
        <w:pStyle w:val="Caption"/>
        <w:rPr>
          <w:rFonts w:cstheme="minorHAnsi"/>
          <w:i w:val="0"/>
          <w:noProof/>
          <w:color w:val="C00000"/>
          <w:sz w:val="22"/>
        </w:rPr>
      </w:pPr>
      <w:r w:rsidRPr="00ED3A57">
        <w:rPr>
          <w:b/>
          <w:i w:val="0"/>
          <w:color w:val="C00000"/>
          <w:sz w:val="22"/>
        </w:rPr>
        <w:t xml:space="preserve">Figure </w:t>
      </w:r>
      <w:r w:rsidRPr="00ED3A57">
        <w:rPr>
          <w:b/>
          <w:i w:val="0"/>
          <w:color w:val="C00000"/>
          <w:sz w:val="22"/>
        </w:rPr>
        <w:fldChar w:fldCharType="begin"/>
      </w:r>
      <w:r w:rsidRPr="00ED3A57">
        <w:rPr>
          <w:b/>
          <w:i w:val="0"/>
          <w:color w:val="C00000"/>
          <w:sz w:val="22"/>
        </w:rPr>
        <w:instrText xml:space="preserve"> SEQ Figure \* ARABIC </w:instrText>
      </w:r>
      <w:r w:rsidRPr="00ED3A57">
        <w:rPr>
          <w:b/>
          <w:i w:val="0"/>
          <w:color w:val="C00000"/>
          <w:sz w:val="22"/>
        </w:rPr>
        <w:fldChar w:fldCharType="separate"/>
      </w:r>
      <w:r w:rsidRPr="00ED3A57">
        <w:rPr>
          <w:b/>
          <w:i w:val="0"/>
          <w:noProof/>
          <w:color w:val="C00000"/>
          <w:sz w:val="22"/>
        </w:rPr>
        <w:t>6</w:t>
      </w:r>
      <w:r w:rsidRPr="00ED3A57">
        <w:rPr>
          <w:b/>
          <w:i w:val="0"/>
          <w:color w:val="C00000"/>
          <w:sz w:val="22"/>
        </w:rPr>
        <w:fldChar w:fldCharType="end"/>
      </w:r>
      <w:r w:rsidR="00E45A4F" w:rsidRPr="00ED3A57">
        <w:rPr>
          <w:rFonts w:cstheme="minorHAnsi"/>
          <w:i w:val="0"/>
          <w:noProof/>
          <w:color w:val="C00000"/>
          <w:sz w:val="22"/>
        </w:rPr>
        <w:t xml:space="preserve">. </w:t>
      </w:r>
      <w:r w:rsidR="00E45A4F" w:rsidRPr="002E3841">
        <w:rPr>
          <w:rFonts w:cstheme="minorHAnsi"/>
          <w:i w:val="0"/>
          <w:noProof/>
          <w:color w:val="C00000"/>
          <w:sz w:val="22"/>
        </w:rPr>
        <w:t>Distribution (Histogram) Of Hospital-Level THA/TKA RSRRs</w:t>
      </w:r>
    </w:p>
    <w:p w14:paraId="30AC6B4F" w14:textId="77777777" w:rsidR="00FD28EA" w:rsidRDefault="005A42C3" w:rsidP="00FD28EA">
      <w:pPr>
        <w:autoSpaceDE w:val="0"/>
        <w:autoSpaceDN w:val="0"/>
        <w:adjustRightInd w:val="0"/>
        <w:spacing w:before="120" w:after="120" w:line="240" w:lineRule="auto"/>
        <w:rPr>
          <w:rFonts w:cstheme="minorHAnsi"/>
        </w:rPr>
      </w:pPr>
      <w:r>
        <w:rPr>
          <w:noProof/>
        </w:rPr>
        <w:drawing>
          <wp:inline distT="0" distB="0" distL="0" distR="0" wp14:anchorId="6BC211A7" wp14:editId="07A3EF21">
            <wp:extent cx="5943600" cy="4457700"/>
            <wp:effectExtent l="0" t="0" r="0" b="0"/>
            <wp:docPr id="5" name="Picture 5" descr="Figure 6. Distribution (Histogram) Of Hospital-Level THA/TKA RSRRs&#10;&#10;This figure illustrates the distribution of hospital-level THA/TKA RSRRs during the testing 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6CB0A67A" w14:textId="7C564955" w:rsidR="005A42C3" w:rsidRDefault="005A42C3" w:rsidP="00FD28EA">
      <w:pPr>
        <w:autoSpaceDE w:val="0"/>
        <w:autoSpaceDN w:val="0"/>
        <w:adjustRightInd w:val="0"/>
        <w:spacing w:before="120" w:after="120" w:line="240" w:lineRule="auto"/>
        <w:rPr>
          <w:rFonts w:cstheme="minorHAnsi"/>
          <w:color w:val="7030A0"/>
        </w:rPr>
      </w:pPr>
      <w:r w:rsidRPr="007955CA">
        <w:rPr>
          <w:rFonts w:cstheme="minorHAnsi"/>
          <w:color w:val="7030A0"/>
        </w:rPr>
        <w:t xml:space="preserve">Out of </w:t>
      </w:r>
      <w:r w:rsidRPr="00E205B4">
        <w:rPr>
          <w:rFonts w:cstheme="minorHAnsi"/>
          <w:color w:val="C00000"/>
        </w:rPr>
        <w:t>3,412</w:t>
      </w:r>
      <w:r w:rsidRPr="005A42C3">
        <w:rPr>
          <w:rFonts w:cstheme="minorHAnsi"/>
        </w:rPr>
        <w:t xml:space="preserve"> </w:t>
      </w:r>
      <w:r w:rsidRPr="007955CA">
        <w:rPr>
          <w:rFonts w:cstheme="minorHAnsi"/>
          <w:color w:val="7030A0"/>
        </w:rPr>
        <w:t xml:space="preserve">hospitals in the measure cohort, </w:t>
      </w:r>
      <w:r w:rsidRPr="00E205B4">
        <w:rPr>
          <w:rFonts w:cstheme="minorHAnsi"/>
          <w:color w:val="C00000"/>
        </w:rPr>
        <w:t xml:space="preserve">44 </w:t>
      </w:r>
      <w:r w:rsidRPr="007955CA">
        <w:rPr>
          <w:rFonts w:cstheme="minorHAnsi"/>
          <w:color w:val="7030A0"/>
        </w:rPr>
        <w:t xml:space="preserve">performed “better than the U.S. national rate,” </w:t>
      </w:r>
      <w:r w:rsidRPr="00E205B4">
        <w:rPr>
          <w:rFonts w:cstheme="minorHAnsi"/>
          <w:color w:val="C00000"/>
        </w:rPr>
        <w:t>2,693</w:t>
      </w:r>
      <w:r w:rsidRPr="005A42C3">
        <w:rPr>
          <w:rFonts w:cstheme="minorHAnsi"/>
        </w:rPr>
        <w:t xml:space="preserve"> </w:t>
      </w:r>
      <w:r w:rsidRPr="007955CA">
        <w:rPr>
          <w:rFonts w:cstheme="minorHAnsi"/>
          <w:color w:val="7030A0"/>
        </w:rPr>
        <w:t xml:space="preserve">performed “no different from the U.S. national rate,” and </w:t>
      </w:r>
      <w:r w:rsidRPr="00E205B4">
        <w:rPr>
          <w:rFonts w:cstheme="minorHAnsi"/>
          <w:color w:val="C00000"/>
        </w:rPr>
        <w:t xml:space="preserve">24 </w:t>
      </w:r>
      <w:r w:rsidRPr="007955CA">
        <w:rPr>
          <w:rFonts w:cstheme="minorHAnsi"/>
          <w:color w:val="7030A0"/>
        </w:rPr>
        <w:t xml:space="preserve">performed “worse than the U.S. national rate.” </w:t>
      </w:r>
      <w:r w:rsidRPr="00E205B4">
        <w:rPr>
          <w:rFonts w:cstheme="minorHAnsi"/>
          <w:color w:val="C00000"/>
        </w:rPr>
        <w:t xml:space="preserve">651 </w:t>
      </w:r>
      <w:r w:rsidRPr="007955CA">
        <w:rPr>
          <w:rFonts w:cstheme="minorHAnsi"/>
          <w:color w:val="7030A0"/>
        </w:rPr>
        <w:t>were classified as “number of cases too small” (fewer than 25) to reliably tell how well the hospital is performing.</w:t>
      </w:r>
      <w:r w:rsidR="00545F8D">
        <w:rPr>
          <w:rFonts w:cstheme="minorHAnsi"/>
          <w:color w:val="7030A0"/>
        </w:rPr>
        <w:t xml:space="preserve"> There is considerable variation in RSCRs during the measurement period, ranging from 1.2-10.6%.</w:t>
      </w:r>
    </w:p>
    <w:p w14:paraId="3A29E787" w14:textId="7F2233F4" w:rsidR="007955CA" w:rsidRPr="007955CA" w:rsidRDefault="007955CA" w:rsidP="00FD28EA">
      <w:pPr>
        <w:autoSpaceDE w:val="0"/>
        <w:autoSpaceDN w:val="0"/>
        <w:adjustRightInd w:val="0"/>
        <w:spacing w:before="120" w:after="120" w:line="240" w:lineRule="auto"/>
        <w:rPr>
          <w:rFonts w:cstheme="minorHAnsi"/>
          <w:bCs/>
          <w:color w:val="C00000"/>
        </w:rPr>
      </w:pPr>
      <w:r w:rsidRPr="007955CA">
        <w:rPr>
          <w:rFonts w:cstheme="minorHAnsi"/>
          <w:color w:val="C00000"/>
        </w:rPr>
        <w:t>The median odds ratio was 1.25.</w:t>
      </w:r>
    </w:p>
    <w:p w14:paraId="6FE07C39" w14:textId="77777777" w:rsidR="007955CA" w:rsidRDefault="009C7513" w:rsidP="007955CA">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7FA71C2A" w14:textId="56DA10AA" w:rsidR="00686008" w:rsidRDefault="00686008" w:rsidP="005638F5">
      <w:pPr>
        <w:autoSpaceDE w:val="0"/>
        <w:autoSpaceDN w:val="0"/>
        <w:adjustRightInd w:val="0"/>
        <w:spacing w:before="120" w:after="0" w:line="240" w:lineRule="auto"/>
        <w:rPr>
          <w:rFonts w:cstheme="minorHAnsi"/>
          <w:noProof/>
          <w:color w:val="C00000"/>
        </w:rPr>
      </w:pPr>
      <w:r w:rsidRPr="00E205B4">
        <w:rPr>
          <w:rFonts w:cstheme="minorHAnsi"/>
          <w:noProof/>
          <w:color w:val="C00000"/>
        </w:rPr>
        <w:lastRenderedPageBreak/>
        <w:t xml:space="preserve">The median odds ratio suggests a meaningful increase in the risk of readmission if a patient is admitted with </w:t>
      </w:r>
      <w:r w:rsidR="00840290" w:rsidRPr="00E205B4">
        <w:rPr>
          <w:rFonts w:cstheme="minorHAnsi"/>
          <w:noProof/>
          <w:color w:val="C00000"/>
        </w:rPr>
        <w:t>THA/TKA</w:t>
      </w:r>
      <w:r w:rsidRPr="00E205B4">
        <w:rPr>
          <w:rFonts w:cstheme="minorHAnsi"/>
          <w:noProof/>
          <w:color w:val="C00000"/>
        </w:rPr>
        <w:t xml:space="preserve"> at a higher risk hospital compared to a lower risk hospital. A value of 1.25 indicates that a patient’s risk of readmission is 25</w:t>
      </w:r>
      <w:r w:rsidR="004E3F93" w:rsidRPr="00E205B4">
        <w:rPr>
          <w:rFonts w:cstheme="minorHAnsi"/>
          <w:noProof/>
          <w:color w:val="C00000"/>
        </w:rPr>
        <w:t xml:space="preserve">% </w:t>
      </w:r>
      <w:r w:rsidRPr="00E205B4">
        <w:rPr>
          <w:rFonts w:cstheme="minorHAnsi"/>
          <w:noProof/>
          <w:color w:val="C00000"/>
        </w:rPr>
        <w:t>greater in a higher risk hospital than a lower risk hospital.</w:t>
      </w:r>
    </w:p>
    <w:p w14:paraId="06BE1BBC" w14:textId="72E694BB" w:rsidR="005638F5" w:rsidRPr="005638F5" w:rsidRDefault="005638F5" w:rsidP="005638F5">
      <w:pPr>
        <w:autoSpaceDE w:val="0"/>
        <w:autoSpaceDN w:val="0"/>
        <w:adjustRightInd w:val="0"/>
        <w:spacing w:before="120" w:after="0" w:line="240" w:lineRule="auto"/>
        <w:rPr>
          <w:rFonts w:cstheme="minorHAnsi"/>
          <w:noProof/>
          <w:color w:val="7030A0"/>
        </w:rPr>
      </w:pPr>
      <w:r w:rsidRPr="002132E6">
        <w:rPr>
          <w:rFonts w:cstheme="minorHAnsi"/>
          <w:bCs/>
          <w:noProof/>
          <w:color w:val="7030A0"/>
        </w:rPr>
        <w:t>The variation in rates and number of performance outliers suggests there remain differences in the quality of car</w:t>
      </w:r>
      <w:r>
        <w:rPr>
          <w:rFonts w:cstheme="minorHAnsi"/>
          <w:bCs/>
          <w:noProof/>
          <w:color w:val="7030A0"/>
        </w:rPr>
        <w:t>e received across hospitals performing THA/TKA procedures on Medicare FFS patients</w:t>
      </w:r>
      <w:r w:rsidRPr="002132E6">
        <w:rPr>
          <w:rFonts w:cstheme="minorHAnsi"/>
          <w:bCs/>
          <w:noProof/>
          <w:color w:val="7030A0"/>
        </w:rPr>
        <w:t>. This evidence supports continued measurement to reduce the variation.</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7955CA" w:rsidRDefault="00021170" w:rsidP="00DB3627">
      <w:pPr>
        <w:autoSpaceDE w:val="0"/>
        <w:autoSpaceDN w:val="0"/>
        <w:adjustRightInd w:val="0"/>
        <w:spacing w:after="0" w:line="240" w:lineRule="auto"/>
        <w:rPr>
          <w:rFonts w:cstheme="minorHAnsi"/>
          <w:b/>
          <w:bCs/>
        </w:rPr>
      </w:pPr>
      <w:r w:rsidRPr="007955CA">
        <w:rPr>
          <w:rFonts w:cstheme="minorHAnsi"/>
          <w:b/>
          <w:bCs/>
        </w:rPr>
        <w:t>2</w:t>
      </w:r>
      <w:r w:rsidR="00EA5F47" w:rsidRPr="007955CA">
        <w:rPr>
          <w:rFonts w:cstheme="minorHAnsi"/>
          <w:b/>
          <w:bCs/>
        </w:rPr>
        <w:t>b</w:t>
      </w:r>
      <w:r w:rsidR="009C7513" w:rsidRPr="007955CA">
        <w:rPr>
          <w:rFonts w:cstheme="minorHAnsi"/>
          <w:b/>
          <w:bCs/>
        </w:rPr>
        <w:t>5</w:t>
      </w:r>
      <w:r w:rsidRPr="007955CA">
        <w:rPr>
          <w:rFonts w:cstheme="minorHAnsi"/>
          <w:b/>
          <w:bCs/>
        </w:rPr>
        <w:t xml:space="preserve">. COMPARABILITY OF PERFORMANCE SCORES </w:t>
      </w:r>
      <w:r w:rsidR="004C498F" w:rsidRPr="007955CA">
        <w:rPr>
          <w:rFonts w:cstheme="minorHAnsi"/>
          <w:b/>
          <w:bCs/>
        </w:rPr>
        <w:t>WHEN</w:t>
      </w:r>
      <w:r w:rsidR="002B2116" w:rsidRPr="007955CA">
        <w:rPr>
          <w:rFonts w:cstheme="minorHAnsi"/>
          <w:b/>
          <w:bCs/>
        </w:rPr>
        <w:t xml:space="preserve"> MORE THAN ONE SET OF SPECIFICATIONS </w:t>
      </w:r>
    </w:p>
    <w:p w14:paraId="0CABD00F" w14:textId="77777777" w:rsidR="00567D12" w:rsidRPr="007955CA" w:rsidRDefault="00567D12" w:rsidP="00567D12">
      <w:pPr>
        <w:spacing w:after="0" w:line="240" w:lineRule="auto"/>
        <w:rPr>
          <w:rFonts w:cstheme="minorHAnsi"/>
          <w:b/>
          <w:bCs/>
        </w:rPr>
      </w:pPr>
      <w:r w:rsidRPr="007955CA">
        <w:rPr>
          <w:rFonts w:cstheme="minorHAnsi"/>
          <w:b/>
          <w:bCs/>
          <w:i/>
        </w:rPr>
        <w:t xml:space="preserve">If only one set of specifications, this section can be </w:t>
      </w:r>
      <w:r w:rsidR="00BE592D" w:rsidRPr="007955CA">
        <w:rPr>
          <w:rFonts w:cstheme="minorHAnsi"/>
          <w:b/>
          <w:bCs/>
          <w:i/>
        </w:rPr>
        <w:t>skipped.</w:t>
      </w:r>
    </w:p>
    <w:p w14:paraId="0CABD011" w14:textId="6DA0EB50" w:rsidR="00052A6F" w:rsidRDefault="002B2116" w:rsidP="00403557">
      <w:pPr>
        <w:autoSpaceDE w:val="0"/>
        <w:autoSpaceDN w:val="0"/>
        <w:adjustRightInd w:val="0"/>
        <w:spacing w:before="120" w:after="0" w:line="240" w:lineRule="auto"/>
        <w:rPr>
          <w:rFonts w:cstheme="minorHAnsi"/>
          <w:bCs/>
          <w:i/>
        </w:rPr>
      </w:pPr>
      <w:r w:rsidRPr="007955CA">
        <w:rPr>
          <w:rFonts w:cstheme="minorHAnsi"/>
          <w:b/>
          <w:bCs/>
          <w:u w:val="single"/>
        </w:rPr>
        <w:t>Note</w:t>
      </w:r>
      <w:r w:rsidRPr="007955CA">
        <w:rPr>
          <w:rFonts w:cstheme="minorHAnsi"/>
          <w:bCs/>
          <w:i/>
        </w:rPr>
        <w:t xml:space="preserve">: </w:t>
      </w:r>
      <w:r w:rsidR="00F1412B" w:rsidRPr="007955CA">
        <w:rPr>
          <w:rFonts w:ascii="Calibri-Italic" w:eastAsiaTheme="minorHAnsi" w:hAnsi="Calibri-Italic" w:cs="Calibri-Italic"/>
          <w:i/>
          <w:iCs/>
        </w:rPr>
        <w:t>This item</w:t>
      </w:r>
      <w:r w:rsidR="00F1412B">
        <w:rPr>
          <w:rFonts w:ascii="Calibri-Italic" w:eastAsiaTheme="minorHAnsi" w:hAnsi="Calibri-Italic" w:cs="Calibri-Italic"/>
          <w:i/>
          <w:iCs/>
        </w:rPr>
        <w:t xml:space="preserve">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w:t>
      </w:r>
      <w:r w:rsidR="00C208A4">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3" w14:textId="2C5018D0" w:rsidR="000F06B5" w:rsidRPr="009D3882" w:rsidRDefault="009C7513" w:rsidP="00403557">
      <w:pPr>
        <w:autoSpaceDE w:val="0"/>
        <w:autoSpaceDN w:val="0"/>
        <w:adjustRightInd w:val="0"/>
        <w:spacing w:before="120"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 xml:space="preserve">) </w:t>
      </w:r>
    </w:p>
    <w:p w14:paraId="15E1C041" w14:textId="77777777" w:rsidR="007955CA" w:rsidRPr="006001AF" w:rsidRDefault="007955CA" w:rsidP="007955CA">
      <w:pPr>
        <w:autoSpaceDE w:val="0"/>
        <w:autoSpaceDN w:val="0"/>
        <w:adjustRightInd w:val="0"/>
        <w:spacing w:before="120" w:after="120" w:line="240" w:lineRule="auto"/>
        <w:rPr>
          <w:rFonts w:cstheme="minorHAnsi"/>
          <w:bCs/>
          <w:color w:val="7030A0"/>
        </w:rPr>
      </w:pPr>
      <w:bookmarkStart w:id="49" w:name="_Hlk40792719"/>
      <w:r w:rsidRPr="006001AF">
        <w:rPr>
          <w:rFonts w:cstheme="minorHAnsi"/>
          <w:bCs/>
          <w:color w:val="7030A0"/>
        </w:rPr>
        <w:t>N/A</w:t>
      </w:r>
    </w:p>
    <w:bookmarkEnd w:id="49"/>
    <w:p w14:paraId="0CABD015" w14:textId="1284B2E4"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0026D2DE" w14:textId="77777777" w:rsidR="007955CA" w:rsidRPr="006001AF" w:rsidRDefault="007955CA" w:rsidP="007955CA">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0CABD017" w14:textId="6930F17D"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405C421F" w14:textId="1ED40D3A" w:rsidR="00092B6C" w:rsidRPr="007955CA" w:rsidRDefault="007955CA" w:rsidP="007955CA">
      <w:pPr>
        <w:autoSpaceDE w:val="0"/>
        <w:autoSpaceDN w:val="0"/>
        <w:adjustRightInd w:val="0"/>
        <w:spacing w:before="120" w:after="120" w:line="240" w:lineRule="auto"/>
        <w:rPr>
          <w:rFonts w:cstheme="minorHAnsi"/>
          <w:bCs/>
          <w:color w:val="7030A0"/>
        </w:rPr>
      </w:pPr>
      <w:r w:rsidRPr="006001AF">
        <w:rPr>
          <w:rFonts w:cstheme="minorHAnsi"/>
          <w:bCs/>
          <w:color w:val="7030A0"/>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C82B74F"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082645">
        <w:rPr>
          <w:rFonts w:cstheme="minorHAnsi"/>
          <w:b/>
          <w:bCs/>
        </w:rPr>
        <w:t xml:space="preserve"> AND MINIMIZING BIAS</w:t>
      </w:r>
    </w:p>
    <w:p w14:paraId="0CABD01B" w14:textId="507A241D" w:rsidR="008F7E67" w:rsidRDefault="009C7513" w:rsidP="00082645">
      <w:pPr>
        <w:autoSpaceDE w:val="0"/>
        <w:autoSpaceDN w:val="0"/>
        <w:adjustRightInd w:val="0"/>
        <w:spacing w:before="120"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17F36569" w14:textId="008B24B6" w:rsidR="00F203C7" w:rsidRPr="004A252C" w:rsidRDefault="00F203C7" w:rsidP="00F203C7">
      <w:pPr>
        <w:autoSpaceDE w:val="0"/>
        <w:autoSpaceDN w:val="0"/>
        <w:adjustRightInd w:val="0"/>
        <w:spacing w:before="240" w:after="0" w:line="240" w:lineRule="auto"/>
        <w:rPr>
          <w:rFonts w:cstheme="minorHAnsi"/>
          <w:bCs/>
          <w:color w:val="7030A0"/>
        </w:rPr>
      </w:pPr>
      <w:bookmarkStart w:id="50" w:name="_Hlk43389879"/>
      <w:r w:rsidRPr="004A252C">
        <w:rPr>
          <w:rFonts w:cstheme="minorHAnsi"/>
          <w:bCs/>
          <w:color w:val="7030A0"/>
        </w:rPr>
        <w:t xml:space="preserve">The </w:t>
      </w:r>
      <w:r>
        <w:rPr>
          <w:rFonts w:cstheme="minorHAnsi"/>
          <w:bCs/>
          <w:color w:val="7030A0"/>
        </w:rPr>
        <w:t xml:space="preserve">THA/TKA readmission </w:t>
      </w:r>
      <w:r w:rsidRPr="004A252C">
        <w:rPr>
          <w:rFonts w:cstheme="minorHAnsi"/>
          <w:bCs/>
          <w:color w:val="7030A0"/>
        </w:rPr>
        <w:t>measure used claims-based data for development and testing. There was no missing data in the development and testing data.</w:t>
      </w:r>
    </w:p>
    <w:bookmarkEnd w:id="50"/>
    <w:p w14:paraId="7D692A6A" w14:textId="77777777" w:rsidR="000905B5" w:rsidRDefault="009C7513" w:rsidP="000905B5">
      <w:pPr>
        <w:autoSpaceDE w:val="0"/>
        <w:autoSpaceDN w:val="0"/>
        <w:adjustRightInd w:val="0"/>
        <w:spacing w:before="120" w:after="12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6C704262" w14:textId="3E026854" w:rsidR="001341CA" w:rsidRPr="001341CA" w:rsidRDefault="001341CA" w:rsidP="000905B5">
      <w:pPr>
        <w:autoSpaceDE w:val="0"/>
        <w:autoSpaceDN w:val="0"/>
        <w:adjustRightInd w:val="0"/>
        <w:spacing w:before="120" w:after="120" w:line="240" w:lineRule="auto"/>
        <w:rPr>
          <w:rFonts w:cstheme="minorHAnsi"/>
          <w:bCs/>
        </w:rPr>
      </w:pPr>
      <w:r w:rsidRPr="006001AF">
        <w:rPr>
          <w:rFonts w:cstheme="minorHAnsi"/>
          <w:bCs/>
          <w:color w:val="7030A0"/>
        </w:rPr>
        <w:lastRenderedPageBreak/>
        <w:t>N/A</w:t>
      </w: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4CAE008" w14:textId="77777777" w:rsidR="001341CA" w:rsidRPr="006001AF" w:rsidRDefault="001341CA" w:rsidP="001341CA">
      <w:pPr>
        <w:autoSpaceDE w:val="0"/>
        <w:autoSpaceDN w:val="0"/>
        <w:adjustRightInd w:val="0"/>
        <w:spacing w:before="120" w:after="120" w:line="240" w:lineRule="auto"/>
        <w:rPr>
          <w:rFonts w:cstheme="minorHAnsi"/>
          <w:bCs/>
          <w:color w:val="7030A0"/>
        </w:rPr>
      </w:pPr>
      <w:r w:rsidRPr="006001AF">
        <w:rPr>
          <w:rFonts w:cstheme="minorHAnsi"/>
          <w:bCs/>
          <w:color w:val="7030A0"/>
        </w:rPr>
        <w:t>N/A</w:t>
      </w:r>
    </w:p>
    <w:sectPr w:rsidR="001341CA" w:rsidRPr="006001AF" w:rsidSect="008505D1">
      <w:footerReference w:type="defaul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BD023" w14:textId="77777777" w:rsidR="008A6880" w:rsidRDefault="008A6880" w:rsidP="005C73CA">
      <w:pPr>
        <w:spacing w:after="0" w:line="240" w:lineRule="auto"/>
      </w:pPr>
      <w:r>
        <w:separator/>
      </w:r>
    </w:p>
  </w:endnote>
  <w:endnote w:type="continuationSeparator" w:id="0">
    <w:p w14:paraId="0CABD024" w14:textId="77777777" w:rsidR="008A6880" w:rsidRDefault="008A688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00000000"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4CE6B012" w:rsidR="008A6880" w:rsidRDefault="008A6880">
    <w:pPr>
      <w:pStyle w:val="Footer"/>
    </w:pPr>
    <w:r>
      <w:t>Version 7.1 9/6/2017</w:t>
    </w:r>
    <w:r>
      <w:ptab w:relativeTo="margin" w:alignment="right" w:leader="none"/>
    </w:r>
    <w:r>
      <w:fldChar w:fldCharType="begin"/>
    </w:r>
    <w:r>
      <w:instrText xml:space="preserve"> PAGE   \* MERGEFORMAT </w:instrText>
    </w:r>
    <w:r>
      <w:fldChar w:fldCharType="separate"/>
    </w:r>
    <w:r w:rsidR="00AE389F">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BD021" w14:textId="77777777" w:rsidR="008A6880" w:rsidRDefault="008A6880" w:rsidP="005C73CA">
      <w:pPr>
        <w:spacing w:after="0" w:line="240" w:lineRule="auto"/>
      </w:pPr>
      <w:r>
        <w:separator/>
      </w:r>
    </w:p>
  </w:footnote>
  <w:footnote w:type="continuationSeparator" w:id="0">
    <w:p w14:paraId="0CABD022" w14:textId="77777777" w:rsidR="008A6880" w:rsidRDefault="008A6880" w:rsidP="005C7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AC076E"/>
    <w:multiLevelType w:val="hybridMultilevel"/>
    <w:tmpl w:val="8EB68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921B15"/>
    <w:multiLevelType w:val="hybridMultilevel"/>
    <w:tmpl w:val="209E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9055E"/>
    <w:multiLevelType w:val="hybridMultilevel"/>
    <w:tmpl w:val="12FEF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C05A9E"/>
    <w:multiLevelType w:val="hybridMultilevel"/>
    <w:tmpl w:val="2D06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E95211"/>
    <w:multiLevelType w:val="hybridMultilevel"/>
    <w:tmpl w:val="1D4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1230CE"/>
    <w:multiLevelType w:val="hybridMultilevel"/>
    <w:tmpl w:val="3800E32E"/>
    <w:lvl w:ilvl="0" w:tplc="120840D6">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983B72"/>
    <w:multiLevelType w:val="hybridMultilevel"/>
    <w:tmpl w:val="176A7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FF21C2"/>
    <w:multiLevelType w:val="hybridMultilevel"/>
    <w:tmpl w:val="93FE0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1B327B0"/>
    <w:multiLevelType w:val="hybridMultilevel"/>
    <w:tmpl w:val="70C0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161943"/>
    <w:multiLevelType w:val="hybridMultilevel"/>
    <w:tmpl w:val="84702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2C02572"/>
    <w:multiLevelType w:val="hybridMultilevel"/>
    <w:tmpl w:val="6706E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0B666C"/>
    <w:multiLevelType w:val="hybridMultilevel"/>
    <w:tmpl w:val="030C4760"/>
    <w:lvl w:ilvl="0" w:tplc="AFE6A994">
      <w:numFmt w:val="bullet"/>
      <w:lvlText w:val="•"/>
      <w:lvlJc w:val="left"/>
      <w:pPr>
        <w:ind w:left="810" w:hanging="360"/>
      </w:pPr>
      <w:rPr>
        <w:rFonts w:ascii="Calibri" w:eastAsiaTheme="minorEastAsia" w:hAnsi="Calibri" w:cs="Calibri"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65B47087"/>
    <w:multiLevelType w:val="hybridMultilevel"/>
    <w:tmpl w:val="042A011E"/>
    <w:lvl w:ilvl="0" w:tplc="0409000F">
      <w:start w:val="1"/>
      <w:numFmt w:val="decimal"/>
      <w:lvlText w:val="%1."/>
      <w:lvlJc w:val="left"/>
      <w:pPr>
        <w:ind w:left="720" w:hanging="360"/>
      </w:pPr>
      <w:rPr>
        <w:rFonts w:hint="default"/>
      </w:rPr>
    </w:lvl>
    <w:lvl w:ilvl="1" w:tplc="55C6F04E">
      <w:start w:val="1"/>
      <w:numFmt w:val="decimal"/>
      <w:lvlText w:val="%2)"/>
      <w:lvlJc w:val="left"/>
      <w:pPr>
        <w:ind w:left="1440" w:hanging="360"/>
      </w:pPr>
      <w:rPr>
        <w:rFonts w:hint="default"/>
        <w:color w:val="C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722D0B"/>
    <w:multiLevelType w:val="hybridMultilevel"/>
    <w:tmpl w:val="96629E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7"/>
  </w:num>
  <w:num w:numId="3">
    <w:abstractNumId w:val="3"/>
  </w:num>
  <w:num w:numId="4">
    <w:abstractNumId w:val="7"/>
  </w:num>
  <w:num w:numId="5">
    <w:abstractNumId w:val="2"/>
  </w:num>
  <w:num w:numId="6">
    <w:abstractNumId w:val="1"/>
  </w:num>
  <w:num w:numId="7">
    <w:abstractNumId w:val="4"/>
  </w:num>
  <w:num w:numId="8">
    <w:abstractNumId w:val="32"/>
  </w:num>
  <w:num w:numId="9">
    <w:abstractNumId w:val="15"/>
  </w:num>
  <w:num w:numId="10">
    <w:abstractNumId w:val="37"/>
  </w:num>
  <w:num w:numId="11">
    <w:abstractNumId w:val="18"/>
  </w:num>
  <w:num w:numId="12">
    <w:abstractNumId w:val="35"/>
  </w:num>
  <w:num w:numId="13">
    <w:abstractNumId w:val="28"/>
  </w:num>
  <w:num w:numId="14">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7"/>
  </w:num>
  <w:num w:numId="16">
    <w:abstractNumId w:val="10"/>
  </w:num>
  <w:num w:numId="17">
    <w:abstractNumId w:val="36"/>
  </w:num>
  <w:num w:numId="18">
    <w:abstractNumId w:val="34"/>
  </w:num>
  <w:num w:numId="19">
    <w:abstractNumId w:val="33"/>
  </w:num>
  <w:num w:numId="20">
    <w:abstractNumId w:val="24"/>
  </w:num>
  <w:num w:numId="21">
    <w:abstractNumId w:val="31"/>
  </w:num>
  <w:num w:numId="22">
    <w:abstractNumId w:val="21"/>
  </w:num>
  <w:num w:numId="23">
    <w:abstractNumId w:val="9"/>
  </w:num>
  <w:num w:numId="24">
    <w:abstractNumId w:val="20"/>
  </w:num>
  <w:num w:numId="25">
    <w:abstractNumId w:val="19"/>
  </w:num>
  <w:num w:numId="26">
    <w:abstractNumId w:val="41"/>
  </w:num>
  <w:num w:numId="27">
    <w:abstractNumId w:val="0"/>
  </w:num>
  <w:num w:numId="28">
    <w:abstractNumId w:val="13"/>
  </w:num>
  <w:num w:numId="29">
    <w:abstractNumId w:val="25"/>
  </w:num>
  <w:num w:numId="30">
    <w:abstractNumId w:val="43"/>
  </w:num>
  <w:num w:numId="31">
    <w:abstractNumId w:val="29"/>
  </w:num>
  <w:num w:numId="32">
    <w:abstractNumId w:val="26"/>
  </w:num>
  <w:num w:numId="33">
    <w:abstractNumId w:val="11"/>
  </w:num>
  <w:num w:numId="34">
    <w:abstractNumId w:val="6"/>
  </w:num>
  <w:num w:numId="35">
    <w:abstractNumId w:val="8"/>
  </w:num>
  <w:num w:numId="36">
    <w:abstractNumId w:val="16"/>
  </w:num>
  <w:num w:numId="37">
    <w:abstractNumId w:val="30"/>
  </w:num>
  <w:num w:numId="38">
    <w:abstractNumId w:val="14"/>
  </w:num>
  <w:num w:numId="39">
    <w:abstractNumId w:val="40"/>
  </w:num>
  <w:num w:numId="40">
    <w:abstractNumId w:val="38"/>
  </w:num>
  <w:num w:numId="41">
    <w:abstractNumId w:val="23"/>
  </w:num>
  <w:num w:numId="42">
    <w:abstractNumId w:val="12"/>
  </w:num>
  <w:num w:numId="43">
    <w:abstractNumId w:val="39"/>
  </w:num>
  <w:num w:numId="44">
    <w:abstractNumId w:val="4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440B"/>
    <w:rsid w:val="0001094F"/>
    <w:rsid w:val="000125EC"/>
    <w:rsid w:val="0001304E"/>
    <w:rsid w:val="000131C6"/>
    <w:rsid w:val="00021170"/>
    <w:rsid w:val="0002128B"/>
    <w:rsid w:val="00024DFD"/>
    <w:rsid w:val="00026A15"/>
    <w:rsid w:val="00027AB8"/>
    <w:rsid w:val="000309DD"/>
    <w:rsid w:val="00031414"/>
    <w:rsid w:val="00033038"/>
    <w:rsid w:val="00033D63"/>
    <w:rsid w:val="0003436F"/>
    <w:rsid w:val="000414E8"/>
    <w:rsid w:val="0004593A"/>
    <w:rsid w:val="00050A3E"/>
    <w:rsid w:val="00051BC7"/>
    <w:rsid w:val="00052A6F"/>
    <w:rsid w:val="000530DE"/>
    <w:rsid w:val="000532F6"/>
    <w:rsid w:val="00053F02"/>
    <w:rsid w:val="00055EB3"/>
    <w:rsid w:val="0005612B"/>
    <w:rsid w:val="000574AB"/>
    <w:rsid w:val="00060F40"/>
    <w:rsid w:val="0006147A"/>
    <w:rsid w:val="0006234F"/>
    <w:rsid w:val="00065F34"/>
    <w:rsid w:val="00072798"/>
    <w:rsid w:val="000775F8"/>
    <w:rsid w:val="00080CF7"/>
    <w:rsid w:val="00082645"/>
    <w:rsid w:val="000851B2"/>
    <w:rsid w:val="00087574"/>
    <w:rsid w:val="000905B5"/>
    <w:rsid w:val="00092566"/>
    <w:rsid w:val="00092B6C"/>
    <w:rsid w:val="00092E6C"/>
    <w:rsid w:val="0009345E"/>
    <w:rsid w:val="000968F8"/>
    <w:rsid w:val="00097012"/>
    <w:rsid w:val="000B032A"/>
    <w:rsid w:val="000B2DF7"/>
    <w:rsid w:val="000B3880"/>
    <w:rsid w:val="000B7D57"/>
    <w:rsid w:val="000C036D"/>
    <w:rsid w:val="000C0FF8"/>
    <w:rsid w:val="000C235F"/>
    <w:rsid w:val="000D2722"/>
    <w:rsid w:val="000D7948"/>
    <w:rsid w:val="000D7C84"/>
    <w:rsid w:val="000E4E13"/>
    <w:rsid w:val="000E6D57"/>
    <w:rsid w:val="000E78F6"/>
    <w:rsid w:val="000F034A"/>
    <w:rsid w:val="000F06B5"/>
    <w:rsid w:val="000F1B7A"/>
    <w:rsid w:val="000F39E9"/>
    <w:rsid w:val="00102281"/>
    <w:rsid w:val="00104B45"/>
    <w:rsid w:val="00105D8B"/>
    <w:rsid w:val="0011342F"/>
    <w:rsid w:val="001202E9"/>
    <w:rsid w:val="001217E3"/>
    <w:rsid w:val="0012454F"/>
    <w:rsid w:val="00125273"/>
    <w:rsid w:val="0012575E"/>
    <w:rsid w:val="00126FAB"/>
    <w:rsid w:val="00127C06"/>
    <w:rsid w:val="00130700"/>
    <w:rsid w:val="001341CA"/>
    <w:rsid w:val="00141475"/>
    <w:rsid w:val="00143342"/>
    <w:rsid w:val="00145149"/>
    <w:rsid w:val="00145D4F"/>
    <w:rsid w:val="001474D0"/>
    <w:rsid w:val="0014773C"/>
    <w:rsid w:val="00153687"/>
    <w:rsid w:val="00160014"/>
    <w:rsid w:val="00173033"/>
    <w:rsid w:val="00176366"/>
    <w:rsid w:val="0017696D"/>
    <w:rsid w:val="001812A7"/>
    <w:rsid w:val="001848FC"/>
    <w:rsid w:val="00193F21"/>
    <w:rsid w:val="001969C5"/>
    <w:rsid w:val="001A6CDD"/>
    <w:rsid w:val="001C12EE"/>
    <w:rsid w:val="001C2FD2"/>
    <w:rsid w:val="001C75D2"/>
    <w:rsid w:val="001C7B02"/>
    <w:rsid w:val="001D2BD8"/>
    <w:rsid w:val="001D4C51"/>
    <w:rsid w:val="001E1E56"/>
    <w:rsid w:val="001E4DD4"/>
    <w:rsid w:val="001E69DC"/>
    <w:rsid w:val="001F169D"/>
    <w:rsid w:val="001F1DA1"/>
    <w:rsid w:val="001F55CC"/>
    <w:rsid w:val="001F6F93"/>
    <w:rsid w:val="001F7A20"/>
    <w:rsid w:val="00202767"/>
    <w:rsid w:val="0020519D"/>
    <w:rsid w:val="002076EB"/>
    <w:rsid w:val="0021054A"/>
    <w:rsid w:val="00210DF1"/>
    <w:rsid w:val="0021195A"/>
    <w:rsid w:val="00213383"/>
    <w:rsid w:val="00220250"/>
    <w:rsid w:val="00221EF1"/>
    <w:rsid w:val="00222444"/>
    <w:rsid w:val="00225270"/>
    <w:rsid w:val="0022691B"/>
    <w:rsid w:val="00232163"/>
    <w:rsid w:val="0023356D"/>
    <w:rsid w:val="002376F8"/>
    <w:rsid w:val="002408E4"/>
    <w:rsid w:val="00241591"/>
    <w:rsid w:val="00250682"/>
    <w:rsid w:val="00250B4F"/>
    <w:rsid w:val="00251F35"/>
    <w:rsid w:val="00255AAB"/>
    <w:rsid w:val="0025762F"/>
    <w:rsid w:val="002638E6"/>
    <w:rsid w:val="0026750D"/>
    <w:rsid w:val="0027499B"/>
    <w:rsid w:val="00275563"/>
    <w:rsid w:val="0028114D"/>
    <w:rsid w:val="00287649"/>
    <w:rsid w:val="00287E84"/>
    <w:rsid w:val="0029286C"/>
    <w:rsid w:val="00292A9E"/>
    <w:rsid w:val="0029300E"/>
    <w:rsid w:val="002A0603"/>
    <w:rsid w:val="002A41CE"/>
    <w:rsid w:val="002B0C3A"/>
    <w:rsid w:val="002B2116"/>
    <w:rsid w:val="002B2D9B"/>
    <w:rsid w:val="002B5016"/>
    <w:rsid w:val="002B6085"/>
    <w:rsid w:val="002B60B6"/>
    <w:rsid w:val="002B67FD"/>
    <w:rsid w:val="002B742C"/>
    <w:rsid w:val="002B7F4D"/>
    <w:rsid w:val="002C285C"/>
    <w:rsid w:val="002C7BE4"/>
    <w:rsid w:val="002D082C"/>
    <w:rsid w:val="002D1E9F"/>
    <w:rsid w:val="002D417D"/>
    <w:rsid w:val="002D5E5D"/>
    <w:rsid w:val="002E194A"/>
    <w:rsid w:val="002E353E"/>
    <w:rsid w:val="002E3841"/>
    <w:rsid w:val="002E5BCF"/>
    <w:rsid w:val="002E78A0"/>
    <w:rsid w:val="002F2687"/>
    <w:rsid w:val="002F3972"/>
    <w:rsid w:val="002F48E1"/>
    <w:rsid w:val="002F4F3B"/>
    <w:rsid w:val="00302FBF"/>
    <w:rsid w:val="003033D5"/>
    <w:rsid w:val="00304C86"/>
    <w:rsid w:val="003059EB"/>
    <w:rsid w:val="003105D0"/>
    <w:rsid w:val="00310EEA"/>
    <w:rsid w:val="003116AC"/>
    <w:rsid w:val="0031314D"/>
    <w:rsid w:val="00315567"/>
    <w:rsid w:val="003162EC"/>
    <w:rsid w:val="00330144"/>
    <w:rsid w:val="003318C3"/>
    <w:rsid w:val="00334329"/>
    <w:rsid w:val="00340E91"/>
    <w:rsid w:val="00345CBA"/>
    <w:rsid w:val="00346245"/>
    <w:rsid w:val="00356267"/>
    <w:rsid w:val="0035657E"/>
    <w:rsid w:val="00356BAD"/>
    <w:rsid w:val="00357BD8"/>
    <w:rsid w:val="003605B4"/>
    <w:rsid w:val="003622CA"/>
    <w:rsid w:val="003627AC"/>
    <w:rsid w:val="00366914"/>
    <w:rsid w:val="00370B00"/>
    <w:rsid w:val="00372FE3"/>
    <w:rsid w:val="0037327D"/>
    <w:rsid w:val="003755CB"/>
    <w:rsid w:val="00383F85"/>
    <w:rsid w:val="00387BA1"/>
    <w:rsid w:val="003A1DCE"/>
    <w:rsid w:val="003A28C8"/>
    <w:rsid w:val="003A306C"/>
    <w:rsid w:val="003A7DE7"/>
    <w:rsid w:val="003B1006"/>
    <w:rsid w:val="003B74A1"/>
    <w:rsid w:val="003C119F"/>
    <w:rsid w:val="003C5F11"/>
    <w:rsid w:val="003D294B"/>
    <w:rsid w:val="003D2A7C"/>
    <w:rsid w:val="003D6401"/>
    <w:rsid w:val="003D6949"/>
    <w:rsid w:val="003E1863"/>
    <w:rsid w:val="003E3E37"/>
    <w:rsid w:val="00403557"/>
    <w:rsid w:val="00403E98"/>
    <w:rsid w:val="00411010"/>
    <w:rsid w:val="0041606D"/>
    <w:rsid w:val="00416962"/>
    <w:rsid w:val="004206A8"/>
    <w:rsid w:val="004208B8"/>
    <w:rsid w:val="004348CC"/>
    <w:rsid w:val="00437615"/>
    <w:rsid w:val="00450C58"/>
    <w:rsid w:val="00452B9C"/>
    <w:rsid w:val="004658FF"/>
    <w:rsid w:val="00474ED7"/>
    <w:rsid w:val="004756E1"/>
    <w:rsid w:val="0048008A"/>
    <w:rsid w:val="00483E94"/>
    <w:rsid w:val="00484120"/>
    <w:rsid w:val="004853A0"/>
    <w:rsid w:val="00495A68"/>
    <w:rsid w:val="00496B5F"/>
    <w:rsid w:val="004A2E10"/>
    <w:rsid w:val="004B17FF"/>
    <w:rsid w:val="004B1BA0"/>
    <w:rsid w:val="004B6CEE"/>
    <w:rsid w:val="004C2443"/>
    <w:rsid w:val="004C498F"/>
    <w:rsid w:val="004C4E88"/>
    <w:rsid w:val="004C5D29"/>
    <w:rsid w:val="004C681A"/>
    <w:rsid w:val="004C68D2"/>
    <w:rsid w:val="004D4D8A"/>
    <w:rsid w:val="004E3F93"/>
    <w:rsid w:val="004F68EE"/>
    <w:rsid w:val="00502BEC"/>
    <w:rsid w:val="005038D5"/>
    <w:rsid w:val="00510EEF"/>
    <w:rsid w:val="00511BA4"/>
    <w:rsid w:val="005149E7"/>
    <w:rsid w:val="005159C2"/>
    <w:rsid w:val="005232D6"/>
    <w:rsid w:val="005333CC"/>
    <w:rsid w:val="005363F1"/>
    <w:rsid w:val="00537486"/>
    <w:rsid w:val="00537C1B"/>
    <w:rsid w:val="005403F5"/>
    <w:rsid w:val="00545F37"/>
    <w:rsid w:val="00545F8D"/>
    <w:rsid w:val="0055007C"/>
    <w:rsid w:val="00552ED1"/>
    <w:rsid w:val="00554922"/>
    <w:rsid w:val="00555282"/>
    <w:rsid w:val="005560E7"/>
    <w:rsid w:val="005612CC"/>
    <w:rsid w:val="00563029"/>
    <w:rsid w:val="005638F5"/>
    <w:rsid w:val="00567D12"/>
    <w:rsid w:val="00576062"/>
    <w:rsid w:val="00577854"/>
    <w:rsid w:val="0058104A"/>
    <w:rsid w:val="005859E8"/>
    <w:rsid w:val="005903F2"/>
    <w:rsid w:val="00592127"/>
    <w:rsid w:val="0059254C"/>
    <w:rsid w:val="00592E61"/>
    <w:rsid w:val="005945FD"/>
    <w:rsid w:val="0059559F"/>
    <w:rsid w:val="005964C2"/>
    <w:rsid w:val="005A312D"/>
    <w:rsid w:val="005A42C3"/>
    <w:rsid w:val="005A49FF"/>
    <w:rsid w:val="005A7634"/>
    <w:rsid w:val="005B3EFC"/>
    <w:rsid w:val="005B6F04"/>
    <w:rsid w:val="005C0447"/>
    <w:rsid w:val="005C1574"/>
    <w:rsid w:val="005C4E30"/>
    <w:rsid w:val="005C739F"/>
    <w:rsid w:val="005C73CA"/>
    <w:rsid w:val="005D0066"/>
    <w:rsid w:val="005D4768"/>
    <w:rsid w:val="005D6AE1"/>
    <w:rsid w:val="005E2CAB"/>
    <w:rsid w:val="005E429E"/>
    <w:rsid w:val="005E6600"/>
    <w:rsid w:val="005F1DB6"/>
    <w:rsid w:val="00601ED4"/>
    <w:rsid w:val="006030BC"/>
    <w:rsid w:val="00612866"/>
    <w:rsid w:val="006132D0"/>
    <w:rsid w:val="00616EB5"/>
    <w:rsid w:val="006229D8"/>
    <w:rsid w:val="006269D4"/>
    <w:rsid w:val="00627FF2"/>
    <w:rsid w:val="006327D8"/>
    <w:rsid w:val="00637BD9"/>
    <w:rsid w:val="0064070A"/>
    <w:rsid w:val="00643A01"/>
    <w:rsid w:val="00650E42"/>
    <w:rsid w:val="00651D44"/>
    <w:rsid w:val="006574D2"/>
    <w:rsid w:val="00663563"/>
    <w:rsid w:val="006676D4"/>
    <w:rsid w:val="006739F6"/>
    <w:rsid w:val="00675535"/>
    <w:rsid w:val="00675C68"/>
    <w:rsid w:val="00681359"/>
    <w:rsid w:val="00686008"/>
    <w:rsid w:val="0069157C"/>
    <w:rsid w:val="00693CB5"/>
    <w:rsid w:val="00696262"/>
    <w:rsid w:val="00696D11"/>
    <w:rsid w:val="006C3A4F"/>
    <w:rsid w:val="006C4845"/>
    <w:rsid w:val="006D3E6E"/>
    <w:rsid w:val="006D6BC1"/>
    <w:rsid w:val="006E1C15"/>
    <w:rsid w:val="006E2BFC"/>
    <w:rsid w:val="006E5C57"/>
    <w:rsid w:val="006F22A5"/>
    <w:rsid w:val="006F2E6B"/>
    <w:rsid w:val="006F7987"/>
    <w:rsid w:val="00702C73"/>
    <w:rsid w:val="00713394"/>
    <w:rsid w:val="00717307"/>
    <w:rsid w:val="00717C48"/>
    <w:rsid w:val="00724677"/>
    <w:rsid w:val="00725AC2"/>
    <w:rsid w:val="00727356"/>
    <w:rsid w:val="00731013"/>
    <w:rsid w:val="00732880"/>
    <w:rsid w:val="00737B4F"/>
    <w:rsid w:val="007416B9"/>
    <w:rsid w:val="007422FD"/>
    <w:rsid w:val="00743E46"/>
    <w:rsid w:val="00747C45"/>
    <w:rsid w:val="00756FDB"/>
    <w:rsid w:val="007629B6"/>
    <w:rsid w:val="0076655D"/>
    <w:rsid w:val="007665BF"/>
    <w:rsid w:val="00771B2A"/>
    <w:rsid w:val="00774195"/>
    <w:rsid w:val="007757CE"/>
    <w:rsid w:val="00775800"/>
    <w:rsid w:val="00777423"/>
    <w:rsid w:val="0077796B"/>
    <w:rsid w:val="0078208F"/>
    <w:rsid w:val="00785BBB"/>
    <w:rsid w:val="0079180E"/>
    <w:rsid w:val="00791E4E"/>
    <w:rsid w:val="007939B1"/>
    <w:rsid w:val="007950CC"/>
    <w:rsid w:val="0079538B"/>
    <w:rsid w:val="007955CA"/>
    <w:rsid w:val="007961B8"/>
    <w:rsid w:val="00797624"/>
    <w:rsid w:val="007A4828"/>
    <w:rsid w:val="007B08B6"/>
    <w:rsid w:val="007B093D"/>
    <w:rsid w:val="007B13AB"/>
    <w:rsid w:val="007B2069"/>
    <w:rsid w:val="007B5B44"/>
    <w:rsid w:val="007C04A1"/>
    <w:rsid w:val="007C21FA"/>
    <w:rsid w:val="007D13B1"/>
    <w:rsid w:val="007D1B1B"/>
    <w:rsid w:val="007D4351"/>
    <w:rsid w:val="007D6ACA"/>
    <w:rsid w:val="007D7019"/>
    <w:rsid w:val="007E18DB"/>
    <w:rsid w:val="007E69DE"/>
    <w:rsid w:val="007E6F1C"/>
    <w:rsid w:val="0080020F"/>
    <w:rsid w:val="00804C69"/>
    <w:rsid w:val="0080711D"/>
    <w:rsid w:val="008155CD"/>
    <w:rsid w:val="00817FDC"/>
    <w:rsid w:val="00833325"/>
    <w:rsid w:val="008365BC"/>
    <w:rsid w:val="00840290"/>
    <w:rsid w:val="00840A41"/>
    <w:rsid w:val="00842F3C"/>
    <w:rsid w:val="00844066"/>
    <w:rsid w:val="0084672A"/>
    <w:rsid w:val="008505D1"/>
    <w:rsid w:val="00855158"/>
    <w:rsid w:val="00857EE8"/>
    <w:rsid w:val="0086464B"/>
    <w:rsid w:val="008647FC"/>
    <w:rsid w:val="00864CA8"/>
    <w:rsid w:val="00865E2D"/>
    <w:rsid w:val="0086690E"/>
    <w:rsid w:val="00870E6C"/>
    <w:rsid w:val="00875846"/>
    <w:rsid w:val="00884486"/>
    <w:rsid w:val="008871A9"/>
    <w:rsid w:val="008916BA"/>
    <w:rsid w:val="00892176"/>
    <w:rsid w:val="00897A3E"/>
    <w:rsid w:val="008A1ACC"/>
    <w:rsid w:val="008A1DB7"/>
    <w:rsid w:val="008A3D8F"/>
    <w:rsid w:val="008A403A"/>
    <w:rsid w:val="008A4C13"/>
    <w:rsid w:val="008A6880"/>
    <w:rsid w:val="008B45B6"/>
    <w:rsid w:val="008B4D52"/>
    <w:rsid w:val="008B604D"/>
    <w:rsid w:val="008C2993"/>
    <w:rsid w:val="008C4DE7"/>
    <w:rsid w:val="008C52A3"/>
    <w:rsid w:val="008C54A9"/>
    <w:rsid w:val="008E3319"/>
    <w:rsid w:val="008E67C3"/>
    <w:rsid w:val="008F2DDA"/>
    <w:rsid w:val="008F589F"/>
    <w:rsid w:val="008F76A9"/>
    <w:rsid w:val="008F7E67"/>
    <w:rsid w:val="00900DBF"/>
    <w:rsid w:val="009048B9"/>
    <w:rsid w:val="00904E91"/>
    <w:rsid w:val="009123AE"/>
    <w:rsid w:val="00915886"/>
    <w:rsid w:val="009214DC"/>
    <w:rsid w:val="00927027"/>
    <w:rsid w:val="009322F1"/>
    <w:rsid w:val="009344BA"/>
    <w:rsid w:val="00936BDA"/>
    <w:rsid w:val="00940DA7"/>
    <w:rsid w:val="00945692"/>
    <w:rsid w:val="00946E61"/>
    <w:rsid w:val="00947F78"/>
    <w:rsid w:val="0095070A"/>
    <w:rsid w:val="00953234"/>
    <w:rsid w:val="00961B5B"/>
    <w:rsid w:val="00961EAF"/>
    <w:rsid w:val="00962242"/>
    <w:rsid w:val="0096278F"/>
    <w:rsid w:val="00962819"/>
    <w:rsid w:val="00962EC0"/>
    <w:rsid w:val="009662D0"/>
    <w:rsid w:val="00970B81"/>
    <w:rsid w:val="0097242E"/>
    <w:rsid w:val="009726E1"/>
    <w:rsid w:val="00972A04"/>
    <w:rsid w:val="009732E0"/>
    <w:rsid w:val="00977591"/>
    <w:rsid w:val="00977EE9"/>
    <w:rsid w:val="00980E75"/>
    <w:rsid w:val="00994BE0"/>
    <w:rsid w:val="0099595A"/>
    <w:rsid w:val="0099777F"/>
    <w:rsid w:val="009A25B1"/>
    <w:rsid w:val="009A4608"/>
    <w:rsid w:val="009A6A57"/>
    <w:rsid w:val="009A70BF"/>
    <w:rsid w:val="009B1A15"/>
    <w:rsid w:val="009C0803"/>
    <w:rsid w:val="009C0852"/>
    <w:rsid w:val="009C13CA"/>
    <w:rsid w:val="009C32C6"/>
    <w:rsid w:val="009C665F"/>
    <w:rsid w:val="009C67BD"/>
    <w:rsid w:val="009C7513"/>
    <w:rsid w:val="009D1970"/>
    <w:rsid w:val="009D36F3"/>
    <w:rsid w:val="009D3882"/>
    <w:rsid w:val="009D6E97"/>
    <w:rsid w:val="009D7E38"/>
    <w:rsid w:val="009E095B"/>
    <w:rsid w:val="009E1846"/>
    <w:rsid w:val="009E3458"/>
    <w:rsid w:val="009E3745"/>
    <w:rsid w:val="009E579C"/>
    <w:rsid w:val="009E78FF"/>
    <w:rsid w:val="00A01494"/>
    <w:rsid w:val="00A03374"/>
    <w:rsid w:val="00A07819"/>
    <w:rsid w:val="00A132B7"/>
    <w:rsid w:val="00A1341B"/>
    <w:rsid w:val="00A15E1D"/>
    <w:rsid w:val="00A22FA9"/>
    <w:rsid w:val="00A24EB2"/>
    <w:rsid w:val="00A25024"/>
    <w:rsid w:val="00A341FD"/>
    <w:rsid w:val="00A35F8F"/>
    <w:rsid w:val="00A41377"/>
    <w:rsid w:val="00A4263D"/>
    <w:rsid w:val="00A43AE3"/>
    <w:rsid w:val="00A509B8"/>
    <w:rsid w:val="00A52AB9"/>
    <w:rsid w:val="00A6210B"/>
    <w:rsid w:val="00A63991"/>
    <w:rsid w:val="00A64EBF"/>
    <w:rsid w:val="00A67C24"/>
    <w:rsid w:val="00A71200"/>
    <w:rsid w:val="00A723EC"/>
    <w:rsid w:val="00A7323A"/>
    <w:rsid w:val="00A81E54"/>
    <w:rsid w:val="00A831B4"/>
    <w:rsid w:val="00A859C3"/>
    <w:rsid w:val="00A9431E"/>
    <w:rsid w:val="00A9471A"/>
    <w:rsid w:val="00A97798"/>
    <w:rsid w:val="00AA5213"/>
    <w:rsid w:val="00AA65A6"/>
    <w:rsid w:val="00AC06E0"/>
    <w:rsid w:val="00AC080A"/>
    <w:rsid w:val="00AC0BFA"/>
    <w:rsid w:val="00AC1D8E"/>
    <w:rsid w:val="00AC38F0"/>
    <w:rsid w:val="00AC48FA"/>
    <w:rsid w:val="00AD0240"/>
    <w:rsid w:val="00AD4137"/>
    <w:rsid w:val="00AE389F"/>
    <w:rsid w:val="00AF211B"/>
    <w:rsid w:val="00AF2949"/>
    <w:rsid w:val="00AF2D68"/>
    <w:rsid w:val="00AF5D83"/>
    <w:rsid w:val="00B013E9"/>
    <w:rsid w:val="00B037BA"/>
    <w:rsid w:val="00B1014B"/>
    <w:rsid w:val="00B13D99"/>
    <w:rsid w:val="00B20139"/>
    <w:rsid w:val="00B218DA"/>
    <w:rsid w:val="00B2384E"/>
    <w:rsid w:val="00B342FA"/>
    <w:rsid w:val="00B35114"/>
    <w:rsid w:val="00B51FCA"/>
    <w:rsid w:val="00B52A99"/>
    <w:rsid w:val="00B53E8B"/>
    <w:rsid w:val="00B57A62"/>
    <w:rsid w:val="00B72315"/>
    <w:rsid w:val="00B774D2"/>
    <w:rsid w:val="00B8015A"/>
    <w:rsid w:val="00B82A57"/>
    <w:rsid w:val="00B900A1"/>
    <w:rsid w:val="00B947A4"/>
    <w:rsid w:val="00B960C8"/>
    <w:rsid w:val="00B968FB"/>
    <w:rsid w:val="00B97F3C"/>
    <w:rsid w:val="00BA053B"/>
    <w:rsid w:val="00BB35AE"/>
    <w:rsid w:val="00BC03A1"/>
    <w:rsid w:val="00BC0D25"/>
    <w:rsid w:val="00BC1234"/>
    <w:rsid w:val="00BC2DC5"/>
    <w:rsid w:val="00BC6E2D"/>
    <w:rsid w:val="00BD2505"/>
    <w:rsid w:val="00BD614C"/>
    <w:rsid w:val="00BE592D"/>
    <w:rsid w:val="00BF52B0"/>
    <w:rsid w:val="00BF5697"/>
    <w:rsid w:val="00C10243"/>
    <w:rsid w:val="00C106CB"/>
    <w:rsid w:val="00C11CAB"/>
    <w:rsid w:val="00C14CCC"/>
    <w:rsid w:val="00C1695E"/>
    <w:rsid w:val="00C208A4"/>
    <w:rsid w:val="00C20F3A"/>
    <w:rsid w:val="00C22C1C"/>
    <w:rsid w:val="00C24C7D"/>
    <w:rsid w:val="00C33F2E"/>
    <w:rsid w:val="00C34936"/>
    <w:rsid w:val="00C34C14"/>
    <w:rsid w:val="00C3516A"/>
    <w:rsid w:val="00C355B9"/>
    <w:rsid w:val="00C37EF1"/>
    <w:rsid w:val="00C401C4"/>
    <w:rsid w:val="00C41680"/>
    <w:rsid w:val="00C4432A"/>
    <w:rsid w:val="00C53C6E"/>
    <w:rsid w:val="00C5768B"/>
    <w:rsid w:val="00C60A25"/>
    <w:rsid w:val="00C765C5"/>
    <w:rsid w:val="00C775CE"/>
    <w:rsid w:val="00C81544"/>
    <w:rsid w:val="00C82479"/>
    <w:rsid w:val="00C867F0"/>
    <w:rsid w:val="00CA01BF"/>
    <w:rsid w:val="00CA06D8"/>
    <w:rsid w:val="00CA345A"/>
    <w:rsid w:val="00CB49FF"/>
    <w:rsid w:val="00CB6368"/>
    <w:rsid w:val="00CB67A9"/>
    <w:rsid w:val="00CC02CF"/>
    <w:rsid w:val="00CC086A"/>
    <w:rsid w:val="00CC19D0"/>
    <w:rsid w:val="00CC424E"/>
    <w:rsid w:val="00CD0E24"/>
    <w:rsid w:val="00CD0F66"/>
    <w:rsid w:val="00CD364B"/>
    <w:rsid w:val="00CE0C90"/>
    <w:rsid w:val="00CE23B8"/>
    <w:rsid w:val="00CE284E"/>
    <w:rsid w:val="00CE342A"/>
    <w:rsid w:val="00CE50D7"/>
    <w:rsid w:val="00CE54B4"/>
    <w:rsid w:val="00CF3161"/>
    <w:rsid w:val="00CF3638"/>
    <w:rsid w:val="00CF4CBE"/>
    <w:rsid w:val="00D00344"/>
    <w:rsid w:val="00D1459A"/>
    <w:rsid w:val="00D16049"/>
    <w:rsid w:val="00D1754D"/>
    <w:rsid w:val="00D2223F"/>
    <w:rsid w:val="00D257B2"/>
    <w:rsid w:val="00D274A4"/>
    <w:rsid w:val="00D277AF"/>
    <w:rsid w:val="00D31163"/>
    <w:rsid w:val="00D320B1"/>
    <w:rsid w:val="00D33AFD"/>
    <w:rsid w:val="00D36489"/>
    <w:rsid w:val="00D369E9"/>
    <w:rsid w:val="00D42195"/>
    <w:rsid w:val="00D50704"/>
    <w:rsid w:val="00D5760A"/>
    <w:rsid w:val="00D61410"/>
    <w:rsid w:val="00D62829"/>
    <w:rsid w:val="00D64EA6"/>
    <w:rsid w:val="00D703EF"/>
    <w:rsid w:val="00D74F93"/>
    <w:rsid w:val="00D8181D"/>
    <w:rsid w:val="00D91312"/>
    <w:rsid w:val="00D937D9"/>
    <w:rsid w:val="00D968D8"/>
    <w:rsid w:val="00D97F65"/>
    <w:rsid w:val="00DA5379"/>
    <w:rsid w:val="00DA563D"/>
    <w:rsid w:val="00DA7277"/>
    <w:rsid w:val="00DA7436"/>
    <w:rsid w:val="00DB3627"/>
    <w:rsid w:val="00DB4724"/>
    <w:rsid w:val="00DB6944"/>
    <w:rsid w:val="00DB76F1"/>
    <w:rsid w:val="00DC189C"/>
    <w:rsid w:val="00DC34A1"/>
    <w:rsid w:val="00DC4746"/>
    <w:rsid w:val="00DC584F"/>
    <w:rsid w:val="00DC692B"/>
    <w:rsid w:val="00DC7190"/>
    <w:rsid w:val="00DC71AD"/>
    <w:rsid w:val="00DD3ECD"/>
    <w:rsid w:val="00DE6583"/>
    <w:rsid w:val="00DE7149"/>
    <w:rsid w:val="00DF686B"/>
    <w:rsid w:val="00E0314C"/>
    <w:rsid w:val="00E1508F"/>
    <w:rsid w:val="00E205B4"/>
    <w:rsid w:val="00E261DF"/>
    <w:rsid w:val="00E27240"/>
    <w:rsid w:val="00E27EDD"/>
    <w:rsid w:val="00E30584"/>
    <w:rsid w:val="00E310B9"/>
    <w:rsid w:val="00E33B77"/>
    <w:rsid w:val="00E37E1B"/>
    <w:rsid w:val="00E45A4F"/>
    <w:rsid w:val="00E501D2"/>
    <w:rsid w:val="00E562C0"/>
    <w:rsid w:val="00E57FAF"/>
    <w:rsid w:val="00E60B3D"/>
    <w:rsid w:val="00E672D6"/>
    <w:rsid w:val="00E76024"/>
    <w:rsid w:val="00E856A2"/>
    <w:rsid w:val="00E967AD"/>
    <w:rsid w:val="00E96884"/>
    <w:rsid w:val="00EA5435"/>
    <w:rsid w:val="00EA5F47"/>
    <w:rsid w:val="00EB455E"/>
    <w:rsid w:val="00EC48E4"/>
    <w:rsid w:val="00EC759A"/>
    <w:rsid w:val="00EC79DE"/>
    <w:rsid w:val="00ED3A57"/>
    <w:rsid w:val="00ED4ACE"/>
    <w:rsid w:val="00EE4D35"/>
    <w:rsid w:val="00EE71CC"/>
    <w:rsid w:val="00EE7E0E"/>
    <w:rsid w:val="00EF08E8"/>
    <w:rsid w:val="00EF2DA7"/>
    <w:rsid w:val="00EF322D"/>
    <w:rsid w:val="00EF7930"/>
    <w:rsid w:val="00F11F21"/>
    <w:rsid w:val="00F1412B"/>
    <w:rsid w:val="00F15BFA"/>
    <w:rsid w:val="00F203C7"/>
    <w:rsid w:val="00F22375"/>
    <w:rsid w:val="00F225DC"/>
    <w:rsid w:val="00F30493"/>
    <w:rsid w:val="00F34FAB"/>
    <w:rsid w:val="00F40548"/>
    <w:rsid w:val="00F435AA"/>
    <w:rsid w:val="00F4621F"/>
    <w:rsid w:val="00F5738A"/>
    <w:rsid w:val="00F612D4"/>
    <w:rsid w:val="00F61DA4"/>
    <w:rsid w:val="00F66818"/>
    <w:rsid w:val="00F7389E"/>
    <w:rsid w:val="00F76F07"/>
    <w:rsid w:val="00F77F1D"/>
    <w:rsid w:val="00F85F7A"/>
    <w:rsid w:val="00F87CCB"/>
    <w:rsid w:val="00F95B1A"/>
    <w:rsid w:val="00FA2162"/>
    <w:rsid w:val="00FA2F2E"/>
    <w:rsid w:val="00FA48C7"/>
    <w:rsid w:val="00FB139D"/>
    <w:rsid w:val="00FB3D82"/>
    <w:rsid w:val="00FB51FB"/>
    <w:rsid w:val="00FB73C1"/>
    <w:rsid w:val="00FD0997"/>
    <w:rsid w:val="00FD28EA"/>
    <w:rsid w:val="00FE19D7"/>
    <w:rsid w:val="00FE3917"/>
    <w:rsid w:val="00FF669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2">
    <w:name w:val="List Table 3 - Accent 112"/>
    <w:basedOn w:val="TableNormal"/>
    <w:next w:val="TableNormal"/>
    <w:uiPriority w:val="48"/>
    <w:rsid w:val="009662D0"/>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Default">
    <w:name w:val="Default"/>
    <w:rsid w:val="008A1ACC"/>
    <w:pPr>
      <w:autoSpaceDE w:val="0"/>
      <w:autoSpaceDN w:val="0"/>
      <w:adjustRightInd w:val="0"/>
      <w:spacing w:after="0" w:line="240" w:lineRule="auto"/>
    </w:pPr>
    <w:rPr>
      <w:rFonts w:ascii="Calibri" w:hAnsi="Calibri" w:cs="Calibri"/>
      <w:color w:val="000000"/>
      <w:sz w:val="24"/>
      <w:szCs w:val="24"/>
    </w:rPr>
  </w:style>
  <w:style w:type="paragraph" w:styleId="BodyText2">
    <w:name w:val="Body Text 2"/>
    <w:basedOn w:val="Normal"/>
    <w:link w:val="BodyText2Char"/>
    <w:uiPriority w:val="99"/>
    <w:rsid w:val="00026A15"/>
    <w:pPr>
      <w:spacing w:after="0" w:line="240" w:lineRule="auto"/>
    </w:pPr>
    <w:rPr>
      <w:rFonts w:ascii="Times New Roman" w:eastAsia="SimSun" w:hAnsi="Times New Roman" w:cs="Times New Roman"/>
      <w:color w:val="FF0000"/>
      <w:sz w:val="24"/>
      <w:szCs w:val="24"/>
    </w:rPr>
  </w:style>
  <w:style w:type="character" w:customStyle="1" w:styleId="BodyText2Char">
    <w:name w:val="Body Text 2 Char"/>
    <w:basedOn w:val="DefaultParagraphFont"/>
    <w:link w:val="BodyText2"/>
    <w:uiPriority w:val="99"/>
    <w:rsid w:val="00026A15"/>
    <w:rPr>
      <w:rFonts w:ascii="Times New Roman" w:eastAsia="SimSun" w:hAnsi="Times New Roman" w:cs="Times New Roman"/>
      <w:color w:val="FF0000"/>
      <w:sz w:val="24"/>
      <w:szCs w:val="24"/>
    </w:rPr>
  </w:style>
  <w:style w:type="paragraph" w:customStyle="1" w:styleId="CM23">
    <w:name w:val="CM23"/>
    <w:basedOn w:val="Normal"/>
    <w:next w:val="Normal"/>
    <w:uiPriority w:val="99"/>
    <w:rsid w:val="00E45A4F"/>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character" w:styleId="Emphasis">
    <w:name w:val="Emphasis"/>
    <w:basedOn w:val="DefaultParagraphFont"/>
    <w:uiPriority w:val="20"/>
    <w:qFormat/>
    <w:rsid w:val="001F55CC"/>
    <w:rPr>
      <w:i/>
      <w:iCs/>
    </w:rPr>
  </w:style>
  <w:style w:type="paragraph" w:styleId="Caption">
    <w:name w:val="caption"/>
    <w:basedOn w:val="Normal"/>
    <w:next w:val="Normal"/>
    <w:uiPriority w:val="35"/>
    <w:unhideWhenUsed/>
    <w:qFormat/>
    <w:rsid w:val="00650E42"/>
    <w:pPr>
      <w:spacing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340E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1020">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3826923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s://doi.org/10.1016/j.arth.2017.07.040" TargetMode="External"/><Relationship Id="rId26" Type="http://schemas.openxmlformats.org/officeDocument/2006/relationships/hyperlink" Target="https://doi.org/10.2106/JBJS.15.00884"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hyperlink" Target="https://aspe.hhs.gov/system/files/pdf/263676/Social-Risk-in-Medicare%E2%80%99s-VBP-2nd-Report.pdf" TargetMode="External"/><Relationship Id="rId33" Type="http://schemas.openxmlformats.org/officeDocument/2006/relationships/hyperlink" Target="http://www.qualityforum.org/Publications/2014/08/Risk_Adjustment_for_Socioeconomic_Status_or_Other_Sociodemographic_Factors.aspx"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qualitynet.org/inpatient/public-reporting/overall-ratings/resources" TargetMode="External"/><Relationship Id="rId20" Type="http://schemas.openxmlformats.org/officeDocument/2006/relationships/image" Target="media/image1.png"/><Relationship Id="rId29" Type="http://schemas.openxmlformats.org/officeDocument/2006/relationships/hyperlink" Target="https://doi.org/10.1007/s40615-018-0467-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spe.hhs.gov/pdf-report/report-congress-social-risk-factors-and-performance-under-medicares-value-based-purchasing-programs" TargetMode="External"/><Relationship Id="rId32" Type="http://schemas.openxmlformats.org/officeDocument/2006/relationships/hyperlink" Target="https://aspe.hhs.gov/system/files/pdf/263676/Social-Risk-in-Medicare%E2%80%99s-VBP-2nd-Report.pdf"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qualitynet.org/inpatient/measures/readmission/methodology" TargetMode="External"/><Relationship Id="rId23" Type="http://schemas.openxmlformats.org/officeDocument/2006/relationships/hyperlink" Target="https://doi.org/10.1016/j.arth.2016.06.050" TargetMode="External"/><Relationship Id="rId28" Type="http://schemas.openxmlformats.org/officeDocument/2006/relationships/hyperlink" Target="https://www.cms.gov/Medicare/Health-Plans/MedicareAdvtgSpecRateStats/downloads/evaluation_risk_adj_model_2011.pdf"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oi.org/10.1016/j.arth.2016.12.010" TargetMode="External"/><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system/files/pdf/263676/Social-Risk-in-Medicare%E2%80%99s-VBP-2nd-Report.pdf" TargetMode="External"/><Relationship Id="rId22" Type="http://schemas.openxmlformats.org/officeDocument/2006/relationships/hyperlink" Target="https://www.ncbi.nlm.nih.gov/books/NBK338754/doi:10.17226/21858" TargetMode="External"/><Relationship Id="rId27" Type="http://schemas.openxmlformats.org/officeDocument/2006/relationships/hyperlink" Target="http://www.cms.hhs.gov/Reports/downloads/pope_2000_2.pdf" TargetMode="External"/><Relationship Id="rId30" Type="http://schemas.openxmlformats.org/officeDocument/2006/relationships/image" Target="media/image3.png"/><Relationship Id="rId35" Type="http://schemas.openxmlformats.org/officeDocument/2006/relationships/image" Target="media/image6.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0F6CB0F27C7742CD9C1D197386F24BD8"/>
        <w:category>
          <w:name w:val="General"/>
          <w:gallery w:val="placeholder"/>
        </w:category>
        <w:types>
          <w:type w:val="bbPlcHdr"/>
        </w:types>
        <w:behaviors>
          <w:behavior w:val="content"/>
        </w:behaviors>
        <w:guid w:val="{7A57B98D-266D-44E6-8817-D880EAE3E280}"/>
      </w:docPartPr>
      <w:docPartBody>
        <w:p w:rsidR="00DE578B" w:rsidRDefault="00E15B79" w:rsidP="00E15B79">
          <w:pPr>
            <w:pStyle w:val="0F6CB0F27C7742CD9C1D197386F24BD8"/>
          </w:pPr>
          <w:r w:rsidRPr="003B1CC5">
            <w:rPr>
              <w:rStyle w:val="PlaceholderText"/>
            </w:rPr>
            <w:t>Click here to enter NQF number</w:t>
          </w:r>
        </w:p>
      </w:docPartBody>
    </w:docPart>
    <w:docPart>
      <w:docPartPr>
        <w:name w:val="3D38D7AF854B4B1DA89D9897C59360FC"/>
        <w:category>
          <w:name w:val="General"/>
          <w:gallery w:val="placeholder"/>
        </w:category>
        <w:types>
          <w:type w:val="bbPlcHdr"/>
        </w:types>
        <w:behaviors>
          <w:behavior w:val="content"/>
        </w:behaviors>
        <w:guid w:val="{8A5EE128-76E4-4CB9-9242-033D62DDE5D0}"/>
      </w:docPartPr>
      <w:docPartBody>
        <w:p w:rsidR="00DE578B" w:rsidRDefault="00E15B79" w:rsidP="00E15B79">
          <w:pPr>
            <w:pStyle w:val="3D38D7AF854B4B1DA89D9897C59360FC"/>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00000000"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76454"/>
    <w:rsid w:val="002A288F"/>
    <w:rsid w:val="002C65A7"/>
    <w:rsid w:val="002F052A"/>
    <w:rsid w:val="00350176"/>
    <w:rsid w:val="003840F0"/>
    <w:rsid w:val="00437537"/>
    <w:rsid w:val="004D785E"/>
    <w:rsid w:val="00513FC9"/>
    <w:rsid w:val="0053654E"/>
    <w:rsid w:val="00594BAB"/>
    <w:rsid w:val="005B483D"/>
    <w:rsid w:val="006047C2"/>
    <w:rsid w:val="00610196"/>
    <w:rsid w:val="00632A7E"/>
    <w:rsid w:val="00632AB6"/>
    <w:rsid w:val="00674965"/>
    <w:rsid w:val="006E61F7"/>
    <w:rsid w:val="00730B33"/>
    <w:rsid w:val="00772B2A"/>
    <w:rsid w:val="007C672A"/>
    <w:rsid w:val="007D4368"/>
    <w:rsid w:val="00822666"/>
    <w:rsid w:val="00823ECC"/>
    <w:rsid w:val="00826796"/>
    <w:rsid w:val="00862A9B"/>
    <w:rsid w:val="00866C97"/>
    <w:rsid w:val="008D58E2"/>
    <w:rsid w:val="00900102"/>
    <w:rsid w:val="009017AE"/>
    <w:rsid w:val="00911457"/>
    <w:rsid w:val="00932FEA"/>
    <w:rsid w:val="009C542D"/>
    <w:rsid w:val="00A01A18"/>
    <w:rsid w:val="00A95183"/>
    <w:rsid w:val="00AB4AF7"/>
    <w:rsid w:val="00AB6E89"/>
    <w:rsid w:val="00AD7C4F"/>
    <w:rsid w:val="00B445F5"/>
    <w:rsid w:val="00BD0145"/>
    <w:rsid w:val="00BD40CB"/>
    <w:rsid w:val="00BF0047"/>
    <w:rsid w:val="00C02E3B"/>
    <w:rsid w:val="00C362A2"/>
    <w:rsid w:val="00C90121"/>
    <w:rsid w:val="00C96E73"/>
    <w:rsid w:val="00CA1FE8"/>
    <w:rsid w:val="00CA344F"/>
    <w:rsid w:val="00CE1D66"/>
    <w:rsid w:val="00D1676E"/>
    <w:rsid w:val="00DC0246"/>
    <w:rsid w:val="00DE578B"/>
    <w:rsid w:val="00E15B79"/>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5B79"/>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0F6CB0F27C7742CD9C1D197386F24BD8">
    <w:name w:val="0F6CB0F27C7742CD9C1D197386F24BD8"/>
    <w:rsid w:val="00E15B79"/>
    <w:pPr>
      <w:spacing w:after="160" w:line="259" w:lineRule="auto"/>
    </w:pPr>
  </w:style>
  <w:style w:type="paragraph" w:customStyle="1" w:styleId="3D38D7AF854B4B1DA89D9897C59360FC">
    <w:name w:val="3D38D7AF854B4B1DA89D9897C59360FC"/>
    <w:rsid w:val="00E15B7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836b82f1-340d-495e-85b5-201c5296619a"/>
    <ds:schemaRef ds:uri="http://www.w3.org/XML/1998/namespace"/>
    <ds:schemaRef ds:uri="http://purl.org/dc/te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DDFCE025-74BF-4BFB-9B5A-3E0DC3FE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40</Pages>
  <Words>16678</Words>
  <Characters>95068</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Peter, Doris</cp:lastModifiedBy>
  <cp:revision>5</cp:revision>
  <dcterms:created xsi:type="dcterms:W3CDTF">2020-11-02T20:26:00Z</dcterms:created>
  <dcterms:modified xsi:type="dcterms:W3CDTF">2020-11-24T20:03:00Z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