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33711">
            <w:rPr>
              <w:rStyle w:val="Style1"/>
            </w:rPr>
            <w:t>1659</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733711">
            <w:rPr>
              <w:rStyle w:val="Style1"/>
            </w:rPr>
            <w:t>Influenza Immunization</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rsidR="00176E60" w:rsidRPr="003B1CC5" w:rsidRDefault="00176E60" w:rsidP="002E2177">
      <w:pPr>
        <w:ind w:left="0" w:firstLine="0"/>
        <w:rPr>
          <w:rStyle w:val="Style2"/>
        </w:rPr>
      </w:pPr>
    </w:p>
    <w:tbl>
      <w:tblPr>
        <w:tblStyle w:val="TableGrid"/>
        <w:tblW w:w="5500" w:type="pct"/>
        <w:jc w:val="center"/>
        <w:tblLook w:val="04A0"/>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C5753" w:rsidP="005857F8">
      <w:pPr>
        <w:ind w:left="720" w:hanging="432"/>
        <w:rPr>
          <w:rStyle w:val="Style2"/>
          <w:rFonts w:cstheme="minorHAnsi"/>
        </w:rPr>
      </w:pPr>
      <w:sdt>
        <w:sdtPr>
          <w:rPr>
            <w:bCs/>
            <w:color w:val="0000FF"/>
            <w:u w:val="single"/>
          </w:rPr>
          <w:id w:val="1077707841"/>
        </w:sdt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C5753" w:rsidP="005857F8">
      <w:pPr>
        <w:ind w:left="720" w:hanging="432"/>
        <w:rPr>
          <w:b/>
          <w:bCs/>
        </w:rPr>
      </w:pPr>
      <w:sdt>
        <w:sdtPr>
          <w:rPr>
            <w:bCs/>
            <w:color w:val="0000FF"/>
          </w:rPr>
          <w:id w:val="-1541041819"/>
        </w:sdt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DC5753" w:rsidP="005857F8">
      <w:pPr>
        <w:ind w:left="720" w:hanging="432"/>
        <w:rPr>
          <w:bCs/>
        </w:rPr>
      </w:pPr>
      <w:sdt>
        <w:sdtPr>
          <w:rPr>
            <w:bCs/>
            <w:color w:val="0000FF"/>
          </w:rPr>
          <w:id w:val="1309518776"/>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C5753" w:rsidP="00015986">
      <w:pPr>
        <w:ind w:left="432" w:hanging="432"/>
        <w:rPr>
          <w:bCs/>
        </w:rPr>
      </w:pPr>
      <w:sdt>
        <w:sdtPr>
          <w:rPr>
            <w:bCs/>
            <w:color w:val="0000FF"/>
          </w:rPr>
          <w:id w:val="-1535727686"/>
        </w:sdtPr>
        <w:sdtContent>
          <w:r w:rsidR="008C263B">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DF5CBE">
            <w:rPr>
              <w:rStyle w:val="Style2"/>
              <w:rFonts w:cstheme="minorHAnsi"/>
            </w:rPr>
            <w:t>administration of influenza vaccine</w:t>
          </w:r>
        </w:sdtContent>
      </w:sdt>
    </w:p>
    <w:p w:rsidR="00496AF8" w:rsidRPr="003B1CC5" w:rsidRDefault="00DC5753" w:rsidP="00015986">
      <w:pPr>
        <w:ind w:left="432" w:hanging="432"/>
        <w:rPr>
          <w:bCs/>
        </w:rPr>
      </w:pPr>
      <w:sdt>
        <w:sdtPr>
          <w:rPr>
            <w:bCs/>
            <w:color w:val="0000FF"/>
            <w:u w:val="single"/>
          </w:rPr>
          <w:id w:val="1676770628"/>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C5753" w:rsidP="00015986">
      <w:pPr>
        <w:ind w:left="432" w:hanging="432"/>
        <w:rPr>
          <w:bCs/>
        </w:rPr>
      </w:pPr>
      <w:sdt>
        <w:sdtPr>
          <w:rPr>
            <w:bCs/>
            <w:color w:val="0000FF"/>
          </w:rPr>
          <w:id w:val="1719405626"/>
        </w:sdtPr>
        <w:sdtContent>
          <w:r w:rsidR="0015535B" w:rsidRPr="003B1CC5">
            <w:rPr>
              <w:rFonts w:ascii="MS Gothic" w:eastAsia="MS Gothic" w:hAnsi="MS Gothic" w:cs="MS Gothic" w:hint="eastAsia"/>
              <w:bCs/>
              <w:color w:val="0000FF"/>
            </w:rPr>
            <w:t>☐</w:t>
          </w:r>
        </w:sdtContent>
      </w:sdt>
      <w:r w:rsidR="0015535B" w:rsidRPr="003B1CC5">
        <w:rPr>
          <w:bCs/>
        </w:rPr>
        <w:t xml:space="preserve"> </w:t>
      </w:r>
      <w:proofErr w:type="gramStart"/>
      <w:r w:rsidR="00E41417" w:rsidRPr="003B1CC5">
        <w:rPr>
          <w:bCs/>
        </w:rPr>
        <w:t>O</w:t>
      </w:r>
      <w:r w:rsidR="00496AF8" w:rsidRPr="003B1CC5">
        <w:rPr>
          <w:bCs/>
        </w:rPr>
        <w:t>ther</w:t>
      </w:r>
      <w:proofErr w:type="gramEnd"/>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proofErr w:type="gramStart"/>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w:t>
      </w:r>
      <w:proofErr w:type="gramEnd"/>
      <w:r w:rsidRPr="003B1CC5">
        <w:rPr>
          <w:iCs/>
        </w:rPr>
        <w:t xml:space="preserve"> Include all the steps between the measure focus and the health outcome.</w:t>
      </w:r>
      <w:r w:rsidRPr="003B1CC5">
        <w:rPr>
          <w:i/>
          <w:iCs/>
        </w:rPr>
        <w:t xml:space="preserve"> </w:t>
      </w:r>
    </w:p>
    <w:p w:rsidR="00297377" w:rsidRDefault="00297377" w:rsidP="002016CD">
      <w:pPr>
        <w:ind w:left="0" w:firstLine="0"/>
        <w:rPr>
          <w:rFonts w:cs="Arial"/>
        </w:rPr>
      </w:pPr>
    </w:p>
    <w:p w:rsidR="001143A3" w:rsidRPr="001143A3" w:rsidRDefault="001143A3" w:rsidP="002016CD">
      <w:pPr>
        <w:ind w:left="0" w:firstLine="0"/>
        <w:rPr>
          <w:rStyle w:val="Style2"/>
          <w:rFonts w:cstheme="minorHAnsi"/>
          <w:color w:val="auto"/>
          <w:u w:val="none"/>
        </w:rPr>
      </w:pPr>
      <w:r w:rsidRPr="001143A3">
        <w:rPr>
          <w:rFonts w:cs="Arial"/>
        </w:rPr>
        <w:t>The goal of this measure is to reduce the number of individuals infected with the influenza virus each year.  According to the Centers for Disease Control and Prevention, annual influenza vaccination is the most effective method for preventing influenza virus infection and its complications.</w:t>
      </w:r>
    </w:p>
    <w:p w:rsidR="001143A3" w:rsidRPr="001143A3" w:rsidRDefault="001143A3" w:rsidP="002016CD">
      <w:pPr>
        <w:ind w:left="0" w:firstLine="0"/>
        <w:rPr>
          <w:rStyle w:val="Style2"/>
          <w:rFonts w:cstheme="minorHAnsi"/>
          <w:color w:val="auto"/>
          <w:u w:val="none"/>
        </w:rPr>
      </w:pPr>
    </w:p>
    <w:p w:rsidR="007C1887" w:rsidRPr="001143A3" w:rsidRDefault="002016CD" w:rsidP="002016CD">
      <w:pPr>
        <w:ind w:left="0" w:firstLine="0"/>
        <w:rPr>
          <w:rStyle w:val="Style2"/>
          <w:rFonts w:cstheme="minorHAnsi"/>
          <w:color w:val="FF0000"/>
          <w:u w:val="none"/>
        </w:rPr>
      </w:pPr>
      <w:r w:rsidRPr="001143A3">
        <w:rPr>
          <w:rStyle w:val="Style2"/>
          <w:rFonts w:cstheme="minorHAnsi"/>
          <w:color w:val="FF0000"/>
          <w:u w:val="none"/>
        </w:rPr>
        <w:t>The influenza vaccination is the most effective method for preventing influenza virus infection and its potentially severe complications. Screening and vaccination of inpatients is recommended, but hospitalization is an underutilized opportunity to provide vaccination to persons 6 months of age or older.</w:t>
      </w:r>
    </w:p>
    <w:p w:rsidR="002016CD" w:rsidRPr="003B1CC5" w:rsidRDefault="002016CD"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C5753" w:rsidP="002E2177">
      <w:pPr>
        <w:ind w:left="0" w:firstLine="0"/>
      </w:pPr>
      <w:sdt>
        <w:sdtPr>
          <w:rPr>
            <w:bCs/>
            <w:color w:val="0000FF"/>
          </w:rPr>
          <w:id w:val="-468508862"/>
        </w:sdtPr>
        <w:sdtContent>
          <w:r w:rsidR="002016CD">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C5753" w:rsidP="002E2177">
      <w:pPr>
        <w:ind w:left="0" w:firstLine="0"/>
        <w:rPr>
          <w:b/>
          <w:i/>
        </w:rPr>
      </w:pPr>
      <w:sdt>
        <w:sdtPr>
          <w:rPr>
            <w:bCs/>
            <w:color w:val="0000FF"/>
          </w:rPr>
          <w:id w:val="-411317169"/>
        </w:sdt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C5753" w:rsidP="002E2177">
      <w:pPr>
        <w:ind w:left="0" w:firstLine="0"/>
      </w:pPr>
      <w:sdt>
        <w:sdtPr>
          <w:rPr>
            <w:bCs/>
            <w:color w:val="0000FF"/>
            <w:u w:val="single"/>
          </w:rPr>
          <w:id w:val="1199589694"/>
        </w:sdtPr>
        <w:sdtContent>
          <w:sdt>
            <w:sdtPr>
              <w:rPr>
                <w:bCs/>
                <w:color w:val="0000FF"/>
                <w:u w:val="single"/>
              </w:rPr>
              <w:id w:val="66578996"/>
            </w:sdtPr>
            <w:sdtContent>
              <w:r w:rsidR="001143A3">
                <w:rPr>
                  <w:rFonts w:ascii="MS Gothic" w:eastAsia="MS Gothic" w:hAnsi="MS Gothic" w:cs="MS Gothic" w:hint="eastAsia"/>
                  <w:bCs/>
                  <w:color w:val="0000FF"/>
                </w:rPr>
                <w:t>☒</w:t>
              </w:r>
            </w:sdtContent>
          </w:sdt>
        </w:sdtContent>
      </w:sdt>
      <w:r w:rsidR="007573F0" w:rsidRPr="003B1CC5">
        <w:t xml:space="preserve"> </w:t>
      </w:r>
      <w:proofErr w:type="gramStart"/>
      <w:r w:rsidR="007573F0" w:rsidRPr="003B1CC5">
        <w:t>Other</w:t>
      </w:r>
      <w:proofErr w:type="gramEnd"/>
      <w:r w:rsidR="007573F0" w:rsidRPr="003B1CC5">
        <w:t xml:space="preserve">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C5753" w:rsidP="002E2177">
      <w:pPr>
        <w:ind w:left="0" w:firstLine="0"/>
      </w:pPr>
      <w:sdt>
        <w:sdtPr>
          <w:rPr>
            <w:bCs/>
            <w:color w:val="0000FF"/>
            <w:u w:val="single"/>
          </w:rPr>
          <w:id w:val="302275832"/>
        </w:sdtPr>
        <w:sdtContent>
          <w:r w:rsidR="0015535B" w:rsidRPr="003B1CC5">
            <w:rPr>
              <w:rFonts w:ascii="MS Gothic" w:eastAsia="MS Gothic" w:hAnsi="MS Gothic" w:cs="MS Gothic" w:hint="eastAsia"/>
              <w:bCs/>
              <w:color w:val="0000FF"/>
            </w:rPr>
            <w:t>☐</w:t>
          </w:r>
        </w:sdtContent>
      </w:sdt>
      <w:r w:rsidR="00FD4D82" w:rsidRPr="003B1CC5">
        <w:t xml:space="preserve"> </w:t>
      </w:r>
      <w:proofErr w:type="gramStart"/>
      <w:r w:rsidR="00FD4D82" w:rsidRPr="003B1CC5">
        <w:t>Other</w:t>
      </w:r>
      <w:proofErr w:type="gramEnd"/>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297377" w:rsidRDefault="00297377" w:rsidP="002E2177">
      <w:pPr>
        <w:ind w:left="0" w:firstLine="0"/>
        <w:rPr>
          <w:rFonts w:cs="Arial"/>
        </w:rPr>
      </w:pPr>
    </w:p>
    <w:p w:rsidR="001143A3" w:rsidRDefault="001143A3" w:rsidP="002E2177">
      <w:pPr>
        <w:ind w:left="0" w:firstLine="0"/>
        <w:rPr>
          <w:rFonts w:cs="Arial"/>
        </w:rPr>
      </w:pPr>
      <w:r w:rsidRPr="001143A3">
        <w:rPr>
          <w:rFonts w:cs="Arial"/>
        </w:rPr>
        <w:t>Centers for Disease Control and Prevention (CDC). Prevention and Control of Influenza with Vaccines: Recommendations of the Advisory Committee on Immunization Practices (ACIP), 2010. MMWR. 2010</w:t>
      </w:r>
      <w:r w:rsidR="00440C3F" w:rsidRPr="001143A3">
        <w:rPr>
          <w:rFonts w:cs="Arial"/>
        </w:rPr>
        <w:t>; 59</w:t>
      </w:r>
      <w:r w:rsidRPr="001143A3">
        <w:rPr>
          <w:rFonts w:cs="Arial"/>
        </w:rPr>
        <w:t>(early release</w:t>
      </w:r>
      <w:r w:rsidR="00440C3F" w:rsidRPr="001143A3">
        <w:rPr>
          <w:rFonts w:cs="Arial"/>
        </w:rPr>
        <w:t>) 1</w:t>
      </w:r>
      <w:r w:rsidRPr="001143A3">
        <w:rPr>
          <w:rFonts w:cs="Arial"/>
        </w:rPr>
        <w:t>-62</w:t>
      </w:r>
    </w:p>
    <w:p w:rsidR="00FD25A8" w:rsidRPr="00FD25A8" w:rsidRDefault="00DC5753" w:rsidP="002E2177">
      <w:pPr>
        <w:ind w:left="0" w:firstLine="0"/>
        <w:rPr>
          <w:rFonts w:cs="Arial"/>
          <w:bCs/>
        </w:rPr>
      </w:pPr>
      <w:hyperlink r:id="rId17" w:history="1">
        <w:r w:rsidR="00FD25A8" w:rsidRPr="00FD25A8">
          <w:rPr>
            <w:rStyle w:val="Hyperlink"/>
            <w:rFonts w:cs="Arial"/>
            <w:bCs/>
            <w:color w:val="auto"/>
          </w:rPr>
          <w:t>http://www.cdc.gov/mmwr/pdf/rr/rr59e0729.pdf</w:t>
        </w:r>
      </w:hyperlink>
    </w:p>
    <w:p w:rsidR="00297377" w:rsidRPr="001143A3" w:rsidRDefault="00297377" w:rsidP="002E2177">
      <w:pPr>
        <w:ind w:left="0" w:firstLine="0"/>
        <w:rPr>
          <w:rStyle w:val="Style2"/>
          <w:rFonts w:cstheme="minorHAnsi"/>
          <w:color w:val="auto"/>
          <w:u w:val="none"/>
        </w:rPr>
      </w:pPr>
    </w:p>
    <w:p w:rsidR="00D53405" w:rsidRPr="001143A3" w:rsidRDefault="00C36FB1" w:rsidP="002E2177">
      <w:pPr>
        <w:ind w:left="0" w:firstLine="0"/>
        <w:rPr>
          <w:rStyle w:val="Style2"/>
          <w:rFonts w:cstheme="minorHAnsi"/>
          <w:color w:val="FF0000"/>
          <w:u w:val="none"/>
        </w:rPr>
      </w:pPr>
      <w:r w:rsidRPr="001143A3">
        <w:rPr>
          <w:rStyle w:val="Style2"/>
          <w:rFonts w:cstheme="minorHAnsi"/>
          <w:color w:val="FF0000"/>
          <w:u w:val="none"/>
        </w:rPr>
        <w:t>Centers for Disease Control and Prevention. (2015). Prevention and Control of Influenza with Vaccines: Recommendations of the Advisory Committee on Immunization Practices, United States, 2015–16 Influenza Season. MMWR, August 7, 2015; 64(30)</w:t>
      </w:r>
      <w:r w:rsidR="00440C3F" w:rsidRPr="001143A3">
        <w:rPr>
          <w:rStyle w:val="Style2"/>
          <w:rFonts w:cstheme="minorHAnsi"/>
          <w:color w:val="FF0000"/>
          <w:u w:val="none"/>
        </w:rPr>
        <w:t>; 818</w:t>
      </w:r>
      <w:r w:rsidRPr="001143A3">
        <w:rPr>
          <w:rStyle w:val="Style2"/>
          <w:rFonts w:cstheme="minorHAnsi"/>
          <w:color w:val="FF0000"/>
          <w:u w:val="none"/>
        </w:rPr>
        <w:t>-825.</w:t>
      </w:r>
    </w:p>
    <w:p w:rsidR="006F4B7F" w:rsidRDefault="00DC5753" w:rsidP="002E2177">
      <w:pPr>
        <w:ind w:left="0" w:firstLine="0"/>
        <w:rPr>
          <w:color w:val="0000FF"/>
        </w:rPr>
      </w:pPr>
      <w:hyperlink r:id="rId18" w:history="1">
        <w:r w:rsidR="00C36FB1" w:rsidRPr="001143A3">
          <w:rPr>
            <w:rStyle w:val="Hyperlink"/>
            <w:color w:val="FF0000"/>
          </w:rPr>
          <w:t>http://www.cdc.gov/mmwr/preview/mmwrhtml/mm6430a3.htm</w:t>
        </w:r>
      </w:hyperlink>
    </w:p>
    <w:p w:rsidR="00C36FB1" w:rsidRPr="003B1CC5" w:rsidRDefault="00C36FB1"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7A1DE7" w:rsidRDefault="007A1DE7" w:rsidP="001143A3">
      <w:pPr>
        <w:ind w:left="0" w:firstLine="0"/>
        <w:rPr>
          <w:rFonts w:cs="Arial"/>
        </w:rPr>
      </w:pPr>
    </w:p>
    <w:p w:rsidR="007A1DE7" w:rsidRDefault="007A1DE7" w:rsidP="001143A3">
      <w:pPr>
        <w:ind w:left="0" w:firstLine="0"/>
        <w:rPr>
          <w:rFonts w:cs="Arial"/>
        </w:rPr>
      </w:pPr>
      <w:r>
        <w:rPr>
          <w:rFonts w:cs="Arial"/>
        </w:rPr>
        <w:t>Not Graded.</w:t>
      </w:r>
    </w:p>
    <w:p w:rsidR="001143A3" w:rsidRPr="001143A3" w:rsidRDefault="007A1DE7" w:rsidP="001143A3">
      <w:pPr>
        <w:ind w:left="0" w:firstLine="0"/>
        <w:rPr>
          <w:rFonts w:cs="Arial"/>
        </w:rPr>
      </w:pPr>
      <w:r w:rsidRPr="007A1DE7">
        <w:rPr>
          <w:rFonts w:cs="Arial"/>
        </w:rPr>
        <w:t>There is an entire MMWR devoted to the prevention and control of influenza. "Influenza vaccine is recommended for all persons 6 months of age and greater who do not have contraindications to vaccination."</w:t>
      </w:r>
    </w:p>
    <w:p w:rsidR="001143A3" w:rsidRPr="001143A3" w:rsidRDefault="001143A3" w:rsidP="002E2177">
      <w:pPr>
        <w:ind w:left="0" w:firstLine="0"/>
        <w:rPr>
          <w:rFonts w:cs="Arial"/>
        </w:rPr>
      </w:pPr>
    </w:p>
    <w:p w:rsidR="00496AF8" w:rsidRPr="001143A3" w:rsidRDefault="008D363B" w:rsidP="002E2177">
      <w:pPr>
        <w:ind w:left="0" w:firstLine="0"/>
        <w:rPr>
          <w:rStyle w:val="Style2"/>
          <w:rFonts w:cstheme="minorHAnsi"/>
          <w:color w:val="FF0000"/>
          <w:u w:val="none"/>
        </w:rPr>
      </w:pPr>
      <w:r w:rsidRPr="001143A3">
        <w:rPr>
          <w:rStyle w:val="Style2"/>
          <w:rFonts w:cstheme="minorHAnsi"/>
          <w:color w:val="FF0000"/>
          <w:u w:val="none"/>
        </w:rPr>
        <w:t>Groups Recommended for Vaccination and Timing of Vaccination, page 818.</w:t>
      </w:r>
    </w:p>
    <w:p w:rsidR="008D363B" w:rsidRPr="001143A3" w:rsidRDefault="008D363B" w:rsidP="002E2177">
      <w:pPr>
        <w:ind w:left="0" w:firstLine="0"/>
        <w:rPr>
          <w:rStyle w:val="Style2"/>
          <w:rFonts w:cstheme="minorHAnsi"/>
          <w:color w:val="FF0000"/>
          <w:u w:val="none"/>
        </w:rPr>
      </w:pPr>
      <w:r w:rsidRPr="001143A3">
        <w:rPr>
          <w:rStyle w:val="Style2"/>
          <w:rFonts w:cstheme="minorHAnsi"/>
          <w:color w:val="FF0000"/>
          <w:u w:val="none"/>
        </w:rPr>
        <w:t>“Routine annual influenza vaccination is recommended for all persons aged ≥6 months who do not have contraindica</w:t>
      </w:r>
      <w:r w:rsidRPr="001143A3">
        <w:rPr>
          <w:rStyle w:val="Style2"/>
          <w:rFonts w:cstheme="minorHAnsi"/>
          <w:color w:val="FF0000"/>
          <w:u w:val="none"/>
        </w:rPr>
        <w:softHyphen/>
        <w:t>tions. Optimally, vaccination should occur before onset of influenza activity in the community.”</w:t>
      </w:r>
    </w:p>
    <w:p w:rsidR="008D363B" w:rsidRPr="008D363B" w:rsidRDefault="008D363B" w:rsidP="002E2177">
      <w:pPr>
        <w:ind w:left="0" w:firstLine="0"/>
        <w:rPr>
          <w:rStyle w:val="Style2"/>
          <w:rFonts w:cstheme="minorHAnsi"/>
          <w:u w:val="none"/>
        </w:rPr>
      </w:pPr>
      <w:r w:rsidRPr="001143A3">
        <w:rPr>
          <w:rStyle w:val="Style2"/>
          <w:rFonts w:cstheme="minorHAnsi"/>
          <w:color w:val="FF0000"/>
          <w:u w:val="none"/>
        </w:rPr>
        <w:t>“To avoid missed opportunities for vaccination, providers should offer vaccination to unvaccinated persons aged ≥6 months during routine health care visits and hospitalizations when vaccine is available.”</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297377" w:rsidRDefault="00297377" w:rsidP="00265702">
      <w:pPr>
        <w:ind w:left="0" w:firstLine="0"/>
        <w:rPr>
          <w:rStyle w:val="Style2"/>
          <w:rFonts w:cstheme="minorHAnsi"/>
          <w:color w:val="auto"/>
          <w:u w:val="none"/>
        </w:rPr>
      </w:pPr>
    </w:p>
    <w:p w:rsidR="004A2954" w:rsidRPr="004A2954" w:rsidRDefault="004A2954" w:rsidP="00265702">
      <w:pPr>
        <w:ind w:left="0" w:firstLine="0"/>
        <w:rPr>
          <w:rFonts w:cs="Arial"/>
        </w:rPr>
      </w:pPr>
      <w:r w:rsidRPr="004A2954">
        <w:rPr>
          <w:rFonts w:cs="Arial"/>
        </w:rPr>
        <w:t>There was not a system for grading the body of evidence, as it was not graded.</w:t>
      </w:r>
    </w:p>
    <w:p w:rsidR="004A2954" w:rsidRPr="00297377" w:rsidRDefault="004A2954" w:rsidP="00265702">
      <w:pPr>
        <w:ind w:left="0" w:firstLine="0"/>
        <w:rPr>
          <w:rStyle w:val="Style2"/>
          <w:rFonts w:cstheme="minorHAnsi"/>
          <w:color w:val="auto"/>
          <w:u w:val="none"/>
        </w:rPr>
      </w:pPr>
    </w:p>
    <w:p w:rsidR="008A45F3" w:rsidRPr="001143A3" w:rsidRDefault="0073373F" w:rsidP="00265702">
      <w:pPr>
        <w:ind w:left="0" w:firstLine="0"/>
        <w:rPr>
          <w:rStyle w:val="Style2"/>
          <w:rFonts w:cstheme="minorHAnsi"/>
          <w:color w:val="FF0000"/>
          <w:u w:val="none"/>
        </w:rPr>
      </w:pPr>
      <w:r w:rsidRPr="001143A3">
        <w:rPr>
          <w:rStyle w:val="Style2"/>
          <w:rFonts w:cstheme="minorHAnsi"/>
          <w:color w:val="FF0000"/>
          <w:u w:val="none"/>
        </w:rPr>
        <w:t>Grade not assigned</w:t>
      </w:r>
    </w:p>
    <w:p w:rsidR="0073373F" w:rsidRPr="003B1CC5" w:rsidRDefault="0073373F" w:rsidP="00265702">
      <w:pPr>
        <w:ind w:left="0" w:firstLine="0"/>
      </w:pPr>
      <w:r w:rsidRPr="001143A3">
        <w:rPr>
          <w:rStyle w:val="Style2"/>
          <w:rFonts w:cstheme="minorHAnsi"/>
          <w:color w:val="FF0000"/>
          <w:u w:val="none"/>
        </w:rPr>
        <w:t>“Recommendations for routine use of vaccine</w:t>
      </w:r>
      <w:r w:rsidR="004A2954">
        <w:rPr>
          <w:rStyle w:val="Style2"/>
          <w:rFonts w:cstheme="minorHAnsi"/>
          <w:color w:val="FF0000"/>
          <w:u w:val="none"/>
        </w:rPr>
        <w:t>s in chil</w:t>
      </w:r>
      <w:r w:rsidRPr="001143A3">
        <w:rPr>
          <w:rStyle w:val="Style2"/>
          <w:rFonts w:cstheme="minorHAnsi"/>
          <w:color w:val="FF0000"/>
          <w:u w:val="none"/>
        </w:rPr>
        <w:t>dren, adolescents, and adults are developed by the Advisory Committee on Immunization Practices (ACIP). ACIP is chartered as a federal advisory committee to provide expert external advice and guidance to the Director of the Centers for Disease Control and Prevention (CDC) on use of vac</w:t>
      </w:r>
      <w:r w:rsidRPr="001143A3">
        <w:rPr>
          <w:rStyle w:val="Style2"/>
          <w:rFonts w:cstheme="minorHAnsi"/>
          <w:color w:val="FF0000"/>
          <w:u w:val="none"/>
        </w:rPr>
        <w:softHyphen/>
        <w:t>cines and related agents for the control of vaccine-preventable diseases in the civilian population of the United States. Recommendations for routine use of vaccines in children and adolescents are harmonized to the greatest extent possible with recommendations made by the American Academy of Pediatrics (AAP), the American Academy of Family Physicians (AAFP), and the American College of Obstetricians and Gynecologists (ACOG). Recommendations for routine use of vaccines in adults are harmonized with rec</w:t>
      </w:r>
      <w:r w:rsidRPr="001143A3">
        <w:rPr>
          <w:rStyle w:val="Style2"/>
          <w:rFonts w:cstheme="minorHAnsi"/>
          <w:color w:val="FF0000"/>
          <w:u w:val="none"/>
        </w:rPr>
        <w:softHyphen/>
        <w:t>ommendations of AAFP, ACOG, and the American College of Physicians (ACP). ACIP recommendations adopted by the CDC Director become agency guidelines on the date published in the Morbidity and Mortality Weekly Report (MMWR). Additional information regarding ACIP is avail</w:t>
      </w:r>
      <w:r w:rsidRPr="001143A3">
        <w:rPr>
          <w:rStyle w:val="Style2"/>
          <w:rFonts w:cstheme="minorHAnsi"/>
          <w:color w:val="FF0000"/>
          <w:u w:val="none"/>
        </w:rPr>
        <w:softHyphen/>
        <w:t xml:space="preserve">able at </w:t>
      </w:r>
      <w:hyperlink r:id="rId19" w:history="1">
        <w:r w:rsidR="00C32918" w:rsidRPr="001143A3">
          <w:rPr>
            <w:rStyle w:val="Hyperlink"/>
            <w:rFonts w:cstheme="minorHAnsi"/>
            <w:color w:val="FF0000"/>
          </w:rPr>
          <w:t>http://www.cdc.gov/vaccines/acip</w:t>
        </w:r>
      </w:hyperlink>
      <w:r w:rsidRPr="001143A3">
        <w:rPr>
          <w:rStyle w:val="Style2"/>
          <w:rFonts w:cstheme="minorHAnsi"/>
          <w:color w:val="FF0000"/>
          <w:u w:val="none"/>
        </w:rPr>
        <w:t>.</w:t>
      </w:r>
      <w:r w:rsidR="00C32918" w:rsidRPr="001143A3">
        <w:rPr>
          <w:rStyle w:val="Style2"/>
          <w:rFonts w:cstheme="minorHAnsi"/>
          <w:color w:val="FF0000"/>
          <w:u w:val="none"/>
        </w:rPr>
        <w:t>”</w:t>
      </w:r>
      <w:r w:rsidR="00C32918">
        <w:rPr>
          <w:rStyle w:val="Style2"/>
          <w:rFonts w:cstheme="minorHAnsi"/>
          <w:u w:val="none"/>
        </w:rPr>
        <w:t xml:space="preserve"> </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12228F" w:rsidRDefault="0073373F" w:rsidP="00265702">
      <w:pPr>
        <w:ind w:left="0" w:firstLine="0"/>
        <w:rPr>
          <w:rStyle w:val="Style2"/>
          <w:rFonts w:cstheme="minorHAnsi"/>
          <w:color w:val="FF0000"/>
          <w:u w:val="none"/>
        </w:rPr>
      </w:pPr>
      <w:r w:rsidRPr="0012228F">
        <w:rPr>
          <w:rStyle w:val="Style2"/>
          <w:rFonts w:cstheme="minorHAnsi"/>
          <w:color w:val="FF0000"/>
          <w:u w:val="none"/>
        </w:rPr>
        <w:t>See response to 1a.4.3</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C32918" w:rsidRPr="0012228F" w:rsidRDefault="00C32918" w:rsidP="00C32918">
      <w:pPr>
        <w:ind w:left="0" w:firstLine="0"/>
        <w:rPr>
          <w:rStyle w:val="Style2"/>
          <w:rFonts w:cstheme="minorHAnsi"/>
          <w:color w:val="FF0000"/>
          <w:u w:val="none"/>
        </w:rPr>
      </w:pPr>
      <w:r w:rsidRPr="0012228F">
        <w:rPr>
          <w:rStyle w:val="Style2"/>
          <w:rFonts w:cstheme="minorHAnsi"/>
          <w:color w:val="FF0000"/>
          <w:u w:val="none"/>
        </w:rPr>
        <w:t>See response to 1a.4.3</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C5753" w:rsidP="00FC32D3">
      <w:pPr>
        <w:ind w:left="720" w:hanging="432"/>
        <w:rPr>
          <w:b/>
        </w:rPr>
      </w:pPr>
      <w:sdt>
        <w:sdtPr>
          <w:rPr>
            <w:bCs/>
            <w:color w:val="0000FF"/>
          </w:rPr>
          <w:id w:val="-1346319738"/>
        </w:sdtPr>
        <w:sdtContent>
          <w:r w:rsidR="00297377">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C5753" w:rsidP="0098657F">
      <w:pPr>
        <w:ind w:left="1008" w:hanging="720"/>
      </w:pPr>
      <w:sdt>
        <w:sdtPr>
          <w:rPr>
            <w:bCs/>
            <w:color w:val="0000FF"/>
            <w:u w:val="single"/>
          </w:rPr>
          <w:id w:val="777454248"/>
        </w:sdt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Default="00440C3F" w:rsidP="00307FA5">
      <w:pPr>
        <w:ind w:left="0" w:firstLine="0"/>
      </w:pPr>
      <w:r>
        <w:t>N/A</w:t>
      </w:r>
    </w:p>
    <w:p w:rsidR="00440C3F" w:rsidRPr="003B1CC5" w:rsidRDefault="00440C3F"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440C3F" w:rsidRPr="00440C3F" w:rsidRDefault="00440C3F" w:rsidP="00440C3F">
      <w:pPr>
        <w:ind w:left="0" w:firstLine="0"/>
      </w:pPr>
      <w:r w:rsidRPr="00440C3F">
        <w:t>N/A</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440C3F" w:rsidRPr="00440C3F" w:rsidRDefault="00440C3F" w:rsidP="00440C3F">
      <w:pPr>
        <w:ind w:left="0" w:firstLine="0"/>
      </w:pPr>
      <w:r w:rsidRPr="00440C3F">
        <w:t>N/A</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440C3F" w:rsidRPr="00440C3F" w:rsidRDefault="00440C3F" w:rsidP="00440C3F">
      <w:pPr>
        <w:ind w:left="0" w:firstLine="0"/>
      </w:pPr>
      <w:r w:rsidRPr="00440C3F">
        <w:t>N/A</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440C3F" w:rsidRPr="00440C3F" w:rsidRDefault="00440C3F" w:rsidP="00440C3F">
      <w:pPr>
        <w:ind w:left="432" w:hanging="432"/>
      </w:pPr>
      <w:r w:rsidRPr="00440C3F">
        <w:t>N/A</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p>
    <w:p w:rsidR="00297377" w:rsidRPr="00297377" w:rsidRDefault="00297377" w:rsidP="00297377">
      <w:pPr>
        <w:ind w:left="0" w:firstLine="0"/>
        <w:rPr>
          <w:rFonts w:cs="Arial"/>
        </w:rPr>
      </w:pPr>
      <w:r w:rsidRPr="00297377">
        <w:rPr>
          <w:rFonts w:cs="Arial"/>
        </w:rPr>
        <w:t xml:space="preserve">Jefferson T, Di </w:t>
      </w:r>
      <w:proofErr w:type="spellStart"/>
      <w:r w:rsidRPr="00297377">
        <w:rPr>
          <w:rFonts w:cs="Arial"/>
        </w:rPr>
        <w:t>Pietrantonj</w:t>
      </w:r>
      <w:proofErr w:type="spellEnd"/>
      <w:r w:rsidRPr="00297377">
        <w:rPr>
          <w:rFonts w:cs="Arial"/>
        </w:rPr>
        <w:t xml:space="preserve"> C, </w:t>
      </w:r>
      <w:proofErr w:type="spellStart"/>
      <w:r w:rsidRPr="00297377">
        <w:rPr>
          <w:rFonts w:cs="Arial"/>
        </w:rPr>
        <w:t>Rivetti</w:t>
      </w:r>
      <w:proofErr w:type="spellEnd"/>
      <w:r w:rsidRPr="00297377">
        <w:rPr>
          <w:rFonts w:cs="Arial"/>
        </w:rPr>
        <w:t xml:space="preserve"> A, </w:t>
      </w:r>
      <w:proofErr w:type="spellStart"/>
      <w:r w:rsidRPr="00297377">
        <w:rPr>
          <w:rFonts w:cs="Arial"/>
        </w:rPr>
        <w:t>Bawazeer</w:t>
      </w:r>
      <w:proofErr w:type="spellEnd"/>
      <w:r w:rsidRPr="00297377">
        <w:rPr>
          <w:rFonts w:cs="Arial"/>
        </w:rPr>
        <w:t xml:space="preserve"> GA, Al-</w:t>
      </w:r>
      <w:proofErr w:type="spellStart"/>
      <w:r w:rsidRPr="00297377">
        <w:rPr>
          <w:rFonts w:cs="Arial"/>
        </w:rPr>
        <w:t>Ansary</w:t>
      </w:r>
      <w:proofErr w:type="spellEnd"/>
      <w:r w:rsidRPr="00297377">
        <w:rPr>
          <w:rFonts w:cs="Arial"/>
        </w:rPr>
        <w:t xml:space="preserve"> LA, </w:t>
      </w:r>
      <w:proofErr w:type="spellStart"/>
      <w:r w:rsidRPr="00297377">
        <w:rPr>
          <w:rFonts w:cs="Arial"/>
        </w:rPr>
        <w:t>Ferroni</w:t>
      </w:r>
      <w:proofErr w:type="spellEnd"/>
      <w:r w:rsidRPr="00297377">
        <w:rPr>
          <w:rFonts w:cs="Arial"/>
        </w:rPr>
        <w:t xml:space="preserve"> E. Vaccines for preventing influenza in healthy adults.  Cochrane Database of Systematic Reviews 2010, Issue 7.Art. No.: CD001269.DOI: 10.1002/14651858.CD001269.pub4</w:t>
      </w:r>
    </w:p>
    <w:p w:rsidR="00297377" w:rsidRPr="00297377" w:rsidRDefault="00297377" w:rsidP="00297377">
      <w:pPr>
        <w:ind w:left="0" w:firstLine="0"/>
        <w:rPr>
          <w:rFonts w:cs="Arial"/>
        </w:rPr>
      </w:pPr>
    </w:p>
    <w:p w:rsidR="00297377" w:rsidRPr="00297377" w:rsidRDefault="00297377" w:rsidP="00297377">
      <w:pPr>
        <w:ind w:left="0" w:firstLine="0"/>
        <w:rPr>
          <w:rFonts w:cs="Arial"/>
        </w:rPr>
      </w:pPr>
      <w:r w:rsidRPr="00297377">
        <w:rPr>
          <w:rFonts w:cs="Arial"/>
        </w:rPr>
        <w:t xml:space="preserve">Jefferson T, </w:t>
      </w:r>
      <w:proofErr w:type="spellStart"/>
      <w:r w:rsidRPr="00297377">
        <w:rPr>
          <w:rFonts w:cs="Arial"/>
        </w:rPr>
        <w:t>Rivetti</w:t>
      </w:r>
      <w:proofErr w:type="spellEnd"/>
      <w:r w:rsidRPr="00297377">
        <w:rPr>
          <w:rFonts w:cs="Arial"/>
        </w:rPr>
        <w:t xml:space="preserve"> A, </w:t>
      </w:r>
      <w:proofErr w:type="spellStart"/>
      <w:r w:rsidRPr="00297377">
        <w:rPr>
          <w:rFonts w:cs="Arial"/>
        </w:rPr>
        <w:t>Harndon</w:t>
      </w:r>
      <w:proofErr w:type="spellEnd"/>
      <w:r w:rsidRPr="00297377">
        <w:rPr>
          <w:rFonts w:cs="Arial"/>
        </w:rPr>
        <w:t xml:space="preserve"> AR, Di </w:t>
      </w:r>
      <w:proofErr w:type="spellStart"/>
      <w:r w:rsidRPr="00297377">
        <w:rPr>
          <w:rFonts w:cs="Arial"/>
        </w:rPr>
        <w:t>Pietrantonj</w:t>
      </w:r>
      <w:proofErr w:type="spellEnd"/>
      <w:r w:rsidRPr="00297377">
        <w:rPr>
          <w:rFonts w:cs="Arial"/>
        </w:rPr>
        <w:t xml:space="preserve"> C, </w:t>
      </w:r>
      <w:proofErr w:type="spellStart"/>
      <w:r w:rsidRPr="00297377">
        <w:rPr>
          <w:rFonts w:cs="Arial"/>
        </w:rPr>
        <w:t>Demicheli</w:t>
      </w:r>
      <w:proofErr w:type="spellEnd"/>
      <w:r w:rsidRPr="00297377">
        <w:rPr>
          <w:rFonts w:cs="Arial"/>
        </w:rPr>
        <w:t xml:space="preserve"> V. Vaccines for preventing influenza in healthy children. Cochrane Database of Systematic Reviews 2008, Issue 2. Art. No.:CD004879. DOI: 10.1002/14651858.CD004879.pub3</w:t>
      </w:r>
    </w:p>
    <w:p w:rsidR="00297377" w:rsidRPr="00297377" w:rsidRDefault="00297377" w:rsidP="00297377">
      <w:pPr>
        <w:ind w:left="0" w:firstLine="0"/>
        <w:rPr>
          <w:rFonts w:cs="Arial"/>
        </w:rPr>
      </w:pPr>
    </w:p>
    <w:p w:rsidR="00297377" w:rsidRPr="00297377" w:rsidRDefault="00297377" w:rsidP="00297377">
      <w:pPr>
        <w:ind w:left="0" w:firstLine="0"/>
        <w:rPr>
          <w:rFonts w:cs="Arial"/>
        </w:rPr>
      </w:pPr>
      <w:r w:rsidRPr="00297377">
        <w:rPr>
          <w:rFonts w:cs="Arial"/>
        </w:rPr>
        <w:t xml:space="preserve">Jefferson T, Di </w:t>
      </w:r>
      <w:proofErr w:type="spellStart"/>
      <w:r w:rsidRPr="00297377">
        <w:rPr>
          <w:rFonts w:cs="Arial"/>
        </w:rPr>
        <w:t>Pietrantonj</w:t>
      </w:r>
      <w:proofErr w:type="spellEnd"/>
      <w:r w:rsidRPr="00297377">
        <w:rPr>
          <w:rFonts w:cs="Arial"/>
        </w:rPr>
        <w:t xml:space="preserve"> C, Al-</w:t>
      </w:r>
      <w:proofErr w:type="spellStart"/>
      <w:r w:rsidRPr="00297377">
        <w:rPr>
          <w:rFonts w:cs="Arial"/>
        </w:rPr>
        <w:t>Ansary</w:t>
      </w:r>
      <w:proofErr w:type="spellEnd"/>
      <w:r w:rsidRPr="00297377">
        <w:rPr>
          <w:rFonts w:cs="Arial"/>
        </w:rPr>
        <w:t xml:space="preserve"> LA, </w:t>
      </w:r>
      <w:proofErr w:type="spellStart"/>
      <w:r w:rsidRPr="00297377">
        <w:rPr>
          <w:rFonts w:cs="Arial"/>
        </w:rPr>
        <w:t>Ferroni</w:t>
      </w:r>
      <w:proofErr w:type="spellEnd"/>
      <w:r w:rsidRPr="00297377">
        <w:rPr>
          <w:rFonts w:cs="Arial"/>
        </w:rPr>
        <w:t xml:space="preserve"> E, </w:t>
      </w:r>
      <w:proofErr w:type="spellStart"/>
      <w:r w:rsidRPr="00297377">
        <w:rPr>
          <w:rFonts w:cs="Arial"/>
        </w:rPr>
        <w:t>Thorning</w:t>
      </w:r>
      <w:proofErr w:type="spellEnd"/>
      <w:r w:rsidRPr="00297377">
        <w:rPr>
          <w:rFonts w:cs="Arial"/>
        </w:rPr>
        <w:t xml:space="preserve"> S, Thomas RE. Vaccines for preventing influenza in the elderly.  Cochrane Database of Systematic Reviews 2010, Issue 2. Art. No.: CD004876. DOI: 10. 1002/14651858.CD004876.pub3</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Default="005D0FDB" w:rsidP="00EE5AF6">
      <w:pPr>
        <w:ind w:left="0" w:firstLine="0"/>
      </w:pPr>
    </w:p>
    <w:p w:rsidR="00297377" w:rsidRPr="003B1CC5" w:rsidRDefault="00297377"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Default="00EE5AF6" w:rsidP="00EE5AF6">
      <w:pPr>
        <w:ind w:left="0" w:firstLine="0"/>
      </w:pPr>
    </w:p>
    <w:p w:rsidR="00297377" w:rsidRDefault="00297377" w:rsidP="00EE5AF6">
      <w:pPr>
        <w:ind w:left="0" w:firstLine="0"/>
        <w:rPr>
          <w:rFonts w:cs="Arial"/>
        </w:rPr>
      </w:pPr>
      <w:r w:rsidRPr="00297377">
        <w:rPr>
          <w:rFonts w:cs="Arial"/>
        </w:rPr>
        <w:t>The Cochrane review examined 50 reports involving over 70,000 healthy adults (16-65 years), 51 studies involving 294,159 healthy children (under 16 years) and 75 studies involving 1,348 participants over 65 years.</w:t>
      </w:r>
    </w:p>
    <w:p w:rsidR="00FD25A8" w:rsidRDefault="00FD25A8" w:rsidP="00EE5AF6">
      <w:pPr>
        <w:ind w:left="0" w:firstLine="0"/>
        <w:rPr>
          <w:rFonts w:cs="Arial"/>
        </w:rPr>
      </w:pPr>
    </w:p>
    <w:p w:rsidR="00FD25A8" w:rsidRPr="00FD25A8" w:rsidRDefault="00FD25A8" w:rsidP="00FD25A8">
      <w:pPr>
        <w:ind w:left="0" w:firstLine="0"/>
        <w:rPr>
          <w:rFonts w:cs="Arial"/>
        </w:rPr>
      </w:pPr>
      <w:r w:rsidRPr="00FD25A8">
        <w:rPr>
          <w:rFonts w:cs="Arial"/>
        </w:rPr>
        <w:t>For healthy adults (16-65), influenza vaccines have a modest effect in reducing influenza symptoms and working days lost.</w:t>
      </w:r>
    </w:p>
    <w:p w:rsidR="00FD25A8" w:rsidRPr="00FD25A8" w:rsidRDefault="00FD25A8" w:rsidP="00FD25A8">
      <w:pPr>
        <w:ind w:left="0" w:firstLine="0"/>
        <w:rPr>
          <w:rFonts w:cs="Arial"/>
        </w:rPr>
      </w:pPr>
    </w:p>
    <w:p w:rsidR="00FD25A8" w:rsidRPr="00FD25A8" w:rsidRDefault="00FD25A8" w:rsidP="00FD25A8">
      <w:pPr>
        <w:ind w:left="0" w:firstLine="0"/>
        <w:rPr>
          <w:rFonts w:cs="Arial"/>
        </w:rPr>
      </w:pPr>
      <w:r w:rsidRPr="00FD25A8">
        <w:rPr>
          <w:rFonts w:cs="Arial"/>
        </w:rPr>
        <w:t xml:space="preserve">Influenza vaccines are efficacious in children older than two but little evidence is available for children under two.  </w:t>
      </w:r>
    </w:p>
    <w:p w:rsidR="00FD25A8" w:rsidRPr="00FD25A8" w:rsidRDefault="00FD25A8" w:rsidP="00FD25A8">
      <w:pPr>
        <w:ind w:left="0" w:firstLine="0"/>
        <w:rPr>
          <w:rFonts w:cs="Arial"/>
        </w:rPr>
      </w:pPr>
    </w:p>
    <w:p w:rsidR="00FD25A8" w:rsidRPr="00FD25A8" w:rsidRDefault="00FD25A8" w:rsidP="00FD25A8">
      <w:pPr>
        <w:ind w:left="0" w:firstLine="0"/>
        <w:rPr>
          <w:rFonts w:cs="Arial"/>
        </w:rPr>
      </w:pPr>
      <w:r w:rsidRPr="00FD25A8">
        <w:rPr>
          <w:rFonts w:cs="Arial"/>
        </w:rPr>
        <w:t>The available evidence for individuals 65 and older is of poor quality and provides no guidance for regarding safety, efficacy or effectiveness of influenza in this specific group.</w:t>
      </w:r>
    </w:p>
    <w:p w:rsidR="00297377" w:rsidRPr="003B1CC5" w:rsidRDefault="00297377"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Default="00FD25A8" w:rsidP="00EA79C9">
      <w:pPr>
        <w:ind w:left="0" w:firstLine="0"/>
      </w:pPr>
      <w:r>
        <w:t>N/A</w:t>
      </w:r>
    </w:p>
    <w:p w:rsidR="00297377" w:rsidRPr="003B1CC5" w:rsidRDefault="00297377"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12228F" w:rsidP="002E2177">
      <w:pPr>
        <w:ind w:left="0" w:firstLine="0"/>
        <w:rPr>
          <w:noProof/>
        </w:rPr>
      </w:pPr>
      <w:r>
        <w:rPr>
          <w:noProof/>
        </w:rPr>
        <w:t>N/A</w:t>
      </w:r>
    </w:p>
    <w:p w:rsidR="0012228F" w:rsidRDefault="0012228F"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D709E5" w:rsidRPr="0012228F">
            <w:rPr>
              <w:rStyle w:val="Style2"/>
              <w:color w:val="000000" w:themeColor="text1"/>
            </w:rPr>
            <w:t>January 1996 to June 2010</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496AF8" w:rsidP="002E2177">
      <w:pPr>
        <w:ind w:left="0" w:firstLine="0"/>
      </w:pPr>
    </w:p>
    <w:p w:rsidR="00FD25A8" w:rsidRPr="00297377" w:rsidRDefault="00FD25A8" w:rsidP="00FD25A8">
      <w:pPr>
        <w:ind w:left="0" w:firstLine="0"/>
        <w:rPr>
          <w:rFonts w:cs="Arial"/>
        </w:rPr>
      </w:pPr>
      <w:r w:rsidRPr="00297377">
        <w:rPr>
          <w:rFonts w:cs="Arial"/>
        </w:rPr>
        <w:t>For healthy adults (16-65), of the 50 reports in the Cochrane review, 40 were clinical trials involving over 70,000 individuals; 8 were comparative non-RCTs and 2 were rep</w:t>
      </w:r>
      <w:r>
        <w:rPr>
          <w:rFonts w:cs="Arial"/>
        </w:rPr>
        <w:t>o</w:t>
      </w:r>
      <w:r w:rsidRPr="00297377">
        <w:rPr>
          <w:rFonts w:cs="Arial"/>
        </w:rPr>
        <w:t>rts of harms.</w:t>
      </w:r>
    </w:p>
    <w:p w:rsidR="00FD25A8" w:rsidRPr="00297377" w:rsidRDefault="00FD25A8" w:rsidP="00FD25A8">
      <w:pPr>
        <w:ind w:left="0" w:firstLine="0"/>
        <w:rPr>
          <w:rFonts w:cs="Arial"/>
        </w:rPr>
      </w:pPr>
    </w:p>
    <w:p w:rsidR="00FD25A8" w:rsidRPr="00297377" w:rsidRDefault="00FD25A8" w:rsidP="00FD25A8">
      <w:pPr>
        <w:ind w:left="0" w:firstLine="0"/>
        <w:rPr>
          <w:rFonts w:cs="Arial"/>
        </w:rPr>
      </w:pPr>
      <w:r w:rsidRPr="00297377">
        <w:rPr>
          <w:rFonts w:cs="Arial"/>
        </w:rPr>
        <w:t>With respect to the age</w:t>
      </w:r>
      <w:r>
        <w:rPr>
          <w:rFonts w:cs="Arial"/>
        </w:rPr>
        <w:t xml:space="preserve"> </w:t>
      </w:r>
      <w:r w:rsidRPr="00297377">
        <w:rPr>
          <w:rFonts w:cs="Arial"/>
        </w:rPr>
        <w:t>group under 16 years, there were 51 studies involving 294,159 individuals examined in the Cochrane review.  Of these 16 studies were RCT and 18 were cohort studies.</w:t>
      </w:r>
    </w:p>
    <w:p w:rsidR="00FD25A8" w:rsidRPr="00297377" w:rsidRDefault="00FD25A8" w:rsidP="00FD25A8">
      <w:pPr>
        <w:ind w:left="0" w:firstLine="0"/>
        <w:rPr>
          <w:rFonts w:cs="Arial"/>
        </w:rPr>
      </w:pPr>
    </w:p>
    <w:p w:rsidR="00FD25A8" w:rsidRPr="00297377" w:rsidRDefault="00FD25A8" w:rsidP="00FD25A8">
      <w:pPr>
        <w:ind w:left="0" w:firstLine="0"/>
        <w:rPr>
          <w:rFonts w:cs="Arial"/>
        </w:rPr>
      </w:pPr>
      <w:r w:rsidRPr="00297377">
        <w:rPr>
          <w:rFonts w:cs="Arial"/>
        </w:rPr>
        <w:t>With respect to individuals 65 years and older, there were 75 studies (only 1 RCT assessing efficacy and effectiveness) but the sample sizes were very small (total 1,348) and did not provide reliable results.</w:t>
      </w:r>
    </w:p>
    <w:p w:rsidR="00FD25A8" w:rsidRPr="003B1CC5" w:rsidRDefault="00FD25A8"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Default="00496AF8" w:rsidP="002E2177">
      <w:pPr>
        <w:ind w:left="0" w:firstLine="0"/>
      </w:pPr>
    </w:p>
    <w:p w:rsidR="00297377" w:rsidRPr="00297377" w:rsidRDefault="00297377" w:rsidP="00297377">
      <w:pPr>
        <w:ind w:left="0" w:firstLine="0"/>
        <w:rPr>
          <w:rFonts w:cs="Arial"/>
        </w:rPr>
      </w:pPr>
      <w:r w:rsidRPr="00297377">
        <w:rPr>
          <w:rFonts w:cs="Arial"/>
        </w:rPr>
        <w:t>Influenza epidemics and pandemics have a huge impact on society and individuals. The weight and scope of the burden of influenza varies with the age and underlying health of the patient. The disease imposes a significant burden on all individuals, but hospitalization and treatment occur more frequently in high-risk patients (the elderly and those with certain underlying medical conditions); patient populations that are increasing in size. Escalating medical costs have increased the need to quantify the burden of influenza.  Estimates of the cost of influenza in the USA, France and Germany have shown that indirect costs can be five– to 10–fold higher than direct costs. Other intangible costs associated with influenza include impaired performance, which can reduce reaction times, and adverse effects on the quality of life of patients and their families. Increasing the rates of Influenza vaccination can only have a positive benefit and holds the opportunity to decrease death and financial loss worldwide.</w:t>
      </w:r>
    </w:p>
    <w:p w:rsidR="00297377" w:rsidRPr="00297377" w:rsidRDefault="00297377" w:rsidP="00297377">
      <w:pPr>
        <w:ind w:left="0" w:firstLine="0"/>
        <w:rPr>
          <w:rFonts w:cs="Arial"/>
        </w:rPr>
      </w:pPr>
    </w:p>
    <w:p w:rsidR="00297377" w:rsidRPr="00297377" w:rsidRDefault="00297377" w:rsidP="00297377">
      <w:pPr>
        <w:ind w:left="0" w:firstLine="0"/>
        <w:rPr>
          <w:rFonts w:cs="Arial"/>
        </w:rPr>
      </w:pPr>
      <w:proofErr w:type="spellStart"/>
      <w:r w:rsidRPr="00297377">
        <w:rPr>
          <w:rFonts w:cs="Arial"/>
        </w:rPr>
        <w:t>Szucs</w:t>
      </w:r>
      <w:proofErr w:type="spellEnd"/>
      <w:r w:rsidRPr="00297377">
        <w:rPr>
          <w:rFonts w:cs="Arial"/>
        </w:rPr>
        <w:t xml:space="preserve"> T. The Socio-economic burden of Influenza. Journal of Antimicrobial Chemotherapy. 1999. </w:t>
      </w:r>
      <w:proofErr w:type="spellStart"/>
      <w:r w:rsidRPr="00297377">
        <w:rPr>
          <w:rFonts w:cs="Arial"/>
        </w:rPr>
        <w:t>Vol</w:t>
      </w:r>
      <w:proofErr w:type="spellEnd"/>
      <w:r w:rsidRPr="00297377">
        <w:rPr>
          <w:rFonts w:cs="Arial"/>
        </w:rPr>
        <w:t xml:space="preserve"> 44</w:t>
      </w:r>
      <w:r w:rsidR="00440C3F" w:rsidRPr="00297377">
        <w:rPr>
          <w:rFonts w:cs="Arial"/>
        </w:rPr>
        <w:t>, Issue</w:t>
      </w:r>
      <w:r w:rsidRPr="00297377">
        <w:rPr>
          <w:rFonts w:cs="Arial"/>
        </w:rPr>
        <w:t xml:space="preserve"> Supp 2.pp 11-14</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Default="00496AF8" w:rsidP="002E2177">
      <w:pPr>
        <w:ind w:left="0" w:firstLine="0"/>
      </w:pPr>
    </w:p>
    <w:p w:rsidR="00FD25A8" w:rsidRPr="003B1CC5" w:rsidRDefault="00FD25A8" w:rsidP="002E2177">
      <w:pPr>
        <w:ind w:left="0" w:firstLine="0"/>
      </w:pPr>
      <w:r>
        <w:t>No harms identified.</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Default="00837121" w:rsidP="002E2177">
      <w:pPr>
        <w:ind w:left="0" w:firstLine="0"/>
      </w:pPr>
    </w:p>
    <w:p w:rsidR="00D709E5" w:rsidRDefault="00D709E5" w:rsidP="00D709E5">
      <w:pPr>
        <w:ind w:left="0" w:firstLine="0"/>
        <w:rPr>
          <w:rFonts w:cs="Arial"/>
          <w:color w:val="FF0000"/>
        </w:rPr>
      </w:pPr>
      <w:proofErr w:type="spellStart"/>
      <w:r w:rsidRPr="00D709E5">
        <w:rPr>
          <w:rFonts w:cs="Arial"/>
          <w:color w:val="FF0000"/>
        </w:rPr>
        <w:t>Demicheli</w:t>
      </w:r>
      <w:proofErr w:type="spellEnd"/>
      <w:r w:rsidRPr="00D709E5">
        <w:rPr>
          <w:rFonts w:cs="Arial"/>
          <w:color w:val="FF0000"/>
        </w:rPr>
        <w:t xml:space="preserve"> V, Jefferson T, Al-</w:t>
      </w:r>
      <w:proofErr w:type="spellStart"/>
      <w:r w:rsidRPr="00D709E5">
        <w:rPr>
          <w:rFonts w:cs="Arial"/>
          <w:color w:val="FF0000"/>
        </w:rPr>
        <w:t>Ansary</w:t>
      </w:r>
      <w:proofErr w:type="spellEnd"/>
      <w:r w:rsidRPr="00D709E5">
        <w:rPr>
          <w:rFonts w:cs="Arial"/>
          <w:color w:val="FF0000"/>
        </w:rPr>
        <w:t xml:space="preserve"> LA, </w:t>
      </w:r>
      <w:proofErr w:type="spellStart"/>
      <w:r w:rsidRPr="00D709E5">
        <w:rPr>
          <w:rFonts w:cs="Arial"/>
          <w:color w:val="FF0000"/>
        </w:rPr>
        <w:t>Ferroni</w:t>
      </w:r>
      <w:proofErr w:type="spellEnd"/>
      <w:r w:rsidRPr="00D709E5">
        <w:rPr>
          <w:rFonts w:cs="Arial"/>
          <w:color w:val="FF0000"/>
        </w:rPr>
        <w:t xml:space="preserve"> E, </w:t>
      </w:r>
      <w:proofErr w:type="spellStart"/>
      <w:r w:rsidRPr="00D709E5">
        <w:rPr>
          <w:rFonts w:cs="Arial"/>
          <w:color w:val="FF0000"/>
        </w:rPr>
        <w:t>Rivetti</w:t>
      </w:r>
      <w:proofErr w:type="spellEnd"/>
      <w:r w:rsidRPr="00D709E5">
        <w:rPr>
          <w:rFonts w:cs="Arial"/>
          <w:color w:val="FF0000"/>
        </w:rPr>
        <w:t xml:space="preserve"> A, Di </w:t>
      </w:r>
      <w:proofErr w:type="spellStart"/>
      <w:r w:rsidRPr="00D709E5">
        <w:rPr>
          <w:rFonts w:cs="Arial"/>
          <w:color w:val="FF0000"/>
        </w:rPr>
        <w:t>Pietrantonj</w:t>
      </w:r>
      <w:proofErr w:type="spellEnd"/>
      <w:r w:rsidRPr="00D709E5">
        <w:rPr>
          <w:rFonts w:cs="Arial"/>
          <w:color w:val="FF0000"/>
        </w:rPr>
        <w:t xml:space="preserve"> C. Vaccines for preventing influenza in healthy adults. Cochrane Database of Systematic Reviews 2014, Issue 3. Art. No.: CD001269. DOI: 10.1002/</w:t>
      </w:r>
      <w:proofErr w:type="gramStart"/>
      <w:r w:rsidRPr="00D709E5">
        <w:rPr>
          <w:rFonts w:cs="Arial"/>
          <w:color w:val="FF0000"/>
        </w:rPr>
        <w:t>14651858.CD001269.pub5</w:t>
      </w:r>
      <w:r>
        <w:rPr>
          <w:rFonts w:cs="Arial"/>
          <w:color w:val="FF0000"/>
        </w:rPr>
        <w:t xml:space="preserve">  </w:t>
      </w:r>
      <w:proofErr w:type="gramEnd"/>
      <w:r w:rsidR="00DC5753" w:rsidRPr="00DC5753">
        <w:fldChar w:fldCharType="begin"/>
      </w:r>
      <w:r w:rsidR="00C101F5">
        <w:instrText xml:space="preserve"> HYPERLINK "http://onlinelibrary.wiley.com/doi/10.1002/14651858.CD001269.pub5/full" </w:instrText>
      </w:r>
      <w:r w:rsidR="00DC5753" w:rsidRPr="00DC5753">
        <w:fldChar w:fldCharType="separate"/>
      </w:r>
      <w:r w:rsidRPr="00F126F4">
        <w:rPr>
          <w:rStyle w:val="Hyperlink"/>
          <w:rFonts w:cs="Arial"/>
        </w:rPr>
        <w:t>http://onlinelibrary.wiley.com/doi/10.1002/14651858.CD001269.pub5/full</w:t>
      </w:r>
      <w:r w:rsidR="00DC5753">
        <w:rPr>
          <w:rStyle w:val="Hyperlink"/>
          <w:rFonts w:cs="Arial"/>
        </w:rPr>
        <w:fldChar w:fldCharType="end"/>
      </w:r>
    </w:p>
    <w:p w:rsidR="00D709E5" w:rsidRDefault="00D709E5" w:rsidP="00D709E5">
      <w:pPr>
        <w:ind w:left="0" w:firstLine="0"/>
        <w:rPr>
          <w:rFonts w:cs="Arial"/>
          <w:color w:val="FF0000"/>
        </w:rPr>
      </w:pPr>
    </w:p>
    <w:p w:rsidR="00D709E5" w:rsidRDefault="00D709E5" w:rsidP="00D709E5">
      <w:pPr>
        <w:ind w:left="0" w:firstLine="0"/>
        <w:rPr>
          <w:rFonts w:cs="Arial"/>
          <w:color w:val="FF0000"/>
        </w:rPr>
      </w:pPr>
      <w:r>
        <w:rPr>
          <w:rFonts w:cs="Arial"/>
          <w:color w:val="FF0000"/>
        </w:rPr>
        <w:t xml:space="preserve">Update to review of study by same name in 1a.6.1. </w:t>
      </w:r>
      <w:r w:rsidRPr="00D709E5">
        <w:rPr>
          <w:rFonts w:cs="Arial"/>
          <w:color w:val="FF0000"/>
        </w:rPr>
        <w:t>Randomi</w:t>
      </w:r>
      <w:r>
        <w:rPr>
          <w:rFonts w:cs="Arial"/>
          <w:color w:val="FF0000"/>
        </w:rPr>
        <w:t>z</w:t>
      </w:r>
      <w:r w:rsidRPr="00D709E5">
        <w:rPr>
          <w:rFonts w:cs="Arial"/>
          <w:color w:val="FF0000"/>
        </w:rPr>
        <w:t>ed controlled trials (RCTs) or quasi-RCTs comparing influenza vaccines with placebo or no intervention in naturally occurring influenza in healthy individuals aged 16 to 65 years. We also included comparative studies assessing serious and rare harms.</w:t>
      </w:r>
      <w:r>
        <w:rPr>
          <w:rFonts w:cs="Arial"/>
          <w:color w:val="FF0000"/>
        </w:rPr>
        <w:t xml:space="preserve"> Review updated to include studies through May 2013. </w:t>
      </w:r>
    </w:p>
    <w:p w:rsidR="00D709E5" w:rsidRDefault="00D709E5" w:rsidP="00D709E5">
      <w:pPr>
        <w:ind w:left="0" w:firstLine="0"/>
        <w:rPr>
          <w:rFonts w:cs="Arial"/>
          <w:color w:val="FF0000"/>
        </w:rPr>
      </w:pPr>
    </w:p>
    <w:p w:rsidR="00D709E5" w:rsidRPr="00D709E5" w:rsidRDefault="00D709E5" w:rsidP="00D709E5">
      <w:pPr>
        <w:ind w:left="0" w:firstLine="0"/>
        <w:rPr>
          <w:rFonts w:cs="Arial"/>
          <w:color w:val="FF0000"/>
        </w:rPr>
      </w:pPr>
      <w:r>
        <w:rPr>
          <w:rFonts w:cs="Arial"/>
          <w:color w:val="FF0000"/>
        </w:rPr>
        <w:t xml:space="preserve">Conclusions not significantly different from those of original review. </w:t>
      </w:r>
      <w:r w:rsidRPr="00D709E5">
        <w:rPr>
          <w:rFonts w:cs="Arial"/>
          <w:color w:val="FF0000"/>
        </w:rPr>
        <w:t xml:space="preserve">Influenza vaccines have a very modest effect in reducing influenza symptoms and working days lost in the general population, including pregnant women. No evidence of association between influenza vaccination and serious adverse events </w:t>
      </w:r>
      <w:r w:rsidRPr="00D709E5">
        <w:rPr>
          <w:rFonts w:cs="Arial"/>
          <w:color w:val="FF0000"/>
        </w:rPr>
        <w:lastRenderedPageBreak/>
        <w:t>was found in the comparative studies considered in the review. This review includes 90 studies, 24 of which (26.7%) were funded totally or partially by industry. Out of the 48 RCTs, 17 were industry-funded (35.4%).</w:t>
      </w:r>
    </w:p>
    <w:p w:rsidR="00D709E5" w:rsidRPr="00D709E5" w:rsidRDefault="00D709E5" w:rsidP="00D709E5">
      <w:pPr>
        <w:ind w:left="0" w:firstLine="0"/>
        <w:rPr>
          <w:rFonts w:cs="Arial"/>
          <w:color w:val="FF0000"/>
        </w:rPr>
      </w:pPr>
    </w:p>
    <w:p w:rsidR="00BF297B" w:rsidRPr="00366442" w:rsidRDefault="00BF297B" w:rsidP="00BF297B">
      <w:pPr>
        <w:ind w:left="0" w:firstLine="0"/>
        <w:rPr>
          <w:rFonts w:cs="Arial"/>
          <w:color w:val="FF0000"/>
        </w:rPr>
      </w:pPr>
      <w:r w:rsidRPr="00366442">
        <w:rPr>
          <w:rFonts w:cs="Arial"/>
          <w:color w:val="FF0000"/>
        </w:rPr>
        <w:t xml:space="preserve">Jefferson T, </w:t>
      </w:r>
      <w:proofErr w:type="spellStart"/>
      <w:r w:rsidRPr="00366442">
        <w:rPr>
          <w:rFonts w:cs="Arial"/>
          <w:color w:val="FF0000"/>
        </w:rPr>
        <w:t>Rivetti</w:t>
      </w:r>
      <w:proofErr w:type="spellEnd"/>
      <w:r w:rsidRPr="00366442">
        <w:rPr>
          <w:rFonts w:cs="Arial"/>
          <w:color w:val="FF0000"/>
        </w:rPr>
        <w:t xml:space="preserve"> A, Di </w:t>
      </w:r>
      <w:proofErr w:type="spellStart"/>
      <w:r w:rsidRPr="00366442">
        <w:rPr>
          <w:rFonts w:cs="Arial"/>
          <w:color w:val="FF0000"/>
        </w:rPr>
        <w:t>Pietrantonj</w:t>
      </w:r>
      <w:proofErr w:type="spellEnd"/>
      <w:r w:rsidRPr="00366442">
        <w:rPr>
          <w:rFonts w:cs="Arial"/>
          <w:color w:val="FF0000"/>
        </w:rPr>
        <w:t xml:space="preserve"> C, </w:t>
      </w:r>
      <w:proofErr w:type="spellStart"/>
      <w:r w:rsidRPr="00366442">
        <w:rPr>
          <w:rFonts w:cs="Arial"/>
          <w:color w:val="FF0000"/>
        </w:rPr>
        <w:t>Demicheli</w:t>
      </w:r>
      <w:proofErr w:type="spellEnd"/>
      <w:r w:rsidRPr="00366442">
        <w:rPr>
          <w:rFonts w:cs="Arial"/>
          <w:color w:val="FF0000"/>
        </w:rPr>
        <w:t xml:space="preserve"> V, </w:t>
      </w:r>
      <w:proofErr w:type="spellStart"/>
      <w:r w:rsidRPr="00366442">
        <w:rPr>
          <w:rFonts w:cs="Arial"/>
          <w:color w:val="FF0000"/>
        </w:rPr>
        <w:t>Ferroni</w:t>
      </w:r>
      <w:proofErr w:type="spellEnd"/>
      <w:r w:rsidRPr="00366442">
        <w:rPr>
          <w:rFonts w:cs="Arial"/>
          <w:color w:val="FF0000"/>
        </w:rPr>
        <w:t xml:space="preserve"> E. Vaccines for preventing inﬂuenza in healthy children. Cochrane Database of Systematic Reviews 2012, Issue 8. Art. No.: CD004879. DOI: 10.1002/14651858.CD004879.pub4.  </w:t>
      </w:r>
    </w:p>
    <w:p w:rsidR="00D709E5" w:rsidRDefault="00DC5753" w:rsidP="002E2177">
      <w:pPr>
        <w:ind w:left="0" w:firstLine="0"/>
        <w:rPr>
          <w:rFonts w:cs="Arial"/>
          <w:color w:val="FF0000"/>
        </w:rPr>
      </w:pPr>
      <w:hyperlink r:id="rId20" w:history="1">
        <w:r w:rsidR="002A38C4" w:rsidRPr="00F126F4">
          <w:rPr>
            <w:rStyle w:val="Hyperlink"/>
            <w:rFonts w:cs="Arial"/>
          </w:rPr>
          <w:t>http://onlinelibrary.wiley.com/doi/10.1002/14651858.CD004879.pub4/abstract</w:t>
        </w:r>
      </w:hyperlink>
    </w:p>
    <w:p w:rsidR="002A38C4" w:rsidRPr="00366442" w:rsidRDefault="002A38C4" w:rsidP="002E2177">
      <w:pPr>
        <w:ind w:left="0" w:firstLine="0"/>
        <w:rPr>
          <w:rFonts w:cs="Arial"/>
          <w:color w:val="FF0000"/>
        </w:rPr>
      </w:pPr>
    </w:p>
    <w:p w:rsidR="00BF297B" w:rsidRDefault="00BF297B" w:rsidP="00BF297B">
      <w:pPr>
        <w:ind w:left="0" w:firstLine="0"/>
        <w:rPr>
          <w:rFonts w:cs="Arial"/>
          <w:color w:val="FF0000"/>
        </w:rPr>
      </w:pPr>
      <w:r>
        <w:rPr>
          <w:rFonts w:cs="Arial"/>
          <w:color w:val="FF0000"/>
        </w:rPr>
        <w:t xml:space="preserve">Update to review of study by same name in 1a.6.1. </w:t>
      </w:r>
      <w:r w:rsidR="00440C3F" w:rsidRPr="00BF297B">
        <w:rPr>
          <w:rFonts w:cs="Arial"/>
          <w:color w:val="FF0000"/>
        </w:rPr>
        <w:t>Randomized</w:t>
      </w:r>
      <w:r w:rsidRPr="00BF297B">
        <w:rPr>
          <w:rFonts w:cs="Arial"/>
          <w:color w:val="FF0000"/>
        </w:rPr>
        <w:t xml:space="preserve"> controlled trials (RCTs), cohort and case-control studies of any influenza vaccine in healthy children under 16 years of age.</w:t>
      </w:r>
      <w:r>
        <w:rPr>
          <w:rFonts w:cs="Arial"/>
          <w:color w:val="FF0000"/>
        </w:rPr>
        <w:t xml:space="preserve"> Review updated</w:t>
      </w:r>
      <w:r w:rsidR="00366442">
        <w:rPr>
          <w:rFonts w:cs="Arial"/>
          <w:color w:val="FF0000"/>
        </w:rPr>
        <w:t xml:space="preserve"> to include studies through November 2011.</w:t>
      </w:r>
    </w:p>
    <w:p w:rsidR="00366442" w:rsidRDefault="00366442" w:rsidP="00BF297B">
      <w:pPr>
        <w:ind w:left="0" w:firstLine="0"/>
        <w:rPr>
          <w:rFonts w:cs="Arial"/>
          <w:color w:val="FF0000"/>
        </w:rPr>
      </w:pPr>
    </w:p>
    <w:p w:rsidR="00366442" w:rsidRPr="00BF297B" w:rsidRDefault="00366442" w:rsidP="00BF297B">
      <w:pPr>
        <w:ind w:left="0" w:firstLine="0"/>
        <w:rPr>
          <w:rFonts w:cs="Arial"/>
          <w:color w:val="FF0000"/>
        </w:rPr>
      </w:pPr>
      <w:r>
        <w:rPr>
          <w:rFonts w:cs="Arial"/>
          <w:color w:val="FF0000"/>
        </w:rPr>
        <w:t xml:space="preserve">Conclusions not significantly different from those of original review. </w:t>
      </w:r>
      <w:r w:rsidRPr="00366442">
        <w:rPr>
          <w:rFonts w:cs="Arial"/>
          <w:color w:val="FF0000"/>
        </w:rPr>
        <w:t xml:space="preserve">Influenza vaccines are efficacious in preventing cases of influenza in children older than two years of age, but little evidence is available for children younger than two years of age. There was a difference between vaccine efficacy and effectiveness, partly due to differing datasets, settings and viral circulation patterns. No safety comparisons could be carried out, </w:t>
      </w:r>
      <w:r w:rsidR="00440C3F" w:rsidRPr="00366442">
        <w:rPr>
          <w:rFonts w:cs="Arial"/>
          <w:color w:val="FF0000"/>
        </w:rPr>
        <w:t>emphasizing</w:t>
      </w:r>
      <w:r w:rsidRPr="00366442">
        <w:rPr>
          <w:rFonts w:cs="Arial"/>
          <w:color w:val="FF0000"/>
        </w:rPr>
        <w:t xml:space="preserve"> the need for </w:t>
      </w:r>
      <w:r w:rsidR="00440C3F" w:rsidRPr="00366442">
        <w:rPr>
          <w:rFonts w:cs="Arial"/>
          <w:color w:val="FF0000"/>
        </w:rPr>
        <w:t>standardization</w:t>
      </w:r>
      <w:r w:rsidRPr="00366442">
        <w:rPr>
          <w:rFonts w:cs="Arial"/>
          <w:color w:val="FF0000"/>
        </w:rPr>
        <w:t xml:space="preserve"> of methods and presentation of vaccine safety data in future studies. In specific cases, influenza vaccines were associated with serious harms such as narcolepsy and febrile convulsions. It was surprising to find only one study of inactivated vaccine in children under two years, given current recommendations to vaccinate healthy children from six months of age in the USA, Canada, parts of Europe and Australia. If </w:t>
      </w:r>
      <w:r w:rsidR="00440C3F" w:rsidRPr="00366442">
        <w:rPr>
          <w:rFonts w:cs="Arial"/>
          <w:color w:val="FF0000"/>
        </w:rPr>
        <w:t>immunization</w:t>
      </w:r>
      <w:r w:rsidRPr="00366442">
        <w:rPr>
          <w:rFonts w:cs="Arial"/>
          <w:color w:val="FF0000"/>
        </w:rPr>
        <w:t xml:space="preserve"> in children is to be recommended as a public health policy, large-scale studies assessing important outcomes, and directly comparing vaccine types are urgently required. The degree of scrutiny needed to identify all global cases of potential harms is beyond the resources of this review.</w:t>
      </w:r>
    </w:p>
    <w:p w:rsidR="00BF297B" w:rsidRPr="00D709E5" w:rsidRDefault="00BF297B" w:rsidP="002E2177">
      <w:pPr>
        <w:ind w:left="0" w:firstLine="0"/>
        <w:rPr>
          <w:rFonts w:cs="Arial"/>
        </w:rPr>
      </w:pPr>
    </w:p>
    <w:p w:rsidR="00D709E5" w:rsidRPr="00D709E5" w:rsidRDefault="00D709E5" w:rsidP="002E2177">
      <w:pPr>
        <w:ind w:left="0" w:firstLine="0"/>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440C3F" w:rsidP="002E2177">
      <w:pPr>
        <w:ind w:left="0" w:firstLine="0"/>
      </w:pPr>
      <w:r>
        <w:t>N/A</w:t>
      </w:r>
    </w:p>
    <w:p w:rsidR="00440C3F" w:rsidRPr="003B1CC5" w:rsidRDefault="00440C3F" w:rsidP="002E2177">
      <w:pPr>
        <w:ind w:left="0" w:firstLine="0"/>
      </w:pPr>
    </w:p>
    <w:p w:rsidR="00440C3F"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440C3F" w:rsidRDefault="00440C3F" w:rsidP="00440C3F">
      <w:r>
        <w:t>N/A</w:t>
      </w:r>
    </w:p>
    <w:p w:rsidR="00837121" w:rsidRPr="00440C3F" w:rsidRDefault="00837121" w:rsidP="00440C3F"/>
    <w:sectPr w:rsidR="00837121" w:rsidRPr="00440C3F" w:rsidSect="005D5A3A">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97B" w:rsidRDefault="00BF297B" w:rsidP="007E37A5">
      <w:r>
        <w:separator/>
      </w:r>
    </w:p>
  </w:endnote>
  <w:endnote w:type="continuationSeparator" w:id="0">
    <w:p w:rsidR="00BF297B" w:rsidRDefault="00BF297B"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97B" w:rsidRDefault="00BF297B">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00DC5753">
      <w:fldChar w:fldCharType="begin"/>
    </w:r>
    <w:r w:rsidR="00440C3F">
      <w:instrText xml:space="preserve"> PAGE   \* MERGEFORMAT </w:instrText>
    </w:r>
    <w:r w:rsidR="00DC5753">
      <w:fldChar w:fldCharType="separate"/>
    </w:r>
    <w:r w:rsidR="00000D47">
      <w:rPr>
        <w:noProof/>
      </w:rPr>
      <w:t>1</w:t>
    </w:r>
    <w:r w:rsidR="00DC5753">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97B" w:rsidRDefault="00BF297B" w:rsidP="007E37A5">
      <w:r>
        <w:separator/>
      </w:r>
    </w:p>
  </w:footnote>
  <w:footnote w:type="continuationSeparator" w:id="0">
    <w:p w:rsidR="00BF297B" w:rsidRDefault="00BF297B"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97B" w:rsidRDefault="00BF297B" w:rsidP="007E37A5">
    <w:pPr>
      <w:pStyle w:val="Header"/>
      <w:ind w:left="0" w:firstLine="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rsids>
    <w:rsidRoot w:val="00496AF8"/>
    <w:rsid w:val="00000D47"/>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3A3"/>
    <w:rsid w:val="00114848"/>
    <w:rsid w:val="00120934"/>
    <w:rsid w:val="0012228F"/>
    <w:rsid w:val="00132070"/>
    <w:rsid w:val="00141875"/>
    <w:rsid w:val="0014347E"/>
    <w:rsid w:val="00154438"/>
    <w:rsid w:val="001551F6"/>
    <w:rsid w:val="0015535B"/>
    <w:rsid w:val="001558B0"/>
    <w:rsid w:val="00162036"/>
    <w:rsid w:val="001632DD"/>
    <w:rsid w:val="00176E60"/>
    <w:rsid w:val="00194D9A"/>
    <w:rsid w:val="001A196B"/>
    <w:rsid w:val="001A6D05"/>
    <w:rsid w:val="001B38BF"/>
    <w:rsid w:val="001B772D"/>
    <w:rsid w:val="001D5B5D"/>
    <w:rsid w:val="001E6153"/>
    <w:rsid w:val="002016CD"/>
    <w:rsid w:val="00201FF9"/>
    <w:rsid w:val="00205857"/>
    <w:rsid w:val="00235ADC"/>
    <w:rsid w:val="00236F87"/>
    <w:rsid w:val="00265702"/>
    <w:rsid w:val="002662B2"/>
    <w:rsid w:val="002717C7"/>
    <w:rsid w:val="002875E9"/>
    <w:rsid w:val="00287EB3"/>
    <w:rsid w:val="00297377"/>
    <w:rsid w:val="002A38C4"/>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66442"/>
    <w:rsid w:val="0039020B"/>
    <w:rsid w:val="00395263"/>
    <w:rsid w:val="003956E0"/>
    <w:rsid w:val="0039609A"/>
    <w:rsid w:val="00397500"/>
    <w:rsid w:val="003B1CC5"/>
    <w:rsid w:val="003B65CE"/>
    <w:rsid w:val="003E039E"/>
    <w:rsid w:val="00422917"/>
    <w:rsid w:val="00440687"/>
    <w:rsid w:val="00440C3F"/>
    <w:rsid w:val="0044131D"/>
    <w:rsid w:val="00441ADA"/>
    <w:rsid w:val="00457E46"/>
    <w:rsid w:val="00496AF8"/>
    <w:rsid w:val="004A2954"/>
    <w:rsid w:val="004A575D"/>
    <w:rsid w:val="004B65C6"/>
    <w:rsid w:val="004D1DC7"/>
    <w:rsid w:val="004F7D7E"/>
    <w:rsid w:val="00500B0C"/>
    <w:rsid w:val="00516382"/>
    <w:rsid w:val="00537150"/>
    <w:rsid w:val="00540984"/>
    <w:rsid w:val="0054335C"/>
    <w:rsid w:val="00543851"/>
    <w:rsid w:val="00551BC1"/>
    <w:rsid w:val="0055559D"/>
    <w:rsid w:val="005569AE"/>
    <w:rsid w:val="005857F8"/>
    <w:rsid w:val="005B0D18"/>
    <w:rsid w:val="005B12C3"/>
    <w:rsid w:val="005B409D"/>
    <w:rsid w:val="005D0FDB"/>
    <w:rsid w:val="005D25E9"/>
    <w:rsid w:val="005D5A3A"/>
    <w:rsid w:val="005D6D59"/>
    <w:rsid w:val="00617390"/>
    <w:rsid w:val="00623420"/>
    <w:rsid w:val="00634768"/>
    <w:rsid w:val="0063596F"/>
    <w:rsid w:val="006709EB"/>
    <w:rsid w:val="00672824"/>
    <w:rsid w:val="0068184A"/>
    <w:rsid w:val="006B49A5"/>
    <w:rsid w:val="006B5C51"/>
    <w:rsid w:val="006C39CB"/>
    <w:rsid w:val="006C7F30"/>
    <w:rsid w:val="006E6FDD"/>
    <w:rsid w:val="006F4B7F"/>
    <w:rsid w:val="006F760B"/>
    <w:rsid w:val="00701CC3"/>
    <w:rsid w:val="00724801"/>
    <w:rsid w:val="00733711"/>
    <w:rsid w:val="0073373F"/>
    <w:rsid w:val="00734949"/>
    <w:rsid w:val="00736AEC"/>
    <w:rsid w:val="00736E0F"/>
    <w:rsid w:val="007434FA"/>
    <w:rsid w:val="007573F0"/>
    <w:rsid w:val="00765156"/>
    <w:rsid w:val="00767669"/>
    <w:rsid w:val="00773485"/>
    <w:rsid w:val="00776E8F"/>
    <w:rsid w:val="00776F6D"/>
    <w:rsid w:val="007A1DE7"/>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C263B"/>
    <w:rsid w:val="008D363B"/>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17C1"/>
    <w:rsid w:val="00B058A6"/>
    <w:rsid w:val="00B117D0"/>
    <w:rsid w:val="00B13998"/>
    <w:rsid w:val="00B439DD"/>
    <w:rsid w:val="00B52E0F"/>
    <w:rsid w:val="00B74629"/>
    <w:rsid w:val="00B91F58"/>
    <w:rsid w:val="00BA579E"/>
    <w:rsid w:val="00BE2295"/>
    <w:rsid w:val="00BE6373"/>
    <w:rsid w:val="00BF297B"/>
    <w:rsid w:val="00BF533A"/>
    <w:rsid w:val="00C101F5"/>
    <w:rsid w:val="00C32918"/>
    <w:rsid w:val="00C36FB1"/>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09E5"/>
    <w:rsid w:val="00D72995"/>
    <w:rsid w:val="00D95027"/>
    <w:rsid w:val="00DA7FA2"/>
    <w:rsid w:val="00DC2D8D"/>
    <w:rsid w:val="00DC5753"/>
    <w:rsid w:val="00DE1F5D"/>
    <w:rsid w:val="00DE50D8"/>
    <w:rsid w:val="00DF278A"/>
    <w:rsid w:val="00DF5CBE"/>
    <w:rsid w:val="00E1664B"/>
    <w:rsid w:val="00E30D12"/>
    <w:rsid w:val="00E3394E"/>
    <w:rsid w:val="00E35241"/>
    <w:rsid w:val="00E41417"/>
    <w:rsid w:val="00E536D3"/>
    <w:rsid w:val="00E57BE2"/>
    <w:rsid w:val="00E60528"/>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25A8"/>
    <w:rsid w:val="00FD4D82"/>
    <w:rsid w:val="00FE57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current-selection">
    <w:name w:val="current-selection"/>
    <w:basedOn w:val="DefaultParagraphFont"/>
    <w:rsid w:val="00D709E5"/>
  </w:style>
  <w:style w:type="character" w:customStyle="1" w:styleId="a">
    <w:name w:val="_"/>
    <w:basedOn w:val="DefaultParagraphFont"/>
    <w:rsid w:val="00D709E5"/>
  </w:style>
  <w:style w:type="paragraph" w:styleId="NormalWeb">
    <w:name w:val="Normal (Web)"/>
    <w:basedOn w:val="Normal"/>
    <w:uiPriority w:val="99"/>
    <w:semiHidden/>
    <w:unhideWhenUsed/>
    <w:rsid w:val="00D709E5"/>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2890184">
      <w:bodyDiv w:val="1"/>
      <w:marLeft w:val="0"/>
      <w:marRight w:val="0"/>
      <w:marTop w:val="0"/>
      <w:marBottom w:val="0"/>
      <w:divBdr>
        <w:top w:val="none" w:sz="0" w:space="0" w:color="auto"/>
        <w:left w:val="none" w:sz="0" w:space="0" w:color="auto"/>
        <w:bottom w:val="none" w:sz="0" w:space="0" w:color="auto"/>
        <w:right w:val="none" w:sz="0" w:space="0" w:color="auto"/>
      </w:divBdr>
      <w:divsChild>
        <w:div w:id="709649782">
          <w:marLeft w:val="0"/>
          <w:marRight w:val="0"/>
          <w:marTop w:val="0"/>
          <w:marBottom w:val="0"/>
          <w:divBdr>
            <w:top w:val="none" w:sz="0" w:space="0" w:color="auto"/>
            <w:left w:val="none" w:sz="0" w:space="0" w:color="auto"/>
            <w:bottom w:val="none" w:sz="0" w:space="0" w:color="auto"/>
            <w:right w:val="none" w:sz="0" w:space="0" w:color="auto"/>
          </w:divBdr>
          <w:divsChild>
            <w:div w:id="450704839">
              <w:marLeft w:val="0"/>
              <w:marRight w:val="0"/>
              <w:marTop w:val="0"/>
              <w:marBottom w:val="0"/>
              <w:divBdr>
                <w:top w:val="none" w:sz="0" w:space="0" w:color="auto"/>
                <w:left w:val="none" w:sz="0" w:space="0" w:color="auto"/>
                <w:bottom w:val="none" w:sz="0" w:space="0" w:color="auto"/>
                <w:right w:val="none" w:sz="0" w:space="0" w:color="auto"/>
              </w:divBdr>
              <w:divsChild>
                <w:div w:id="80565418">
                  <w:marLeft w:val="0"/>
                  <w:marRight w:val="0"/>
                  <w:marTop w:val="151"/>
                  <w:marBottom w:val="151"/>
                  <w:divBdr>
                    <w:top w:val="none" w:sz="0" w:space="0" w:color="auto"/>
                    <w:left w:val="none" w:sz="0" w:space="0" w:color="auto"/>
                    <w:bottom w:val="none" w:sz="0" w:space="0" w:color="auto"/>
                    <w:right w:val="none" w:sz="0" w:space="0" w:color="auto"/>
                  </w:divBdr>
                  <w:divsChild>
                    <w:div w:id="58865141">
                      <w:marLeft w:val="0"/>
                      <w:marRight w:val="0"/>
                      <w:marTop w:val="0"/>
                      <w:marBottom w:val="0"/>
                      <w:divBdr>
                        <w:top w:val="none" w:sz="0" w:space="0" w:color="auto"/>
                        <w:left w:val="none" w:sz="0" w:space="0" w:color="auto"/>
                        <w:bottom w:val="none" w:sz="0" w:space="0" w:color="auto"/>
                        <w:right w:val="none" w:sz="0" w:space="0" w:color="auto"/>
                      </w:divBdr>
                      <w:divsChild>
                        <w:div w:id="1963420881">
                          <w:marLeft w:val="0"/>
                          <w:marRight w:val="0"/>
                          <w:marTop w:val="0"/>
                          <w:marBottom w:val="0"/>
                          <w:divBdr>
                            <w:top w:val="none" w:sz="0" w:space="0" w:color="auto"/>
                            <w:left w:val="none" w:sz="0" w:space="0" w:color="auto"/>
                            <w:bottom w:val="none" w:sz="0" w:space="0" w:color="auto"/>
                            <w:right w:val="none" w:sz="0" w:space="0" w:color="auto"/>
                          </w:divBdr>
                        </w:div>
                        <w:div w:id="6265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985551">
      <w:bodyDiv w:val="1"/>
      <w:marLeft w:val="0"/>
      <w:marRight w:val="0"/>
      <w:marTop w:val="0"/>
      <w:marBottom w:val="0"/>
      <w:divBdr>
        <w:top w:val="none" w:sz="0" w:space="0" w:color="auto"/>
        <w:left w:val="none" w:sz="0" w:space="0" w:color="auto"/>
        <w:bottom w:val="none" w:sz="0" w:space="0" w:color="auto"/>
        <w:right w:val="none" w:sz="0" w:space="0" w:color="auto"/>
      </w:divBdr>
      <w:divsChild>
        <w:div w:id="1909803978">
          <w:marLeft w:val="0"/>
          <w:marRight w:val="0"/>
          <w:marTop w:val="0"/>
          <w:marBottom w:val="0"/>
          <w:divBdr>
            <w:top w:val="none" w:sz="0" w:space="0" w:color="auto"/>
            <w:left w:val="none" w:sz="0" w:space="0" w:color="auto"/>
            <w:bottom w:val="none" w:sz="0" w:space="0" w:color="auto"/>
            <w:right w:val="none" w:sz="0" w:space="0" w:color="auto"/>
          </w:divBdr>
          <w:divsChild>
            <w:div w:id="951281167">
              <w:marLeft w:val="0"/>
              <w:marRight w:val="0"/>
              <w:marTop w:val="0"/>
              <w:marBottom w:val="0"/>
              <w:divBdr>
                <w:top w:val="none" w:sz="0" w:space="0" w:color="auto"/>
                <w:left w:val="none" w:sz="0" w:space="0" w:color="auto"/>
                <w:bottom w:val="none" w:sz="0" w:space="0" w:color="auto"/>
                <w:right w:val="none" w:sz="0" w:space="0" w:color="auto"/>
              </w:divBdr>
              <w:divsChild>
                <w:div w:id="889614285">
                  <w:marLeft w:val="0"/>
                  <w:marRight w:val="0"/>
                  <w:marTop w:val="0"/>
                  <w:marBottom w:val="0"/>
                  <w:divBdr>
                    <w:top w:val="none" w:sz="0" w:space="0" w:color="auto"/>
                    <w:left w:val="none" w:sz="0" w:space="0" w:color="auto"/>
                    <w:bottom w:val="none" w:sz="0" w:space="0" w:color="auto"/>
                    <w:right w:val="none" w:sz="0" w:space="0" w:color="auto"/>
                  </w:divBdr>
                  <w:divsChild>
                    <w:div w:id="1002975657">
                      <w:marLeft w:val="0"/>
                      <w:marRight w:val="0"/>
                      <w:marTop w:val="0"/>
                      <w:marBottom w:val="0"/>
                      <w:divBdr>
                        <w:top w:val="none" w:sz="0" w:space="0" w:color="auto"/>
                        <w:left w:val="none" w:sz="0" w:space="0" w:color="auto"/>
                        <w:bottom w:val="none" w:sz="0" w:space="0" w:color="auto"/>
                        <w:right w:val="none" w:sz="0" w:space="0" w:color="auto"/>
                      </w:divBdr>
                      <w:divsChild>
                        <w:div w:id="113386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5195717">
      <w:bodyDiv w:val="1"/>
      <w:marLeft w:val="0"/>
      <w:marRight w:val="0"/>
      <w:marTop w:val="0"/>
      <w:marBottom w:val="0"/>
      <w:divBdr>
        <w:top w:val="none" w:sz="0" w:space="0" w:color="auto"/>
        <w:left w:val="none" w:sz="0" w:space="0" w:color="auto"/>
        <w:bottom w:val="none" w:sz="0" w:space="0" w:color="auto"/>
        <w:right w:val="none" w:sz="0" w:space="0" w:color="auto"/>
      </w:divBdr>
      <w:divsChild>
        <w:div w:id="1786074362">
          <w:marLeft w:val="0"/>
          <w:marRight w:val="0"/>
          <w:marTop w:val="0"/>
          <w:marBottom w:val="0"/>
          <w:divBdr>
            <w:top w:val="none" w:sz="0" w:space="0" w:color="auto"/>
            <w:left w:val="none" w:sz="0" w:space="0" w:color="auto"/>
            <w:bottom w:val="none" w:sz="0" w:space="0" w:color="auto"/>
            <w:right w:val="none" w:sz="0" w:space="0" w:color="auto"/>
          </w:divBdr>
          <w:divsChild>
            <w:div w:id="1504470573">
              <w:marLeft w:val="0"/>
              <w:marRight w:val="0"/>
              <w:marTop w:val="0"/>
              <w:marBottom w:val="0"/>
              <w:divBdr>
                <w:top w:val="none" w:sz="0" w:space="0" w:color="auto"/>
                <w:left w:val="none" w:sz="0" w:space="0" w:color="auto"/>
                <w:bottom w:val="none" w:sz="0" w:space="0" w:color="auto"/>
                <w:right w:val="none" w:sz="0" w:space="0" w:color="auto"/>
              </w:divBdr>
              <w:divsChild>
                <w:div w:id="1560745411">
                  <w:marLeft w:val="0"/>
                  <w:marRight w:val="0"/>
                  <w:marTop w:val="0"/>
                  <w:marBottom w:val="0"/>
                  <w:divBdr>
                    <w:top w:val="none" w:sz="0" w:space="0" w:color="auto"/>
                    <w:left w:val="none" w:sz="0" w:space="0" w:color="auto"/>
                    <w:bottom w:val="none" w:sz="0" w:space="0" w:color="auto"/>
                    <w:right w:val="none" w:sz="0" w:space="0" w:color="auto"/>
                  </w:divBdr>
                  <w:divsChild>
                    <w:div w:id="1207533">
                      <w:marLeft w:val="0"/>
                      <w:marRight w:val="0"/>
                      <w:marTop w:val="0"/>
                      <w:marBottom w:val="0"/>
                      <w:divBdr>
                        <w:top w:val="none" w:sz="0" w:space="0" w:color="auto"/>
                        <w:left w:val="none" w:sz="0" w:space="0" w:color="auto"/>
                        <w:bottom w:val="none" w:sz="0" w:space="0" w:color="auto"/>
                        <w:right w:val="none" w:sz="0" w:space="0" w:color="auto"/>
                      </w:divBdr>
                      <w:divsChild>
                        <w:div w:id="81128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9147595">
      <w:bodyDiv w:val="1"/>
      <w:marLeft w:val="0"/>
      <w:marRight w:val="0"/>
      <w:marTop w:val="0"/>
      <w:marBottom w:val="0"/>
      <w:divBdr>
        <w:top w:val="none" w:sz="0" w:space="0" w:color="auto"/>
        <w:left w:val="none" w:sz="0" w:space="0" w:color="auto"/>
        <w:bottom w:val="none" w:sz="0" w:space="0" w:color="auto"/>
        <w:right w:val="none" w:sz="0" w:space="0" w:color="auto"/>
      </w:divBdr>
      <w:divsChild>
        <w:div w:id="570383511">
          <w:marLeft w:val="0"/>
          <w:marRight w:val="0"/>
          <w:marTop w:val="0"/>
          <w:marBottom w:val="0"/>
          <w:divBdr>
            <w:top w:val="none" w:sz="0" w:space="0" w:color="auto"/>
            <w:left w:val="none" w:sz="0" w:space="0" w:color="auto"/>
            <w:bottom w:val="none" w:sz="0" w:space="0" w:color="auto"/>
            <w:right w:val="none" w:sz="0" w:space="0" w:color="auto"/>
          </w:divBdr>
          <w:divsChild>
            <w:div w:id="1389841714">
              <w:marLeft w:val="0"/>
              <w:marRight w:val="0"/>
              <w:marTop w:val="0"/>
              <w:marBottom w:val="0"/>
              <w:divBdr>
                <w:top w:val="none" w:sz="0" w:space="0" w:color="auto"/>
                <w:left w:val="none" w:sz="0" w:space="0" w:color="auto"/>
                <w:bottom w:val="none" w:sz="0" w:space="0" w:color="auto"/>
                <w:right w:val="none" w:sz="0" w:space="0" w:color="auto"/>
              </w:divBdr>
              <w:divsChild>
                <w:div w:id="1341544716">
                  <w:marLeft w:val="0"/>
                  <w:marRight w:val="0"/>
                  <w:marTop w:val="0"/>
                  <w:marBottom w:val="0"/>
                  <w:divBdr>
                    <w:top w:val="none" w:sz="0" w:space="0" w:color="auto"/>
                    <w:left w:val="none" w:sz="0" w:space="0" w:color="auto"/>
                    <w:bottom w:val="none" w:sz="0" w:space="0" w:color="auto"/>
                    <w:right w:val="none" w:sz="0" w:space="0" w:color="auto"/>
                  </w:divBdr>
                  <w:divsChild>
                    <w:div w:id="1143814066">
                      <w:marLeft w:val="0"/>
                      <w:marRight w:val="0"/>
                      <w:marTop w:val="0"/>
                      <w:marBottom w:val="0"/>
                      <w:divBdr>
                        <w:top w:val="none" w:sz="0" w:space="0" w:color="auto"/>
                        <w:left w:val="none" w:sz="0" w:space="0" w:color="auto"/>
                        <w:bottom w:val="none" w:sz="0" w:space="0" w:color="auto"/>
                        <w:right w:val="none" w:sz="0" w:space="0" w:color="auto"/>
                      </w:divBdr>
                      <w:divsChild>
                        <w:div w:id="66547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779683">
      <w:bodyDiv w:val="1"/>
      <w:marLeft w:val="0"/>
      <w:marRight w:val="0"/>
      <w:marTop w:val="0"/>
      <w:marBottom w:val="0"/>
      <w:divBdr>
        <w:top w:val="none" w:sz="0" w:space="0" w:color="auto"/>
        <w:left w:val="none" w:sz="0" w:space="0" w:color="auto"/>
        <w:bottom w:val="none" w:sz="0" w:space="0" w:color="auto"/>
        <w:right w:val="none" w:sz="0" w:space="0" w:color="auto"/>
      </w:divBdr>
      <w:divsChild>
        <w:div w:id="1592540094">
          <w:marLeft w:val="0"/>
          <w:marRight w:val="0"/>
          <w:marTop w:val="0"/>
          <w:marBottom w:val="0"/>
          <w:divBdr>
            <w:top w:val="none" w:sz="0" w:space="0" w:color="auto"/>
            <w:left w:val="none" w:sz="0" w:space="0" w:color="auto"/>
            <w:bottom w:val="none" w:sz="0" w:space="0" w:color="auto"/>
            <w:right w:val="none" w:sz="0" w:space="0" w:color="auto"/>
          </w:divBdr>
          <w:divsChild>
            <w:div w:id="656302403">
              <w:marLeft w:val="0"/>
              <w:marRight w:val="0"/>
              <w:marTop w:val="0"/>
              <w:marBottom w:val="0"/>
              <w:divBdr>
                <w:top w:val="none" w:sz="0" w:space="0" w:color="auto"/>
                <w:left w:val="none" w:sz="0" w:space="0" w:color="auto"/>
                <w:bottom w:val="none" w:sz="0" w:space="0" w:color="auto"/>
                <w:right w:val="none" w:sz="0" w:space="0" w:color="auto"/>
              </w:divBdr>
              <w:divsChild>
                <w:div w:id="396169465">
                  <w:marLeft w:val="0"/>
                  <w:marRight w:val="0"/>
                  <w:marTop w:val="151"/>
                  <w:marBottom w:val="151"/>
                  <w:divBdr>
                    <w:top w:val="none" w:sz="0" w:space="0" w:color="auto"/>
                    <w:left w:val="none" w:sz="0" w:space="0" w:color="auto"/>
                    <w:bottom w:val="none" w:sz="0" w:space="0" w:color="auto"/>
                    <w:right w:val="none" w:sz="0" w:space="0" w:color="auto"/>
                  </w:divBdr>
                  <w:divsChild>
                    <w:div w:id="1288901304">
                      <w:marLeft w:val="0"/>
                      <w:marRight w:val="0"/>
                      <w:marTop w:val="0"/>
                      <w:marBottom w:val="0"/>
                      <w:divBdr>
                        <w:top w:val="none" w:sz="0" w:space="0" w:color="auto"/>
                        <w:left w:val="none" w:sz="0" w:space="0" w:color="auto"/>
                        <w:bottom w:val="none" w:sz="0" w:space="0" w:color="auto"/>
                        <w:right w:val="none" w:sz="0" w:space="0" w:color="auto"/>
                      </w:divBdr>
                      <w:divsChild>
                        <w:div w:id="1140222818">
                          <w:marLeft w:val="0"/>
                          <w:marRight w:val="0"/>
                          <w:marTop w:val="0"/>
                          <w:marBottom w:val="0"/>
                          <w:divBdr>
                            <w:top w:val="none" w:sz="0" w:space="0" w:color="auto"/>
                            <w:left w:val="none" w:sz="0" w:space="0" w:color="auto"/>
                            <w:bottom w:val="none" w:sz="0" w:space="0" w:color="auto"/>
                            <w:right w:val="none" w:sz="0" w:space="0" w:color="auto"/>
                          </w:divBdr>
                        </w:div>
                        <w:div w:id="618074005">
                          <w:marLeft w:val="0"/>
                          <w:marRight w:val="0"/>
                          <w:marTop w:val="0"/>
                          <w:marBottom w:val="0"/>
                          <w:divBdr>
                            <w:top w:val="none" w:sz="0" w:space="0" w:color="auto"/>
                            <w:left w:val="none" w:sz="0" w:space="0" w:color="auto"/>
                            <w:bottom w:val="none" w:sz="0" w:space="0" w:color="auto"/>
                            <w:right w:val="none" w:sz="0" w:space="0" w:color="auto"/>
                          </w:divBdr>
                        </w:div>
                        <w:div w:id="1628201301">
                          <w:marLeft w:val="0"/>
                          <w:marRight w:val="0"/>
                          <w:marTop w:val="0"/>
                          <w:marBottom w:val="0"/>
                          <w:divBdr>
                            <w:top w:val="none" w:sz="0" w:space="0" w:color="auto"/>
                            <w:left w:val="none" w:sz="0" w:space="0" w:color="auto"/>
                            <w:bottom w:val="none" w:sz="0" w:space="0" w:color="auto"/>
                            <w:right w:val="none" w:sz="0" w:space="0" w:color="auto"/>
                          </w:divBdr>
                        </w:div>
                        <w:div w:id="5349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hyperlink" Target="http://www.cdc.gov/mmwr/preview/mmwrhtml/mm6430a3.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hyperlink" Target="http://www.cdc.gov/mmwr/pdf/rr/rr59e0729.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hyperlink" Target="http://onlinelibrary.wiley.com/doi/10.1002/14651858.CD004879.pub4/abstrac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dc.gov/vaccines/ac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024A74"/>
    <w:rsid w:val="00160241"/>
    <w:rsid w:val="001605C3"/>
    <w:rsid w:val="00296D1C"/>
    <w:rsid w:val="002B5F47"/>
    <w:rsid w:val="003A1E4B"/>
    <w:rsid w:val="00455EB5"/>
    <w:rsid w:val="00461C1C"/>
    <w:rsid w:val="004E2027"/>
    <w:rsid w:val="005F21F3"/>
    <w:rsid w:val="008F6A9B"/>
    <w:rsid w:val="00B059B5"/>
    <w:rsid w:val="00BE0F2D"/>
    <w:rsid w:val="00C03643"/>
    <w:rsid w:val="00C2797F"/>
    <w:rsid w:val="00C80225"/>
    <w:rsid w:val="00CF7936"/>
    <w:rsid w:val="00D228C9"/>
    <w:rsid w:val="00DB5324"/>
    <w:rsid w:val="00E97654"/>
    <w:rsid w:val="00EA555A"/>
    <w:rsid w:val="00F87EB9"/>
    <w:rsid w:val="00F9218B"/>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ADE4D4E925EE44A48BA97C226E724D" ma:contentTypeVersion="0" ma:contentTypeDescription="Create a new document." ma:contentTypeScope="" ma:versionID="33b2859d5b62e3b917c6e10e72ad07a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B7F60-9890-4314-950D-C50DCBD6061D}">
  <ds:schemaRefs>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5A5D35F4-6315-4A5A-87BA-67C378DF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6F33C13E-0F94-4739-8B01-C819709A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3160</Words>
  <Characters>18013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21131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BDIckerson</cp:lastModifiedBy>
  <cp:revision>2</cp:revision>
  <cp:lastPrinted>2016-06-16T15:55:00Z</cp:lastPrinted>
  <dcterms:created xsi:type="dcterms:W3CDTF">2016-06-30T16:00:00Z</dcterms:created>
  <dcterms:modified xsi:type="dcterms:W3CDTF">2016-06-30T16:00:00Z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0x0101008BADE4D4E925EE44A48BA97C226E724D</vt:lpwstr>
  </property>
</Properties>
</file>