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096AA4" w:rsidRPr="00730A6D">
            <w:rPr>
              <w:rStyle w:val="Style1"/>
              <w:color w:val="FF0000"/>
            </w:rPr>
            <w:t>1659</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096AA4" w:rsidRPr="00730A6D">
            <w:rPr>
              <w:rStyle w:val="Style1"/>
              <w:rFonts w:cstheme="minorHAnsi"/>
              <w:color w:val="FF0000"/>
            </w:rPr>
            <w:t>Influenza Immunization</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878"/>
        <w:gridCol w:w="4698"/>
      </w:tblGrid>
      <w:tr w:rsidR="00CD364B" w:rsidRPr="00B82A57" w:rsidTr="000B3880">
        <w:trPr>
          <w:jc w:val="center"/>
        </w:trPr>
        <w:tc>
          <w:tcPr>
            <w:tcW w:w="2547" w:type="pct"/>
          </w:tcPr>
          <w:p w:rsidR="00CD364B" w:rsidRPr="00B82A57" w:rsidRDefault="00E0233F"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E0233F" w:rsidP="00CD364B">
            <w:pPr>
              <w:autoSpaceDE w:val="0"/>
              <w:autoSpaceDN w:val="0"/>
              <w:adjustRightInd w:val="0"/>
              <w:rPr>
                <w:rFonts w:cstheme="minorHAnsi"/>
                <w:bCs/>
              </w:rPr>
            </w:pPr>
            <w:sdt>
              <w:sdtPr>
                <w:rPr>
                  <w:rFonts w:cstheme="minorHAnsi"/>
                  <w:bCs/>
                  <w:color w:val="0000FF"/>
                </w:rPr>
                <w:id w:val="40960739"/>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E0233F" w:rsidP="00CD364B">
            <w:pPr>
              <w:autoSpaceDE w:val="0"/>
              <w:autoSpaceDN w:val="0"/>
              <w:adjustRightInd w:val="0"/>
              <w:rPr>
                <w:rFonts w:cstheme="minorHAnsi"/>
                <w:bCs/>
              </w:rPr>
            </w:pPr>
            <w:sdt>
              <w:sdtPr>
                <w:rPr>
                  <w:rFonts w:cstheme="minorHAnsi"/>
                  <w:bCs/>
                  <w:color w:val="0000FF"/>
                </w:rPr>
                <w:id w:val="-1629553688"/>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E0233F" w:rsidP="00617BF5">
            <w:pPr>
              <w:autoSpaceDE w:val="0"/>
              <w:autoSpaceDN w:val="0"/>
              <w:adjustRightInd w:val="0"/>
              <w:rPr>
                <w:rFonts w:cstheme="minorHAnsi"/>
                <w:bCs/>
              </w:rPr>
            </w:pPr>
            <w:sdt>
              <w:sdtPr>
                <w:rPr>
                  <w:rFonts w:cstheme="minorHAnsi"/>
                  <w:bCs/>
                  <w:color w:val="0000FF"/>
                </w:rPr>
                <w:id w:val="-1952933063"/>
              </w:sdtPr>
              <w:sdtContent>
                <w:r w:rsidR="00617BF5" w:rsidRPr="00730A6D">
                  <w:rPr>
                    <w:rFonts w:ascii="MS Gothic" w:eastAsia="MS Gothic" w:hAnsi="MS Gothic" w:cstheme="minorHAnsi" w:hint="eastAsia"/>
                    <w:bCs/>
                    <w:color w:val="FF0000"/>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E0233F" w:rsidP="00CD364B">
            <w:pPr>
              <w:autoSpaceDE w:val="0"/>
              <w:autoSpaceDN w:val="0"/>
              <w:adjustRightInd w:val="0"/>
              <w:rPr>
                <w:rFonts w:cstheme="minorHAnsi"/>
                <w:bCs/>
              </w:rPr>
            </w:pPr>
            <w:sdt>
              <w:sdtPr>
                <w:rPr>
                  <w:rFonts w:cstheme="minorHAnsi"/>
                  <w:bCs/>
                  <w:color w:val="0000FF"/>
                </w:rPr>
                <w:id w:val="1581719781"/>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E0233F" w:rsidP="00CD364B">
            <w:pPr>
              <w:autoSpaceDE w:val="0"/>
              <w:autoSpaceDN w:val="0"/>
              <w:adjustRightInd w:val="0"/>
              <w:rPr>
                <w:rFonts w:cstheme="minorHAnsi"/>
                <w:bCs/>
              </w:rPr>
            </w:pPr>
            <w:sdt>
              <w:sdtPr>
                <w:rPr>
                  <w:rFonts w:cstheme="minorHAnsi"/>
                  <w:bCs/>
                  <w:color w:val="0000FF"/>
                </w:rPr>
                <w:id w:val="-1898113707"/>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rsidR="005C73CA" w:rsidRDefault="005C73CA" w:rsidP="00702C73">
      <w:pPr>
        <w:spacing w:after="0" w:line="240" w:lineRule="auto"/>
        <w:rPr>
          <w:rFonts w:cstheme="minorHAnsi"/>
          <w:noProof/>
        </w:rPr>
      </w:pPr>
    </w:p>
    <w:tbl>
      <w:tblPr>
        <w:tblStyle w:val="TableGrid"/>
        <w:tblW w:w="5500" w:type="pct"/>
        <w:jc w:val="center"/>
        <w:tblLook w:val="04A0"/>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w:t>
            </w:r>
            <w:proofErr w:type="spellStart"/>
            <w:r w:rsidRPr="000F034A">
              <w:rPr>
                <w:rFonts w:ascii="Calibri" w:eastAsia="Calibri" w:hAnsi="Calibri" w:cs="Calibri"/>
              </w:rPr>
              <w:t>nonresponse</w:t>
            </w:r>
            <w:proofErr w:type="spellEnd"/>
            <w:r w:rsidRPr="000F034A">
              <w:rPr>
                <w:rFonts w:ascii="Calibri" w:eastAsia="Calibri" w:hAnsi="Calibri" w:cs="Calibri"/>
              </w:rPr>
              <w:t xml:space="preserv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Default="00702C73" w:rsidP="00702C73">
      <w:pPr>
        <w:spacing w:after="0" w:line="240" w:lineRule="auto"/>
        <w:rPr>
          <w:rFonts w:cstheme="minorHAnsi"/>
          <w:noProof/>
        </w:rPr>
      </w:pPr>
    </w:p>
    <w:p w:rsidR="0027501D" w:rsidRDefault="0027501D" w:rsidP="00702C73">
      <w:pPr>
        <w:spacing w:after="0" w:line="240" w:lineRule="auto"/>
        <w:rPr>
          <w:rFonts w:cstheme="minorHAnsi"/>
          <w:noProof/>
        </w:rPr>
      </w:pPr>
    </w:p>
    <w:p w:rsidR="0027501D" w:rsidRPr="00702C73" w:rsidRDefault="0027501D"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E0233F" w:rsidP="001A052B">
            <w:pPr>
              <w:autoSpaceDE w:val="0"/>
              <w:autoSpaceDN w:val="0"/>
              <w:adjustRightInd w:val="0"/>
              <w:rPr>
                <w:rFonts w:cstheme="minorHAnsi"/>
                <w:bCs/>
              </w:rPr>
            </w:pPr>
            <w:sdt>
              <w:sdtPr>
                <w:rPr>
                  <w:rFonts w:cstheme="minorHAnsi"/>
                  <w:bCs/>
                  <w:color w:val="0000FF"/>
                </w:rPr>
                <w:id w:val="-839233565"/>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E0233F" w:rsidP="00A06FF2">
            <w:pPr>
              <w:autoSpaceDE w:val="0"/>
              <w:autoSpaceDN w:val="0"/>
              <w:adjustRightInd w:val="0"/>
              <w:rPr>
                <w:rFonts w:cstheme="minorHAnsi"/>
                <w:bCs/>
              </w:rPr>
            </w:pPr>
            <w:sdt>
              <w:sdtPr>
                <w:rPr>
                  <w:rFonts w:cstheme="minorHAnsi"/>
                  <w:bCs/>
                  <w:color w:val="0000FF"/>
                </w:rPr>
                <w:id w:val="98917060"/>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E0233F" w:rsidP="0080335D">
            <w:pPr>
              <w:autoSpaceDE w:val="0"/>
              <w:autoSpaceDN w:val="0"/>
              <w:adjustRightInd w:val="0"/>
              <w:rPr>
                <w:rFonts w:cstheme="minorHAnsi"/>
                <w:bCs/>
              </w:rPr>
            </w:pPr>
            <w:sdt>
              <w:sdtPr>
                <w:rPr>
                  <w:rFonts w:cstheme="minorHAnsi"/>
                  <w:bCs/>
                  <w:color w:val="0000FF"/>
                </w:rPr>
                <w:id w:val="560149406"/>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E0233F" w:rsidP="0080335D">
            <w:pPr>
              <w:autoSpaceDE w:val="0"/>
              <w:autoSpaceDN w:val="0"/>
              <w:adjustRightInd w:val="0"/>
              <w:rPr>
                <w:rFonts w:cstheme="minorHAnsi"/>
                <w:bCs/>
              </w:rPr>
            </w:pPr>
            <w:sdt>
              <w:sdtPr>
                <w:rPr>
                  <w:rFonts w:cstheme="minorHAnsi"/>
                  <w:bCs/>
                  <w:color w:val="0000FF"/>
                </w:rPr>
                <w:id w:val="-387195507"/>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E0233F" w:rsidP="00DB3627">
            <w:pPr>
              <w:autoSpaceDE w:val="0"/>
              <w:autoSpaceDN w:val="0"/>
              <w:adjustRightInd w:val="0"/>
              <w:rPr>
                <w:rFonts w:cstheme="minorHAnsi"/>
                <w:bCs/>
              </w:rPr>
            </w:pPr>
            <w:sdt>
              <w:sdtPr>
                <w:rPr>
                  <w:rFonts w:cstheme="minorHAnsi"/>
                  <w:bCs/>
                  <w:color w:val="0000FF"/>
                </w:rPr>
                <w:id w:val="751091068"/>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E0233F" w:rsidP="00DB3627">
            <w:pPr>
              <w:autoSpaceDE w:val="0"/>
              <w:autoSpaceDN w:val="0"/>
              <w:adjustRightInd w:val="0"/>
              <w:rPr>
                <w:rFonts w:cstheme="minorHAnsi"/>
                <w:bCs/>
              </w:rPr>
            </w:pPr>
            <w:sdt>
              <w:sdtPr>
                <w:rPr>
                  <w:rFonts w:cstheme="minorHAnsi"/>
                  <w:bCs/>
                  <w:color w:val="0000FF"/>
                </w:rPr>
                <w:id w:val="547026371"/>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E0233F" w:rsidP="00A06FF2">
            <w:pPr>
              <w:autoSpaceDE w:val="0"/>
              <w:autoSpaceDN w:val="0"/>
              <w:adjustRightInd w:val="0"/>
              <w:rPr>
                <w:rFonts w:cstheme="minorHAnsi"/>
                <w:bCs/>
              </w:rPr>
            </w:pPr>
            <w:sdt>
              <w:sdtPr>
                <w:rPr>
                  <w:rFonts w:cstheme="minorHAnsi"/>
                  <w:bCs/>
                  <w:color w:val="0000FF"/>
                </w:rPr>
                <w:id w:val="1121342177"/>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E0233F" w:rsidP="001A052B">
            <w:pPr>
              <w:autoSpaceDE w:val="0"/>
              <w:autoSpaceDN w:val="0"/>
              <w:adjustRightInd w:val="0"/>
              <w:rPr>
                <w:rFonts w:cstheme="minorHAnsi"/>
                <w:bCs/>
              </w:rPr>
            </w:pPr>
            <w:sdt>
              <w:sdtPr>
                <w:rPr>
                  <w:rFonts w:cstheme="minorHAnsi"/>
                  <w:bCs/>
                  <w:color w:val="0000FF"/>
                </w:rPr>
                <w:id w:val="-359203911"/>
              </w:sdtPr>
              <w:sdtContent>
                <w:r w:rsidR="000B1A69" w:rsidRPr="000B1A69">
                  <w:rPr>
                    <w:rFonts w:ascii="MS Gothic" w:eastAsia="MS Gothic" w:hAnsi="MS Gothic" w:cstheme="minorHAnsi"/>
                    <w:bCs/>
                    <w:color w:val="FF0000"/>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E0233F" w:rsidP="00B82A57">
            <w:pPr>
              <w:autoSpaceDE w:val="0"/>
              <w:autoSpaceDN w:val="0"/>
              <w:adjustRightInd w:val="0"/>
              <w:rPr>
                <w:rFonts w:cstheme="minorHAnsi"/>
                <w:bCs/>
              </w:rPr>
            </w:pPr>
            <w:sdt>
              <w:sdtPr>
                <w:rPr>
                  <w:rFonts w:cstheme="minorHAnsi"/>
                  <w:bCs/>
                  <w:color w:val="0000FF"/>
                  <w:sz w:val="16"/>
                  <w:szCs w:val="16"/>
                </w:rPr>
                <w:id w:val="615648267"/>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E0233F" w:rsidP="00DB3627">
            <w:pPr>
              <w:autoSpaceDE w:val="0"/>
              <w:autoSpaceDN w:val="0"/>
              <w:adjustRightInd w:val="0"/>
              <w:rPr>
                <w:rFonts w:cstheme="minorHAnsi"/>
                <w:bCs/>
              </w:rPr>
            </w:pPr>
            <w:sdt>
              <w:sdtPr>
                <w:rPr>
                  <w:rFonts w:cstheme="minorHAnsi"/>
                  <w:bCs/>
                  <w:color w:val="0000FF"/>
                </w:rPr>
                <w:id w:val="498854310"/>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E0233F" w:rsidP="00DB3627">
            <w:pPr>
              <w:autoSpaceDE w:val="0"/>
              <w:autoSpaceDN w:val="0"/>
              <w:adjustRightInd w:val="0"/>
              <w:rPr>
                <w:rFonts w:cstheme="minorHAnsi"/>
                <w:bCs/>
              </w:rPr>
            </w:pPr>
            <w:sdt>
              <w:sdtPr>
                <w:rPr>
                  <w:rFonts w:cstheme="minorHAnsi"/>
                  <w:bCs/>
                  <w:color w:val="0000FF"/>
                </w:rPr>
                <w:id w:val="1316375390"/>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E0233F" w:rsidP="00DB3627">
            <w:pPr>
              <w:autoSpaceDE w:val="0"/>
              <w:autoSpaceDN w:val="0"/>
              <w:adjustRightInd w:val="0"/>
              <w:rPr>
                <w:rFonts w:cstheme="minorHAnsi"/>
                <w:bCs/>
              </w:rPr>
            </w:pPr>
            <w:sdt>
              <w:sdtPr>
                <w:rPr>
                  <w:rFonts w:cstheme="minorHAnsi"/>
                  <w:bCs/>
                  <w:color w:val="0000FF"/>
                </w:rPr>
                <w:id w:val="1689098749"/>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B40FF3" w:rsidRDefault="00B40FF3" w:rsidP="00DB3627">
      <w:pPr>
        <w:autoSpaceDE w:val="0"/>
        <w:autoSpaceDN w:val="0"/>
        <w:adjustRightInd w:val="0"/>
        <w:spacing w:after="0" w:line="240" w:lineRule="auto"/>
        <w:rPr>
          <w:rFonts w:cstheme="minorHAnsi"/>
          <w:bCs/>
        </w:rPr>
      </w:pPr>
    </w:p>
    <w:p w:rsidR="001927BC" w:rsidRDefault="001927BC" w:rsidP="00DB3627">
      <w:pPr>
        <w:autoSpaceDE w:val="0"/>
        <w:autoSpaceDN w:val="0"/>
        <w:adjustRightInd w:val="0"/>
        <w:spacing w:after="0" w:line="240" w:lineRule="auto"/>
        <w:rPr>
          <w:rFonts w:cstheme="minorHAnsi"/>
          <w:bCs/>
          <w:color w:val="FF0000"/>
          <w:u w:val="single"/>
        </w:rPr>
      </w:pPr>
      <w:r>
        <w:rPr>
          <w:rFonts w:cstheme="minorHAnsi"/>
          <w:bCs/>
          <w:color w:val="FF0000"/>
          <w:u w:val="single"/>
        </w:rPr>
        <w:t>Reliability testing</w:t>
      </w:r>
      <w:r w:rsidRPr="00DD2D18">
        <w:rPr>
          <w:rFonts w:cstheme="minorHAnsi"/>
          <w:bCs/>
          <w:color w:val="FF0000"/>
        </w:rPr>
        <w:t xml:space="preserve"> is based upon national hospital-level data publicly available on the Hospital Compare </w:t>
      </w:r>
      <w:r w:rsidRPr="008B264B">
        <w:rPr>
          <w:rFonts w:cstheme="minorHAnsi"/>
          <w:bCs/>
          <w:color w:val="FF0000"/>
        </w:rPr>
        <w:t>website (</w:t>
      </w:r>
      <w:hyperlink r:id="rId12" w:history="1">
        <w:r w:rsidRPr="008B264B">
          <w:rPr>
            <w:rStyle w:val="Hyperlink"/>
            <w:rFonts w:cstheme="minorHAnsi"/>
            <w:bCs/>
            <w:color w:val="FF0000"/>
            <w:u w:val="none"/>
          </w:rPr>
          <w:t>https://data.medicare.gov/data/hospital-compare</w:t>
        </w:r>
      </w:hyperlink>
      <w:r w:rsidRPr="008B264B">
        <w:rPr>
          <w:rFonts w:cstheme="minorHAnsi"/>
          <w:bCs/>
          <w:color w:val="FF0000"/>
        </w:rPr>
        <w:t>) for the IMM-2 (Influenza Immunization)</w:t>
      </w:r>
      <w:r w:rsidRPr="00DD2D18">
        <w:rPr>
          <w:rFonts w:cstheme="minorHAnsi"/>
          <w:bCs/>
          <w:color w:val="FF0000"/>
        </w:rPr>
        <w:t xml:space="preserve"> measure. </w:t>
      </w:r>
      <w:r w:rsidR="00DD2D18" w:rsidRPr="00DD2D18">
        <w:rPr>
          <w:rFonts w:cstheme="minorHAnsi"/>
          <w:bCs/>
          <w:color w:val="FF0000"/>
        </w:rPr>
        <w:t xml:space="preserve">This dataset is maintained by CMS. </w:t>
      </w:r>
    </w:p>
    <w:p w:rsidR="001927BC" w:rsidRDefault="001927BC" w:rsidP="00DB3627">
      <w:pPr>
        <w:autoSpaceDE w:val="0"/>
        <w:autoSpaceDN w:val="0"/>
        <w:adjustRightInd w:val="0"/>
        <w:spacing w:after="0" w:line="240" w:lineRule="auto"/>
        <w:rPr>
          <w:rFonts w:cstheme="minorHAnsi"/>
          <w:bCs/>
          <w:color w:val="FF0000"/>
          <w:u w:val="single"/>
        </w:rPr>
      </w:pPr>
    </w:p>
    <w:p w:rsidR="009E1846" w:rsidRDefault="00FD237C" w:rsidP="00DB3627">
      <w:pPr>
        <w:autoSpaceDE w:val="0"/>
        <w:autoSpaceDN w:val="0"/>
        <w:adjustRightInd w:val="0"/>
        <w:spacing w:after="0" w:line="240" w:lineRule="auto"/>
        <w:rPr>
          <w:rFonts w:cstheme="minorHAnsi"/>
          <w:bCs/>
          <w:color w:val="FF0000"/>
        </w:rPr>
      </w:pPr>
      <w:r w:rsidRPr="00F33DE6">
        <w:rPr>
          <w:rFonts w:cstheme="minorHAnsi"/>
          <w:bCs/>
          <w:color w:val="FF0000"/>
          <w:u w:val="single"/>
        </w:rPr>
        <w:t>Validity testing</w:t>
      </w:r>
      <w:r w:rsidR="00773465" w:rsidRPr="00773465">
        <w:rPr>
          <w:rFonts w:cstheme="minorHAnsi"/>
          <w:bCs/>
          <w:color w:val="FF0000"/>
        </w:rPr>
        <w:t xml:space="preserve"> is based upon </w:t>
      </w:r>
      <w:r w:rsidR="00DD2D18">
        <w:rPr>
          <w:rFonts w:cstheme="minorHAnsi"/>
          <w:bCs/>
          <w:color w:val="FF0000"/>
        </w:rPr>
        <w:t xml:space="preserve">patient-level </w:t>
      </w:r>
      <w:r w:rsidR="00773465" w:rsidRPr="00773465">
        <w:rPr>
          <w:rFonts w:cstheme="minorHAnsi"/>
          <w:bCs/>
          <w:color w:val="FF0000"/>
        </w:rPr>
        <w:t xml:space="preserve">data submitted to the CMS </w:t>
      </w:r>
      <w:r w:rsidR="00DD2D18">
        <w:rPr>
          <w:rFonts w:cstheme="minorHAnsi"/>
          <w:bCs/>
          <w:color w:val="FF0000"/>
        </w:rPr>
        <w:t>C</w:t>
      </w:r>
      <w:r w:rsidR="00DD2D18" w:rsidRPr="00773465">
        <w:rPr>
          <w:rFonts w:cstheme="minorHAnsi"/>
          <w:bCs/>
          <w:color w:val="FF0000"/>
        </w:rPr>
        <w:t xml:space="preserve">linical </w:t>
      </w:r>
      <w:r w:rsidR="00DD2D18">
        <w:rPr>
          <w:rFonts w:cstheme="minorHAnsi"/>
          <w:bCs/>
          <w:color w:val="FF0000"/>
        </w:rPr>
        <w:t>D</w:t>
      </w:r>
      <w:r w:rsidR="00DD2D18" w:rsidRPr="00773465">
        <w:rPr>
          <w:rFonts w:cstheme="minorHAnsi"/>
          <w:bCs/>
          <w:color w:val="FF0000"/>
        </w:rPr>
        <w:t xml:space="preserve">ata </w:t>
      </w:r>
      <w:r w:rsidR="00DD2D18">
        <w:rPr>
          <w:rFonts w:cstheme="minorHAnsi"/>
          <w:bCs/>
          <w:color w:val="FF0000"/>
        </w:rPr>
        <w:t>W</w:t>
      </w:r>
      <w:r w:rsidR="00DD2D18" w:rsidRPr="00773465">
        <w:rPr>
          <w:rFonts w:cstheme="minorHAnsi"/>
          <w:bCs/>
          <w:color w:val="FF0000"/>
        </w:rPr>
        <w:t xml:space="preserve">arehouse </w:t>
      </w:r>
      <w:r w:rsidR="00773465" w:rsidRPr="00773465">
        <w:rPr>
          <w:rFonts w:cstheme="minorHAnsi"/>
          <w:bCs/>
          <w:color w:val="FF0000"/>
        </w:rPr>
        <w:t xml:space="preserve">for the IMM-2 (Influenza Immunization) measure by hospitals </w:t>
      </w:r>
      <w:r w:rsidR="000B1A69">
        <w:rPr>
          <w:rFonts w:cstheme="minorHAnsi"/>
          <w:bCs/>
          <w:color w:val="FF0000"/>
        </w:rPr>
        <w:t xml:space="preserve">participating in the </w:t>
      </w:r>
      <w:r w:rsidR="000B1A69" w:rsidRPr="000B1A69">
        <w:rPr>
          <w:rFonts w:cstheme="minorHAnsi"/>
          <w:bCs/>
          <w:color w:val="FF0000"/>
        </w:rPr>
        <w:t>CMS Hospital Inpatient Quality Reporting Program.</w:t>
      </w:r>
      <w:r w:rsidR="00D436BD">
        <w:rPr>
          <w:rFonts w:cstheme="minorHAnsi"/>
          <w:bCs/>
          <w:color w:val="FF0000"/>
        </w:rPr>
        <w:t xml:space="preserve"> (Note: hospitals that do not participate in Hospital Inpatient Quality Reporting Program may also voluntarily submit data to the </w:t>
      </w:r>
      <w:proofErr w:type="spellStart"/>
      <w:r w:rsidR="00D436BD">
        <w:rPr>
          <w:rFonts w:cstheme="minorHAnsi"/>
          <w:bCs/>
          <w:color w:val="FF0000"/>
        </w:rPr>
        <w:t>Clincal</w:t>
      </w:r>
      <w:proofErr w:type="spellEnd"/>
      <w:r w:rsidR="00D436BD">
        <w:rPr>
          <w:rFonts w:cstheme="minorHAnsi"/>
          <w:bCs/>
          <w:color w:val="FF0000"/>
        </w:rPr>
        <w:t xml:space="preserve"> Data Warehouse, however, validation activities are restricted to those hospitals participating in the Hospital Inpatient Quality Reporting Program since validation is done by another CMS contractor for program purposes.)</w:t>
      </w:r>
    </w:p>
    <w:p w:rsidR="00EC1A08" w:rsidRDefault="00EC1A08" w:rsidP="00DB3627">
      <w:pPr>
        <w:autoSpaceDE w:val="0"/>
        <w:autoSpaceDN w:val="0"/>
        <w:adjustRightInd w:val="0"/>
        <w:spacing w:after="0" w:line="240" w:lineRule="auto"/>
        <w:rPr>
          <w:rFonts w:cstheme="minorHAnsi"/>
          <w:bCs/>
          <w:color w:val="FF0000"/>
        </w:rPr>
      </w:pPr>
    </w:p>
    <w:p w:rsidR="00EC1A08" w:rsidRPr="00BC2184" w:rsidRDefault="00FD237C" w:rsidP="00DB3627">
      <w:pPr>
        <w:autoSpaceDE w:val="0"/>
        <w:autoSpaceDN w:val="0"/>
        <w:adjustRightInd w:val="0"/>
        <w:spacing w:after="0" w:line="240" w:lineRule="auto"/>
        <w:rPr>
          <w:rFonts w:cstheme="minorHAnsi"/>
          <w:bCs/>
          <w:color w:val="FF0000"/>
        </w:rPr>
      </w:pPr>
      <w:r w:rsidRPr="00F33DE6">
        <w:rPr>
          <w:rFonts w:cstheme="minorHAnsi"/>
          <w:bCs/>
          <w:color w:val="FF0000"/>
          <w:u w:val="single"/>
        </w:rPr>
        <w:t>Exclusion testing</w:t>
      </w:r>
      <w:r w:rsidR="00EC1A08">
        <w:rPr>
          <w:rFonts w:cstheme="minorHAnsi"/>
          <w:bCs/>
          <w:color w:val="FF0000"/>
        </w:rPr>
        <w:t xml:space="preserve"> is based upon </w:t>
      </w:r>
      <w:r w:rsidR="00DD2D18">
        <w:rPr>
          <w:rFonts w:cstheme="minorHAnsi"/>
          <w:bCs/>
          <w:color w:val="FF0000"/>
        </w:rPr>
        <w:t xml:space="preserve">patient-level </w:t>
      </w:r>
      <w:r w:rsidR="00EC1A08">
        <w:rPr>
          <w:rFonts w:cstheme="minorHAnsi"/>
          <w:bCs/>
          <w:color w:val="FF0000"/>
        </w:rPr>
        <w:t xml:space="preserve">data submitted </w:t>
      </w:r>
      <w:r w:rsidR="001927BC">
        <w:rPr>
          <w:rFonts w:cstheme="minorHAnsi"/>
          <w:bCs/>
          <w:color w:val="FF0000"/>
        </w:rPr>
        <w:t xml:space="preserve">to the </w:t>
      </w:r>
      <w:r w:rsidR="00EC1A08" w:rsidRPr="00773465">
        <w:rPr>
          <w:rFonts w:cstheme="minorHAnsi"/>
          <w:bCs/>
          <w:color w:val="FF0000"/>
        </w:rPr>
        <w:t xml:space="preserve">CMS </w:t>
      </w:r>
      <w:r w:rsidR="00DD2D18">
        <w:rPr>
          <w:rFonts w:cstheme="minorHAnsi"/>
          <w:bCs/>
          <w:color w:val="FF0000"/>
        </w:rPr>
        <w:t>C</w:t>
      </w:r>
      <w:r w:rsidR="00DD2D18" w:rsidRPr="00773465">
        <w:rPr>
          <w:rFonts w:cstheme="minorHAnsi"/>
          <w:bCs/>
          <w:color w:val="FF0000"/>
        </w:rPr>
        <w:t xml:space="preserve">linical </w:t>
      </w:r>
      <w:r w:rsidR="00DD2D18">
        <w:rPr>
          <w:rFonts w:cstheme="minorHAnsi"/>
          <w:bCs/>
          <w:color w:val="FF0000"/>
        </w:rPr>
        <w:t>D</w:t>
      </w:r>
      <w:r w:rsidR="00DD2D18" w:rsidRPr="00773465">
        <w:rPr>
          <w:rFonts w:cstheme="minorHAnsi"/>
          <w:bCs/>
          <w:color w:val="FF0000"/>
        </w:rPr>
        <w:t xml:space="preserve">ata </w:t>
      </w:r>
      <w:r w:rsidR="00DD2D18">
        <w:rPr>
          <w:rFonts w:cstheme="minorHAnsi"/>
          <w:bCs/>
          <w:color w:val="FF0000"/>
        </w:rPr>
        <w:t>W</w:t>
      </w:r>
      <w:r w:rsidR="00DD2D18" w:rsidRPr="00773465">
        <w:rPr>
          <w:rFonts w:cstheme="minorHAnsi"/>
          <w:bCs/>
          <w:color w:val="FF0000"/>
        </w:rPr>
        <w:t xml:space="preserve">arehouse </w:t>
      </w:r>
      <w:r w:rsidR="00EC1A08" w:rsidRPr="00773465">
        <w:rPr>
          <w:rFonts w:cstheme="minorHAnsi"/>
          <w:bCs/>
          <w:color w:val="FF0000"/>
        </w:rPr>
        <w:t xml:space="preserve">for the IMM-2 (Influenza Immunization) measure by </w:t>
      </w:r>
      <w:r w:rsidR="00EC1A08">
        <w:rPr>
          <w:rFonts w:cstheme="minorHAnsi"/>
          <w:bCs/>
          <w:color w:val="FF0000"/>
        </w:rPr>
        <w:t xml:space="preserve">all </w:t>
      </w:r>
      <w:r w:rsidR="00EC1A08" w:rsidRPr="00773465">
        <w:rPr>
          <w:rFonts w:cstheme="minorHAnsi"/>
          <w:bCs/>
          <w:color w:val="FF0000"/>
        </w:rPr>
        <w:t>hospitals</w:t>
      </w:r>
      <w:r w:rsidR="00EC1A08">
        <w:rPr>
          <w:rFonts w:cstheme="minorHAnsi"/>
          <w:bCs/>
          <w:color w:val="FF0000"/>
        </w:rPr>
        <w:t xml:space="preserve"> choosing to submit data</w:t>
      </w:r>
      <w:r w:rsidR="00D436BD">
        <w:rPr>
          <w:rFonts w:cstheme="minorHAnsi"/>
          <w:bCs/>
          <w:color w:val="FF0000"/>
        </w:rPr>
        <w:t xml:space="preserve">, which, as noted above, is all hospitals participating in the CMS Hospital Inpatient Quality </w:t>
      </w:r>
      <w:proofErr w:type="spellStart"/>
      <w:r w:rsidR="00D436BD">
        <w:rPr>
          <w:rFonts w:cstheme="minorHAnsi"/>
          <w:bCs/>
          <w:color w:val="FF0000"/>
        </w:rPr>
        <w:t>Reporing</w:t>
      </w:r>
      <w:proofErr w:type="spellEnd"/>
      <w:r w:rsidR="00D436BD">
        <w:rPr>
          <w:rFonts w:cstheme="minorHAnsi"/>
          <w:bCs/>
          <w:color w:val="FF0000"/>
        </w:rPr>
        <w:t xml:space="preserve"> Program and those hospitals not participating but voluntarily submitting data</w:t>
      </w:r>
      <w:r w:rsidR="00EC1A08">
        <w:rPr>
          <w:rFonts w:cstheme="minorHAnsi"/>
          <w:bCs/>
          <w:color w:val="FF0000"/>
        </w:rPr>
        <w:t>.</w:t>
      </w:r>
    </w:p>
    <w:p w:rsidR="00467AD8" w:rsidRPr="009C02DA" w:rsidRDefault="00467AD8" w:rsidP="00DB3627">
      <w:pPr>
        <w:autoSpaceDE w:val="0"/>
        <w:autoSpaceDN w:val="0"/>
        <w:adjustRightInd w:val="0"/>
        <w:spacing w:after="0" w:line="240" w:lineRule="auto"/>
        <w:rPr>
          <w:rFonts w:cstheme="minorHAnsi"/>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color w:val="FF0000"/>
          </w:rPr>
          <w:id w:val="950514773"/>
          <w:text/>
        </w:sdtPr>
        <w:sdtEndPr>
          <w:rPr>
            <w:rStyle w:val="DefaultParagraphFont"/>
            <w:rFonts w:cstheme="minorHAnsi"/>
          </w:rPr>
        </w:sdtEndPr>
        <w:sdtContent>
          <w:r w:rsidR="000B1A69" w:rsidRPr="000B1A69">
            <w:rPr>
              <w:rStyle w:val="Style1"/>
              <w:color w:val="FF0000"/>
            </w:rPr>
            <w:t>October 1, 2014 – March 31, 2015</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447514278"/>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1571624283"/>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834455086"/>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412627602"/>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E0233F" w:rsidP="001A052B">
            <w:pPr>
              <w:autoSpaceDE w:val="0"/>
              <w:autoSpaceDN w:val="0"/>
              <w:adjustRightInd w:val="0"/>
              <w:rPr>
                <w:rFonts w:cstheme="minorHAnsi"/>
                <w:bCs/>
              </w:rPr>
            </w:pPr>
            <w:sdt>
              <w:sdtPr>
                <w:rPr>
                  <w:rFonts w:cstheme="minorHAnsi"/>
                  <w:bCs/>
                  <w:color w:val="0000FF"/>
                </w:rPr>
                <w:id w:val="-1855098074"/>
              </w:sdtPr>
              <w:sdtContent>
                <w:r w:rsidR="000B1A69" w:rsidRPr="000B1A69">
                  <w:rPr>
                    <w:rFonts w:ascii="MS Gothic" w:eastAsia="MS Gothic" w:hAnsi="MS Gothic" w:cstheme="minorHAnsi"/>
                    <w:bCs/>
                    <w:color w:val="FF0000"/>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E0233F" w:rsidP="001A052B">
            <w:pPr>
              <w:autoSpaceDE w:val="0"/>
              <w:autoSpaceDN w:val="0"/>
              <w:adjustRightInd w:val="0"/>
              <w:rPr>
                <w:rFonts w:cstheme="minorHAnsi"/>
                <w:bCs/>
              </w:rPr>
            </w:pPr>
            <w:sdt>
              <w:sdtPr>
                <w:rPr>
                  <w:rFonts w:cstheme="minorHAnsi"/>
                  <w:bCs/>
                  <w:color w:val="0000FF"/>
                </w:rPr>
                <w:id w:val="1857455968"/>
              </w:sdtPr>
              <w:sdtContent>
                <w:r w:rsidR="000B1A69" w:rsidRPr="000B1A69">
                  <w:rPr>
                    <w:rFonts w:ascii="MS Gothic" w:eastAsia="MS Gothic" w:hAnsi="MS Gothic" w:cstheme="minorHAnsi"/>
                    <w:bCs/>
                    <w:color w:val="FF0000"/>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275535217"/>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1896924375"/>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1138024150"/>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E0233F" w:rsidP="00D61410">
            <w:pPr>
              <w:autoSpaceDE w:val="0"/>
              <w:autoSpaceDN w:val="0"/>
              <w:adjustRightInd w:val="0"/>
              <w:rPr>
                <w:rFonts w:cstheme="minorHAnsi"/>
                <w:bCs/>
              </w:rPr>
            </w:pPr>
            <w:sdt>
              <w:sdtPr>
                <w:rPr>
                  <w:rFonts w:cstheme="minorHAnsi"/>
                  <w:bCs/>
                  <w:color w:val="0000FF"/>
                </w:rPr>
                <w:id w:val="-417333514"/>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9C02DA" w:rsidRDefault="009C02DA" w:rsidP="00DB3627">
      <w:pPr>
        <w:autoSpaceDE w:val="0"/>
        <w:autoSpaceDN w:val="0"/>
        <w:adjustRightInd w:val="0"/>
        <w:spacing w:after="0" w:line="240" w:lineRule="auto"/>
        <w:rPr>
          <w:rFonts w:cstheme="minorHAnsi"/>
          <w:bCs/>
        </w:rPr>
      </w:pPr>
    </w:p>
    <w:p w:rsidR="002A7B84" w:rsidRPr="009C02DA" w:rsidRDefault="002A7B84" w:rsidP="002A7B84">
      <w:pPr>
        <w:autoSpaceDE w:val="0"/>
        <w:autoSpaceDN w:val="0"/>
        <w:adjustRightInd w:val="0"/>
        <w:spacing w:after="0" w:line="240" w:lineRule="auto"/>
        <w:rPr>
          <w:rFonts w:cstheme="minorHAnsi"/>
          <w:bCs/>
        </w:rPr>
      </w:pPr>
      <w:r w:rsidRPr="009C02DA">
        <w:rPr>
          <w:rFonts w:cstheme="minorHAnsi"/>
          <w:bCs/>
        </w:rPr>
        <w:t>Since 2005, CMS has conducted on a regular basis through its contractor “the Clinical Data Abstraction Center (CDAC)” various tests of data elements involved in the assessment of several performance, including Influenza Immunization for patients 50 years of age and older. Each month, CDAC randomly selects a national sample of 80 cases that had been previously abstracted by hospitals and submitted to the Clinical Data Warehouse. The medical charts for these 80 cases are re-abstracted by CDAC abstractors and compared to the data submitted by the hospitals. The annual sample amounts to 960 cases (12 * 80 per month).</w:t>
      </w:r>
    </w:p>
    <w:p w:rsidR="002A7B84" w:rsidRPr="009C02DA" w:rsidRDefault="002A7B84" w:rsidP="002A7B84">
      <w:pPr>
        <w:autoSpaceDE w:val="0"/>
        <w:autoSpaceDN w:val="0"/>
        <w:adjustRightInd w:val="0"/>
        <w:spacing w:after="0" w:line="240" w:lineRule="auto"/>
        <w:rPr>
          <w:rFonts w:cstheme="minorHAnsi"/>
          <w:bCs/>
        </w:rPr>
      </w:pPr>
    </w:p>
    <w:p w:rsidR="0009577A" w:rsidRPr="00F33DE6" w:rsidRDefault="00FD237C" w:rsidP="00DB3627">
      <w:pPr>
        <w:autoSpaceDE w:val="0"/>
        <w:autoSpaceDN w:val="0"/>
        <w:adjustRightInd w:val="0"/>
        <w:spacing w:after="0" w:line="240" w:lineRule="auto"/>
        <w:rPr>
          <w:rFonts w:cstheme="minorHAnsi"/>
          <w:b/>
          <w:bCs/>
          <w:color w:val="FF0000"/>
          <w:u w:val="single"/>
        </w:rPr>
      </w:pPr>
      <w:r w:rsidRPr="00F33DE6">
        <w:rPr>
          <w:rFonts w:cstheme="minorHAnsi"/>
          <w:b/>
          <w:bCs/>
          <w:color w:val="FF0000"/>
          <w:u w:val="single"/>
        </w:rPr>
        <w:t>Reliability Testing</w:t>
      </w:r>
    </w:p>
    <w:p w:rsidR="0009577A" w:rsidRPr="00F33DE6" w:rsidRDefault="00FD237C" w:rsidP="00DB3627">
      <w:pPr>
        <w:autoSpaceDE w:val="0"/>
        <w:autoSpaceDN w:val="0"/>
        <w:adjustRightInd w:val="0"/>
        <w:spacing w:after="0" w:line="240" w:lineRule="auto"/>
        <w:rPr>
          <w:rFonts w:cstheme="minorHAnsi"/>
          <w:bCs/>
          <w:color w:val="FF0000"/>
        </w:rPr>
      </w:pPr>
      <w:r w:rsidRPr="00F33DE6">
        <w:rPr>
          <w:rFonts w:cstheme="minorHAnsi"/>
          <w:bCs/>
          <w:color w:val="FF0000"/>
        </w:rPr>
        <w:t>For reliability testing we used the Hospital Compare downloadable data file containing hospital, state, and national level performance for IMM-2. For IMM-2, the data file included 4,765 hospitals over the period of October 1, 2014 – March 31, 2015. Because this dat</w:t>
      </w:r>
      <w:r w:rsidR="00B40FF3">
        <w:rPr>
          <w:rFonts w:cstheme="minorHAnsi"/>
          <w:bCs/>
          <w:color w:val="FF0000"/>
        </w:rPr>
        <w:t xml:space="preserve">aset is associated with public </w:t>
      </w:r>
      <w:r w:rsidRPr="00F33DE6">
        <w:rPr>
          <w:rFonts w:cstheme="minorHAnsi"/>
          <w:bCs/>
          <w:color w:val="FF0000"/>
        </w:rPr>
        <w:t xml:space="preserve">reporting, hospitals do not meet the minimum case count requirement (footnote 1); hospitals results were unavailable for this reporting period (footnote 5); and hospitals that did not meet the criteria for reporting this measure for other reasons (footnote 7) had their sample and score marked as “Not Available.” After removing these hospitals from our data file, we were left with 3,748 unique hospitals for our measure-level reliability analysis. </w:t>
      </w:r>
    </w:p>
    <w:p w:rsidR="0009577A" w:rsidRPr="009C02DA" w:rsidRDefault="0009577A" w:rsidP="00DB3627">
      <w:pPr>
        <w:autoSpaceDE w:val="0"/>
        <w:autoSpaceDN w:val="0"/>
        <w:adjustRightInd w:val="0"/>
        <w:spacing w:after="0" w:line="240" w:lineRule="auto"/>
        <w:rPr>
          <w:rFonts w:cstheme="minorHAnsi"/>
          <w:bCs/>
        </w:rPr>
      </w:pPr>
    </w:p>
    <w:p w:rsidR="00DD2D18" w:rsidRPr="002A7B84" w:rsidRDefault="00FD237C" w:rsidP="00DB3627">
      <w:pPr>
        <w:autoSpaceDE w:val="0"/>
        <w:autoSpaceDN w:val="0"/>
        <w:adjustRightInd w:val="0"/>
        <w:spacing w:after="0" w:line="240" w:lineRule="auto"/>
        <w:rPr>
          <w:rFonts w:cstheme="minorHAnsi"/>
          <w:b/>
          <w:bCs/>
          <w:color w:val="FF0000"/>
          <w:u w:val="single"/>
        </w:rPr>
      </w:pPr>
      <w:r w:rsidRPr="002A7B84">
        <w:rPr>
          <w:rFonts w:cstheme="minorHAnsi"/>
          <w:b/>
          <w:bCs/>
          <w:color w:val="FF0000"/>
          <w:u w:val="single"/>
        </w:rPr>
        <w:t>Validity Testing</w:t>
      </w:r>
    </w:p>
    <w:p w:rsidR="002B5016"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Each quarter, 4</w:t>
      </w:r>
      <w:r w:rsidRPr="00D266D4">
        <w:rPr>
          <w:rFonts w:cstheme="minorHAnsi"/>
          <w:bCs/>
          <w:color w:val="FF0000"/>
          <w:vertAlign w:val="superscript"/>
        </w:rPr>
        <w:t>th</w:t>
      </w:r>
      <w:r w:rsidRPr="00D266D4">
        <w:rPr>
          <w:rFonts w:cstheme="minorHAnsi"/>
          <w:bCs/>
          <w:color w:val="FF0000"/>
        </w:rPr>
        <w:t xml:space="preserve"> quarter 2014 (October 2014 – December 2014) and 1</w:t>
      </w:r>
      <w:r w:rsidRPr="00D266D4">
        <w:rPr>
          <w:rFonts w:cstheme="minorHAnsi"/>
          <w:bCs/>
          <w:color w:val="FF0000"/>
          <w:vertAlign w:val="superscript"/>
        </w:rPr>
        <w:t>st</w:t>
      </w:r>
      <w:r w:rsidRPr="00D266D4">
        <w:rPr>
          <w:rFonts w:cstheme="minorHAnsi"/>
          <w:bCs/>
          <w:color w:val="FF0000"/>
        </w:rPr>
        <w:t xml:space="preserve"> quarter 2015 (January 2015 – March 2015) a sample of acute care hospitals were randomly selected for validation from the all of the acute care hospitals across the United States who submitted cases </w:t>
      </w:r>
      <w:r w:rsidR="007F5DA9" w:rsidRPr="00D266D4">
        <w:rPr>
          <w:rFonts w:cstheme="minorHAnsi"/>
          <w:bCs/>
          <w:color w:val="FF0000"/>
        </w:rPr>
        <w:t xml:space="preserve">to the CMS </w:t>
      </w:r>
      <w:r w:rsidR="0009577A">
        <w:rPr>
          <w:rFonts w:cstheme="minorHAnsi"/>
          <w:bCs/>
          <w:color w:val="FF0000"/>
        </w:rPr>
        <w:t>C</w:t>
      </w:r>
      <w:r w:rsidR="0009577A" w:rsidRPr="00D266D4">
        <w:rPr>
          <w:rFonts w:cstheme="minorHAnsi"/>
          <w:bCs/>
          <w:color w:val="FF0000"/>
        </w:rPr>
        <w:t xml:space="preserve">linical </w:t>
      </w:r>
      <w:r w:rsidR="0009577A">
        <w:rPr>
          <w:rFonts w:cstheme="minorHAnsi"/>
          <w:bCs/>
          <w:color w:val="FF0000"/>
        </w:rPr>
        <w:t>D</w:t>
      </w:r>
      <w:r w:rsidR="0009577A" w:rsidRPr="00D266D4">
        <w:rPr>
          <w:rFonts w:cstheme="minorHAnsi"/>
          <w:bCs/>
          <w:color w:val="FF0000"/>
        </w:rPr>
        <w:t xml:space="preserve">ata </w:t>
      </w:r>
      <w:r w:rsidR="0009577A">
        <w:rPr>
          <w:rFonts w:cstheme="minorHAnsi"/>
          <w:bCs/>
          <w:color w:val="FF0000"/>
        </w:rPr>
        <w:t>W</w:t>
      </w:r>
      <w:r w:rsidR="0009577A" w:rsidRPr="00D266D4">
        <w:rPr>
          <w:rFonts w:cstheme="minorHAnsi"/>
          <w:bCs/>
          <w:color w:val="FF0000"/>
        </w:rPr>
        <w:t xml:space="preserve">arehouse </w:t>
      </w:r>
      <w:r w:rsidR="007F5DA9" w:rsidRPr="00D266D4">
        <w:rPr>
          <w:rFonts w:cstheme="minorHAnsi"/>
          <w:bCs/>
          <w:color w:val="FF0000"/>
        </w:rPr>
        <w:t xml:space="preserve">data set </w:t>
      </w:r>
      <w:r w:rsidRPr="00D266D4">
        <w:rPr>
          <w:rFonts w:cstheme="minorHAnsi"/>
          <w:bCs/>
          <w:color w:val="FF0000"/>
        </w:rPr>
        <w:t xml:space="preserve">for the IMM-2 (Influenza Immunization) measure </w:t>
      </w:r>
      <w:r w:rsidR="007F5DA9" w:rsidRPr="00D266D4">
        <w:rPr>
          <w:rFonts w:cstheme="minorHAnsi"/>
          <w:bCs/>
          <w:color w:val="FF0000"/>
        </w:rPr>
        <w:t xml:space="preserve">for </w:t>
      </w:r>
      <w:r w:rsidRPr="00D266D4">
        <w:rPr>
          <w:rFonts w:cstheme="minorHAnsi"/>
          <w:bCs/>
          <w:color w:val="FF0000"/>
        </w:rPr>
        <w:t>the CMS Hospital Inpatient Quality Reporting Program.</w:t>
      </w:r>
    </w:p>
    <w:p w:rsidR="006446F9" w:rsidRPr="00D266D4" w:rsidRDefault="006446F9" w:rsidP="00DB3627">
      <w:pPr>
        <w:autoSpaceDE w:val="0"/>
        <w:autoSpaceDN w:val="0"/>
        <w:adjustRightInd w:val="0"/>
        <w:spacing w:after="0" w:line="240" w:lineRule="auto"/>
        <w:rPr>
          <w:rFonts w:cstheme="minorHAnsi"/>
          <w:bCs/>
          <w:color w:val="FF0000"/>
        </w:rPr>
      </w:pPr>
    </w:p>
    <w:p w:rsidR="006446F9"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For 4</w:t>
      </w:r>
      <w:r w:rsidRPr="00D266D4">
        <w:rPr>
          <w:rFonts w:cstheme="minorHAnsi"/>
          <w:bCs/>
          <w:color w:val="FF0000"/>
          <w:vertAlign w:val="superscript"/>
        </w:rPr>
        <w:t>th</w:t>
      </w:r>
      <w:r w:rsidRPr="00D266D4">
        <w:rPr>
          <w:rFonts w:cstheme="minorHAnsi"/>
          <w:bCs/>
          <w:color w:val="FF0000"/>
        </w:rPr>
        <w:t xml:space="preserve"> quarter 2014, 589 hospitals (15.8%) from the 3,727 that submitted data were selected for validation. For 1</w:t>
      </w:r>
      <w:r w:rsidRPr="00D266D4">
        <w:rPr>
          <w:rFonts w:cstheme="minorHAnsi"/>
          <w:bCs/>
          <w:color w:val="FF0000"/>
          <w:vertAlign w:val="superscript"/>
        </w:rPr>
        <w:t>st</w:t>
      </w:r>
      <w:r w:rsidRPr="00D266D4">
        <w:rPr>
          <w:rFonts w:cstheme="minorHAnsi"/>
          <w:bCs/>
          <w:color w:val="FF0000"/>
        </w:rPr>
        <w:t xml:space="preserve"> quarter 2015, 588 hospitals (15.34%) from the 3,834 that submitted data were selected for validation.</w:t>
      </w:r>
    </w:p>
    <w:p w:rsidR="00617BF5" w:rsidRPr="00A25024" w:rsidRDefault="00617BF5" w:rsidP="00DB3627">
      <w:pPr>
        <w:autoSpaceDE w:val="0"/>
        <w:autoSpaceDN w:val="0"/>
        <w:adjustRightInd w:val="0"/>
        <w:spacing w:after="0" w:line="240" w:lineRule="auto"/>
        <w:rPr>
          <w:rFonts w:cstheme="minorHAnsi"/>
          <w:bCs/>
        </w:rPr>
      </w:pPr>
    </w:p>
    <w:p w:rsidR="00E74ECA" w:rsidRDefault="002B5016" w:rsidP="00DB3627">
      <w:pPr>
        <w:autoSpaceDE w:val="0"/>
        <w:autoSpaceDN w:val="0"/>
        <w:adjustRightInd w:val="0"/>
        <w:spacing w:after="0" w:line="240" w:lineRule="auto"/>
        <w:rPr>
          <w:rFonts w:cstheme="minorHAnsi"/>
          <w:bCs/>
          <w:color w:val="FF000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rsidR="00E74ECA" w:rsidRDefault="00E74ECA" w:rsidP="00DB3627">
      <w:pPr>
        <w:autoSpaceDE w:val="0"/>
        <w:autoSpaceDN w:val="0"/>
        <w:adjustRightInd w:val="0"/>
        <w:spacing w:after="0" w:line="240" w:lineRule="auto"/>
        <w:rPr>
          <w:rFonts w:cstheme="minorHAnsi"/>
          <w:b/>
          <w:bCs/>
          <w:color w:val="FF0000"/>
          <w:u w:val="single"/>
        </w:rPr>
      </w:pPr>
      <w:r>
        <w:rPr>
          <w:rFonts w:cstheme="minorHAnsi"/>
          <w:b/>
          <w:bCs/>
          <w:color w:val="FF0000"/>
          <w:u w:val="single"/>
        </w:rPr>
        <w:t>Reliability Testing</w:t>
      </w:r>
    </w:p>
    <w:p w:rsidR="00E74ECA" w:rsidRPr="00E74ECA" w:rsidRDefault="00E74ECA" w:rsidP="00DB3627">
      <w:pPr>
        <w:autoSpaceDE w:val="0"/>
        <w:autoSpaceDN w:val="0"/>
        <w:adjustRightInd w:val="0"/>
        <w:spacing w:after="0" w:line="240" w:lineRule="auto"/>
        <w:rPr>
          <w:rFonts w:cstheme="minorHAnsi"/>
          <w:bCs/>
          <w:color w:val="FF0000"/>
        </w:rPr>
      </w:pPr>
      <w:r w:rsidRPr="00E74ECA">
        <w:rPr>
          <w:rFonts w:cstheme="minorHAnsi"/>
          <w:bCs/>
          <w:color w:val="FF0000"/>
        </w:rPr>
        <w:t xml:space="preserve">Not applicable. The reliability analysis was conducted at the hospital level and did not use patient-level information. </w:t>
      </w:r>
    </w:p>
    <w:p w:rsidR="00E74ECA" w:rsidRDefault="00E74ECA" w:rsidP="00DB3627">
      <w:pPr>
        <w:autoSpaceDE w:val="0"/>
        <w:autoSpaceDN w:val="0"/>
        <w:adjustRightInd w:val="0"/>
        <w:spacing w:after="0" w:line="240" w:lineRule="auto"/>
        <w:rPr>
          <w:rFonts w:cstheme="minorHAnsi"/>
          <w:b/>
          <w:bCs/>
          <w:color w:val="FF0000"/>
          <w:u w:val="single"/>
        </w:rPr>
      </w:pPr>
    </w:p>
    <w:p w:rsidR="00E74ECA" w:rsidRPr="00F33DE6" w:rsidRDefault="00E74ECA" w:rsidP="00DB3627">
      <w:pPr>
        <w:autoSpaceDE w:val="0"/>
        <w:autoSpaceDN w:val="0"/>
        <w:adjustRightInd w:val="0"/>
        <w:spacing w:after="0" w:line="240" w:lineRule="auto"/>
        <w:rPr>
          <w:rFonts w:cstheme="minorHAnsi"/>
          <w:b/>
          <w:bCs/>
          <w:color w:val="FF0000"/>
          <w:u w:val="single"/>
        </w:rPr>
      </w:pPr>
      <w:r>
        <w:rPr>
          <w:rFonts w:cstheme="minorHAnsi"/>
          <w:b/>
          <w:bCs/>
          <w:color w:val="FF0000"/>
          <w:u w:val="single"/>
        </w:rPr>
        <w:lastRenderedPageBreak/>
        <w:t>Validity</w:t>
      </w:r>
      <w:r w:rsidR="00FD237C" w:rsidRPr="00F33DE6">
        <w:rPr>
          <w:rFonts w:cstheme="minorHAnsi"/>
          <w:b/>
          <w:bCs/>
          <w:color w:val="FF0000"/>
          <w:u w:val="single"/>
        </w:rPr>
        <w:t xml:space="preserve"> Testing</w:t>
      </w:r>
    </w:p>
    <w:p w:rsidR="007422FD" w:rsidRPr="00942A66" w:rsidRDefault="000B1A69" w:rsidP="00DB3627">
      <w:pPr>
        <w:autoSpaceDE w:val="0"/>
        <w:autoSpaceDN w:val="0"/>
        <w:adjustRightInd w:val="0"/>
        <w:spacing w:after="0" w:line="240" w:lineRule="auto"/>
        <w:rPr>
          <w:rFonts w:cstheme="minorHAnsi"/>
          <w:bCs/>
          <w:color w:val="FF0000"/>
        </w:rPr>
      </w:pPr>
      <w:r w:rsidRPr="000B1A69">
        <w:rPr>
          <w:rFonts w:cstheme="minorHAnsi"/>
          <w:bCs/>
          <w:color w:val="FF0000"/>
        </w:rPr>
        <w:t>The test population selected for validation represents a random sample of 2,623 cases from the 770,690 cases submitted for 4</w:t>
      </w:r>
      <w:r w:rsidRPr="000B1A69">
        <w:rPr>
          <w:rFonts w:cstheme="minorHAnsi"/>
          <w:bCs/>
          <w:color w:val="FF0000"/>
          <w:vertAlign w:val="superscript"/>
        </w:rPr>
        <w:t>th</w:t>
      </w:r>
      <w:r w:rsidRPr="000B1A69">
        <w:rPr>
          <w:rFonts w:cstheme="minorHAnsi"/>
          <w:bCs/>
          <w:color w:val="FF0000"/>
        </w:rPr>
        <w:t xml:space="preserve"> quarter 2014 and 2,662 cases from the 801,525 cases submitted for 1</w:t>
      </w:r>
      <w:r w:rsidRPr="000B1A69">
        <w:rPr>
          <w:rFonts w:cstheme="minorHAnsi"/>
          <w:bCs/>
          <w:color w:val="FF0000"/>
          <w:vertAlign w:val="superscript"/>
        </w:rPr>
        <w:t>st</w:t>
      </w:r>
      <w:r w:rsidRPr="000B1A69">
        <w:rPr>
          <w:rFonts w:cstheme="minorHAnsi"/>
          <w:bCs/>
          <w:color w:val="FF0000"/>
        </w:rPr>
        <w:t xml:space="preserve"> quarter 2015.</w:t>
      </w:r>
    </w:p>
    <w:p w:rsidR="00617BF5" w:rsidRDefault="00617BF5" w:rsidP="00DB3627">
      <w:pPr>
        <w:autoSpaceDE w:val="0"/>
        <w:autoSpaceDN w:val="0"/>
        <w:adjustRightInd w:val="0"/>
        <w:spacing w:after="0" w:line="240" w:lineRule="auto"/>
        <w:rPr>
          <w:rFonts w:cstheme="minorHAnsi"/>
          <w:bCs/>
        </w:rPr>
      </w:pPr>
    </w:p>
    <w:p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7C226A" w:rsidRPr="007C226A" w:rsidRDefault="007C226A" w:rsidP="00E37E1B">
      <w:pPr>
        <w:autoSpaceDE w:val="0"/>
        <w:autoSpaceDN w:val="0"/>
        <w:adjustRightInd w:val="0"/>
        <w:spacing w:after="0" w:line="240" w:lineRule="auto"/>
        <w:rPr>
          <w:rFonts w:cstheme="minorHAnsi"/>
          <w:bCs/>
        </w:rPr>
      </w:pPr>
    </w:p>
    <w:p w:rsidR="00E37E1B" w:rsidRPr="00D266D4" w:rsidRDefault="00E74ECA" w:rsidP="00E37E1B">
      <w:pPr>
        <w:autoSpaceDE w:val="0"/>
        <w:autoSpaceDN w:val="0"/>
        <w:adjustRightInd w:val="0"/>
        <w:spacing w:after="0" w:line="240" w:lineRule="auto"/>
        <w:rPr>
          <w:rFonts w:cstheme="minorHAnsi"/>
          <w:bCs/>
          <w:color w:val="FF0000"/>
        </w:rPr>
      </w:pPr>
      <w:r>
        <w:rPr>
          <w:rFonts w:cstheme="minorHAnsi"/>
          <w:bCs/>
          <w:color w:val="FF0000"/>
        </w:rPr>
        <w:t>See the response in section 1.2</w:t>
      </w:r>
    </w:p>
    <w:p w:rsidR="00ED1F76" w:rsidRDefault="00ED1F76" w:rsidP="00E37E1B">
      <w:pPr>
        <w:autoSpaceDE w:val="0"/>
        <w:autoSpaceDN w:val="0"/>
        <w:adjustRightInd w:val="0"/>
        <w:spacing w:after="0" w:line="240" w:lineRule="auto"/>
        <w:rPr>
          <w:rFonts w:cstheme="minorHAnsi"/>
          <w:bCs/>
        </w:rPr>
      </w:pPr>
    </w:p>
    <w:p w:rsidR="0021054A" w:rsidRDefault="0021054A" w:rsidP="00E37E1B">
      <w:pPr>
        <w:autoSpaceDE w:val="0"/>
        <w:autoSpaceDN w:val="0"/>
        <w:adjustRightInd w:val="0"/>
        <w:spacing w:after="0" w:line="240" w:lineRule="auto"/>
        <w:rPr>
          <w:rFonts w:cstheme="minorHAnsi"/>
          <w:bCs/>
        </w:rPr>
      </w:pPr>
      <w:r w:rsidRPr="00325DE8">
        <w:rPr>
          <w:rFonts w:cstheme="minorHAnsi"/>
          <w:b/>
          <w:bCs/>
        </w:rPr>
        <w:t xml:space="preserve">1.8 What were the patient-level </w:t>
      </w:r>
      <w:proofErr w:type="spellStart"/>
      <w:r w:rsidRPr="00325DE8">
        <w:rPr>
          <w:rFonts w:cstheme="minorHAnsi"/>
          <w:b/>
          <w:bCs/>
        </w:rPr>
        <w:t>sociodemographic</w:t>
      </w:r>
      <w:proofErr w:type="spellEnd"/>
      <w:r w:rsidRPr="00325DE8">
        <w:rPr>
          <w:rFonts w:cstheme="minorHAnsi"/>
          <w:b/>
          <w:bCs/>
        </w:rPr>
        <w:t xml:space="preserve"> (SDS) variables that were available and analyzed in the data or sample used?</w:t>
      </w:r>
      <w:r>
        <w:rPr>
          <w:rFonts w:cstheme="minorHAnsi"/>
          <w:bCs/>
        </w:rPr>
        <w:t xml:space="preserve"> </w:t>
      </w:r>
      <w:proofErr w:type="gramStart"/>
      <w:r>
        <w:rPr>
          <w:rFonts w:cstheme="minorHAnsi"/>
          <w:bCs/>
        </w:rPr>
        <w:t>For example, patient-reported data (e.g., income, education, language), proxy variables when SDS data are not collected from each patient (e.g. census tract), or patient community characteristics (e.g. percent vacant housing, crime rate).</w:t>
      </w:r>
      <w:proofErr w:type="gramEnd"/>
      <w:r>
        <w:rPr>
          <w:rFonts w:cstheme="minorHAnsi"/>
          <w:bCs/>
        </w:rPr>
        <w:t xml:space="preserve"> </w:t>
      </w:r>
    </w:p>
    <w:p w:rsidR="00B40FF3" w:rsidRDefault="00B40FF3" w:rsidP="00E37E1B">
      <w:pPr>
        <w:autoSpaceDE w:val="0"/>
        <w:autoSpaceDN w:val="0"/>
        <w:adjustRightInd w:val="0"/>
        <w:spacing w:after="0" w:line="240" w:lineRule="auto"/>
        <w:rPr>
          <w:rFonts w:cstheme="minorHAnsi"/>
          <w:bCs/>
        </w:rPr>
      </w:pPr>
    </w:p>
    <w:p w:rsidR="00ED1F76" w:rsidRPr="00942A66" w:rsidRDefault="000B1A69" w:rsidP="00E37E1B">
      <w:pPr>
        <w:autoSpaceDE w:val="0"/>
        <w:autoSpaceDN w:val="0"/>
        <w:adjustRightInd w:val="0"/>
        <w:spacing w:after="0" w:line="240" w:lineRule="auto"/>
        <w:rPr>
          <w:rFonts w:cstheme="minorHAnsi"/>
          <w:bCs/>
          <w:color w:val="FF0000"/>
        </w:rPr>
      </w:pPr>
      <w:r w:rsidRPr="000B1A69">
        <w:rPr>
          <w:rFonts w:cstheme="minorHAnsi"/>
          <w:bCs/>
          <w:color w:val="FF0000"/>
        </w:rPr>
        <w:t>Patient level SDS factors were assessed and reported in Section 1.b.4, which provides an overview of disparities in care for patient sub-populations. While an analysis of SDS factors is important in understanding differences in care for patient sub-populations, this measure is a process measure that is neither risk-adjusted nor risk-stratified. We determined that risk adjustment and risk stratification were not appropriate based on the current evidence base and the measure construct.</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Content>
          <w:r w:rsidR="003A3318" w:rsidRPr="002A7B84">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Content>
          <w:sdt>
            <w:sdtPr>
              <w:rPr>
                <w:rFonts w:ascii="MS Gothic" w:eastAsia="MS Gothic" w:cstheme="minorHAnsi"/>
                <w:bCs/>
                <w:color w:val="0000FF"/>
              </w:rPr>
              <w:id w:val="-87612104"/>
            </w:sdtPr>
            <w:sdtContent>
              <w:r w:rsidR="00450D01" w:rsidRPr="002A7B84">
                <w:rPr>
                  <w:rFonts w:ascii="MS Gothic" w:eastAsia="MS Gothic" w:cstheme="minorHAnsi" w:hint="eastAsia"/>
                  <w:bCs/>
                  <w:color w:val="FF0000"/>
                </w:rPr>
                <w:t>☒</w:t>
              </w:r>
            </w:sdtContent>
          </w:sdt>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sidRPr="00A02FD1">
        <w:rPr>
          <w:rFonts w:cstheme="minorHAnsi"/>
          <w:b/>
          <w:bCs/>
        </w:rPr>
        <w:t xml:space="preserve">2a2.2. </w:t>
      </w:r>
      <w:r w:rsidR="008C54A9" w:rsidRPr="00A02FD1">
        <w:rPr>
          <w:rFonts w:cstheme="minorHAnsi"/>
          <w:b/>
          <w:bCs/>
        </w:rPr>
        <w:t xml:space="preserve">For each level checked above, describe the method of </w:t>
      </w:r>
      <w:r w:rsidR="000968F8" w:rsidRPr="00A02FD1">
        <w:rPr>
          <w:rFonts w:cstheme="minorHAnsi"/>
          <w:b/>
          <w:bCs/>
        </w:rPr>
        <w:t xml:space="preserve">reliability </w:t>
      </w:r>
      <w:r w:rsidR="008C54A9" w:rsidRPr="00A02FD1">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194DC1" w:rsidRDefault="00194DC1" w:rsidP="008C54A9">
      <w:pPr>
        <w:autoSpaceDE w:val="0"/>
        <w:autoSpaceDN w:val="0"/>
        <w:adjustRightInd w:val="0"/>
        <w:spacing w:after="0" w:line="240" w:lineRule="auto"/>
        <w:rPr>
          <w:rFonts w:cstheme="minorHAnsi"/>
          <w:bCs/>
        </w:rPr>
      </w:pPr>
    </w:p>
    <w:p w:rsidR="00307832" w:rsidRDefault="00307832" w:rsidP="008C54A9">
      <w:pPr>
        <w:autoSpaceDE w:val="0"/>
        <w:autoSpaceDN w:val="0"/>
        <w:adjustRightInd w:val="0"/>
        <w:spacing w:after="0" w:line="240" w:lineRule="auto"/>
        <w:rPr>
          <w:rFonts w:cstheme="minorHAnsi"/>
          <w:bCs/>
        </w:rPr>
      </w:pPr>
      <w:r w:rsidRPr="00307832">
        <w:rPr>
          <w:rFonts w:cstheme="minorHAnsi"/>
          <w:bCs/>
        </w:rPr>
        <w:t xml:space="preserve">The CDAC creates a monthly Project Level Accuracy Report. The report examined agreement between assessors (reliability). Accuracy is calculated as the raw agreement rate of both the original abstractor and the </w:t>
      </w:r>
      <w:proofErr w:type="spellStart"/>
      <w:r w:rsidRPr="00307832">
        <w:rPr>
          <w:rFonts w:cstheme="minorHAnsi"/>
          <w:bCs/>
        </w:rPr>
        <w:t>reabstractor</w:t>
      </w:r>
      <w:proofErr w:type="spellEnd"/>
      <w:r w:rsidRPr="00307832">
        <w:rPr>
          <w:rFonts w:cstheme="minorHAnsi"/>
          <w:bCs/>
        </w:rPr>
        <w:t xml:space="preserve"> with the adjudicated gold standard data. The overall accuracy is the aggregate agreement rate (adjusted for computer mismatches) across all data elements in all cases in the sample.</w:t>
      </w:r>
    </w:p>
    <w:p w:rsidR="00307832" w:rsidRDefault="00307832" w:rsidP="008C54A9">
      <w:pPr>
        <w:autoSpaceDE w:val="0"/>
        <w:autoSpaceDN w:val="0"/>
        <w:adjustRightInd w:val="0"/>
        <w:spacing w:after="0" w:line="240" w:lineRule="auto"/>
        <w:rPr>
          <w:rFonts w:cstheme="minorHAnsi"/>
          <w:bCs/>
        </w:rPr>
      </w:pPr>
    </w:p>
    <w:p w:rsidR="00194DC1" w:rsidRPr="00BF2268" w:rsidRDefault="00194DC1" w:rsidP="00194DC1">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Performance score reliability was calculated in accordance with the methods discussed in </w:t>
      </w:r>
      <w:r w:rsidRPr="00BF2268">
        <w:rPr>
          <w:rFonts w:cstheme="minorHAnsi"/>
          <w:bCs/>
          <w:i/>
          <w:color w:val="FF0000"/>
        </w:rPr>
        <w:t xml:space="preserve">The Reliability of Provider Profiling: </w:t>
      </w:r>
      <w:proofErr w:type="gramStart"/>
      <w:r w:rsidRPr="00BF2268">
        <w:rPr>
          <w:rFonts w:cstheme="minorHAnsi"/>
          <w:bCs/>
          <w:i/>
          <w:color w:val="FF0000"/>
        </w:rPr>
        <w:t>A</w:t>
      </w:r>
      <w:proofErr w:type="gramEnd"/>
      <w:r w:rsidRPr="00BF2268">
        <w:rPr>
          <w:rFonts w:cstheme="minorHAnsi"/>
          <w:bCs/>
          <w:i/>
          <w:color w:val="FF0000"/>
        </w:rPr>
        <w:t xml:space="preserve"> Tutorial</w:t>
      </w:r>
      <w:r w:rsidRPr="00BF2268">
        <w:rPr>
          <w:rFonts w:cstheme="minorHAnsi"/>
          <w:bCs/>
          <w:color w:val="FF0000"/>
        </w:rPr>
        <w:t xml:space="preserve"> (2009). This approach calculates the ability of the measure to distinguish true differences between the performances of different facilities. Specifically, the testing calculated the signal-to-noise ratio for each facility meeting the minimum case count, established by the measure calculation contractor, during the </w:t>
      </w:r>
      <w:r>
        <w:rPr>
          <w:rFonts w:cstheme="minorHAnsi"/>
          <w:bCs/>
          <w:color w:val="FF0000"/>
        </w:rPr>
        <w:t xml:space="preserve">October 1, 2014 – March 31, 2015 </w:t>
      </w:r>
      <w:r w:rsidRPr="00BF2268">
        <w:rPr>
          <w:rFonts w:cstheme="minorHAnsi"/>
          <w:bCs/>
          <w:color w:val="FF0000"/>
        </w:rPr>
        <w:t xml:space="preserve">data collection period, with higher scores indicating greater reliability. The reliability score is estimated using a beta-binomial model, which </w:t>
      </w:r>
      <w:r w:rsidRPr="00BF2268">
        <w:rPr>
          <w:rFonts w:cstheme="minorHAnsi"/>
          <w:bCs/>
          <w:color w:val="FF0000"/>
        </w:rPr>
        <w:lastRenderedPageBreak/>
        <w:t xml:space="preserve">is appropriate for the reliability testing of pass/fail measures. The reliability score for each facility is a function of the facility’s sample size and score on the measure, and the variance across facilities. </w:t>
      </w:r>
    </w:p>
    <w:p w:rsidR="00194DC1" w:rsidRPr="00BF2268" w:rsidRDefault="00194DC1" w:rsidP="00194DC1">
      <w:pPr>
        <w:autoSpaceDE w:val="0"/>
        <w:autoSpaceDN w:val="0"/>
        <w:adjustRightInd w:val="0"/>
        <w:spacing w:after="0" w:line="240" w:lineRule="auto"/>
        <w:jc w:val="both"/>
        <w:rPr>
          <w:rFonts w:cstheme="minorHAnsi"/>
          <w:bCs/>
          <w:color w:val="FF0000"/>
        </w:rPr>
      </w:pPr>
    </w:p>
    <w:p w:rsidR="00194DC1" w:rsidRPr="00BF2268" w:rsidRDefault="00194DC1" w:rsidP="00194DC1">
      <w:pPr>
        <w:autoSpaceDE w:val="0"/>
        <w:autoSpaceDN w:val="0"/>
        <w:adjustRightInd w:val="0"/>
        <w:spacing w:after="0" w:line="240" w:lineRule="auto"/>
        <w:jc w:val="both"/>
        <w:rPr>
          <w:rFonts w:cstheme="minorHAnsi"/>
          <w:bCs/>
          <w:color w:val="FF0000"/>
        </w:rPr>
      </w:pPr>
      <w:r w:rsidRPr="00BF2268">
        <w:rPr>
          <w:rFonts w:cstheme="minorHAnsi"/>
          <w:bCs/>
          <w:color w:val="FF0000"/>
        </w:rPr>
        <w:t xml:space="preserve">See </w:t>
      </w:r>
      <w:r w:rsidRPr="00552454">
        <w:rPr>
          <w:rFonts w:cstheme="minorHAnsi"/>
          <w:b/>
          <w:bCs/>
          <w:color w:val="FF0000"/>
        </w:rPr>
        <w:t xml:space="preserve">Section </w:t>
      </w:r>
      <w:r w:rsidRPr="00BF2268">
        <w:rPr>
          <w:rFonts w:cstheme="minorHAnsi"/>
          <w:b/>
          <w:bCs/>
          <w:color w:val="FF0000"/>
        </w:rPr>
        <w:t xml:space="preserve">2b2 </w:t>
      </w:r>
      <w:r w:rsidRPr="00BF2268">
        <w:rPr>
          <w:rFonts w:cstheme="minorHAnsi"/>
          <w:bCs/>
          <w:color w:val="FF0000"/>
        </w:rPr>
        <w:t xml:space="preserve">for validity testing of data elements. </w:t>
      </w:r>
    </w:p>
    <w:p w:rsidR="00194DC1" w:rsidRPr="00BF2268" w:rsidRDefault="00194DC1" w:rsidP="00194DC1">
      <w:pPr>
        <w:autoSpaceDE w:val="0"/>
        <w:autoSpaceDN w:val="0"/>
        <w:adjustRightInd w:val="0"/>
        <w:spacing w:after="0" w:line="240" w:lineRule="auto"/>
        <w:jc w:val="both"/>
        <w:rPr>
          <w:rFonts w:cstheme="minorHAnsi"/>
          <w:bCs/>
          <w:color w:val="FF0000"/>
        </w:rPr>
      </w:pPr>
    </w:p>
    <w:p w:rsidR="00194DC1" w:rsidRPr="00BF2268" w:rsidRDefault="00194DC1" w:rsidP="00194DC1">
      <w:pPr>
        <w:autoSpaceDE w:val="0"/>
        <w:autoSpaceDN w:val="0"/>
        <w:adjustRightInd w:val="0"/>
        <w:spacing w:after="0" w:line="240" w:lineRule="auto"/>
        <w:jc w:val="both"/>
        <w:rPr>
          <w:rFonts w:cstheme="minorHAnsi"/>
          <w:bCs/>
          <w:color w:val="FF0000"/>
        </w:rPr>
      </w:pPr>
      <w:r w:rsidRPr="00BF2268">
        <w:rPr>
          <w:rFonts w:cstheme="minorHAnsi"/>
          <w:bCs/>
          <w:color w:val="FF0000"/>
        </w:rPr>
        <w:t>REFERENCE:</w:t>
      </w:r>
    </w:p>
    <w:p w:rsidR="009C02DA" w:rsidRPr="009C02DA" w:rsidRDefault="00194DC1" w:rsidP="008C54A9">
      <w:pPr>
        <w:autoSpaceDE w:val="0"/>
        <w:autoSpaceDN w:val="0"/>
        <w:adjustRightInd w:val="0"/>
        <w:spacing w:after="0" w:line="240" w:lineRule="auto"/>
        <w:rPr>
          <w:rFonts w:cstheme="minorHAnsi"/>
          <w:bCs/>
        </w:rPr>
      </w:pPr>
      <w:proofErr w:type="gramStart"/>
      <w:r w:rsidRPr="00BF2268">
        <w:rPr>
          <w:rFonts w:cstheme="minorHAnsi"/>
          <w:bCs/>
          <w:color w:val="FF0000"/>
        </w:rPr>
        <w:t>Adams JL.</w:t>
      </w:r>
      <w:proofErr w:type="gramEnd"/>
      <w:r w:rsidRPr="00BF2268">
        <w:rPr>
          <w:rFonts w:cstheme="minorHAnsi"/>
          <w:bCs/>
          <w:color w:val="FF0000"/>
        </w:rPr>
        <w:t xml:space="preserve"> The reliability of provider profiling: a tutorial. Santa Monica, CA: RAND Corporation. 2009. Retrieved from </w:t>
      </w:r>
      <w:hyperlink r:id="rId13" w:history="1">
        <w:r w:rsidRPr="00BF2268">
          <w:rPr>
            <w:rFonts w:cstheme="minorHAnsi"/>
            <w:bCs/>
            <w:color w:val="FF0000"/>
          </w:rPr>
          <w:t>http://www.rand.org/pubs/technical_reports/TR653</w:t>
        </w:r>
      </w:hyperlink>
      <w:r w:rsidRPr="00BF2268">
        <w:rPr>
          <w:rFonts w:cstheme="minorHAnsi"/>
          <w:bCs/>
          <w:color w:val="FF0000"/>
        </w:rPr>
        <w:t>.</w:t>
      </w:r>
    </w:p>
    <w:p w:rsidR="00E10372" w:rsidRPr="00A25024" w:rsidRDefault="00E10372" w:rsidP="008C54A9">
      <w:pPr>
        <w:autoSpaceDE w:val="0"/>
        <w:autoSpaceDN w:val="0"/>
        <w:adjustRightInd w:val="0"/>
        <w:spacing w:after="0" w:line="240" w:lineRule="auto"/>
        <w:rPr>
          <w:rFonts w:cstheme="minorHAnsi"/>
          <w:bCs/>
        </w:rPr>
      </w:pPr>
    </w:p>
    <w:p w:rsidR="000A2C18" w:rsidRDefault="00092566" w:rsidP="008C54A9">
      <w:pPr>
        <w:autoSpaceDE w:val="0"/>
        <w:autoSpaceDN w:val="0"/>
        <w:adjustRightInd w:val="0"/>
        <w:spacing w:after="0" w:line="240" w:lineRule="auto"/>
        <w:rPr>
          <w:rFonts w:cstheme="minorHAnsi"/>
          <w:bCs/>
        </w:rPr>
      </w:pPr>
      <w:r w:rsidRPr="00E10372">
        <w:rPr>
          <w:rFonts w:cstheme="minorHAnsi"/>
          <w:b/>
          <w:bCs/>
        </w:rPr>
        <w:t>2a2.</w:t>
      </w:r>
      <w:r w:rsidR="008C54A9" w:rsidRPr="00E10372">
        <w:rPr>
          <w:rFonts w:cstheme="minorHAnsi"/>
          <w:b/>
          <w:bCs/>
        </w:rPr>
        <w:t xml:space="preserve">3. </w:t>
      </w:r>
      <w:proofErr w:type="gramStart"/>
      <w:r w:rsidR="008C54A9" w:rsidRPr="00E10372">
        <w:rPr>
          <w:rFonts w:cstheme="minorHAnsi"/>
          <w:b/>
          <w:bCs/>
        </w:rPr>
        <w:t>For</w:t>
      </w:r>
      <w:proofErr w:type="gramEnd"/>
      <w:r w:rsidR="008C54A9" w:rsidRPr="00E10372">
        <w:rPr>
          <w:rFonts w:cstheme="minorHAnsi"/>
          <w:b/>
          <w:bCs/>
        </w:rPr>
        <w:t xml:space="preserve"> each level </w:t>
      </w:r>
      <w:r w:rsidR="008F7E67" w:rsidRPr="00E10372">
        <w:rPr>
          <w:rFonts w:cstheme="minorHAnsi"/>
          <w:b/>
          <w:bCs/>
        </w:rPr>
        <w:t xml:space="preserve">of testing </w:t>
      </w:r>
      <w:r w:rsidR="008C54A9" w:rsidRPr="00E10372">
        <w:rPr>
          <w:rFonts w:cstheme="minorHAnsi"/>
          <w:b/>
          <w:bCs/>
        </w:rPr>
        <w:t>checked above, w</w:t>
      </w:r>
      <w:r w:rsidR="00900DBF" w:rsidRPr="00E10372">
        <w:rPr>
          <w:rFonts w:cstheme="minorHAnsi"/>
          <w:b/>
          <w:bCs/>
        </w:rPr>
        <w:t>hat were the statistical results</w:t>
      </w:r>
      <w:r w:rsidR="007422FD" w:rsidRPr="00E10372">
        <w:rPr>
          <w:rFonts w:cstheme="minorHAnsi"/>
          <w:b/>
          <w:bCs/>
        </w:rPr>
        <w:t xml:space="preserve"> from reliability</w:t>
      </w:r>
      <w:r w:rsidR="007422FD" w:rsidRPr="00A25024">
        <w:rPr>
          <w:rFonts w:cstheme="minorHAnsi"/>
          <w:b/>
          <w:bCs/>
        </w:rPr>
        <w:t xml:space="preserve">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307832" w:rsidRDefault="00307832" w:rsidP="008C54A9">
      <w:pPr>
        <w:autoSpaceDE w:val="0"/>
        <w:autoSpaceDN w:val="0"/>
        <w:adjustRightInd w:val="0"/>
        <w:spacing w:after="0" w:line="240" w:lineRule="auto"/>
        <w:rPr>
          <w:rFonts w:cstheme="minorHAnsi"/>
          <w:bCs/>
        </w:rPr>
      </w:pPr>
      <w:r w:rsidRPr="00307832">
        <w:rPr>
          <w:rFonts w:cstheme="minorHAnsi"/>
          <w:bCs/>
        </w:rPr>
        <w:t>The most current accuracy result (May, 2011) showed a high agreement rate for all data elements for Influenza Immunization for inpatient discharges. For example, the agreement rates for two major data elements, pneumonia principal diagnosis code and Influenza Vaccination Status, were 98.61% and 95%, respectively.</w:t>
      </w:r>
    </w:p>
    <w:p w:rsidR="00307832" w:rsidRDefault="00307832" w:rsidP="008C54A9">
      <w:pPr>
        <w:autoSpaceDE w:val="0"/>
        <w:autoSpaceDN w:val="0"/>
        <w:adjustRightInd w:val="0"/>
        <w:spacing w:after="0" w:line="240" w:lineRule="auto"/>
        <w:rPr>
          <w:rFonts w:cstheme="minorHAnsi"/>
          <w:bCs/>
        </w:rPr>
      </w:pPr>
    </w:p>
    <w:p w:rsidR="005C56BC" w:rsidRDefault="005C56BC" w:rsidP="008C54A9">
      <w:pPr>
        <w:autoSpaceDE w:val="0"/>
        <w:autoSpaceDN w:val="0"/>
        <w:adjustRightInd w:val="0"/>
        <w:spacing w:after="0" w:line="240" w:lineRule="auto"/>
        <w:rPr>
          <w:rFonts w:cstheme="minorHAnsi"/>
          <w:bCs/>
          <w:color w:val="FF0000"/>
        </w:rPr>
      </w:pPr>
      <w:r w:rsidRPr="00BF2268">
        <w:rPr>
          <w:rFonts w:cstheme="minorHAnsi"/>
          <w:bCs/>
          <w:color w:val="FF0000"/>
        </w:rPr>
        <w:t>Reliability scores ranged from</w:t>
      </w:r>
      <w:r>
        <w:rPr>
          <w:rFonts w:cstheme="minorHAnsi"/>
          <w:bCs/>
          <w:color w:val="FF0000"/>
        </w:rPr>
        <w:t xml:space="preserve"> 0.33</w:t>
      </w:r>
      <w:r w:rsidRPr="00BF2268">
        <w:rPr>
          <w:rFonts w:cstheme="minorHAnsi"/>
          <w:bCs/>
          <w:color w:val="FF0000"/>
        </w:rPr>
        <w:t xml:space="preserve"> to 1.00, with </w:t>
      </w:r>
      <w:r w:rsidR="0041686B">
        <w:rPr>
          <w:rFonts w:cstheme="minorHAnsi"/>
          <w:bCs/>
          <w:color w:val="FF0000"/>
        </w:rPr>
        <w:t>an</w:t>
      </w:r>
      <w:r w:rsidRPr="00BF2268">
        <w:rPr>
          <w:rFonts w:cstheme="minorHAnsi"/>
          <w:bCs/>
          <w:color w:val="FF0000"/>
        </w:rPr>
        <w:t xml:space="preserve"> </w:t>
      </w:r>
      <w:r w:rsidR="0041686B" w:rsidRPr="00146A99">
        <w:rPr>
          <w:rFonts w:cstheme="minorHAnsi"/>
          <w:bCs/>
          <w:i/>
          <w:color w:val="FF0000"/>
        </w:rPr>
        <w:t>average</w:t>
      </w:r>
      <w:r w:rsidRPr="00BF2268">
        <w:rPr>
          <w:rFonts w:cstheme="minorHAnsi"/>
          <w:bCs/>
          <w:color w:val="FF0000"/>
        </w:rPr>
        <w:t xml:space="preserve"> reliability score of 0.</w:t>
      </w:r>
      <w:r>
        <w:rPr>
          <w:rFonts w:cstheme="minorHAnsi"/>
          <w:bCs/>
          <w:color w:val="FF0000"/>
        </w:rPr>
        <w:t>9</w:t>
      </w:r>
      <w:r w:rsidR="0041686B">
        <w:rPr>
          <w:rFonts w:cstheme="minorHAnsi"/>
          <w:bCs/>
          <w:color w:val="FF0000"/>
        </w:rPr>
        <w:t xml:space="preserve">7 and </w:t>
      </w:r>
      <w:proofErr w:type="spellStart"/>
      <w:r w:rsidR="0041686B">
        <w:rPr>
          <w:rFonts w:cstheme="minorHAnsi"/>
          <w:bCs/>
          <w:color w:val="FF0000"/>
        </w:rPr>
        <w:t>interquartile</w:t>
      </w:r>
      <w:proofErr w:type="spellEnd"/>
      <w:r w:rsidR="0041686B">
        <w:rPr>
          <w:rFonts w:cstheme="minorHAnsi"/>
          <w:bCs/>
          <w:color w:val="FF0000"/>
        </w:rPr>
        <w:t xml:space="preserve"> range of 0.98 to 1.00</w:t>
      </w:r>
      <w:r w:rsidRPr="00BF2268">
        <w:rPr>
          <w:rFonts w:cstheme="minorHAnsi"/>
          <w:bCs/>
          <w:color w:val="FF0000"/>
        </w:rPr>
        <w:t xml:space="preserve">. </w:t>
      </w:r>
      <w:r w:rsidR="0041686B">
        <w:rPr>
          <w:rFonts w:cstheme="minorHAnsi"/>
          <w:bCs/>
          <w:color w:val="FF0000"/>
        </w:rPr>
        <w:t xml:space="preserve">Table 1 provides the full distribution of </w:t>
      </w:r>
      <w:r w:rsidR="0041686B" w:rsidRPr="0041686B">
        <w:rPr>
          <w:rFonts w:cstheme="minorHAnsi"/>
          <w:bCs/>
          <w:color w:val="FF0000"/>
        </w:rPr>
        <w:t>performance score reliability for hospitals meeting the minimum case count require</w:t>
      </w:r>
      <w:r w:rsidR="0041686B">
        <w:rPr>
          <w:rFonts w:cstheme="minorHAnsi"/>
          <w:bCs/>
          <w:color w:val="FF0000"/>
        </w:rPr>
        <w:t>ment and publicly reporting information on Hospital Compare during the October 1, 2014 – March 3</w:t>
      </w:r>
      <w:r w:rsidR="002B3CC6">
        <w:rPr>
          <w:rFonts w:cstheme="minorHAnsi"/>
          <w:bCs/>
          <w:color w:val="FF0000"/>
        </w:rPr>
        <w:t xml:space="preserve">1, 2015 data collection period. For interpretation, for example, P5 = 0.890 </w:t>
      </w:r>
      <w:r w:rsidR="002B3CC6" w:rsidRPr="002B3CC6">
        <w:rPr>
          <w:rFonts w:cstheme="minorHAnsi"/>
          <w:bCs/>
          <w:color w:val="FF0000"/>
        </w:rPr>
        <w:t xml:space="preserve">means </w:t>
      </w:r>
      <w:r w:rsidR="002B3CC6" w:rsidRPr="00146A99">
        <w:rPr>
          <w:rFonts w:cs="Segoe UI"/>
          <w:color w:val="FF0000"/>
        </w:rPr>
        <w:t>five percent of hospitals had a reliability score of 0.89 or lower.</w:t>
      </w:r>
    </w:p>
    <w:p w:rsidR="0041686B" w:rsidRDefault="0041686B" w:rsidP="008C54A9">
      <w:pPr>
        <w:autoSpaceDE w:val="0"/>
        <w:autoSpaceDN w:val="0"/>
        <w:adjustRightInd w:val="0"/>
        <w:spacing w:after="0" w:line="240" w:lineRule="auto"/>
        <w:rPr>
          <w:rFonts w:cstheme="minorHAnsi"/>
          <w:bCs/>
          <w:color w:val="FF0000"/>
        </w:rPr>
      </w:pPr>
    </w:p>
    <w:p w:rsidR="0041686B" w:rsidRDefault="0041686B" w:rsidP="008C54A9">
      <w:pPr>
        <w:autoSpaceDE w:val="0"/>
        <w:autoSpaceDN w:val="0"/>
        <w:adjustRightInd w:val="0"/>
        <w:spacing w:after="0" w:line="240" w:lineRule="auto"/>
        <w:rPr>
          <w:rFonts w:cstheme="minorHAnsi"/>
          <w:bCs/>
          <w:color w:val="FF0000"/>
        </w:rPr>
      </w:pPr>
      <w:proofErr w:type="gramStart"/>
      <w:r>
        <w:rPr>
          <w:rFonts w:cstheme="minorHAnsi"/>
          <w:bCs/>
          <w:color w:val="FF0000"/>
        </w:rPr>
        <w:t>Table 1.</w:t>
      </w:r>
      <w:proofErr w:type="gramEnd"/>
      <w:r>
        <w:rPr>
          <w:rFonts w:cstheme="minorHAnsi"/>
          <w:bCs/>
          <w:color w:val="FF0000"/>
        </w:rPr>
        <w:t xml:space="preserve"> Distribution of performance score reliability</w:t>
      </w:r>
    </w:p>
    <w:tbl>
      <w:tblPr>
        <w:tblStyle w:val="TableGrid"/>
        <w:tblW w:w="0" w:type="auto"/>
        <w:tblLook w:val="04A0"/>
      </w:tblPr>
      <w:tblGrid>
        <w:gridCol w:w="1197"/>
        <w:gridCol w:w="778"/>
        <w:gridCol w:w="723"/>
        <w:gridCol w:w="723"/>
        <w:gridCol w:w="772"/>
        <w:gridCol w:w="773"/>
        <w:gridCol w:w="773"/>
        <w:gridCol w:w="773"/>
        <w:gridCol w:w="773"/>
        <w:gridCol w:w="773"/>
        <w:gridCol w:w="646"/>
        <w:gridCol w:w="646"/>
      </w:tblGrid>
      <w:tr w:rsidR="008E4184" w:rsidTr="00146A99">
        <w:tc>
          <w:tcPr>
            <w:tcW w:w="1197" w:type="dxa"/>
          </w:tcPr>
          <w:p w:rsidR="008E4184" w:rsidRDefault="008E4184" w:rsidP="008C54A9">
            <w:pPr>
              <w:autoSpaceDE w:val="0"/>
              <w:autoSpaceDN w:val="0"/>
              <w:adjustRightInd w:val="0"/>
              <w:rPr>
                <w:rFonts w:cstheme="minorHAnsi"/>
                <w:bCs/>
                <w:color w:val="FF0000"/>
              </w:rPr>
            </w:pPr>
          </w:p>
        </w:tc>
        <w:tc>
          <w:tcPr>
            <w:tcW w:w="778" w:type="dxa"/>
          </w:tcPr>
          <w:p w:rsidR="008E4184" w:rsidRDefault="008E4184" w:rsidP="008C54A9">
            <w:pPr>
              <w:autoSpaceDE w:val="0"/>
              <w:autoSpaceDN w:val="0"/>
              <w:adjustRightInd w:val="0"/>
              <w:rPr>
                <w:rFonts w:cstheme="minorHAnsi"/>
                <w:bCs/>
                <w:color w:val="FF0000"/>
              </w:rPr>
            </w:pPr>
            <w:r>
              <w:rPr>
                <w:rFonts w:cstheme="minorHAnsi"/>
                <w:bCs/>
                <w:color w:val="FF0000"/>
              </w:rPr>
              <w:t>Min</w:t>
            </w:r>
          </w:p>
        </w:tc>
        <w:tc>
          <w:tcPr>
            <w:tcW w:w="723" w:type="dxa"/>
          </w:tcPr>
          <w:p w:rsidR="008E4184" w:rsidRDefault="008E4184" w:rsidP="008C54A9">
            <w:pPr>
              <w:autoSpaceDE w:val="0"/>
              <w:autoSpaceDN w:val="0"/>
              <w:adjustRightInd w:val="0"/>
              <w:rPr>
                <w:rFonts w:cstheme="minorHAnsi"/>
                <w:bCs/>
                <w:color w:val="FF0000"/>
              </w:rPr>
            </w:pPr>
            <w:r>
              <w:rPr>
                <w:rFonts w:cstheme="minorHAnsi"/>
                <w:bCs/>
                <w:color w:val="FF0000"/>
              </w:rPr>
              <w:t>P1</w:t>
            </w:r>
          </w:p>
        </w:tc>
        <w:tc>
          <w:tcPr>
            <w:tcW w:w="723" w:type="dxa"/>
          </w:tcPr>
          <w:p w:rsidR="008E4184" w:rsidRDefault="008E4184" w:rsidP="008C54A9">
            <w:pPr>
              <w:autoSpaceDE w:val="0"/>
              <w:autoSpaceDN w:val="0"/>
              <w:adjustRightInd w:val="0"/>
              <w:rPr>
                <w:rFonts w:cstheme="minorHAnsi"/>
                <w:bCs/>
                <w:color w:val="FF0000"/>
              </w:rPr>
            </w:pPr>
            <w:r>
              <w:rPr>
                <w:rFonts w:cstheme="minorHAnsi"/>
                <w:bCs/>
                <w:color w:val="FF0000"/>
              </w:rPr>
              <w:t>P5</w:t>
            </w:r>
          </w:p>
        </w:tc>
        <w:tc>
          <w:tcPr>
            <w:tcW w:w="772" w:type="dxa"/>
          </w:tcPr>
          <w:p w:rsidR="008E4184" w:rsidRDefault="008E4184" w:rsidP="008C54A9">
            <w:pPr>
              <w:autoSpaceDE w:val="0"/>
              <w:autoSpaceDN w:val="0"/>
              <w:adjustRightInd w:val="0"/>
              <w:rPr>
                <w:rFonts w:cstheme="minorHAnsi"/>
                <w:bCs/>
                <w:color w:val="FF0000"/>
              </w:rPr>
            </w:pPr>
            <w:r>
              <w:rPr>
                <w:rFonts w:cstheme="minorHAnsi"/>
                <w:bCs/>
                <w:color w:val="FF0000"/>
              </w:rPr>
              <w:t>P10</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P25</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P50</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P75</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P90</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P95</w:t>
            </w:r>
          </w:p>
        </w:tc>
        <w:tc>
          <w:tcPr>
            <w:tcW w:w="646" w:type="dxa"/>
          </w:tcPr>
          <w:p w:rsidR="008E4184" w:rsidRDefault="008E4184" w:rsidP="008C54A9">
            <w:pPr>
              <w:autoSpaceDE w:val="0"/>
              <w:autoSpaceDN w:val="0"/>
              <w:adjustRightInd w:val="0"/>
              <w:rPr>
                <w:rFonts w:cstheme="minorHAnsi"/>
                <w:bCs/>
                <w:color w:val="FF0000"/>
              </w:rPr>
            </w:pPr>
            <w:r>
              <w:rPr>
                <w:rFonts w:cstheme="minorHAnsi"/>
                <w:bCs/>
                <w:color w:val="FF0000"/>
              </w:rPr>
              <w:t>P99</w:t>
            </w:r>
          </w:p>
        </w:tc>
        <w:tc>
          <w:tcPr>
            <w:tcW w:w="646" w:type="dxa"/>
          </w:tcPr>
          <w:p w:rsidR="008E4184" w:rsidRDefault="008E4184" w:rsidP="008C54A9">
            <w:pPr>
              <w:autoSpaceDE w:val="0"/>
              <w:autoSpaceDN w:val="0"/>
              <w:adjustRightInd w:val="0"/>
              <w:rPr>
                <w:rFonts w:cstheme="minorHAnsi"/>
                <w:bCs/>
                <w:color w:val="FF0000"/>
              </w:rPr>
            </w:pPr>
            <w:r>
              <w:rPr>
                <w:rFonts w:cstheme="minorHAnsi"/>
                <w:bCs/>
                <w:color w:val="FF0000"/>
              </w:rPr>
              <w:t>Max</w:t>
            </w:r>
          </w:p>
        </w:tc>
      </w:tr>
      <w:tr w:rsidR="008E4184" w:rsidTr="00146A99">
        <w:tc>
          <w:tcPr>
            <w:tcW w:w="1197" w:type="dxa"/>
          </w:tcPr>
          <w:p w:rsidR="008E4184" w:rsidRDefault="008E4184" w:rsidP="008C54A9">
            <w:pPr>
              <w:autoSpaceDE w:val="0"/>
              <w:autoSpaceDN w:val="0"/>
              <w:adjustRightInd w:val="0"/>
              <w:rPr>
                <w:rFonts w:cstheme="minorHAnsi"/>
                <w:bCs/>
                <w:color w:val="FF0000"/>
              </w:rPr>
            </w:pPr>
            <w:proofErr w:type="spellStart"/>
            <w:r>
              <w:rPr>
                <w:rFonts w:cstheme="minorHAnsi"/>
                <w:bCs/>
                <w:color w:val="FF0000"/>
              </w:rPr>
              <w:t>Realiability</w:t>
            </w:r>
            <w:proofErr w:type="spellEnd"/>
          </w:p>
        </w:tc>
        <w:tc>
          <w:tcPr>
            <w:tcW w:w="778" w:type="dxa"/>
          </w:tcPr>
          <w:p w:rsidR="008E4184" w:rsidRDefault="008E4184" w:rsidP="008C54A9">
            <w:pPr>
              <w:autoSpaceDE w:val="0"/>
              <w:autoSpaceDN w:val="0"/>
              <w:adjustRightInd w:val="0"/>
              <w:rPr>
                <w:rFonts w:cstheme="minorHAnsi"/>
                <w:bCs/>
                <w:color w:val="FF0000"/>
              </w:rPr>
            </w:pPr>
            <w:r>
              <w:rPr>
                <w:rFonts w:cstheme="minorHAnsi"/>
                <w:bCs/>
                <w:color w:val="FF0000"/>
              </w:rPr>
              <w:t>0.326</w:t>
            </w:r>
          </w:p>
        </w:tc>
        <w:tc>
          <w:tcPr>
            <w:tcW w:w="723" w:type="dxa"/>
          </w:tcPr>
          <w:p w:rsidR="008E4184" w:rsidRDefault="008E4184" w:rsidP="008C54A9">
            <w:pPr>
              <w:autoSpaceDE w:val="0"/>
              <w:autoSpaceDN w:val="0"/>
              <w:adjustRightInd w:val="0"/>
              <w:rPr>
                <w:rFonts w:cstheme="minorHAnsi"/>
                <w:bCs/>
                <w:color w:val="FF0000"/>
              </w:rPr>
            </w:pPr>
            <w:r>
              <w:rPr>
                <w:rFonts w:cstheme="minorHAnsi"/>
                <w:bCs/>
                <w:color w:val="FF0000"/>
              </w:rPr>
              <w:t>0.666</w:t>
            </w:r>
          </w:p>
        </w:tc>
        <w:tc>
          <w:tcPr>
            <w:tcW w:w="723" w:type="dxa"/>
          </w:tcPr>
          <w:p w:rsidR="008E4184" w:rsidRDefault="008E4184" w:rsidP="008E4184">
            <w:pPr>
              <w:autoSpaceDE w:val="0"/>
              <w:autoSpaceDN w:val="0"/>
              <w:adjustRightInd w:val="0"/>
              <w:rPr>
                <w:rFonts w:cstheme="minorHAnsi"/>
                <w:bCs/>
                <w:color w:val="FF0000"/>
              </w:rPr>
            </w:pPr>
            <w:r>
              <w:rPr>
                <w:rFonts w:cstheme="minorHAnsi"/>
                <w:bCs/>
                <w:color w:val="FF0000"/>
              </w:rPr>
              <w:t>0.890</w:t>
            </w:r>
          </w:p>
        </w:tc>
        <w:tc>
          <w:tcPr>
            <w:tcW w:w="772" w:type="dxa"/>
          </w:tcPr>
          <w:p w:rsidR="008E4184" w:rsidRDefault="008E4184" w:rsidP="008C54A9">
            <w:pPr>
              <w:autoSpaceDE w:val="0"/>
              <w:autoSpaceDN w:val="0"/>
              <w:adjustRightInd w:val="0"/>
              <w:rPr>
                <w:rFonts w:cstheme="minorHAnsi"/>
                <w:bCs/>
                <w:color w:val="FF0000"/>
              </w:rPr>
            </w:pPr>
            <w:r>
              <w:rPr>
                <w:rFonts w:cstheme="minorHAnsi"/>
                <w:bCs/>
                <w:color w:val="FF0000"/>
              </w:rPr>
              <w:t>0.943</w:t>
            </w:r>
          </w:p>
        </w:tc>
        <w:tc>
          <w:tcPr>
            <w:tcW w:w="773" w:type="dxa"/>
          </w:tcPr>
          <w:p w:rsidR="008E4184" w:rsidRDefault="008E4184" w:rsidP="008E4184">
            <w:pPr>
              <w:autoSpaceDE w:val="0"/>
              <w:autoSpaceDN w:val="0"/>
              <w:adjustRightInd w:val="0"/>
              <w:rPr>
                <w:rFonts w:cstheme="minorHAnsi"/>
                <w:bCs/>
                <w:color w:val="FF0000"/>
              </w:rPr>
            </w:pPr>
            <w:r>
              <w:rPr>
                <w:rFonts w:cstheme="minorHAnsi"/>
                <w:bCs/>
                <w:color w:val="FF0000"/>
              </w:rPr>
              <w:t>0.979</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0.992</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0.997</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0.999</w:t>
            </w:r>
          </w:p>
        </w:tc>
        <w:tc>
          <w:tcPr>
            <w:tcW w:w="773" w:type="dxa"/>
          </w:tcPr>
          <w:p w:rsidR="008E4184" w:rsidRDefault="008E4184" w:rsidP="008C54A9">
            <w:pPr>
              <w:autoSpaceDE w:val="0"/>
              <w:autoSpaceDN w:val="0"/>
              <w:adjustRightInd w:val="0"/>
              <w:rPr>
                <w:rFonts w:cstheme="minorHAnsi"/>
                <w:bCs/>
                <w:color w:val="FF0000"/>
              </w:rPr>
            </w:pPr>
            <w:r>
              <w:rPr>
                <w:rFonts w:cstheme="minorHAnsi"/>
                <w:bCs/>
                <w:color w:val="FF0000"/>
              </w:rPr>
              <w:t>1.00</w:t>
            </w:r>
          </w:p>
        </w:tc>
        <w:tc>
          <w:tcPr>
            <w:tcW w:w="646" w:type="dxa"/>
          </w:tcPr>
          <w:p w:rsidR="008E4184" w:rsidRDefault="008E4184" w:rsidP="008C54A9">
            <w:pPr>
              <w:autoSpaceDE w:val="0"/>
              <w:autoSpaceDN w:val="0"/>
              <w:adjustRightInd w:val="0"/>
              <w:rPr>
                <w:rFonts w:cstheme="minorHAnsi"/>
                <w:bCs/>
                <w:color w:val="FF0000"/>
              </w:rPr>
            </w:pPr>
            <w:r>
              <w:rPr>
                <w:rFonts w:cstheme="minorHAnsi"/>
                <w:bCs/>
                <w:color w:val="FF0000"/>
              </w:rPr>
              <w:t>1.00</w:t>
            </w:r>
          </w:p>
        </w:tc>
        <w:tc>
          <w:tcPr>
            <w:tcW w:w="646" w:type="dxa"/>
          </w:tcPr>
          <w:p w:rsidR="008E4184" w:rsidRDefault="008E4184" w:rsidP="008C54A9">
            <w:pPr>
              <w:autoSpaceDE w:val="0"/>
              <w:autoSpaceDN w:val="0"/>
              <w:adjustRightInd w:val="0"/>
              <w:rPr>
                <w:rFonts w:cstheme="minorHAnsi"/>
                <w:bCs/>
                <w:color w:val="FF0000"/>
              </w:rPr>
            </w:pPr>
            <w:r>
              <w:rPr>
                <w:rFonts w:cstheme="minorHAnsi"/>
                <w:bCs/>
                <w:color w:val="FF0000"/>
              </w:rPr>
              <w:t>1.00</w:t>
            </w:r>
          </w:p>
        </w:tc>
      </w:tr>
    </w:tbl>
    <w:p w:rsidR="009C02DA" w:rsidRPr="00A25024" w:rsidRDefault="009C02DA" w:rsidP="008C54A9">
      <w:pPr>
        <w:autoSpaceDE w:val="0"/>
        <w:autoSpaceDN w:val="0"/>
        <w:adjustRightInd w:val="0"/>
        <w:spacing w:after="0" w:line="240" w:lineRule="auto"/>
        <w:rPr>
          <w:rFonts w:cstheme="minorHAnsi"/>
          <w:bCs/>
        </w:rPr>
      </w:pPr>
    </w:p>
    <w:p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rsidR="005C56BC" w:rsidRPr="00BF2268" w:rsidRDefault="005C56BC" w:rsidP="005C56BC">
      <w:pPr>
        <w:autoSpaceDE w:val="0"/>
        <w:autoSpaceDN w:val="0"/>
        <w:adjustRightInd w:val="0"/>
        <w:spacing w:after="0" w:line="240" w:lineRule="auto"/>
        <w:jc w:val="both"/>
        <w:rPr>
          <w:rFonts w:cstheme="minorHAnsi"/>
          <w:bCs/>
          <w:color w:val="FF0000"/>
        </w:rPr>
      </w:pPr>
      <w:r w:rsidRPr="00BF2268">
        <w:rPr>
          <w:rFonts w:cstheme="minorHAnsi"/>
          <w:bCs/>
          <w:color w:val="FF0000"/>
        </w:rPr>
        <w:t>Calculated using a beta-binomial model, a</w:t>
      </w:r>
      <w:r w:rsidR="00146A99">
        <w:rPr>
          <w:rFonts w:cstheme="minorHAnsi"/>
          <w:bCs/>
          <w:color w:val="FF0000"/>
        </w:rPr>
        <w:t>n</w:t>
      </w:r>
      <w:r w:rsidRPr="00BF2268">
        <w:rPr>
          <w:rFonts w:cstheme="minorHAnsi"/>
          <w:bCs/>
          <w:color w:val="FF0000"/>
        </w:rPr>
        <w:t xml:space="preserve"> </w:t>
      </w:r>
      <w:r w:rsidR="00146A99" w:rsidRPr="00146A99">
        <w:rPr>
          <w:rFonts w:cstheme="minorHAnsi"/>
          <w:bCs/>
          <w:color w:val="FF0000"/>
        </w:rPr>
        <w:t>average</w:t>
      </w:r>
      <w:r w:rsidRPr="00BF2268">
        <w:rPr>
          <w:rFonts w:cstheme="minorHAnsi"/>
          <w:bCs/>
          <w:color w:val="FF0000"/>
        </w:rPr>
        <w:t xml:space="preserve"> reliability score of 0.</w:t>
      </w:r>
      <w:r>
        <w:rPr>
          <w:rFonts w:cstheme="minorHAnsi"/>
          <w:bCs/>
          <w:color w:val="FF0000"/>
        </w:rPr>
        <w:t>9</w:t>
      </w:r>
      <w:r w:rsidRPr="00BF2268">
        <w:rPr>
          <w:rFonts w:cstheme="minorHAnsi"/>
          <w:bCs/>
          <w:color w:val="FF0000"/>
        </w:rPr>
        <w:t xml:space="preserve">7 is indicative of </w:t>
      </w:r>
      <w:r>
        <w:rPr>
          <w:rFonts w:cstheme="minorHAnsi"/>
          <w:bCs/>
          <w:color w:val="FF0000"/>
        </w:rPr>
        <w:t>high</w:t>
      </w:r>
      <w:r w:rsidRPr="00BF2268">
        <w:rPr>
          <w:rFonts w:cstheme="minorHAnsi"/>
          <w:bCs/>
          <w:color w:val="FF0000"/>
        </w:rPr>
        <w:t xml:space="preserve"> measure reliability. The results of this test indicate that the measure is able to identify true differences in performance between individual facilities.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Content>
          <w:r w:rsidR="004E1E40" w:rsidRPr="002A7B84">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E0233F"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E0233F"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633A10" w:rsidRPr="00633A10" w:rsidRDefault="00092566" w:rsidP="00E10372">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r w:rsidR="0022691B">
        <w:rPr>
          <w:rFonts w:cstheme="minorHAnsi"/>
          <w:bCs/>
          <w:i/>
        </w:rPr>
        <w:lastRenderedPageBreak/>
        <w:t>was used</w:t>
      </w:r>
      <w:r w:rsidR="00696262" w:rsidRPr="00A25024">
        <w:rPr>
          <w:rFonts w:cstheme="minorHAnsi"/>
          <w:bCs/>
          <w:i/>
        </w:rPr>
        <w:t>)</w:t>
      </w:r>
      <w:r w:rsidR="00833325" w:rsidRPr="00A25024">
        <w:rPr>
          <w:rFonts w:cstheme="minorHAnsi"/>
          <w:bCs/>
        </w:rPr>
        <w:br/>
      </w:r>
    </w:p>
    <w:p w:rsidR="00633A10" w:rsidRDefault="00633A10" w:rsidP="00633A10">
      <w:pPr>
        <w:autoSpaceDE w:val="0"/>
        <w:autoSpaceDN w:val="0"/>
        <w:adjustRightInd w:val="0"/>
        <w:spacing w:after="0" w:line="240" w:lineRule="auto"/>
        <w:rPr>
          <w:rFonts w:cstheme="minorHAnsi"/>
          <w:bCs/>
        </w:rPr>
      </w:pPr>
      <w:r w:rsidRPr="00633A10">
        <w:rPr>
          <w:rFonts w:cstheme="minorHAnsi"/>
          <w:bCs/>
        </w:rPr>
        <w:t>This measure has face validity. A group of national experts reviewed the measure and evidence and all agreed that high measure scores will relate to higher quality.</w:t>
      </w:r>
    </w:p>
    <w:p w:rsidR="00B40FF3" w:rsidRPr="00633A10" w:rsidRDefault="00B40FF3" w:rsidP="00633A10">
      <w:pPr>
        <w:autoSpaceDE w:val="0"/>
        <w:autoSpaceDN w:val="0"/>
        <w:adjustRightInd w:val="0"/>
        <w:spacing w:after="0" w:line="240" w:lineRule="auto"/>
        <w:rPr>
          <w:rFonts w:cstheme="minorHAnsi"/>
          <w:bCs/>
        </w:rPr>
      </w:pPr>
    </w:p>
    <w:p w:rsidR="00633A10" w:rsidRPr="00633A10" w:rsidRDefault="00633A10" w:rsidP="00633A10">
      <w:pPr>
        <w:autoSpaceDE w:val="0"/>
        <w:autoSpaceDN w:val="0"/>
        <w:adjustRightInd w:val="0"/>
        <w:spacing w:after="0" w:line="240" w:lineRule="auto"/>
        <w:rPr>
          <w:rFonts w:cstheme="minorHAnsi"/>
          <w:bCs/>
        </w:rPr>
      </w:pPr>
      <w:r w:rsidRPr="00633A10">
        <w:rPr>
          <w:rFonts w:cstheme="minorHAnsi"/>
          <w:bCs/>
        </w:rPr>
        <w:t>Regarding the individual data elements, the abstractors have direct access to the medical record, which is the most authoritative source to extract the required information. The definitions of individual data elements have been constantly revised and clarified to avoid ambiguity. They are compiled in a “Manual Specification” document that is posted to various internet websites (CMS, Joint Commission, etc.). After ten years of clarification the likelihood of systematic error when assessing individual data elements should be minimal.</w:t>
      </w:r>
    </w:p>
    <w:p w:rsidR="00633A10" w:rsidRPr="00633A10" w:rsidRDefault="00633A10" w:rsidP="00633A10">
      <w:pPr>
        <w:autoSpaceDE w:val="0"/>
        <w:autoSpaceDN w:val="0"/>
        <w:adjustRightInd w:val="0"/>
        <w:spacing w:after="0" w:line="240" w:lineRule="auto"/>
        <w:rPr>
          <w:rFonts w:cstheme="minorHAnsi"/>
          <w:bCs/>
        </w:rPr>
      </w:pPr>
    </w:p>
    <w:p w:rsidR="00633A10" w:rsidRPr="00633A10" w:rsidRDefault="00633A10" w:rsidP="00633A10">
      <w:pPr>
        <w:autoSpaceDE w:val="0"/>
        <w:autoSpaceDN w:val="0"/>
        <w:adjustRightInd w:val="0"/>
        <w:spacing w:after="0" w:line="240" w:lineRule="auto"/>
        <w:rPr>
          <w:rFonts w:cstheme="minorHAnsi"/>
          <w:bCs/>
        </w:rPr>
      </w:pPr>
      <w:r w:rsidRPr="00633A10">
        <w:rPr>
          <w:rFonts w:cstheme="minorHAnsi"/>
          <w:bCs/>
        </w:rPr>
        <w:t>Regarding the overall assessment of the measure using a series of exclusion and inclusion criteria to estimate the denominator (eligible patients) and the numerator (those who received the recommended care), an elaborate analytic algorithm has been developed and repeatedly tested over the past five or six years.  On a quarterly basis, the national database is analyzed by two independent teams of statisticians/programmers who compare their results against each other.</w:t>
      </w:r>
    </w:p>
    <w:p w:rsidR="00633A10" w:rsidRPr="00633A10" w:rsidRDefault="00633A10" w:rsidP="00E10372">
      <w:pPr>
        <w:autoSpaceDE w:val="0"/>
        <w:autoSpaceDN w:val="0"/>
        <w:adjustRightInd w:val="0"/>
        <w:spacing w:after="0" w:line="240" w:lineRule="auto"/>
        <w:rPr>
          <w:rFonts w:cstheme="minorHAnsi"/>
          <w:bCs/>
        </w:rPr>
      </w:pPr>
    </w:p>
    <w:p w:rsidR="00E10372" w:rsidRPr="00D266D4" w:rsidRDefault="000B1A69" w:rsidP="00E10372">
      <w:pPr>
        <w:autoSpaceDE w:val="0"/>
        <w:autoSpaceDN w:val="0"/>
        <w:adjustRightInd w:val="0"/>
        <w:spacing w:after="0" w:line="240" w:lineRule="auto"/>
        <w:rPr>
          <w:rFonts w:cstheme="minorHAnsi"/>
          <w:bCs/>
          <w:color w:val="FF0000"/>
        </w:rPr>
      </w:pPr>
      <w:r w:rsidRPr="00D266D4">
        <w:rPr>
          <w:rFonts w:cstheme="minorHAnsi"/>
          <w:bCs/>
          <w:color w:val="FF0000"/>
        </w:rPr>
        <w:t>Copies of medical records for each case selected are requested from the facilities selected for validation.  An independent group of medical record abstractors from the Clinical Data Abstraction Center (CDAC) under contract with CMS abstracts the same data elements for each case that the submitted hospital abstracted when originally submitting data to the CMS clinical data warehouse. The CDAC compares abstraction results and identifies cases and data elements for which there is a mismatch in abstraction. Percent of mismatches for each data element from the validation sample are calculated</w:t>
      </w:r>
      <w:r w:rsidR="00E10372" w:rsidRPr="00D266D4">
        <w:rPr>
          <w:rFonts w:cstheme="minorHAnsi"/>
          <w:bCs/>
          <w:color w:val="FF0000"/>
        </w:rPr>
        <w:t>.</w:t>
      </w:r>
    </w:p>
    <w:p w:rsidR="00833325" w:rsidRPr="00A25024" w:rsidRDefault="00833325" w:rsidP="00DB3627">
      <w:pPr>
        <w:autoSpaceDE w:val="0"/>
        <w:autoSpaceDN w:val="0"/>
        <w:adjustRightInd w:val="0"/>
        <w:spacing w:after="0" w:line="240" w:lineRule="auto"/>
        <w:rPr>
          <w:rFonts w:cstheme="minorHAnsi"/>
          <w:bCs/>
        </w:rPr>
      </w:pPr>
    </w:p>
    <w:p w:rsidR="00633A10" w:rsidRPr="00633A10" w:rsidRDefault="00092566" w:rsidP="00E10372">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rsidR="00633A10" w:rsidRPr="00633A10" w:rsidRDefault="00633A10" w:rsidP="00633A10">
      <w:pPr>
        <w:autoSpaceDE w:val="0"/>
        <w:autoSpaceDN w:val="0"/>
        <w:adjustRightInd w:val="0"/>
        <w:spacing w:after="0" w:line="240" w:lineRule="auto"/>
        <w:rPr>
          <w:rFonts w:cstheme="minorHAnsi"/>
          <w:bCs/>
        </w:rPr>
      </w:pPr>
      <w:r w:rsidRPr="00633A10">
        <w:rPr>
          <w:rFonts w:cstheme="minorHAnsi"/>
          <w:bCs/>
        </w:rPr>
        <w:t>As indicated earlier, the national database of the existing similar measure is analyzed by two independent teams of statisticians/programmers (located at two different sites) and their results are validated against each other. The matching rate has been 100% over the last five years. A very tiny number of mismatches that were observed on occasion were due to accidental programming glitches not as a result of the measure algorithm itself; and they were always promptly corrected to reach the perfect 100% matching rate between the two independent teams of analysts.</w:t>
      </w:r>
    </w:p>
    <w:p w:rsidR="00633A10" w:rsidRPr="00633A10" w:rsidRDefault="00633A10" w:rsidP="00633A10">
      <w:pPr>
        <w:autoSpaceDE w:val="0"/>
        <w:autoSpaceDN w:val="0"/>
        <w:adjustRightInd w:val="0"/>
        <w:spacing w:after="0" w:line="240" w:lineRule="auto"/>
        <w:rPr>
          <w:rFonts w:cstheme="minorHAnsi"/>
          <w:bCs/>
        </w:rPr>
      </w:pPr>
      <w:r w:rsidRPr="00633A10">
        <w:rPr>
          <w:rFonts w:cstheme="minorHAnsi"/>
          <w:bCs/>
        </w:rPr>
        <w:t>For each quarter, a dedicated contractor with CMS randomly selects five submitted cases from each hospital for re-abstraction. This process was started in 2003. For the last 6 years, the validation score for the data elements were consistently over 90. The validation score for 2010 was 94.3.</w:t>
      </w:r>
    </w:p>
    <w:p w:rsidR="00633A10" w:rsidRPr="00633A10" w:rsidRDefault="00633A10" w:rsidP="00E10372">
      <w:pPr>
        <w:autoSpaceDE w:val="0"/>
        <w:autoSpaceDN w:val="0"/>
        <w:adjustRightInd w:val="0"/>
        <w:spacing w:after="0" w:line="240" w:lineRule="auto"/>
        <w:rPr>
          <w:rFonts w:cstheme="minorHAnsi"/>
          <w:bCs/>
        </w:rPr>
      </w:pPr>
    </w:p>
    <w:p w:rsidR="00E10372" w:rsidRPr="00D266D4" w:rsidRDefault="000B1A69" w:rsidP="00E10372">
      <w:pPr>
        <w:autoSpaceDE w:val="0"/>
        <w:autoSpaceDN w:val="0"/>
        <w:adjustRightInd w:val="0"/>
        <w:spacing w:after="0" w:line="240" w:lineRule="auto"/>
        <w:rPr>
          <w:rFonts w:cstheme="minorHAnsi"/>
          <w:bCs/>
          <w:color w:val="FF0000"/>
        </w:rPr>
      </w:pPr>
      <w:r w:rsidRPr="00D266D4">
        <w:rPr>
          <w:rFonts w:cstheme="minorHAnsi"/>
          <w:bCs/>
          <w:color w:val="FF0000"/>
        </w:rPr>
        <w:t>There are two data elements that are abstracted for IMM-2, Discharge Disposition and Influenza Vaccination Status. For the 2014 – 2015 influenza season a total of 5,285 cases were selected for validation</w:t>
      </w:r>
      <w:r w:rsidR="00E10372" w:rsidRPr="00D266D4">
        <w:rPr>
          <w:rFonts w:cstheme="minorHAnsi"/>
          <w:bCs/>
          <w:color w:val="FF0000"/>
        </w:rPr>
        <w:t>.</w:t>
      </w:r>
    </w:p>
    <w:p w:rsidR="00E10372" w:rsidRPr="00D266D4" w:rsidRDefault="00E10372" w:rsidP="00E10372">
      <w:pPr>
        <w:autoSpaceDE w:val="0"/>
        <w:autoSpaceDN w:val="0"/>
        <w:adjustRightInd w:val="0"/>
        <w:spacing w:after="0" w:line="240" w:lineRule="auto"/>
        <w:rPr>
          <w:rFonts w:cstheme="minorHAnsi"/>
          <w:bCs/>
          <w:color w:val="FF0000"/>
        </w:rPr>
      </w:pPr>
    </w:p>
    <w:p w:rsidR="00E10372" w:rsidRPr="00D266D4" w:rsidRDefault="000B1A69" w:rsidP="00E10372">
      <w:pPr>
        <w:autoSpaceDE w:val="0"/>
        <w:autoSpaceDN w:val="0"/>
        <w:adjustRightInd w:val="0"/>
        <w:spacing w:after="0" w:line="240" w:lineRule="auto"/>
        <w:rPr>
          <w:rFonts w:cstheme="minorHAnsi"/>
          <w:bCs/>
          <w:color w:val="FF0000"/>
        </w:rPr>
      </w:pPr>
      <w:r w:rsidRPr="00D266D4">
        <w:rPr>
          <w:rFonts w:cstheme="minorHAnsi"/>
          <w:bCs/>
          <w:color w:val="FF0000"/>
        </w:rPr>
        <w:t>For the Discharge Disposition data element 5,284 records were validated, revealing 131 abstraction mismatches. This represents a 97.52% agreement rate</w:t>
      </w:r>
      <w:r w:rsidR="00E10372" w:rsidRPr="00D266D4">
        <w:rPr>
          <w:rFonts w:cstheme="minorHAnsi"/>
          <w:bCs/>
          <w:color w:val="FF0000"/>
        </w:rPr>
        <w:t>.</w:t>
      </w:r>
    </w:p>
    <w:p w:rsidR="00E10372" w:rsidRPr="00D266D4" w:rsidRDefault="00E10372" w:rsidP="00E10372">
      <w:pPr>
        <w:autoSpaceDE w:val="0"/>
        <w:autoSpaceDN w:val="0"/>
        <w:adjustRightInd w:val="0"/>
        <w:spacing w:after="0" w:line="240" w:lineRule="auto"/>
        <w:rPr>
          <w:rFonts w:cstheme="minorHAnsi"/>
          <w:bCs/>
          <w:color w:val="FF0000"/>
        </w:rPr>
      </w:pPr>
    </w:p>
    <w:p w:rsidR="00E10372" w:rsidRPr="00D266D4" w:rsidRDefault="000B1A69" w:rsidP="00E10372">
      <w:pPr>
        <w:autoSpaceDE w:val="0"/>
        <w:autoSpaceDN w:val="0"/>
        <w:adjustRightInd w:val="0"/>
        <w:spacing w:after="0" w:line="240" w:lineRule="auto"/>
        <w:rPr>
          <w:rFonts w:cstheme="minorHAnsi"/>
          <w:bCs/>
          <w:color w:val="FF0000"/>
        </w:rPr>
      </w:pPr>
      <w:r w:rsidRPr="00D266D4">
        <w:rPr>
          <w:rFonts w:cstheme="minorHAnsi"/>
          <w:bCs/>
          <w:color w:val="FF0000"/>
        </w:rPr>
        <w:t>For the Influenza Immunization Status data element 4,875 records were validated, revealing 475 abstraction mismatches. This represents a 90.26% agreement rate</w:t>
      </w:r>
      <w:r w:rsidR="00E10372" w:rsidRPr="00D266D4">
        <w:rPr>
          <w:rFonts w:cstheme="minorHAnsi"/>
          <w:bCs/>
          <w:color w:val="FF0000"/>
        </w:rPr>
        <w:t>.</w:t>
      </w:r>
    </w:p>
    <w:p w:rsidR="00E10372" w:rsidRPr="00092566" w:rsidRDefault="00E10372" w:rsidP="00092566">
      <w:pPr>
        <w:autoSpaceDE w:val="0"/>
        <w:autoSpaceDN w:val="0"/>
        <w:adjustRightInd w:val="0"/>
        <w:spacing w:after="0" w:line="240" w:lineRule="auto"/>
        <w:rPr>
          <w:rFonts w:cstheme="minorHAnsi"/>
          <w:bCs/>
        </w:rPr>
      </w:pPr>
    </w:p>
    <w:p w:rsidR="007C226A" w:rsidRPr="007C226A" w:rsidRDefault="00092566" w:rsidP="00DB3627">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7422FD"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Results demon</w:t>
      </w:r>
      <w:r w:rsidR="00D80586" w:rsidRPr="00D266D4">
        <w:rPr>
          <w:rFonts w:cstheme="minorHAnsi"/>
          <w:bCs/>
          <w:color w:val="FF0000"/>
        </w:rPr>
        <w:t xml:space="preserve">strate a high degree of agreement between hospital abstraction and CDAC validation abstraction for the Discharge Disposition and Influenza Immunization Status data elements. </w:t>
      </w:r>
    </w:p>
    <w:p w:rsidR="00A335A2" w:rsidRPr="00A25024" w:rsidRDefault="00A335A2" w:rsidP="00DB3627">
      <w:pPr>
        <w:autoSpaceDE w:val="0"/>
        <w:autoSpaceDN w:val="0"/>
        <w:adjustRightInd w:val="0"/>
        <w:spacing w:after="0" w:line="240" w:lineRule="auto"/>
        <w:rPr>
          <w:rFonts w:cstheme="minorHAnsi"/>
          <w:bCs/>
        </w:rPr>
      </w:pP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640F67" w:rsidRPr="00640F67"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rsidR="00640F67" w:rsidRPr="00640F67" w:rsidRDefault="002A7B84" w:rsidP="00DB3627">
      <w:pPr>
        <w:autoSpaceDE w:val="0"/>
        <w:autoSpaceDN w:val="0"/>
        <w:adjustRightInd w:val="0"/>
        <w:spacing w:after="0" w:line="240" w:lineRule="auto"/>
        <w:rPr>
          <w:rFonts w:cstheme="minorHAnsi"/>
          <w:bCs/>
        </w:rPr>
      </w:pPr>
      <w:r w:rsidRPr="002A7B84">
        <w:rPr>
          <w:rFonts w:cstheme="minorHAnsi"/>
          <w:bCs/>
        </w:rPr>
        <w:t xml:space="preserve">There are only 2 populations that are excluded from this measure: Patients who expired during the hospitalization and Patients who had an organ transplant during the hospitalization.  We exclude patients who expire during the hospitalization, as they are no longer at risk for anything.  Organ transplants are excluded because they are under intensive immunosuppressive therapy and their immunologic response is almost </w:t>
      </w:r>
      <w:proofErr w:type="gramStart"/>
      <w:r w:rsidRPr="002A7B84">
        <w:rPr>
          <w:rFonts w:cstheme="minorHAnsi"/>
          <w:bCs/>
        </w:rPr>
        <w:t>nil</w:t>
      </w:r>
      <w:proofErr w:type="gramEnd"/>
      <w:r w:rsidRPr="002A7B84">
        <w:rPr>
          <w:rFonts w:cstheme="minorHAnsi"/>
          <w:bCs/>
        </w:rPr>
        <w:t>.</w:t>
      </w:r>
    </w:p>
    <w:p w:rsidR="00640F67" w:rsidRPr="00640F67" w:rsidRDefault="00640F67" w:rsidP="00DB3627">
      <w:pPr>
        <w:autoSpaceDE w:val="0"/>
        <w:autoSpaceDN w:val="0"/>
        <w:adjustRightInd w:val="0"/>
        <w:spacing w:after="0" w:line="240" w:lineRule="auto"/>
        <w:rPr>
          <w:rFonts w:cstheme="minorHAnsi"/>
          <w:bCs/>
        </w:rPr>
      </w:pPr>
    </w:p>
    <w:p w:rsidR="00833325" w:rsidRPr="00D80586" w:rsidRDefault="000B1A69" w:rsidP="00DB3627">
      <w:pPr>
        <w:autoSpaceDE w:val="0"/>
        <w:autoSpaceDN w:val="0"/>
        <w:adjustRightInd w:val="0"/>
        <w:spacing w:after="0" w:line="240" w:lineRule="auto"/>
        <w:rPr>
          <w:rFonts w:cstheme="minorHAnsi"/>
          <w:bCs/>
          <w:color w:val="FF0000"/>
        </w:rPr>
      </w:pPr>
      <w:r w:rsidRPr="000B1A69">
        <w:rPr>
          <w:rFonts w:cstheme="minorHAnsi"/>
          <w:bCs/>
          <w:color w:val="FF0000"/>
        </w:rPr>
        <w:t>Cases are excluded from the initial patient population based on the following criteria:</w:t>
      </w:r>
    </w:p>
    <w:p w:rsidR="00464A1A"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Patients who expire prior to hospital discharge.</w:t>
      </w:r>
    </w:p>
    <w:p w:rsidR="00464A1A"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Patients with a</w:t>
      </w:r>
      <w:r w:rsidR="003D13B1">
        <w:rPr>
          <w:rFonts w:cstheme="minorHAnsi"/>
          <w:bCs/>
          <w:color w:val="FF0000"/>
        </w:rPr>
        <w:t xml:space="preserve">n </w:t>
      </w:r>
      <w:r>
        <w:rPr>
          <w:rFonts w:cstheme="minorHAnsi"/>
          <w:bCs/>
          <w:color w:val="FF0000"/>
        </w:rPr>
        <w:t>organ transpla</w:t>
      </w:r>
      <w:r w:rsidR="003D13B1">
        <w:rPr>
          <w:rFonts w:cstheme="minorHAnsi"/>
          <w:bCs/>
          <w:color w:val="FF0000"/>
        </w:rPr>
        <w:t>n</w:t>
      </w:r>
      <w:r>
        <w:rPr>
          <w:rFonts w:cstheme="minorHAnsi"/>
          <w:bCs/>
          <w:color w:val="FF0000"/>
        </w:rPr>
        <w:t xml:space="preserve">t during the current hospitalization. </w:t>
      </w:r>
    </w:p>
    <w:p w:rsidR="00464A1A"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Patients for whom vaccination was indicated, but supply had not been received by the hospital due to problems with vaccine production or distribution.</w:t>
      </w:r>
    </w:p>
    <w:p w:rsidR="00464A1A"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 xml:space="preserve">Patients who have </w:t>
      </w:r>
      <w:r w:rsidR="003D13B1">
        <w:rPr>
          <w:rFonts w:cstheme="minorHAnsi"/>
          <w:bCs/>
          <w:color w:val="FF0000"/>
        </w:rPr>
        <w:t xml:space="preserve">a </w:t>
      </w:r>
      <w:r>
        <w:rPr>
          <w:rFonts w:cstheme="minorHAnsi"/>
          <w:bCs/>
          <w:color w:val="FF0000"/>
        </w:rPr>
        <w:t xml:space="preserve">Length of </w:t>
      </w:r>
      <w:proofErr w:type="gramStart"/>
      <w:r>
        <w:rPr>
          <w:rFonts w:cstheme="minorHAnsi"/>
          <w:bCs/>
          <w:color w:val="FF0000"/>
        </w:rPr>
        <w:t>Stay</w:t>
      </w:r>
      <w:proofErr w:type="gramEnd"/>
      <w:r>
        <w:rPr>
          <w:rFonts w:cstheme="minorHAnsi"/>
          <w:bCs/>
          <w:color w:val="FF0000"/>
        </w:rPr>
        <w:t xml:space="preserve"> greater than 120 days.</w:t>
      </w:r>
    </w:p>
    <w:p w:rsidR="00464A1A"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 xml:space="preserve">Patients who are transferred or discharged to another </w:t>
      </w:r>
      <w:proofErr w:type="spellStart"/>
      <w:r>
        <w:rPr>
          <w:rFonts w:cstheme="minorHAnsi"/>
          <w:bCs/>
          <w:color w:val="FF0000"/>
        </w:rPr>
        <w:t>acure</w:t>
      </w:r>
      <w:proofErr w:type="spellEnd"/>
      <w:r>
        <w:rPr>
          <w:rFonts w:cstheme="minorHAnsi"/>
          <w:bCs/>
          <w:color w:val="FF0000"/>
        </w:rPr>
        <w:t xml:space="preserve"> care hospital. </w:t>
      </w:r>
    </w:p>
    <w:p w:rsidR="00464A1A" w:rsidRPr="00D80586" w:rsidRDefault="00464A1A" w:rsidP="00723A04">
      <w:pPr>
        <w:pStyle w:val="ListParagraph"/>
        <w:numPr>
          <w:ilvl w:val="0"/>
          <w:numId w:val="30"/>
        </w:numPr>
        <w:autoSpaceDE w:val="0"/>
        <w:autoSpaceDN w:val="0"/>
        <w:adjustRightInd w:val="0"/>
        <w:spacing w:after="0" w:line="240" w:lineRule="auto"/>
        <w:rPr>
          <w:rFonts w:cstheme="minorHAnsi"/>
          <w:bCs/>
          <w:color w:val="FF0000"/>
        </w:rPr>
      </w:pPr>
      <w:r>
        <w:rPr>
          <w:rFonts w:cstheme="minorHAnsi"/>
          <w:bCs/>
          <w:color w:val="FF0000"/>
        </w:rPr>
        <w:t>Patients who leave Against Medical Advice (AMA).</w:t>
      </w:r>
    </w:p>
    <w:p w:rsidR="00833325" w:rsidRPr="00A25024" w:rsidRDefault="00833325" w:rsidP="00DB3627">
      <w:pPr>
        <w:autoSpaceDE w:val="0"/>
        <w:autoSpaceDN w:val="0"/>
        <w:adjustRightInd w:val="0"/>
        <w:spacing w:after="0" w:line="240" w:lineRule="auto"/>
        <w:rPr>
          <w:rFonts w:cstheme="minorHAnsi"/>
          <w:bCs/>
        </w:rPr>
      </w:pPr>
    </w:p>
    <w:p w:rsidR="00640F67" w:rsidRPr="00640F67"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640F67" w:rsidRPr="00640F67" w:rsidRDefault="00640F67" w:rsidP="00640F67">
      <w:pPr>
        <w:autoSpaceDE w:val="0"/>
        <w:autoSpaceDN w:val="0"/>
        <w:adjustRightInd w:val="0"/>
        <w:spacing w:after="0" w:line="240" w:lineRule="auto"/>
        <w:rPr>
          <w:rFonts w:cstheme="minorHAnsi"/>
          <w:bCs/>
        </w:rPr>
      </w:pPr>
      <w:r w:rsidRPr="00640F67">
        <w:rPr>
          <w:rFonts w:cstheme="minorHAnsi"/>
          <w:bCs/>
        </w:rPr>
        <w:t>N/A</w:t>
      </w:r>
    </w:p>
    <w:p w:rsidR="00640F67" w:rsidRPr="00640F67" w:rsidRDefault="00640F67" w:rsidP="00092566">
      <w:pPr>
        <w:autoSpaceDE w:val="0"/>
        <w:autoSpaceDN w:val="0"/>
        <w:adjustRightInd w:val="0"/>
        <w:spacing w:after="0" w:line="240" w:lineRule="auto"/>
        <w:rPr>
          <w:rFonts w:cstheme="minorHAnsi"/>
          <w:bCs/>
        </w:rPr>
      </w:pPr>
    </w:p>
    <w:p w:rsidR="007422FD" w:rsidRPr="00A40110" w:rsidRDefault="000B1A69" w:rsidP="00092566">
      <w:pPr>
        <w:autoSpaceDE w:val="0"/>
        <w:autoSpaceDN w:val="0"/>
        <w:adjustRightInd w:val="0"/>
        <w:spacing w:after="0" w:line="240" w:lineRule="auto"/>
        <w:rPr>
          <w:rFonts w:cstheme="minorHAnsi"/>
          <w:bCs/>
          <w:color w:val="FF0000"/>
        </w:rPr>
      </w:pPr>
      <w:r w:rsidRPr="000B1A69">
        <w:rPr>
          <w:rFonts w:cstheme="minorHAnsi"/>
          <w:bCs/>
          <w:color w:val="FF0000"/>
        </w:rPr>
        <w:t>Out of 1,884,732 cases in the initial patient population 312,489 (16.58%) were excluded for one of the reasons in 2b3.1.</w:t>
      </w:r>
    </w:p>
    <w:p w:rsidR="00CF2A3E" w:rsidRPr="00A40110" w:rsidRDefault="000B1A69" w:rsidP="00092566">
      <w:pPr>
        <w:autoSpaceDE w:val="0"/>
        <w:autoSpaceDN w:val="0"/>
        <w:adjustRightInd w:val="0"/>
        <w:spacing w:after="0" w:line="240" w:lineRule="auto"/>
        <w:rPr>
          <w:rFonts w:cstheme="minorHAnsi"/>
          <w:bCs/>
          <w:color w:val="FF0000"/>
        </w:rPr>
      </w:pPr>
      <w:r w:rsidRPr="000B1A69">
        <w:rPr>
          <w:rFonts w:cstheme="minorHAnsi"/>
          <w:bCs/>
          <w:color w:val="FF0000"/>
        </w:rPr>
        <w:t>Out of the 312,489 cases excluded, exclusion reasons were as follows:</w:t>
      </w:r>
    </w:p>
    <w:p w:rsidR="00CF2A3E" w:rsidRPr="00A40110" w:rsidRDefault="000B1A69" w:rsidP="00CF2A3E">
      <w:pPr>
        <w:pStyle w:val="ListParagraph"/>
        <w:numPr>
          <w:ilvl w:val="0"/>
          <w:numId w:val="31"/>
        </w:numPr>
        <w:autoSpaceDE w:val="0"/>
        <w:autoSpaceDN w:val="0"/>
        <w:adjustRightInd w:val="0"/>
        <w:spacing w:after="0" w:line="240" w:lineRule="auto"/>
        <w:rPr>
          <w:rFonts w:cstheme="minorHAnsi"/>
          <w:bCs/>
          <w:color w:val="FF0000"/>
        </w:rPr>
      </w:pPr>
      <w:r w:rsidRPr="000B1A69">
        <w:rPr>
          <w:rFonts w:cstheme="minorHAnsi"/>
          <w:bCs/>
          <w:color w:val="FF0000"/>
        </w:rPr>
        <w:t>201,092 (64.35%) were less than 6 months old</w:t>
      </w:r>
    </w:p>
    <w:p w:rsidR="00CF2A3E" w:rsidRPr="00A40110" w:rsidRDefault="000B1A69" w:rsidP="00CF2A3E">
      <w:pPr>
        <w:pStyle w:val="ListParagraph"/>
        <w:numPr>
          <w:ilvl w:val="0"/>
          <w:numId w:val="31"/>
        </w:numPr>
        <w:autoSpaceDE w:val="0"/>
        <w:autoSpaceDN w:val="0"/>
        <w:adjustRightInd w:val="0"/>
        <w:spacing w:after="0" w:line="240" w:lineRule="auto"/>
        <w:rPr>
          <w:rFonts w:cstheme="minorHAnsi"/>
          <w:bCs/>
          <w:color w:val="FF0000"/>
        </w:rPr>
      </w:pPr>
      <w:r w:rsidRPr="000B1A69">
        <w:rPr>
          <w:rFonts w:cstheme="minorHAnsi"/>
          <w:bCs/>
          <w:color w:val="FF0000"/>
        </w:rPr>
        <w:t>105,747 (33.84%) were based on the discharge disposition.</w:t>
      </w:r>
    </w:p>
    <w:p w:rsidR="00CF2A3E" w:rsidRPr="00A40110" w:rsidRDefault="000B1A69" w:rsidP="00CF2A3E">
      <w:pPr>
        <w:pStyle w:val="ListParagraph"/>
        <w:numPr>
          <w:ilvl w:val="0"/>
          <w:numId w:val="31"/>
        </w:numPr>
        <w:autoSpaceDE w:val="0"/>
        <w:autoSpaceDN w:val="0"/>
        <w:adjustRightInd w:val="0"/>
        <w:spacing w:after="0" w:line="240" w:lineRule="auto"/>
        <w:rPr>
          <w:rFonts w:cstheme="minorHAnsi"/>
          <w:bCs/>
          <w:color w:val="FF0000"/>
        </w:rPr>
      </w:pPr>
      <w:r w:rsidRPr="000B1A69">
        <w:rPr>
          <w:rFonts w:cstheme="minorHAnsi"/>
          <w:bCs/>
          <w:color w:val="FF0000"/>
        </w:rPr>
        <w:t>4,595 (1.47%</w:t>
      </w:r>
      <w:r w:rsidR="00D7455F">
        <w:rPr>
          <w:rFonts w:cstheme="minorHAnsi"/>
          <w:bCs/>
          <w:color w:val="FF0000"/>
        </w:rPr>
        <w:t>)</w:t>
      </w:r>
      <w:r w:rsidRPr="000B1A69">
        <w:rPr>
          <w:rFonts w:cstheme="minorHAnsi"/>
          <w:bCs/>
          <w:color w:val="FF0000"/>
        </w:rPr>
        <w:t xml:space="preserve"> were due to influenza vaccine production or distribution problems</w:t>
      </w:r>
    </w:p>
    <w:p w:rsidR="00EE2C01" w:rsidRPr="007F5DA9" w:rsidRDefault="000B1A69" w:rsidP="00CF2A3E">
      <w:pPr>
        <w:pStyle w:val="ListParagraph"/>
        <w:numPr>
          <w:ilvl w:val="0"/>
          <w:numId w:val="31"/>
        </w:numPr>
        <w:autoSpaceDE w:val="0"/>
        <w:autoSpaceDN w:val="0"/>
        <w:adjustRightInd w:val="0"/>
        <w:spacing w:after="0" w:line="240" w:lineRule="auto"/>
        <w:rPr>
          <w:rFonts w:cstheme="minorHAnsi"/>
          <w:bCs/>
          <w:color w:val="FF0000"/>
        </w:rPr>
      </w:pPr>
      <w:r w:rsidRPr="007F5DA9">
        <w:rPr>
          <w:rFonts w:cstheme="minorHAnsi"/>
          <w:bCs/>
          <w:color w:val="FF0000"/>
        </w:rPr>
        <w:t>1,055 (0.34%) had an organ transplant.</w:t>
      </w:r>
    </w:p>
    <w:p w:rsidR="00092566" w:rsidRPr="00092566" w:rsidRDefault="00092566" w:rsidP="00092566">
      <w:pPr>
        <w:autoSpaceDE w:val="0"/>
        <w:autoSpaceDN w:val="0"/>
        <w:adjustRightInd w:val="0"/>
        <w:spacing w:after="0" w:line="240" w:lineRule="auto"/>
        <w:rPr>
          <w:rFonts w:cstheme="minorHAnsi"/>
          <w:bCs/>
        </w:rPr>
      </w:pPr>
    </w:p>
    <w:p w:rsidR="00B40FF3"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 xml:space="preserve">If patient preference is </w:t>
      </w:r>
      <w:proofErr w:type="gramStart"/>
      <w:r w:rsidR="00713394" w:rsidRPr="00A25024">
        <w:rPr>
          <w:rFonts w:cstheme="minorHAnsi"/>
          <w:b/>
          <w:bCs/>
          <w:i/>
        </w:rPr>
        <w:t>an exclusion</w:t>
      </w:r>
      <w:proofErr w:type="gramEnd"/>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rsidR="002A7B84" w:rsidRDefault="002A7B84" w:rsidP="00DB3627">
      <w:pPr>
        <w:autoSpaceDE w:val="0"/>
        <w:autoSpaceDN w:val="0"/>
        <w:adjustRightInd w:val="0"/>
        <w:spacing w:after="0" w:line="240" w:lineRule="auto"/>
        <w:rPr>
          <w:rFonts w:cstheme="minorHAnsi"/>
          <w:bCs/>
        </w:rPr>
      </w:pPr>
    </w:p>
    <w:p w:rsidR="002A7B84" w:rsidRDefault="002A7B84" w:rsidP="00DB3627">
      <w:pPr>
        <w:autoSpaceDE w:val="0"/>
        <w:autoSpaceDN w:val="0"/>
        <w:adjustRightInd w:val="0"/>
        <w:spacing w:after="0" w:line="240" w:lineRule="auto"/>
        <w:rPr>
          <w:rFonts w:cstheme="minorHAnsi"/>
          <w:bCs/>
        </w:rPr>
      </w:pPr>
      <w:r>
        <w:rPr>
          <w:rFonts w:cstheme="minorHAnsi"/>
          <w:bCs/>
        </w:rPr>
        <w:lastRenderedPageBreak/>
        <w:t>N/A</w:t>
      </w:r>
    </w:p>
    <w:p w:rsidR="002A7B84" w:rsidRDefault="002A7B84" w:rsidP="00DB3627">
      <w:pPr>
        <w:autoSpaceDE w:val="0"/>
        <w:autoSpaceDN w:val="0"/>
        <w:adjustRightInd w:val="0"/>
        <w:spacing w:after="0" w:line="240" w:lineRule="auto"/>
        <w:rPr>
          <w:rFonts w:cstheme="minorHAnsi"/>
          <w:bCs/>
        </w:rPr>
      </w:pPr>
    </w:p>
    <w:p w:rsidR="007422FD"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The 312,489 cases excluded would not have received the influenza vaccine because it was either not recommended or could not have been given. If these cases were to remain in the patient population this could potentially skew results toward lower reported performance by approximately 16 – 17%</w:t>
      </w:r>
      <w:r w:rsidR="007D650B">
        <w:rPr>
          <w:rFonts w:cstheme="minorHAnsi"/>
          <w:bCs/>
          <w:color w:val="FF0000"/>
        </w:rPr>
        <w:t xml:space="preserve"> and reduce the face validity of the measure</w:t>
      </w:r>
      <w:r w:rsidRPr="00D266D4">
        <w:rPr>
          <w:rFonts w:cstheme="minorHAnsi"/>
          <w:bCs/>
          <w:color w:val="FF0000"/>
        </w:rPr>
        <w:t>.</w:t>
      </w:r>
    </w:p>
    <w:p w:rsidR="003A67C2" w:rsidRPr="00D266D4" w:rsidRDefault="003A67C2" w:rsidP="00DB3627">
      <w:pPr>
        <w:autoSpaceDE w:val="0"/>
        <w:autoSpaceDN w:val="0"/>
        <w:adjustRightInd w:val="0"/>
        <w:spacing w:after="0" w:line="240" w:lineRule="auto"/>
        <w:rPr>
          <w:rFonts w:cstheme="minorHAnsi"/>
          <w:bCs/>
          <w:color w:val="FF0000"/>
        </w:rPr>
      </w:pPr>
    </w:p>
    <w:p w:rsidR="003A67C2"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Excluding these cases does not create an additional abstraction burden because the data that results in excluding a case is part of abstraction for all cases. Influenza immunization is not recommended for patients less than six months old. The data elements required for calculation age, Admit Date and Birth Date are abstracted for all cases. The patient’s discharge disposition may preclude a patient from being screened or receiving the vaccine. Discharge Disposition is collected for all IMM-2 cases. A problem with distribution or production would make the vaccine unavailable for administration. Influenza Immunization Status is collected for all cases and option for influenza vaccine production or distribution problems is an alternative when that documentation is present in the medical record and no other options are applicable. Influenza vaccination for patients undergoing an organ transplant is not recommended at the time of transplant. ICD-9 codes for organ transplant, if applicable, are present in the patient’s record and do not require chart abstraction. Patient refusal is not an exception, but is captured as an option in the Influenza Immunization Status data element that would allow a case to pass the measure.</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E0233F"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4020F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E0233F"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E0233F"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E0233F"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E4620A" w:rsidRPr="00E4620A"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E4620A" w:rsidRPr="00E4620A" w:rsidRDefault="00E4620A" w:rsidP="00092566">
      <w:pPr>
        <w:autoSpaceDE w:val="0"/>
        <w:autoSpaceDN w:val="0"/>
        <w:adjustRightInd w:val="0"/>
        <w:spacing w:after="0" w:line="240" w:lineRule="auto"/>
        <w:rPr>
          <w:rFonts w:cstheme="minorHAnsi"/>
          <w:bCs/>
        </w:rPr>
      </w:pPr>
      <w:r w:rsidRPr="00E4620A">
        <w:rPr>
          <w:rFonts w:cstheme="minorHAnsi"/>
          <w:bCs/>
        </w:rPr>
        <w:t>N/A</w:t>
      </w:r>
    </w:p>
    <w:p w:rsidR="00092566" w:rsidRPr="008579CB" w:rsidRDefault="00092566" w:rsidP="008579CB">
      <w:pPr>
        <w:autoSpaceDE w:val="0"/>
        <w:autoSpaceDN w:val="0"/>
        <w:adjustRightInd w:val="0"/>
        <w:spacing w:after="0" w:line="240" w:lineRule="auto"/>
        <w:rPr>
          <w:rFonts w:cstheme="minorHAnsi"/>
          <w:b/>
          <w:bCs/>
        </w:rPr>
      </w:pPr>
    </w:p>
    <w:p w:rsidR="00E4620A" w:rsidRPr="00E4620A" w:rsidRDefault="00092566" w:rsidP="00E4620A">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001D73" w:rsidRPr="00001D73" w:rsidRDefault="00001D73" w:rsidP="00001D73">
      <w:pPr>
        <w:autoSpaceDE w:val="0"/>
        <w:autoSpaceDN w:val="0"/>
        <w:adjustRightInd w:val="0"/>
        <w:spacing w:after="0" w:line="240" w:lineRule="auto"/>
        <w:rPr>
          <w:rFonts w:cstheme="minorHAnsi"/>
          <w:bCs/>
        </w:rPr>
      </w:pPr>
    </w:p>
    <w:p w:rsidR="00E4620A" w:rsidRPr="00E4620A" w:rsidRDefault="00092566" w:rsidP="00E4620A">
      <w:pPr>
        <w:autoSpaceDE w:val="0"/>
        <w:autoSpaceDN w:val="0"/>
        <w:adjustRightInd w:val="0"/>
        <w:spacing w:after="0" w:line="240" w:lineRule="auto"/>
        <w:rPr>
          <w:rFonts w:cstheme="minorHAnsi"/>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1377A4" w:rsidRDefault="001377A4" w:rsidP="00001D73">
      <w:pPr>
        <w:autoSpaceDE w:val="0"/>
        <w:autoSpaceDN w:val="0"/>
        <w:adjustRightInd w:val="0"/>
        <w:spacing w:after="0" w:line="240" w:lineRule="auto"/>
        <w:rPr>
          <w:rFonts w:cstheme="minorHAnsi"/>
          <w:b/>
          <w:bCs/>
        </w:rPr>
      </w:pPr>
    </w:p>
    <w:p w:rsidR="00001D73" w:rsidRDefault="00C1695E" w:rsidP="00001D73">
      <w:pPr>
        <w:autoSpaceDE w:val="0"/>
        <w:autoSpaceDN w:val="0"/>
        <w:adjustRightInd w:val="0"/>
        <w:spacing w:after="0" w:line="240" w:lineRule="auto"/>
        <w:rPr>
          <w:rFonts w:cstheme="minorHAnsi"/>
          <w:b/>
          <w:bCs/>
        </w:rPr>
      </w:pPr>
      <w:r>
        <w:rPr>
          <w:rFonts w:cstheme="minorHAnsi"/>
          <w:b/>
          <w:bCs/>
        </w:rPr>
        <w:lastRenderedPageBreak/>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E4620A" w:rsidRPr="00E4620A" w:rsidRDefault="00E4620A" w:rsidP="00E4620A">
      <w:pPr>
        <w:autoSpaceDE w:val="0"/>
        <w:autoSpaceDN w:val="0"/>
        <w:adjustRightInd w:val="0"/>
        <w:spacing w:after="0" w:line="240" w:lineRule="auto"/>
        <w:rPr>
          <w:rFonts w:cstheme="minorHAnsi"/>
          <w:bCs/>
        </w:rPr>
      </w:pP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4020FC" w:rsidRPr="00001D73" w:rsidRDefault="004020FC" w:rsidP="00001D73">
      <w:pPr>
        <w:autoSpaceDE w:val="0"/>
        <w:autoSpaceDN w:val="0"/>
        <w:adjustRightInd w:val="0"/>
        <w:spacing w:after="0" w:line="240" w:lineRule="auto"/>
        <w:rPr>
          <w:rFonts w:cstheme="minorHAnsi"/>
          <w:b/>
          <w:bCs/>
        </w:rPr>
      </w:pPr>
    </w:p>
    <w:p w:rsidR="00E4620A" w:rsidRPr="00E4620A" w:rsidRDefault="00E1508F" w:rsidP="00E4620A">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7C226A" w:rsidRPr="007C226A" w:rsidRDefault="007C226A"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E4620A" w:rsidRPr="00E4620A" w:rsidRDefault="00743E46" w:rsidP="00E4620A">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001D73" w:rsidRPr="00001D73" w:rsidRDefault="00001D73" w:rsidP="00092566">
      <w:pPr>
        <w:autoSpaceDE w:val="0"/>
        <w:autoSpaceDN w:val="0"/>
        <w:adjustRightInd w:val="0"/>
        <w:spacing w:after="0" w:line="240" w:lineRule="auto"/>
        <w:rPr>
          <w:rFonts w:cstheme="minorHAnsi"/>
          <w:b/>
          <w:bCs/>
        </w:rPr>
      </w:pPr>
    </w:p>
    <w:p w:rsidR="00E4620A" w:rsidRPr="00E4620A" w:rsidRDefault="00743E46" w:rsidP="00E4620A">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001D73" w:rsidRDefault="00001D73" w:rsidP="00092566">
      <w:pPr>
        <w:autoSpaceDE w:val="0"/>
        <w:autoSpaceDN w:val="0"/>
        <w:adjustRightInd w:val="0"/>
        <w:spacing w:after="0" w:line="240" w:lineRule="auto"/>
        <w:rPr>
          <w:rFonts w:cstheme="minorHAnsi"/>
          <w:b/>
          <w:bCs/>
        </w:rPr>
      </w:pPr>
    </w:p>
    <w:p w:rsidR="00E4620A" w:rsidRPr="00E4620A" w:rsidRDefault="00743E46" w:rsidP="00E4620A">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743E46" w:rsidRDefault="00743E46" w:rsidP="00092566">
      <w:pPr>
        <w:autoSpaceDE w:val="0"/>
        <w:autoSpaceDN w:val="0"/>
        <w:adjustRightInd w:val="0"/>
        <w:spacing w:after="0" w:line="240" w:lineRule="auto"/>
        <w:rPr>
          <w:rFonts w:cstheme="minorHAnsi"/>
          <w:b/>
        </w:rPr>
      </w:pP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E4620A" w:rsidRPr="00E4620A" w:rsidRDefault="00E4620A" w:rsidP="00E4620A">
      <w:pPr>
        <w:autoSpaceDE w:val="0"/>
        <w:autoSpaceDN w:val="0"/>
        <w:adjustRightInd w:val="0"/>
        <w:spacing w:after="0" w:line="240" w:lineRule="auto"/>
        <w:rPr>
          <w:rFonts w:cstheme="minorHAnsi"/>
          <w:bCs/>
        </w:rPr>
      </w:pP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092566" w:rsidRPr="008579CB" w:rsidRDefault="00092566" w:rsidP="008579CB">
      <w:pPr>
        <w:autoSpaceDE w:val="0"/>
        <w:autoSpaceDN w:val="0"/>
        <w:adjustRightInd w:val="0"/>
        <w:spacing w:after="0" w:line="240" w:lineRule="auto"/>
        <w:rPr>
          <w:rFonts w:cstheme="minorHAnsi"/>
          <w:b/>
        </w:rPr>
      </w:pPr>
    </w:p>
    <w:p w:rsidR="00E4620A" w:rsidRPr="00E4620A" w:rsidRDefault="00743E46" w:rsidP="00E4620A">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rsidR="00E4620A" w:rsidRPr="00E4620A" w:rsidRDefault="00E4620A" w:rsidP="00E4620A">
      <w:pPr>
        <w:autoSpaceDE w:val="0"/>
        <w:autoSpaceDN w:val="0"/>
        <w:adjustRightInd w:val="0"/>
        <w:spacing w:after="0" w:line="240" w:lineRule="auto"/>
        <w:rPr>
          <w:rFonts w:cstheme="minorHAnsi"/>
          <w:bCs/>
        </w:rPr>
      </w:pPr>
      <w:r w:rsidRPr="00E4620A">
        <w:rPr>
          <w:rFonts w:cstheme="minorHAnsi"/>
          <w:bCs/>
        </w:rPr>
        <w:t>N/A</w:t>
      </w:r>
    </w:p>
    <w:p w:rsidR="00092566" w:rsidRPr="00A25024" w:rsidRDefault="00092566" w:rsidP="00092566">
      <w:pPr>
        <w:spacing w:after="0" w:line="240" w:lineRule="auto"/>
        <w:rPr>
          <w:rFonts w:cstheme="minorHAnsi"/>
        </w:rPr>
      </w:pPr>
      <w:bookmarkStart w:id="13" w:name="_GoBack"/>
      <w:bookmarkEnd w:id="13"/>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8579CB">
        <w:rPr>
          <w:rFonts w:cstheme="minorHAnsi"/>
          <w:b/>
          <w:bCs/>
          <w:highlight w:val="yellow"/>
        </w:rPr>
        <w:t>2b5. IDENTIFICATION OF STATISTICALLY SIGNIFICANT &amp; MEANINGFUL DIFFERENCES IN PERFORMANCE</w:t>
      </w:r>
    </w:p>
    <w:p w:rsidR="00D61410" w:rsidRDefault="00D61410" w:rsidP="00D61410">
      <w:pPr>
        <w:autoSpaceDE w:val="0"/>
        <w:autoSpaceDN w:val="0"/>
        <w:adjustRightInd w:val="0"/>
        <w:spacing w:after="0" w:line="240" w:lineRule="auto"/>
        <w:rPr>
          <w:rFonts w:cstheme="minorHAnsi"/>
          <w:bCs/>
        </w:rPr>
      </w:pPr>
      <w:r w:rsidRPr="001377A4">
        <w:rPr>
          <w:rFonts w:cstheme="minorHAnsi"/>
          <w:b/>
          <w:bCs/>
          <w:highlight w:val="yellow"/>
        </w:rPr>
        <w:t>2b5.1. Describe the method for determining if statistically significant and clinically/practically</w:t>
      </w:r>
      <w:r w:rsidRPr="00A25024">
        <w:rPr>
          <w:rFonts w:cstheme="minorHAnsi"/>
          <w:b/>
          <w:bCs/>
        </w:rPr>
        <w:t xml:space="preserve">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statistical analysis was used? Do not just repeat </w:t>
      </w:r>
      <w:r>
        <w:rPr>
          <w:rFonts w:cstheme="minorHAnsi"/>
          <w:bCs/>
          <w:i/>
        </w:rPr>
        <w:lastRenderedPageBreak/>
        <w:t>the information provided related to performance gap in 1b</w:t>
      </w:r>
      <w:r w:rsidRPr="00A25024">
        <w:rPr>
          <w:rFonts w:cstheme="minorHAnsi"/>
          <w:bCs/>
          <w:i/>
        </w:rPr>
        <w:t xml:space="preserve">) </w:t>
      </w:r>
      <w:r w:rsidRPr="00A25024">
        <w:rPr>
          <w:rFonts w:cstheme="minorHAnsi"/>
          <w:bCs/>
        </w:rPr>
        <w:br/>
      </w:r>
    </w:p>
    <w:p w:rsidR="001B0E17" w:rsidRDefault="001B0E17" w:rsidP="00D61410">
      <w:pPr>
        <w:autoSpaceDE w:val="0"/>
        <w:autoSpaceDN w:val="0"/>
        <w:adjustRightInd w:val="0"/>
        <w:spacing w:after="0" w:line="240" w:lineRule="auto"/>
        <w:rPr>
          <w:rFonts w:cstheme="minorHAnsi"/>
          <w:bCs/>
        </w:rPr>
      </w:pPr>
      <w:r w:rsidRPr="001B0E17">
        <w:rPr>
          <w:rFonts w:cstheme="minorHAnsi"/>
          <w:bCs/>
        </w:rPr>
        <w:t xml:space="preserve">We have not performed any analysis at this time.  From past experience we usually use our professional/clinical </w:t>
      </w:r>
      <w:r w:rsidR="00A021CF" w:rsidRPr="001B0E17">
        <w:rPr>
          <w:rFonts w:cstheme="minorHAnsi"/>
          <w:bCs/>
        </w:rPr>
        <w:t>judgment</w:t>
      </w:r>
      <w:r w:rsidRPr="001B0E17">
        <w:rPr>
          <w:rFonts w:cstheme="minorHAnsi"/>
          <w:bCs/>
        </w:rPr>
        <w:t xml:space="preserve"> to determine meaningful differences in performance. Once measure results are obtained, analysts will review any variations in performance quarterly. Variations are discussed with subject matter experts and medical director to determine cause.</w:t>
      </w:r>
    </w:p>
    <w:p w:rsidR="004C2E57" w:rsidRDefault="004C2E57" w:rsidP="004C2E57">
      <w:pPr>
        <w:autoSpaceDE w:val="0"/>
        <w:autoSpaceDN w:val="0"/>
        <w:adjustRightInd w:val="0"/>
        <w:spacing w:after="0" w:line="240" w:lineRule="auto"/>
        <w:rPr>
          <w:rFonts w:cstheme="minorHAnsi"/>
          <w:bCs/>
          <w:color w:val="FF0000"/>
        </w:rPr>
      </w:pPr>
    </w:p>
    <w:p w:rsidR="004C2E57" w:rsidRPr="001D08B2" w:rsidRDefault="004C2E57" w:rsidP="004C2E57">
      <w:pPr>
        <w:autoSpaceDE w:val="0"/>
        <w:autoSpaceDN w:val="0"/>
        <w:adjustRightInd w:val="0"/>
        <w:spacing w:after="0" w:line="240" w:lineRule="auto"/>
        <w:rPr>
          <w:rFonts w:cstheme="minorHAnsi"/>
          <w:bCs/>
          <w:color w:val="FF0000"/>
        </w:rPr>
      </w:pPr>
      <w:r>
        <w:rPr>
          <w:rFonts w:cstheme="minorHAnsi"/>
          <w:bCs/>
          <w:color w:val="FF0000"/>
        </w:rPr>
        <w:t>While a flu season includes the 4</w:t>
      </w:r>
      <w:r w:rsidRPr="00D5724E">
        <w:rPr>
          <w:rFonts w:cstheme="minorHAnsi"/>
          <w:bCs/>
          <w:color w:val="FF0000"/>
          <w:vertAlign w:val="superscript"/>
        </w:rPr>
        <w:t>th</w:t>
      </w:r>
      <w:r>
        <w:rPr>
          <w:rFonts w:cstheme="minorHAnsi"/>
          <w:bCs/>
          <w:color w:val="FF0000"/>
        </w:rPr>
        <w:t xml:space="preserve"> quarter of any given year and the 1</w:t>
      </w:r>
      <w:r w:rsidRPr="00D5724E">
        <w:rPr>
          <w:rFonts w:cstheme="minorHAnsi"/>
          <w:bCs/>
          <w:color w:val="FF0000"/>
          <w:vertAlign w:val="superscript"/>
        </w:rPr>
        <w:t>st</w:t>
      </w:r>
      <w:r>
        <w:rPr>
          <w:rFonts w:cstheme="minorHAnsi"/>
          <w:bCs/>
          <w:color w:val="FF0000"/>
        </w:rPr>
        <w:t xml:space="preserve"> quarter of the following year, b</w:t>
      </w:r>
      <w:r w:rsidRPr="001D08B2">
        <w:rPr>
          <w:rFonts w:cstheme="minorHAnsi"/>
          <w:bCs/>
          <w:color w:val="FF0000"/>
        </w:rPr>
        <w:t xml:space="preserve">enchmarks </w:t>
      </w:r>
      <w:r>
        <w:rPr>
          <w:rFonts w:cstheme="minorHAnsi"/>
          <w:bCs/>
          <w:color w:val="FF0000"/>
        </w:rPr>
        <w:t xml:space="preserve">and national rates </w:t>
      </w:r>
      <w:r w:rsidRPr="001D08B2">
        <w:rPr>
          <w:rFonts w:cstheme="minorHAnsi"/>
          <w:bCs/>
          <w:color w:val="FF0000"/>
        </w:rPr>
        <w:t xml:space="preserve">are calculated on a quarterly basis for IMM-2 </w:t>
      </w:r>
      <w:r>
        <w:rPr>
          <w:rFonts w:cstheme="minorHAnsi"/>
          <w:bCs/>
          <w:color w:val="FF0000"/>
        </w:rPr>
        <w:t xml:space="preserve">based on </w:t>
      </w:r>
      <w:r w:rsidRPr="001D08B2">
        <w:rPr>
          <w:rFonts w:cstheme="minorHAnsi"/>
          <w:bCs/>
          <w:color w:val="FF0000"/>
        </w:rPr>
        <w:t xml:space="preserve">data submitted to the CMS clinical data warehouse. A quarterly benchmarks report displaying and graphing the benchmark performance rate and the national rates is published on </w:t>
      </w:r>
      <w:proofErr w:type="spellStart"/>
      <w:r w:rsidRPr="001D08B2">
        <w:rPr>
          <w:rFonts w:cstheme="minorHAnsi"/>
          <w:bCs/>
          <w:color w:val="FF0000"/>
        </w:rPr>
        <w:t>QualityNet</w:t>
      </w:r>
      <w:proofErr w:type="spellEnd"/>
      <w:r w:rsidRPr="001D08B2">
        <w:rPr>
          <w:rFonts w:cstheme="minorHAnsi"/>
          <w:bCs/>
          <w:color w:val="FF0000"/>
        </w:rPr>
        <w:t xml:space="preserve">.  </w:t>
      </w:r>
      <w:hyperlink r:id="rId14" w:history="1">
        <w:r w:rsidRPr="001D08B2">
          <w:rPr>
            <w:rStyle w:val="Hyperlink"/>
            <w:rFonts w:cstheme="minorHAnsi"/>
            <w:bCs/>
            <w:color w:val="FF0000"/>
          </w:rPr>
          <w:t>https://www.qualitynet.org/dcs/ContentServer?c=Page&amp;pagename=QnetPublic%2FPage%2FQnetTier2&amp;cid=1228768205297</w:t>
        </w:r>
      </w:hyperlink>
    </w:p>
    <w:p w:rsidR="004C2E57" w:rsidRPr="001D08B2"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The National Rates are calculated by taking the sum of the total number of patients who meet the measure and dividing it by the sum of the total number of patients eligible for the measure for all facilities submitting IMM-2 measure data to the CMS clinical data warehouse.</w:t>
      </w:r>
    </w:p>
    <w:p w:rsidR="004C2E57" w:rsidRDefault="004C2E57" w:rsidP="004C2E57">
      <w:pPr>
        <w:autoSpaceDE w:val="0"/>
        <w:autoSpaceDN w:val="0"/>
        <w:adjustRightInd w:val="0"/>
        <w:spacing w:after="0" w:line="240" w:lineRule="auto"/>
        <w:rPr>
          <w:rFonts w:cstheme="minorHAnsi"/>
          <w:bCs/>
          <w:color w:val="FF0000"/>
        </w:rPr>
      </w:pPr>
    </w:p>
    <w:p w:rsidR="004C2E57" w:rsidRPr="001D08B2" w:rsidRDefault="004C2E57" w:rsidP="004C2E57">
      <w:pPr>
        <w:autoSpaceDE w:val="0"/>
        <w:autoSpaceDN w:val="0"/>
        <w:adjustRightInd w:val="0"/>
        <w:spacing w:after="0" w:line="240" w:lineRule="auto"/>
        <w:rPr>
          <w:rFonts w:cstheme="minorHAnsi"/>
          <w:bCs/>
          <w:color w:val="FF0000"/>
        </w:rPr>
      </w:pPr>
      <w:r w:rsidRPr="001D08B2">
        <w:rPr>
          <w:rFonts w:cstheme="minorHAnsi"/>
          <w:bCs/>
          <w:color w:val="FF0000"/>
        </w:rPr>
        <w:t xml:space="preserve">The </w:t>
      </w:r>
      <w:r>
        <w:rPr>
          <w:rFonts w:cstheme="minorHAnsi"/>
          <w:bCs/>
          <w:color w:val="FF0000"/>
        </w:rPr>
        <w:t>B</w:t>
      </w:r>
      <w:r w:rsidRPr="001D08B2">
        <w:rPr>
          <w:rFonts w:cstheme="minorHAnsi"/>
          <w:bCs/>
          <w:color w:val="FF0000"/>
        </w:rPr>
        <w:t xml:space="preserve">enchmark </w:t>
      </w:r>
      <w:r>
        <w:rPr>
          <w:rFonts w:cstheme="minorHAnsi"/>
          <w:bCs/>
          <w:color w:val="FF0000"/>
        </w:rPr>
        <w:t>R</w:t>
      </w:r>
      <w:r w:rsidRPr="001D08B2">
        <w:rPr>
          <w:rFonts w:cstheme="minorHAnsi"/>
          <w:bCs/>
          <w:color w:val="FF0000"/>
        </w:rPr>
        <w:t>ates are calculated using the ABC (Achievable Benchmarks of Care) methodology developed by the University of Alabama at Birmingham</w:t>
      </w:r>
      <w:r>
        <w:rPr>
          <w:rFonts w:cstheme="minorHAnsi"/>
          <w:bCs/>
          <w:color w:val="FF0000"/>
        </w:rPr>
        <w:t>*</w:t>
      </w:r>
      <w:r w:rsidRPr="001D08B2">
        <w:rPr>
          <w:rFonts w:cstheme="minorHAnsi"/>
          <w:bCs/>
          <w:color w:val="FF0000"/>
        </w:rPr>
        <w:t>. To account for the impact that facilities with small numbers of patients eligible for the measure may have on calculating the benchmark, the ABC methodology calculates individual facility performance, for purposes of establishing the benchmark, using an adjusted performance fraction (APF). The APF is calculated as follows, where “</w:t>
      </w:r>
      <w:r>
        <w:rPr>
          <w:rFonts w:cstheme="minorHAnsi"/>
          <w:bCs/>
          <w:color w:val="FF0000"/>
        </w:rPr>
        <w:t>x</w:t>
      </w:r>
      <w:r w:rsidRPr="001D08B2">
        <w:rPr>
          <w:rFonts w:cstheme="minorHAnsi"/>
          <w:bCs/>
          <w:color w:val="FF0000"/>
        </w:rPr>
        <w:t>” is the actual number of patients meeting the measure and “d” is the number of eligible patients.</w:t>
      </w:r>
    </w:p>
    <w:p w:rsidR="004C2E57" w:rsidRPr="001D08B2" w:rsidRDefault="004C2E57" w:rsidP="004C2E57">
      <w:pPr>
        <w:autoSpaceDE w:val="0"/>
        <w:autoSpaceDN w:val="0"/>
        <w:adjustRightInd w:val="0"/>
        <w:spacing w:after="0" w:line="240" w:lineRule="auto"/>
        <w:rPr>
          <w:rFonts w:cstheme="minorHAnsi"/>
          <w:bCs/>
          <w:color w:val="FF0000"/>
        </w:rPr>
      </w:pPr>
    </w:p>
    <w:p w:rsidR="004C2E57" w:rsidRPr="001D08B2" w:rsidRDefault="004C2E57" w:rsidP="004C2E57">
      <w:pPr>
        <w:autoSpaceDE w:val="0"/>
        <w:autoSpaceDN w:val="0"/>
        <w:adjustRightInd w:val="0"/>
        <w:spacing w:after="0" w:line="240" w:lineRule="auto"/>
        <w:rPr>
          <w:rFonts w:cstheme="minorHAnsi"/>
          <w:bCs/>
          <w:color w:val="FF0000"/>
        </w:rPr>
      </w:pPr>
      <w:r w:rsidRPr="001D08B2">
        <w:rPr>
          <w:rFonts w:cstheme="minorHAnsi"/>
          <w:bCs/>
          <w:color w:val="FF0000"/>
        </w:rPr>
        <w:t>APF = (</w:t>
      </w:r>
      <w:r>
        <w:rPr>
          <w:rFonts w:cstheme="minorHAnsi"/>
          <w:bCs/>
          <w:color w:val="FF0000"/>
        </w:rPr>
        <w:t>x</w:t>
      </w:r>
      <w:r w:rsidRPr="001D08B2">
        <w:rPr>
          <w:rFonts w:cstheme="minorHAnsi"/>
          <w:bCs/>
          <w:color w:val="FF0000"/>
        </w:rPr>
        <w:t xml:space="preserve"> + 1)</w:t>
      </w:r>
      <w:proofErr w:type="gramStart"/>
      <w:r w:rsidRPr="001D08B2">
        <w:rPr>
          <w:rFonts w:cstheme="minorHAnsi"/>
          <w:bCs/>
          <w:color w:val="FF0000"/>
        </w:rPr>
        <w:t>/(</w:t>
      </w:r>
      <w:proofErr w:type="gramEnd"/>
      <w:r w:rsidRPr="001D08B2">
        <w:rPr>
          <w:rFonts w:cstheme="minorHAnsi"/>
          <w:bCs/>
          <w:color w:val="FF0000"/>
        </w:rPr>
        <w:t>d + 2)</w:t>
      </w:r>
    </w:p>
    <w:p w:rsidR="004C2E57" w:rsidRPr="001D08B2" w:rsidRDefault="004C2E57" w:rsidP="004C2E57">
      <w:pPr>
        <w:autoSpaceDE w:val="0"/>
        <w:autoSpaceDN w:val="0"/>
        <w:adjustRightInd w:val="0"/>
        <w:spacing w:after="0" w:line="240" w:lineRule="auto"/>
        <w:rPr>
          <w:rFonts w:cstheme="minorHAnsi"/>
          <w:bCs/>
          <w:color w:val="FF0000"/>
        </w:rPr>
      </w:pPr>
    </w:p>
    <w:p w:rsidR="004C2E57" w:rsidRPr="001D08B2" w:rsidRDefault="004C2E57" w:rsidP="004C2E57">
      <w:pPr>
        <w:autoSpaceDE w:val="0"/>
        <w:autoSpaceDN w:val="0"/>
        <w:adjustRightInd w:val="0"/>
        <w:spacing w:after="0" w:line="240" w:lineRule="auto"/>
        <w:rPr>
          <w:rFonts w:cstheme="minorHAnsi"/>
          <w:bCs/>
          <w:color w:val="FF0000"/>
        </w:rPr>
      </w:pPr>
      <w:r w:rsidRPr="001D08B2">
        <w:rPr>
          <w:rFonts w:cstheme="minorHAnsi"/>
          <w:bCs/>
          <w:color w:val="FF0000"/>
        </w:rPr>
        <w:t>The benchmark is then established using the following steps.</w:t>
      </w:r>
    </w:p>
    <w:p w:rsidR="004C2E57" w:rsidRDefault="004C2E57" w:rsidP="004C2E57">
      <w:pPr>
        <w:pStyle w:val="ListParagraph"/>
        <w:numPr>
          <w:ilvl w:val="0"/>
          <w:numId w:val="32"/>
        </w:numPr>
        <w:autoSpaceDE w:val="0"/>
        <w:autoSpaceDN w:val="0"/>
        <w:adjustRightInd w:val="0"/>
        <w:spacing w:after="0" w:line="240" w:lineRule="auto"/>
        <w:rPr>
          <w:rFonts w:cstheme="minorHAnsi"/>
          <w:bCs/>
          <w:color w:val="FF0000"/>
        </w:rPr>
      </w:pPr>
      <w:r w:rsidRPr="001D08B2">
        <w:rPr>
          <w:rFonts w:cstheme="minorHAnsi"/>
          <w:bCs/>
          <w:color w:val="FF0000"/>
        </w:rPr>
        <w:t>Hospitals are rank ordered in descending order based on performance using the APF.</w:t>
      </w:r>
    </w:p>
    <w:p w:rsidR="004C2E57" w:rsidRDefault="004C2E57" w:rsidP="004C2E57">
      <w:pPr>
        <w:pStyle w:val="ListParagraph"/>
        <w:numPr>
          <w:ilvl w:val="0"/>
          <w:numId w:val="32"/>
        </w:numPr>
        <w:autoSpaceDE w:val="0"/>
        <w:autoSpaceDN w:val="0"/>
        <w:adjustRightInd w:val="0"/>
        <w:spacing w:after="0" w:line="240" w:lineRule="auto"/>
        <w:rPr>
          <w:rFonts w:cstheme="minorHAnsi"/>
          <w:bCs/>
          <w:color w:val="FF0000"/>
        </w:rPr>
      </w:pPr>
      <w:r w:rsidRPr="001D08B2">
        <w:rPr>
          <w:rFonts w:cstheme="minorHAnsi"/>
          <w:bCs/>
          <w:color w:val="FF0000"/>
        </w:rPr>
        <w:t xml:space="preserve">Starting with the highest performing hospital, the </w:t>
      </w:r>
      <w:r>
        <w:rPr>
          <w:rFonts w:cstheme="minorHAnsi"/>
          <w:bCs/>
          <w:color w:val="FF0000"/>
        </w:rPr>
        <w:t>number</w:t>
      </w:r>
      <w:r w:rsidRPr="001D08B2">
        <w:rPr>
          <w:rFonts w:cstheme="minorHAnsi"/>
          <w:bCs/>
          <w:color w:val="FF0000"/>
        </w:rPr>
        <w:t xml:space="preserve"> of eligible cases is added until the sum of this subset is at least 10% of </w:t>
      </w:r>
      <w:r>
        <w:rPr>
          <w:rFonts w:cstheme="minorHAnsi"/>
          <w:bCs/>
          <w:color w:val="FF0000"/>
        </w:rPr>
        <w:t>the total number of</w:t>
      </w:r>
      <w:r w:rsidRPr="001D08B2">
        <w:rPr>
          <w:rFonts w:cstheme="minorHAnsi"/>
          <w:bCs/>
          <w:color w:val="FF0000"/>
        </w:rPr>
        <w:t xml:space="preserve"> patients eligible for the measure.</w:t>
      </w:r>
    </w:p>
    <w:p w:rsidR="004C2E57" w:rsidRDefault="004C2E57" w:rsidP="004C2E57">
      <w:pPr>
        <w:pStyle w:val="ListParagraph"/>
        <w:numPr>
          <w:ilvl w:val="0"/>
          <w:numId w:val="32"/>
        </w:numPr>
        <w:autoSpaceDE w:val="0"/>
        <w:autoSpaceDN w:val="0"/>
        <w:adjustRightInd w:val="0"/>
        <w:spacing w:after="0" w:line="240" w:lineRule="auto"/>
        <w:rPr>
          <w:rFonts w:cstheme="minorHAnsi"/>
          <w:bCs/>
          <w:color w:val="FF0000"/>
        </w:rPr>
      </w:pPr>
      <w:r w:rsidRPr="001D08B2">
        <w:rPr>
          <w:rFonts w:cstheme="minorHAnsi"/>
          <w:bCs/>
          <w:color w:val="FF0000"/>
        </w:rPr>
        <w:t>The benchmark is calculated based on this subset of patients from the highest performing facilities as follows: total number of patients meeting the measure/total number of eligible patients.</w:t>
      </w:r>
    </w:p>
    <w:p w:rsidR="004C2E57" w:rsidRDefault="004C2E57" w:rsidP="004C2E57">
      <w:pPr>
        <w:autoSpaceDE w:val="0"/>
        <w:autoSpaceDN w:val="0"/>
        <w:adjustRightInd w:val="0"/>
        <w:spacing w:after="0" w:line="240" w:lineRule="auto"/>
        <w:rPr>
          <w:color w:val="FF0000"/>
        </w:rPr>
      </w:pPr>
    </w:p>
    <w:p w:rsidR="004C2E57" w:rsidRDefault="004C2E57" w:rsidP="004C2E57">
      <w:pPr>
        <w:autoSpaceDE w:val="0"/>
        <w:autoSpaceDN w:val="0"/>
        <w:adjustRightInd w:val="0"/>
        <w:spacing w:after="0" w:line="240" w:lineRule="auto"/>
        <w:rPr>
          <w:rFonts w:cstheme="minorHAnsi"/>
          <w:bCs/>
          <w:color w:val="FF0000"/>
        </w:rPr>
      </w:pPr>
      <w:r w:rsidRPr="00B679F7">
        <w:rPr>
          <w:rFonts w:cstheme="minorHAnsi"/>
          <w:bCs/>
          <w:color w:val="FF0000"/>
        </w:rPr>
        <w:t>In addition to the National Rate and Benchmark Rate, performance ranges were determined based on 10 percent increments. The number and percent of facilities for which performance of IMM-2 was within the performance ranges, at or above the National Rate, and at or above the Benchmark rate were calculated. Additionally the cumulative number and cumulative percent of hospitals overall performance ranges was calculated</w:t>
      </w:r>
      <w:r w:rsidR="0064312E">
        <w:rPr>
          <w:rFonts w:cstheme="minorHAnsi"/>
          <w:bCs/>
          <w:color w:val="FF0000"/>
        </w:rPr>
        <w:t>.</w:t>
      </w:r>
    </w:p>
    <w:p w:rsidR="0064312E" w:rsidRDefault="0064312E" w:rsidP="004C2E57">
      <w:pPr>
        <w:autoSpaceDE w:val="0"/>
        <w:autoSpaceDN w:val="0"/>
        <w:adjustRightInd w:val="0"/>
        <w:spacing w:after="0" w:line="240" w:lineRule="auto"/>
        <w:rPr>
          <w:rFonts w:cstheme="minorHAnsi"/>
          <w:bCs/>
          <w:color w:val="FF0000"/>
        </w:rPr>
      </w:pPr>
    </w:p>
    <w:p w:rsidR="0064312E" w:rsidRPr="00BF2268" w:rsidRDefault="0064312E" w:rsidP="0064312E">
      <w:pPr>
        <w:autoSpaceDE w:val="0"/>
        <w:autoSpaceDN w:val="0"/>
        <w:adjustRightInd w:val="0"/>
        <w:spacing w:after="0" w:line="240" w:lineRule="auto"/>
        <w:jc w:val="both"/>
        <w:rPr>
          <w:rFonts w:cstheme="minorHAnsi"/>
          <w:bCs/>
          <w:color w:val="FF0000"/>
        </w:rPr>
      </w:pPr>
      <w:r w:rsidRPr="00BF2268">
        <w:rPr>
          <w:rFonts w:cstheme="minorHAnsi"/>
          <w:bCs/>
          <w:color w:val="FF0000"/>
        </w:rPr>
        <w:t>REFERENCE:</w:t>
      </w:r>
    </w:p>
    <w:p w:rsidR="0064312E" w:rsidRDefault="0064312E" w:rsidP="0064312E">
      <w:pPr>
        <w:autoSpaceDE w:val="0"/>
        <w:autoSpaceDN w:val="0"/>
        <w:adjustRightInd w:val="0"/>
        <w:spacing w:after="0" w:line="240" w:lineRule="auto"/>
        <w:rPr>
          <w:rFonts w:cstheme="minorHAnsi"/>
          <w:bCs/>
          <w:color w:val="FF0000"/>
        </w:rPr>
      </w:pPr>
      <w:proofErr w:type="spellStart"/>
      <w:r w:rsidRPr="001D08B2">
        <w:rPr>
          <w:rFonts w:cstheme="minorHAnsi"/>
          <w:bCs/>
          <w:color w:val="FF0000"/>
        </w:rPr>
        <w:t>Kiefe</w:t>
      </w:r>
      <w:proofErr w:type="spellEnd"/>
      <w:r w:rsidRPr="001D08B2">
        <w:rPr>
          <w:rFonts w:cstheme="minorHAnsi"/>
          <w:bCs/>
          <w:color w:val="FF0000"/>
        </w:rPr>
        <w:t xml:space="preserve"> C I, </w:t>
      </w:r>
      <w:proofErr w:type="spellStart"/>
      <w:r w:rsidRPr="001D08B2">
        <w:rPr>
          <w:rFonts w:cstheme="minorHAnsi"/>
          <w:bCs/>
          <w:color w:val="FF0000"/>
        </w:rPr>
        <w:t>Weissman</w:t>
      </w:r>
      <w:proofErr w:type="spellEnd"/>
      <w:r w:rsidRPr="001D08B2">
        <w:rPr>
          <w:rFonts w:cstheme="minorHAnsi"/>
          <w:bCs/>
          <w:color w:val="FF0000"/>
        </w:rPr>
        <w:t xml:space="preserve"> N W, Allison J </w:t>
      </w:r>
      <w:proofErr w:type="spellStart"/>
      <w:r w:rsidRPr="001D08B2">
        <w:rPr>
          <w:rFonts w:cstheme="minorHAnsi"/>
          <w:bCs/>
          <w:color w:val="FF0000"/>
        </w:rPr>
        <w:t>J</w:t>
      </w:r>
      <w:proofErr w:type="spellEnd"/>
      <w:r w:rsidRPr="001D08B2">
        <w:rPr>
          <w:rFonts w:cstheme="minorHAnsi"/>
          <w:bCs/>
          <w:color w:val="FF0000"/>
        </w:rPr>
        <w:t xml:space="preserve">, et al. Identifying achievable benchmarks of care: Concept and methodology. International Journal for Quality in Health Care 1998, </w:t>
      </w:r>
      <w:proofErr w:type="spellStart"/>
      <w:r w:rsidRPr="001D08B2">
        <w:rPr>
          <w:rFonts w:cstheme="minorHAnsi"/>
          <w:bCs/>
          <w:color w:val="FF0000"/>
        </w:rPr>
        <w:t>vol</w:t>
      </w:r>
      <w:proofErr w:type="spellEnd"/>
      <w:r w:rsidRPr="001D08B2">
        <w:rPr>
          <w:rFonts w:cstheme="minorHAnsi"/>
          <w:bCs/>
          <w:color w:val="FF0000"/>
        </w:rPr>
        <w:t xml:space="preserve"> 10 (5): 443-447.</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lastRenderedPageBreak/>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1B0E17" w:rsidRDefault="001B0E17" w:rsidP="00D61410">
      <w:pPr>
        <w:autoSpaceDE w:val="0"/>
        <w:autoSpaceDN w:val="0"/>
        <w:adjustRightInd w:val="0"/>
        <w:spacing w:after="0" w:line="240" w:lineRule="auto"/>
        <w:rPr>
          <w:rFonts w:cstheme="minorHAnsi"/>
          <w:bCs/>
        </w:rPr>
      </w:pPr>
      <w:r w:rsidRPr="001B0E17">
        <w:rPr>
          <w:rFonts w:cstheme="minorHAnsi"/>
          <w:bCs/>
        </w:rPr>
        <w:t xml:space="preserve">Our plan will be to determine the realistic achievable national benchmark/target rate.  Those providers whose rates are below the national achievable benchmark would be considered to have less than optimal performance. The national benchmark will be determined using the ABC </w:t>
      </w:r>
      <w:r w:rsidR="00A021CF" w:rsidRPr="001B0E17">
        <w:rPr>
          <w:rFonts w:cstheme="minorHAnsi"/>
          <w:bCs/>
        </w:rPr>
        <w:t>methodology</w:t>
      </w:r>
      <w:r w:rsidRPr="001B0E17">
        <w:rPr>
          <w:rFonts w:cstheme="minorHAnsi"/>
          <w:bCs/>
        </w:rPr>
        <w:t xml:space="preserve"> developed by the University of Alabama.  Because this analysis are usually based on an extremely large sample size (hundreds of thousands), the conventional statistical significance (P-value &lt; 0.05</w:t>
      </w:r>
      <w:proofErr w:type="gramStart"/>
      <w:r w:rsidRPr="001B0E17">
        <w:rPr>
          <w:rFonts w:cstheme="minorHAnsi"/>
          <w:bCs/>
        </w:rPr>
        <w:t>)is</w:t>
      </w:r>
      <w:proofErr w:type="gramEnd"/>
      <w:r w:rsidRPr="001B0E17">
        <w:rPr>
          <w:rFonts w:cstheme="minorHAnsi"/>
          <w:bCs/>
        </w:rPr>
        <w:t xml:space="preserve"> usually not relevant in our interpretation of the data.</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In the tables below one can see the benchmark rate for the 4</w:t>
      </w:r>
      <w:r w:rsidRPr="00D5724E">
        <w:rPr>
          <w:rFonts w:cstheme="minorHAnsi"/>
          <w:bCs/>
          <w:color w:val="FF0000"/>
          <w:vertAlign w:val="superscript"/>
        </w:rPr>
        <w:t>th</w:t>
      </w:r>
      <w:r>
        <w:rPr>
          <w:rFonts w:cstheme="minorHAnsi"/>
          <w:bCs/>
          <w:color w:val="FF0000"/>
        </w:rPr>
        <w:t xml:space="preserve"> quarter of 2014 was 99.93% with performance rates of 11.35% of reporting facilities meeting or exceeding the benchmark. For 1</w:t>
      </w:r>
      <w:r w:rsidRPr="00D5724E">
        <w:rPr>
          <w:rFonts w:cstheme="minorHAnsi"/>
          <w:bCs/>
          <w:color w:val="FF0000"/>
          <w:vertAlign w:val="superscript"/>
        </w:rPr>
        <w:t>st</w:t>
      </w:r>
      <w:r>
        <w:rPr>
          <w:rFonts w:cstheme="minorHAnsi"/>
          <w:bCs/>
          <w:color w:val="FF0000"/>
        </w:rPr>
        <w:t xml:space="preserve"> quarter 2015 the benchmark was 99.99% with the performance rate of 17.61% of reporting facilities meeting or exceeding the benchmark.</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The overall national rate for the 4</w:t>
      </w:r>
      <w:r w:rsidRPr="002C7BAF">
        <w:rPr>
          <w:rFonts w:cstheme="minorHAnsi"/>
          <w:bCs/>
          <w:color w:val="FF0000"/>
          <w:vertAlign w:val="superscript"/>
        </w:rPr>
        <w:t>th</w:t>
      </w:r>
      <w:r>
        <w:rPr>
          <w:rFonts w:cstheme="minorHAnsi"/>
          <w:bCs/>
          <w:color w:val="FF0000"/>
        </w:rPr>
        <w:t xml:space="preserve"> quarter of 2014 was 93.25% with 64.31% of reporting facilities having performance rates that met or exceeded the benchmark. For 1</w:t>
      </w:r>
      <w:r w:rsidRPr="002C7BAF">
        <w:rPr>
          <w:rFonts w:cstheme="minorHAnsi"/>
          <w:bCs/>
          <w:color w:val="FF0000"/>
          <w:vertAlign w:val="superscript"/>
        </w:rPr>
        <w:t>st</w:t>
      </w:r>
      <w:r>
        <w:rPr>
          <w:rFonts w:cstheme="minorHAnsi"/>
          <w:bCs/>
          <w:color w:val="FF0000"/>
        </w:rPr>
        <w:t xml:space="preserve"> quarter 2015 the national rate was 95.03% and the performance rate of 68.39% of reporting facilities met or exceeded the national rate.</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In 4</w:t>
      </w:r>
      <w:r w:rsidRPr="00D5724E">
        <w:rPr>
          <w:rFonts w:cstheme="minorHAnsi"/>
          <w:bCs/>
          <w:color w:val="FF0000"/>
          <w:vertAlign w:val="superscript"/>
        </w:rPr>
        <w:t>th</w:t>
      </w:r>
      <w:r>
        <w:rPr>
          <w:rFonts w:cstheme="minorHAnsi"/>
          <w:bCs/>
          <w:color w:val="FF0000"/>
        </w:rPr>
        <w:t xml:space="preserve"> quarter of 2014 performance rates of 74.91% of the reporting facilities were greater than 90%, while 25.09% had performance scores of 90% and below. In the 1</w:t>
      </w:r>
      <w:r w:rsidRPr="00D5724E">
        <w:rPr>
          <w:rFonts w:cstheme="minorHAnsi"/>
          <w:bCs/>
          <w:color w:val="FF0000"/>
          <w:vertAlign w:val="superscript"/>
        </w:rPr>
        <w:t>st</w:t>
      </w:r>
      <w:r>
        <w:rPr>
          <w:rFonts w:cstheme="minorHAnsi"/>
          <w:bCs/>
          <w:color w:val="FF0000"/>
        </w:rPr>
        <w:t xml:space="preserve"> quarter of 2015 the number of facilities with a performance score of greater than 90% was 84.01% and 15.99% had a performance score of 90% or less.</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4</w:t>
      </w:r>
      <w:r w:rsidRPr="00D5724E">
        <w:rPr>
          <w:rFonts w:cstheme="minorHAnsi"/>
          <w:bCs/>
          <w:color w:val="FF0000"/>
          <w:vertAlign w:val="superscript"/>
        </w:rPr>
        <w:t>th</w:t>
      </w:r>
      <w:r>
        <w:rPr>
          <w:rFonts w:cstheme="minorHAnsi"/>
          <w:bCs/>
          <w:color w:val="FF0000"/>
        </w:rPr>
        <w:t xml:space="preserve"> Quarter 2014</w:t>
      </w:r>
    </w:p>
    <w:tbl>
      <w:tblPr>
        <w:tblW w:w="0" w:type="auto"/>
        <w:tblInd w:w="94" w:type="dxa"/>
        <w:tblLook w:val="04A0"/>
      </w:tblPr>
      <w:tblGrid>
        <w:gridCol w:w="1728"/>
        <w:gridCol w:w="1728"/>
        <w:gridCol w:w="1728"/>
        <w:gridCol w:w="1728"/>
        <w:gridCol w:w="1728"/>
      </w:tblGrid>
      <w:tr w:rsidR="004C2E57" w:rsidRPr="00E219CB" w:rsidTr="00E219CB">
        <w:trPr>
          <w:trHeight w:val="600"/>
        </w:trPr>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Performance Range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Cumulative Facility Count</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of </w:t>
            </w:r>
            <w:r>
              <w:rPr>
                <w:rFonts w:eastAsia="Times New Roman" w:cs="Times New Roman"/>
                <w:bCs/>
                <w:color w:val="FF0000"/>
              </w:rPr>
              <w:t>Facilities</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Cumulative Percent</w:t>
            </w:r>
          </w:p>
        </w:tc>
      </w:tr>
      <w:tr w:rsidR="004C2E57" w:rsidRPr="0032296A" w:rsidTr="00E219CB">
        <w:trPr>
          <w:trHeight w:val="300"/>
        </w:trPr>
        <w:tc>
          <w:tcPr>
            <w:tcW w:w="1728" w:type="dxa"/>
            <w:tcBorders>
              <w:top w:val="single" w:sz="4" w:space="0" w:color="auto"/>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0-10%</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15</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15</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0.40%</w:t>
            </w:r>
          </w:p>
        </w:tc>
        <w:tc>
          <w:tcPr>
            <w:tcW w:w="1728" w:type="dxa"/>
            <w:tcBorders>
              <w:top w:val="single" w:sz="4" w:space="0" w:color="auto"/>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0.40%</w:t>
            </w:r>
          </w:p>
        </w:tc>
      </w:tr>
      <w:tr w:rsidR="004C2E57" w:rsidRPr="0032296A"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&gt;10-20%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8</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23</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0.21%</w:t>
            </w:r>
          </w:p>
        </w:tc>
        <w:tc>
          <w:tcPr>
            <w:tcW w:w="1728" w:type="dxa"/>
            <w:tcBorders>
              <w:top w:val="nil"/>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0.62%</w:t>
            </w:r>
          </w:p>
        </w:tc>
      </w:tr>
      <w:tr w:rsidR="004C2E57" w:rsidRPr="0032296A"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&gt;20-30%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7</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0.19%</w:t>
            </w:r>
          </w:p>
        </w:tc>
        <w:tc>
          <w:tcPr>
            <w:tcW w:w="1728" w:type="dxa"/>
            <w:tcBorders>
              <w:top w:val="nil"/>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0.80%</w:t>
            </w:r>
          </w:p>
        </w:tc>
      </w:tr>
      <w:tr w:rsidR="004C2E57" w:rsidRPr="0032296A"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&gt;30-40%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16</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46</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0.43%</w:t>
            </w:r>
          </w:p>
        </w:tc>
        <w:tc>
          <w:tcPr>
            <w:tcW w:w="1728" w:type="dxa"/>
            <w:tcBorders>
              <w:top w:val="nil"/>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1.23%</w:t>
            </w:r>
          </w:p>
        </w:tc>
      </w:tr>
      <w:tr w:rsidR="004C2E57" w:rsidRPr="0032296A"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&gt;40-50%</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42</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88</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1.13%</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2.36%</w:t>
            </w:r>
          </w:p>
        </w:tc>
      </w:tr>
      <w:tr w:rsidR="004C2E57" w:rsidRPr="0032296A" w:rsidTr="00E219CB">
        <w:trPr>
          <w:trHeight w:val="300"/>
        </w:trPr>
        <w:tc>
          <w:tcPr>
            <w:tcW w:w="1728" w:type="dxa"/>
            <w:tcBorders>
              <w:top w:val="single" w:sz="4" w:space="0" w:color="auto"/>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&gt;50-60%</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33</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121</w:t>
            </w:r>
          </w:p>
        </w:tc>
        <w:tc>
          <w:tcPr>
            <w:tcW w:w="1728" w:type="dxa"/>
            <w:tcBorders>
              <w:top w:val="single" w:sz="4" w:space="0" w:color="auto"/>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0.89%</w:t>
            </w:r>
          </w:p>
        </w:tc>
        <w:tc>
          <w:tcPr>
            <w:tcW w:w="1728" w:type="dxa"/>
            <w:tcBorders>
              <w:top w:val="single" w:sz="4" w:space="0" w:color="auto"/>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3.25%</w:t>
            </w:r>
          </w:p>
        </w:tc>
      </w:tr>
      <w:tr w:rsidR="004C2E57" w:rsidRPr="0032296A"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&gt;60-70%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91</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212</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2.44%</w:t>
            </w:r>
          </w:p>
        </w:tc>
        <w:tc>
          <w:tcPr>
            <w:tcW w:w="1728" w:type="dxa"/>
            <w:tcBorders>
              <w:top w:val="nil"/>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5.69%</w:t>
            </w:r>
          </w:p>
        </w:tc>
      </w:tr>
      <w:tr w:rsidR="004C2E57" w:rsidRPr="0032296A"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&gt;70-80%</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183</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395</w:t>
            </w:r>
          </w:p>
        </w:tc>
        <w:tc>
          <w:tcPr>
            <w:tcW w:w="1728" w:type="dxa"/>
            <w:tcBorders>
              <w:top w:val="nil"/>
              <w:left w:val="nil"/>
              <w:bottom w:val="nil"/>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4.91%</w:t>
            </w:r>
          </w:p>
        </w:tc>
        <w:tc>
          <w:tcPr>
            <w:tcW w:w="1728" w:type="dxa"/>
            <w:tcBorders>
              <w:top w:val="nil"/>
              <w:left w:val="nil"/>
              <w:bottom w:val="nil"/>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10.60%</w:t>
            </w:r>
          </w:p>
        </w:tc>
      </w:tr>
      <w:tr w:rsidR="004C2E57" w:rsidRPr="0032296A"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&gt;80-90%</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540</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935</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14.49%</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25.09%</w:t>
            </w:r>
          </w:p>
        </w:tc>
      </w:tr>
      <w:tr w:rsidR="004C2E57" w:rsidRPr="0032296A"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&gt;90-100%</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2792</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3727</w:t>
            </w:r>
          </w:p>
        </w:tc>
        <w:tc>
          <w:tcPr>
            <w:tcW w:w="1728" w:type="dxa"/>
            <w:tcBorders>
              <w:top w:val="nil"/>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74.91%</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100.00%</w:t>
            </w:r>
          </w:p>
        </w:tc>
      </w:tr>
      <w:tr w:rsidR="004C2E57" w:rsidRPr="00E219CB" w:rsidTr="00E219CB">
        <w:trPr>
          <w:trHeight w:val="600"/>
        </w:trPr>
        <w:tc>
          <w:tcPr>
            <w:tcW w:w="1728" w:type="dxa"/>
            <w:tcBorders>
              <w:top w:val="single" w:sz="4" w:space="0" w:color="auto"/>
              <w:left w:val="single" w:sz="4" w:space="0" w:color="auto"/>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National Rate (NR)</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 =&gt; NR</w:t>
            </w:r>
          </w:p>
        </w:tc>
        <w:tc>
          <w:tcPr>
            <w:tcW w:w="1728" w:type="dxa"/>
            <w:tcBorders>
              <w:top w:val="single" w:sz="4" w:space="0" w:color="auto"/>
              <w:left w:val="nil"/>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Total Number of Facilities</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=&gt; </w:t>
            </w:r>
            <w:r>
              <w:rPr>
                <w:rFonts w:eastAsia="Times New Roman" w:cs="Times New Roman"/>
                <w:bCs/>
                <w:color w:val="FF0000"/>
              </w:rPr>
              <w:t>National Rate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Percent Below N</w:t>
            </w:r>
            <w:r>
              <w:rPr>
                <w:rFonts w:eastAsia="Times New Roman" w:cs="Times New Roman"/>
                <w:bCs/>
                <w:color w:val="FF0000"/>
              </w:rPr>
              <w:t xml:space="preserve">ational </w:t>
            </w:r>
            <w:r w:rsidRPr="0032296A">
              <w:rPr>
                <w:rFonts w:eastAsia="Times New Roman" w:cs="Times New Roman"/>
                <w:bCs/>
                <w:color w:val="FF0000"/>
              </w:rPr>
              <w:t>R</w:t>
            </w:r>
            <w:r>
              <w:rPr>
                <w:rFonts w:eastAsia="Times New Roman" w:cs="Times New Roman"/>
                <w:bCs/>
                <w:color w:val="FF0000"/>
              </w:rPr>
              <w:t>ate</w:t>
            </w:r>
          </w:p>
        </w:tc>
      </w:tr>
      <w:tr w:rsidR="004C2E57" w:rsidRPr="0032296A" w:rsidTr="00E219CB">
        <w:trPr>
          <w:trHeight w:val="300"/>
        </w:trPr>
        <w:tc>
          <w:tcPr>
            <w:tcW w:w="1728" w:type="dxa"/>
            <w:tcBorders>
              <w:top w:val="single" w:sz="4" w:space="0" w:color="auto"/>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93.25%</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2397</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3727</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64.31%</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35.69%</w:t>
            </w:r>
          </w:p>
        </w:tc>
      </w:tr>
      <w:tr w:rsidR="004C2E57" w:rsidRPr="0032296A" w:rsidTr="00E219CB">
        <w:trPr>
          <w:trHeight w:val="600"/>
        </w:trPr>
        <w:tc>
          <w:tcPr>
            <w:tcW w:w="1728" w:type="dxa"/>
            <w:tcBorders>
              <w:top w:val="single" w:sz="4" w:space="0" w:color="auto"/>
              <w:left w:val="single" w:sz="4" w:space="0" w:color="auto"/>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Benchmark </w:t>
            </w:r>
            <w:r w:rsidR="002A7B84">
              <w:rPr>
                <w:rFonts w:eastAsia="Times New Roman" w:cs="Times New Roman"/>
                <w:bCs/>
                <w:color w:val="FF0000"/>
              </w:rPr>
              <w:t xml:space="preserve">Rate </w:t>
            </w:r>
            <w:r w:rsidRPr="0032296A">
              <w:rPr>
                <w:rFonts w:eastAsia="Times New Roman" w:cs="Times New Roman"/>
                <w:bCs/>
                <w:color w:val="FF0000"/>
              </w:rPr>
              <w:t>(BM</w:t>
            </w:r>
            <w:r w:rsidR="00E219CB">
              <w:rPr>
                <w:rFonts w:eastAsia="Times New Roman" w:cs="Times New Roman"/>
                <w:bCs/>
                <w:color w:val="FF0000"/>
              </w:rPr>
              <w:t>R</w:t>
            </w:r>
            <w:r w:rsidRPr="0032296A">
              <w:rPr>
                <w:rFonts w:eastAsia="Times New Roman" w:cs="Times New Roman"/>
                <w:bCs/>
                <w:color w:val="FF0000"/>
              </w:rPr>
              <w:t>)</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 =&gt; BM</w:t>
            </w:r>
            <w:r w:rsidR="00E219CB">
              <w:rPr>
                <w:rFonts w:eastAsia="Times New Roman" w:cs="Times New Roman"/>
                <w:bCs/>
                <w:color w:val="FF0000"/>
              </w:rPr>
              <w:t>R</w:t>
            </w:r>
          </w:p>
        </w:tc>
        <w:tc>
          <w:tcPr>
            <w:tcW w:w="1728" w:type="dxa"/>
            <w:tcBorders>
              <w:top w:val="single" w:sz="4" w:space="0" w:color="auto"/>
              <w:left w:val="nil"/>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Total Number of Facilities</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=&gt; </w:t>
            </w:r>
            <w:r>
              <w:rPr>
                <w:rFonts w:eastAsia="Times New Roman" w:cs="Times New Roman"/>
                <w:bCs/>
                <w:color w:val="FF0000"/>
              </w:rPr>
              <w:t>Benchmark</w:t>
            </w:r>
            <w:r w:rsidR="00E219CB">
              <w:rPr>
                <w:rFonts w:eastAsia="Times New Roman" w:cs="Times New Roman"/>
                <w:bCs/>
                <w:color w:val="FF0000"/>
              </w:rPr>
              <w:t xml:space="preserve"> Rate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Below </w:t>
            </w:r>
            <w:r>
              <w:rPr>
                <w:rFonts w:eastAsia="Times New Roman" w:cs="Times New Roman"/>
                <w:bCs/>
                <w:color w:val="FF0000"/>
              </w:rPr>
              <w:t>Benchmark</w:t>
            </w:r>
            <w:r w:rsidR="00E219CB">
              <w:rPr>
                <w:rFonts w:eastAsia="Times New Roman" w:cs="Times New Roman"/>
                <w:bCs/>
                <w:color w:val="FF0000"/>
              </w:rPr>
              <w:t xml:space="preserve"> Rate</w:t>
            </w:r>
          </w:p>
        </w:tc>
      </w:tr>
      <w:tr w:rsidR="004C2E57" w:rsidRPr="0032296A" w:rsidTr="00E219CB">
        <w:trPr>
          <w:trHeight w:val="300"/>
        </w:trPr>
        <w:tc>
          <w:tcPr>
            <w:tcW w:w="1728" w:type="dxa"/>
            <w:tcBorders>
              <w:top w:val="single" w:sz="4" w:space="0" w:color="auto"/>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99.93%</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423</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3727</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11.35%</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88.65%</w:t>
            </w:r>
          </w:p>
        </w:tc>
      </w:tr>
    </w:tbl>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lastRenderedPageBreak/>
        <w:t>1</w:t>
      </w:r>
      <w:r w:rsidRPr="00D5724E">
        <w:rPr>
          <w:rFonts w:cstheme="minorHAnsi"/>
          <w:bCs/>
          <w:color w:val="FF0000"/>
          <w:vertAlign w:val="superscript"/>
        </w:rPr>
        <w:t>st</w:t>
      </w:r>
      <w:r>
        <w:rPr>
          <w:rFonts w:cstheme="minorHAnsi"/>
          <w:bCs/>
          <w:color w:val="FF0000"/>
        </w:rPr>
        <w:t xml:space="preserve"> Quarter 2015</w:t>
      </w:r>
    </w:p>
    <w:tbl>
      <w:tblPr>
        <w:tblW w:w="0" w:type="auto"/>
        <w:tblInd w:w="94" w:type="dxa"/>
        <w:tblLook w:val="04A0"/>
      </w:tblPr>
      <w:tblGrid>
        <w:gridCol w:w="1728"/>
        <w:gridCol w:w="1728"/>
        <w:gridCol w:w="1728"/>
        <w:gridCol w:w="1728"/>
        <w:gridCol w:w="1728"/>
      </w:tblGrid>
      <w:tr w:rsidR="004C2E57" w:rsidRPr="00E219CB" w:rsidTr="00E219CB">
        <w:trPr>
          <w:trHeight w:val="600"/>
        </w:trPr>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Performance Range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Cumulative Facility Count</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Percent of Facilities</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Cumulative Percent</w:t>
            </w:r>
          </w:p>
        </w:tc>
      </w:tr>
      <w:tr w:rsidR="004C2E57" w:rsidRPr="007375C9" w:rsidTr="00E219CB">
        <w:trPr>
          <w:trHeight w:val="300"/>
        </w:trPr>
        <w:tc>
          <w:tcPr>
            <w:tcW w:w="1728" w:type="dxa"/>
            <w:tcBorders>
              <w:top w:val="single" w:sz="4" w:space="0" w:color="auto"/>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0-10%</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14</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14</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0.37%</w:t>
            </w:r>
          </w:p>
        </w:tc>
        <w:tc>
          <w:tcPr>
            <w:tcW w:w="1728" w:type="dxa"/>
            <w:tcBorders>
              <w:top w:val="single" w:sz="4" w:space="0" w:color="auto"/>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0.37%</w:t>
            </w:r>
          </w:p>
        </w:tc>
      </w:tr>
      <w:tr w:rsidR="004C2E57" w:rsidRPr="007375C9"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&gt;10-20%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8</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22</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0.21%</w:t>
            </w:r>
          </w:p>
        </w:tc>
        <w:tc>
          <w:tcPr>
            <w:tcW w:w="1728" w:type="dxa"/>
            <w:tcBorders>
              <w:top w:val="nil"/>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0.57%</w:t>
            </w:r>
          </w:p>
        </w:tc>
      </w:tr>
      <w:tr w:rsidR="004C2E57" w:rsidRPr="007375C9"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&gt;20-30%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7</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29</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0.18%</w:t>
            </w:r>
          </w:p>
        </w:tc>
        <w:tc>
          <w:tcPr>
            <w:tcW w:w="1728" w:type="dxa"/>
            <w:tcBorders>
              <w:top w:val="nil"/>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0.76%</w:t>
            </w:r>
          </w:p>
        </w:tc>
      </w:tr>
      <w:tr w:rsidR="004C2E57" w:rsidRPr="007375C9"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&gt;30-40%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11</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40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0.29%</w:t>
            </w:r>
          </w:p>
        </w:tc>
        <w:tc>
          <w:tcPr>
            <w:tcW w:w="1728" w:type="dxa"/>
            <w:tcBorders>
              <w:top w:val="nil"/>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1.04%</w:t>
            </w:r>
          </w:p>
        </w:tc>
      </w:tr>
      <w:tr w:rsidR="004C2E57" w:rsidRPr="007375C9"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&gt;40-50%</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22</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62</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0.57%</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1.62%</w:t>
            </w:r>
          </w:p>
        </w:tc>
      </w:tr>
      <w:tr w:rsidR="004C2E57" w:rsidRPr="007375C9" w:rsidTr="00E219CB">
        <w:trPr>
          <w:trHeight w:val="300"/>
        </w:trPr>
        <w:tc>
          <w:tcPr>
            <w:tcW w:w="1728" w:type="dxa"/>
            <w:tcBorders>
              <w:top w:val="single" w:sz="4" w:space="0" w:color="auto"/>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&gt;50-60%</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42</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104</w:t>
            </w:r>
          </w:p>
        </w:tc>
        <w:tc>
          <w:tcPr>
            <w:tcW w:w="1728" w:type="dxa"/>
            <w:tcBorders>
              <w:top w:val="single" w:sz="4" w:space="0" w:color="auto"/>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1.10%</w:t>
            </w:r>
          </w:p>
        </w:tc>
        <w:tc>
          <w:tcPr>
            <w:tcW w:w="1728" w:type="dxa"/>
            <w:tcBorders>
              <w:top w:val="single" w:sz="4" w:space="0" w:color="auto"/>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2.71%</w:t>
            </w:r>
          </w:p>
        </w:tc>
      </w:tr>
      <w:tr w:rsidR="004C2E57" w:rsidRPr="007375C9"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&gt;60-70%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55</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159</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1.43%</w:t>
            </w:r>
          </w:p>
        </w:tc>
        <w:tc>
          <w:tcPr>
            <w:tcW w:w="1728" w:type="dxa"/>
            <w:tcBorders>
              <w:top w:val="nil"/>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4.15%</w:t>
            </w:r>
          </w:p>
        </w:tc>
      </w:tr>
      <w:tr w:rsidR="004C2E57" w:rsidRPr="007375C9" w:rsidTr="00E219CB">
        <w:trPr>
          <w:trHeight w:val="300"/>
        </w:trPr>
        <w:tc>
          <w:tcPr>
            <w:tcW w:w="1728" w:type="dxa"/>
            <w:tcBorders>
              <w:top w:val="nil"/>
              <w:left w:val="single" w:sz="4" w:space="0" w:color="auto"/>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&gt;70-80%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111</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270</w:t>
            </w:r>
          </w:p>
        </w:tc>
        <w:tc>
          <w:tcPr>
            <w:tcW w:w="1728" w:type="dxa"/>
            <w:tcBorders>
              <w:top w:val="nil"/>
              <w:left w:val="nil"/>
              <w:bottom w:val="nil"/>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2.90%</w:t>
            </w:r>
          </w:p>
        </w:tc>
        <w:tc>
          <w:tcPr>
            <w:tcW w:w="1728" w:type="dxa"/>
            <w:tcBorders>
              <w:top w:val="nil"/>
              <w:left w:val="nil"/>
              <w:bottom w:val="nil"/>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7.04%</w:t>
            </w:r>
          </w:p>
        </w:tc>
      </w:tr>
      <w:tr w:rsidR="004C2E57" w:rsidRPr="007375C9"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&gt;80-90%</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343</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613</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8.95%</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15.99%</w:t>
            </w:r>
          </w:p>
        </w:tc>
      </w:tr>
      <w:tr w:rsidR="004C2E57" w:rsidRPr="007375C9" w:rsidTr="00E219CB">
        <w:trPr>
          <w:trHeight w:val="300"/>
        </w:trPr>
        <w:tc>
          <w:tcPr>
            <w:tcW w:w="1728" w:type="dxa"/>
            <w:tcBorders>
              <w:top w:val="nil"/>
              <w:left w:val="single" w:sz="4" w:space="0" w:color="auto"/>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eastAsia="Times New Roman" w:cs="Times New Roman"/>
                <w:color w:val="FF0000"/>
              </w:rPr>
              <w:t>&gt;90-100%</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3221</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3834</w:t>
            </w:r>
          </w:p>
        </w:tc>
        <w:tc>
          <w:tcPr>
            <w:tcW w:w="1728" w:type="dxa"/>
            <w:tcBorders>
              <w:top w:val="nil"/>
              <w:left w:val="nil"/>
              <w:bottom w:val="single" w:sz="4" w:space="0" w:color="auto"/>
              <w:right w:val="nil"/>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84.01%</w:t>
            </w:r>
          </w:p>
        </w:tc>
        <w:tc>
          <w:tcPr>
            <w:tcW w:w="1728" w:type="dxa"/>
            <w:tcBorders>
              <w:top w:val="nil"/>
              <w:left w:val="nil"/>
              <w:bottom w:val="single" w:sz="4" w:space="0" w:color="auto"/>
              <w:right w:val="single" w:sz="4" w:space="0" w:color="auto"/>
            </w:tcBorders>
            <w:shd w:val="clear" w:color="auto" w:fill="auto"/>
            <w:noWrap/>
            <w:vAlign w:val="bottom"/>
            <w:hideMark/>
          </w:tcPr>
          <w:p w:rsidR="004C2E57" w:rsidRPr="007375C9" w:rsidRDefault="004C2E57" w:rsidP="00F33DE6">
            <w:pPr>
              <w:spacing w:after="0" w:line="240" w:lineRule="auto"/>
              <w:jc w:val="right"/>
              <w:rPr>
                <w:rFonts w:eastAsia="Times New Roman" w:cs="Times New Roman"/>
                <w:color w:val="FF0000"/>
              </w:rPr>
            </w:pPr>
            <w:r w:rsidRPr="007375C9">
              <w:rPr>
                <w:rFonts w:ascii="Calibri" w:hAnsi="Calibri"/>
                <w:color w:val="FF0000"/>
              </w:rPr>
              <w:t>100.00%</w:t>
            </w:r>
          </w:p>
        </w:tc>
      </w:tr>
      <w:tr w:rsidR="004C2E57" w:rsidRPr="00E219CB" w:rsidTr="00E219CB">
        <w:trPr>
          <w:trHeight w:val="600"/>
        </w:trPr>
        <w:tc>
          <w:tcPr>
            <w:tcW w:w="1728" w:type="dxa"/>
            <w:tcBorders>
              <w:top w:val="single" w:sz="4" w:space="0" w:color="auto"/>
              <w:left w:val="single" w:sz="4" w:space="0" w:color="auto"/>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National Rate (NR)</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 =&gt; NR</w:t>
            </w:r>
          </w:p>
        </w:tc>
        <w:tc>
          <w:tcPr>
            <w:tcW w:w="1728" w:type="dxa"/>
            <w:tcBorders>
              <w:top w:val="single" w:sz="4" w:space="0" w:color="auto"/>
              <w:left w:val="nil"/>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Total Number of Facilities</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=&gt; </w:t>
            </w:r>
            <w:r>
              <w:rPr>
                <w:rFonts w:eastAsia="Times New Roman" w:cs="Times New Roman"/>
                <w:bCs/>
                <w:color w:val="FF0000"/>
              </w:rPr>
              <w:t>National Rate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Percent Below N</w:t>
            </w:r>
            <w:r>
              <w:rPr>
                <w:rFonts w:eastAsia="Times New Roman" w:cs="Times New Roman"/>
                <w:bCs/>
                <w:color w:val="FF0000"/>
              </w:rPr>
              <w:t xml:space="preserve">ational </w:t>
            </w:r>
            <w:r w:rsidRPr="0032296A">
              <w:rPr>
                <w:rFonts w:eastAsia="Times New Roman" w:cs="Times New Roman"/>
                <w:bCs/>
                <w:color w:val="FF0000"/>
              </w:rPr>
              <w:t>R</w:t>
            </w:r>
            <w:r>
              <w:rPr>
                <w:rFonts w:eastAsia="Times New Roman" w:cs="Times New Roman"/>
                <w:bCs/>
                <w:color w:val="FF0000"/>
              </w:rPr>
              <w:t>ate</w:t>
            </w:r>
          </w:p>
        </w:tc>
      </w:tr>
      <w:tr w:rsidR="004C2E57" w:rsidRPr="0032296A" w:rsidTr="00E219CB">
        <w:trPr>
          <w:trHeight w:val="300"/>
        </w:trPr>
        <w:tc>
          <w:tcPr>
            <w:tcW w:w="1728" w:type="dxa"/>
            <w:tcBorders>
              <w:top w:val="single" w:sz="4" w:space="0" w:color="auto"/>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95.03%</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2622</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3834</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68.39</w:t>
            </w:r>
            <w:r w:rsidRPr="0032296A">
              <w:rPr>
                <w:rFonts w:eastAsia="Times New Roman" w:cs="Times New Roman"/>
                <w:color w:val="FF0000"/>
              </w:rPr>
              <w:t>%</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31.61</w:t>
            </w:r>
            <w:r w:rsidRPr="0032296A">
              <w:rPr>
                <w:rFonts w:eastAsia="Times New Roman" w:cs="Times New Roman"/>
                <w:color w:val="FF0000"/>
              </w:rPr>
              <w:t>%</w:t>
            </w:r>
          </w:p>
        </w:tc>
      </w:tr>
      <w:tr w:rsidR="004C2E57" w:rsidRPr="00E219CB" w:rsidTr="00E219CB">
        <w:trPr>
          <w:trHeight w:val="600"/>
        </w:trPr>
        <w:tc>
          <w:tcPr>
            <w:tcW w:w="1728" w:type="dxa"/>
            <w:tcBorders>
              <w:top w:val="single" w:sz="4" w:space="0" w:color="auto"/>
              <w:left w:val="single" w:sz="4" w:space="0" w:color="auto"/>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Benchmark </w:t>
            </w:r>
            <w:r w:rsidR="002A7B84">
              <w:rPr>
                <w:rFonts w:eastAsia="Times New Roman" w:cs="Times New Roman"/>
                <w:bCs/>
                <w:color w:val="FF0000"/>
              </w:rPr>
              <w:t xml:space="preserve">Rate </w:t>
            </w:r>
            <w:r w:rsidRPr="0032296A">
              <w:rPr>
                <w:rFonts w:eastAsia="Times New Roman" w:cs="Times New Roman"/>
                <w:bCs/>
                <w:color w:val="FF0000"/>
              </w:rPr>
              <w:t>(BM</w:t>
            </w:r>
            <w:r w:rsidR="002A7B84">
              <w:rPr>
                <w:rFonts w:eastAsia="Times New Roman" w:cs="Times New Roman"/>
                <w:bCs/>
                <w:color w:val="FF0000"/>
              </w:rPr>
              <w:t>R</w:t>
            </w:r>
            <w:r w:rsidRPr="0032296A">
              <w:rPr>
                <w:rFonts w:eastAsia="Times New Roman" w:cs="Times New Roman"/>
                <w:bCs/>
                <w:color w:val="FF0000"/>
              </w:rPr>
              <w:t>)</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Number of Facilities =&gt; BM</w:t>
            </w:r>
            <w:r w:rsidR="002A7B84">
              <w:rPr>
                <w:rFonts w:eastAsia="Times New Roman" w:cs="Times New Roman"/>
                <w:bCs/>
                <w:color w:val="FF0000"/>
              </w:rPr>
              <w:t>R</w:t>
            </w:r>
          </w:p>
        </w:tc>
        <w:tc>
          <w:tcPr>
            <w:tcW w:w="1728" w:type="dxa"/>
            <w:tcBorders>
              <w:top w:val="single" w:sz="4" w:space="0" w:color="auto"/>
              <w:left w:val="nil"/>
              <w:bottom w:val="single" w:sz="4" w:space="0" w:color="auto"/>
              <w:right w:val="nil"/>
            </w:tcBorders>
            <w:shd w:val="clear" w:color="000000" w:fill="F2F2F2"/>
            <w:noWrap/>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Total Number of Facilities</w:t>
            </w:r>
          </w:p>
        </w:tc>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=&gt; </w:t>
            </w:r>
            <w:r>
              <w:rPr>
                <w:rFonts w:eastAsia="Times New Roman" w:cs="Times New Roman"/>
                <w:bCs/>
                <w:color w:val="FF0000"/>
              </w:rPr>
              <w:t>Benchmark</w:t>
            </w:r>
            <w:r w:rsidR="00E219CB">
              <w:rPr>
                <w:rFonts w:eastAsia="Times New Roman" w:cs="Times New Roman"/>
                <w:bCs/>
                <w:color w:val="FF0000"/>
              </w:rPr>
              <w:t xml:space="preserve"> Rate</w:t>
            </w:r>
          </w:p>
        </w:tc>
        <w:tc>
          <w:tcPr>
            <w:tcW w:w="1728" w:type="dxa"/>
            <w:tcBorders>
              <w:top w:val="single" w:sz="4" w:space="0" w:color="auto"/>
              <w:left w:val="nil"/>
              <w:bottom w:val="single" w:sz="4" w:space="0" w:color="auto"/>
              <w:right w:val="single" w:sz="4" w:space="0" w:color="auto"/>
            </w:tcBorders>
            <w:shd w:val="clear" w:color="000000" w:fill="F2F2F2"/>
            <w:vAlign w:val="center"/>
            <w:hideMark/>
          </w:tcPr>
          <w:p w:rsidR="004C2E57" w:rsidRPr="0032296A" w:rsidRDefault="004C2E57" w:rsidP="00E219CB">
            <w:pPr>
              <w:spacing w:after="0" w:line="240" w:lineRule="auto"/>
              <w:ind w:left="-14" w:right="-14"/>
              <w:jc w:val="center"/>
              <w:rPr>
                <w:rFonts w:eastAsia="Times New Roman" w:cs="Times New Roman"/>
                <w:bCs/>
                <w:color w:val="FF0000"/>
              </w:rPr>
            </w:pPr>
            <w:r w:rsidRPr="0032296A">
              <w:rPr>
                <w:rFonts w:eastAsia="Times New Roman" w:cs="Times New Roman"/>
                <w:bCs/>
                <w:color w:val="FF0000"/>
              </w:rPr>
              <w:t xml:space="preserve">Percent Below </w:t>
            </w:r>
            <w:r>
              <w:rPr>
                <w:rFonts w:eastAsia="Times New Roman" w:cs="Times New Roman"/>
                <w:bCs/>
                <w:color w:val="FF0000"/>
              </w:rPr>
              <w:t>Benchmark</w:t>
            </w:r>
            <w:r w:rsidR="00E219CB">
              <w:rPr>
                <w:rFonts w:eastAsia="Times New Roman" w:cs="Times New Roman"/>
                <w:bCs/>
                <w:color w:val="FF0000"/>
              </w:rPr>
              <w:t xml:space="preserve"> Rate</w:t>
            </w:r>
          </w:p>
        </w:tc>
      </w:tr>
      <w:tr w:rsidR="004C2E57" w:rsidRPr="0032296A" w:rsidTr="00E219CB">
        <w:trPr>
          <w:trHeight w:val="300"/>
        </w:trPr>
        <w:tc>
          <w:tcPr>
            <w:tcW w:w="1728" w:type="dxa"/>
            <w:tcBorders>
              <w:top w:val="single" w:sz="4" w:space="0" w:color="auto"/>
              <w:left w:val="single" w:sz="4" w:space="0" w:color="auto"/>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sidRPr="0032296A">
              <w:rPr>
                <w:rFonts w:eastAsia="Times New Roman" w:cs="Times New Roman"/>
                <w:color w:val="FF0000"/>
              </w:rPr>
              <w:t>99.9</w:t>
            </w:r>
            <w:r>
              <w:rPr>
                <w:rFonts w:eastAsia="Times New Roman" w:cs="Times New Roman"/>
                <w:color w:val="FF0000"/>
              </w:rPr>
              <w:t>9</w:t>
            </w:r>
            <w:r w:rsidRPr="0032296A">
              <w:rPr>
                <w:rFonts w:eastAsia="Times New Roman" w:cs="Times New Roman"/>
                <w:color w:val="FF0000"/>
              </w:rPr>
              <w:t>%</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675</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3834</w:t>
            </w:r>
          </w:p>
        </w:tc>
        <w:tc>
          <w:tcPr>
            <w:tcW w:w="1728" w:type="dxa"/>
            <w:tcBorders>
              <w:top w:val="single" w:sz="4" w:space="0" w:color="auto"/>
              <w:left w:val="nil"/>
              <w:bottom w:val="single" w:sz="4" w:space="0" w:color="auto"/>
              <w:right w:val="nil"/>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17.61</w:t>
            </w:r>
            <w:r w:rsidRPr="0032296A">
              <w:rPr>
                <w:rFonts w:eastAsia="Times New Roman" w:cs="Times New Roman"/>
                <w:color w:val="FF0000"/>
              </w:rPr>
              <w:t>%</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4C2E57" w:rsidRPr="0032296A" w:rsidRDefault="004C2E57" w:rsidP="00F33DE6">
            <w:pPr>
              <w:spacing w:after="0" w:line="240" w:lineRule="auto"/>
              <w:jc w:val="right"/>
              <w:rPr>
                <w:rFonts w:eastAsia="Times New Roman" w:cs="Times New Roman"/>
                <w:color w:val="FF0000"/>
              </w:rPr>
            </w:pPr>
            <w:r>
              <w:rPr>
                <w:rFonts w:eastAsia="Times New Roman" w:cs="Times New Roman"/>
                <w:color w:val="FF0000"/>
              </w:rPr>
              <w:t>82.39</w:t>
            </w:r>
            <w:r w:rsidRPr="0032296A">
              <w:rPr>
                <w:rFonts w:eastAsia="Times New Roman" w:cs="Times New Roman"/>
                <w:color w:val="FF0000"/>
              </w:rPr>
              <w:t>%</w:t>
            </w:r>
          </w:p>
        </w:tc>
      </w:tr>
    </w:tbl>
    <w:p w:rsidR="001B0E17" w:rsidRDefault="001B0E17"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1B0E17" w:rsidRDefault="001B0E17" w:rsidP="00D61410">
      <w:pPr>
        <w:autoSpaceDE w:val="0"/>
        <w:autoSpaceDN w:val="0"/>
        <w:adjustRightInd w:val="0"/>
        <w:spacing w:after="0" w:line="240" w:lineRule="auto"/>
        <w:rPr>
          <w:rFonts w:cstheme="minorHAnsi"/>
          <w:bCs/>
        </w:rPr>
      </w:pPr>
      <w:r w:rsidRPr="001B0E17">
        <w:rPr>
          <w:rFonts w:cstheme="minorHAnsi"/>
          <w:bCs/>
        </w:rPr>
        <w:t>No results at this time</w:t>
      </w:r>
    </w:p>
    <w:p w:rsidR="001B0E17" w:rsidRDefault="001B0E17" w:rsidP="00D61410">
      <w:pPr>
        <w:autoSpaceDE w:val="0"/>
        <w:autoSpaceDN w:val="0"/>
        <w:adjustRightInd w:val="0"/>
        <w:spacing w:after="0" w:line="240" w:lineRule="auto"/>
        <w:rPr>
          <w:rFonts w:cstheme="minorHAnsi"/>
          <w:bCs/>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Achieving a high rate of screening and vaccination is realistically possible demonstrated by the high benchmark rates (4</w:t>
      </w:r>
      <w:r w:rsidRPr="00BB0F7E">
        <w:rPr>
          <w:rFonts w:cstheme="minorHAnsi"/>
          <w:bCs/>
          <w:color w:val="FF0000"/>
          <w:vertAlign w:val="superscript"/>
        </w:rPr>
        <w:t>th</w:t>
      </w:r>
      <w:r>
        <w:rPr>
          <w:rFonts w:cstheme="minorHAnsi"/>
          <w:bCs/>
          <w:color w:val="FF0000"/>
        </w:rPr>
        <w:t xml:space="preserve"> quarter 2014 = 99.93% and 1</w:t>
      </w:r>
      <w:r w:rsidRPr="00BB0F7E">
        <w:rPr>
          <w:rFonts w:cstheme="minorHAnsi"/>
          <w:bCs/>
          <w:color w:val="FF0000"/>
          <w:vertAlign w:val="superscript"/>
        </w:rPr>
        <w:t>st</w:t>
      </w:r>
      <w:r>
        <w:rPr>
          <w:rFonts w:cstheme="minorHAnsi"/>
          <w:bCs/>
          <w:color w:val="FF0000"/>
        </w:rPr>
        <w:t xml:space="preserve"> quarter 2015 = 99.99%)</w:t>
      </w:r>
      <w:proofErr w:type="gramStart"/>
      <w:r>
        <w:rPr>
          <w:rFonts w:cstheme="minorHAnsi"/>
          <w:bCs/>
          <w:color w:val="FF0000"/>
        </w:rPr>
        <w:t>.</w:t>
      </w:r>
      <w:proofErr w:type="gramEnd"/>
      <w:r>
        <w:rPr>
          <w:rFonts w:cstheme="minorHAnsi"/>
          <w:bCs/>
          <w:color w:val="FF0000"/>
        </w:rPr>
        <w:t xml:space="preserve"> The percent of hospitals meeting or exceeding the benchmark increased from 11.35% in the 4</w:t>
      </w:r>
      <w:r w:rsidRPr="00D5724E">
        <w:rPr>
          <w:rFonts w:cstheme="minorHAnsi"/>
          <w:bCs/>
          <w:color w:val="FF0000"/>
          <w:vertAlign w:val="superscript"/>
        </w:rPr>
        <w:t>th</w:t>
      </w:r>
      <w:r>
        <w:rPr>
          <w:rFonts w:cstheme="minorHAnsi"/>
          <w:bCs/>
          <w:color w:val="FF0000"/>
        </w:rPr>
        <w:t xml:space="preserve"> quarter of 2014 to 17.61% in the 1</w:t>
      </w:r>
      <w:r w:rsidRPr="00D5724E">
        <w:rPr>
          <w:rFonts w:cstheme="minorHAnsi"/>
          <w:bCs/>
          <w:color w:val="FF0000"/>
          <w:vertAlign w:val="superscript"/>
        </w:rPr>
        <w:t>st</w:t>
      </w:r>
      <w:r>
        <w:rPr>
          <w:rFonts w:cstheme="minorHAnsi"/>
          <w:bCs/>
          <w:color w:val="FF0000"/>
        </w:rPr>
        <w:t xml:space="preserve"> quarter of 2015. This demonstrates there are facilities that continue to improve upon their screening and vaccination processes to ensure more patients do not miss this important preventative intervention.</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The percent of facilities with a performance rate of greater than 90% increased from 74.91% in 4</w:t>
      </w:r>
      <w:r w:rsidRPr="00D5724E">
        <w:rPr>
          <w:rFonts w:cstheme="minorHAnsi"/>
          <w:bCs/>
          <w:color w:val="FF0000"/>
          <w:vertAlign w:val="superscript"/>
        </w:rPr>
        <w:t>th</w:t>
      </w:r>
      <w:r>
        <w:rPr>
          <w:rFonts w:cstheme="minorHAnsi"/>
          <w:bCs/>
          <w:color w:val="FF0000"/>
        </w:rPr>
        <w:t xml:space="preserve"> quarter 2014 to 84% in 1</w:t>
      </w:r>
      <w:r w:rsidRPr="00D5724E">
        <w:rPr>
          <w:rFonts w:cstheme="minorHAnsi"/>
          <w:bCs/>
          <w:color w:val="FF0000"/>
          <w:vertAlign w:val="superscript"/>
        </w:rPr>
        <w:t>st</w:t>
      </w:r>
      <w:r>
        <w:rPr>
          <w:rFonts w:cstheme="minorHAnsi"/>
          <w:bCs/>
          <w:color w:val="FF0000"/>
        </w:rPr>
        <w:t xml:space="preserve"> quarter 2015, again demonstrating facility improvement in screening and vaccination processes. The average performance rates for hospitals in this group was 96.80% (594,586 screened and vaccinated out of 614,273 eligible) in the 4</w:t>
      </w:r>
      <w:r w:rsidRPr="008472A6">
        <w:rPr>
          <w:rFonts w:cstheme="minorHAnsi"/>
          <w:bCs/>
          <w:color w:val="FF0000"/>
          <w:vertAlign w:val="superscript"/>
        </w:rPr>
        <w:t>th</w:t>
      </w:r>
      <w:r>
        <w:rPr>
          <w:rFonts w:cstheme="minorHAnsi"/>
          <w:bCs/>
          <w:color w:val="FF0000"/>
        </w:rPr>
        <w:t xml:space="preserve"> quarter of 2014 and 97.48% (688,244 screened and vaccinated out of 706,030 eligible) in the 1</w:t>
      </w:r>
      <w:r w:rsidRPr="008472A6">
        <w:rPr>
          <w:rFonts w:cstheme="minorHAnsi"/>
          <w:bCs/>
          <w:color w:val="FF0000"/>
          <w:vertAlign w:val="superscript"/>
        </w:rPr>
        <w:t>st</w:t>
      </w:r>
      <w:r>
        <w:rPr>
          <w:rFonts w:cstheme="minorHAnsi"/>
          <w:bCs/>
          <w:color w:val="FF0000"/>
        </w:rPr>
        <w:t xml:space="preserve"> quarter of 2015. For this group of hospitals this represents 37,473 patients out of 1,320,303 eligible patients, or 2.84% of the eligible patients, who were not screened and vaccinated during the 2014-2015 flu season.</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The percent of facilities with a performance rate of 90% or less in the 4</w:t>
      </w:r>
      <w:r w:rsidRPr="008472A6">
        <w:rPr>
          <w:rFonts w:cstheme="minorHAnsi"/>
          <w:bCs/>
          <w:color w:val="FF0000"/>
          <w:vertAlign w:val="superscript"/>
        </w:rPr>
        <w:t>th</w:t>
      </w:r>
      <w:r>
        <w:rPr>
          <w:rFonts w:cstheme="minorHAnsi"/>
          <w:bCs/>
          <w:color w:val="FF0000"/>
        </w:rPr>
        <w:t xml:space="preserve"> quarter of 2014 was 25.09% and in the 1</w:t>
      </w:r>
      <w:r w:rsidRPr="008472A6">
        <w:rPr>
          <w:rFonts w:cstheme="minorHAnsi"/>
          <w:bCs/>
          <w:color w:val="FF0000"/>
          <w:vertAlign w:val="superscript"/>
        </w:rPr>
        <w:t>st</w:t>
      </w:r>
      <w:r>
        <w:rPr>
          <w:rFonts w:cstheme="minorHAnsi"/>
          <w:bCs/>
          <w:color w:val="FF0000"/>
        </w:rPr>
        <w:t xml:space="preserve"> quarter of 2015 was 15.99%. While this also demonstrates continued improvement of facilities as a higher percent of facilities report screening and vaccination rates of greater than 90%, it also demonstrates there is still room for improvement. The average performance rates for hospitals in this group was 79.35% (124,118 screened and vaccinated out of 156,417 eligible) in the 4</w:t>
      </w:r>
      <w:r w:rsidRPr="008472A6">
        <w:rPr>
          <w:rFonts w:cstheme="minorHAnsi"/>
          <w:bCs/>
          <w:color w:val="FF0000"/>
          <w:vertAlign w:val="superscript"/>
        </w:rPr>
        <w:t>th</w:t>
      </w:r>
      <w:r>
        <w:rPr>
          <w:rFonts w:cstheme="minorHAnsi"/>
          <w:bCs/>
          <w:color w:val="FF0000"/>
        </w:rPr>
        <w:t xml:space="preserve"> quarter of </w:t>
      </w:r>
      <w:r>
        <w:rPr>
          <w:rFonts w:cstheme="minorHAnsi"/>
          <w:bCs/>
          <w:color w:val="FF0000"/>
        </w:rPr>
        <w:lastRenderedPageBreak/>
        <w:t>2014 and 76.93% (73,466 screened and vaccinated out of 95,495 eligible) in the 1</w:t>
      </w:r>
      <w:r w:rsidRPr="008472A6">
        <w:rPr>
          <w:rFonts w:cstheme="minorHAnsi"/>
          <w:bCs/>
          <w:color w:val="FF0000"/>
          <w:vertAlign w:val="superscript"/>
        </w:rPr>
        <w:t>st</w:t>
      </w:r>
      <w:r>
        <w:rPr>
          <w:rFonts w:cstheme="minorHAnsi"/>
          <w:bCs/>
          <w:color w:val="FF0000"/>
        </w:rPr>
        <w:t xml:space="preserve"> quarter of 2015. For this group of hospitals this represents 54,328 patients out of 251,912 eligible patients, or 21.57% of the eligible patients, who were not screened and vaccinated during the 2014-2015 flu season. </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Facilities with performance rates of greater than 90% had 1,068,391 more eligible patients (1,320,303) than those with performance rates of 90% or less (251,912). Yet the facilities with performance rates of 90% or less had 16,855 more patients (54,328) that were not screened and vaccinated than those with performance rates of greater than 90% (37,473).</w:t>
      </w:r>
    </w:p>
    <w:p w:rsidR="004C2E57" w:rsidRDefault="004C2E57" w:rsidP="004C2E57">
      <w:pPr>
        <w:autoSpaceDE w:val="0"/>
        <w:autoSpaceDN w:val="0"/>
        <w:adjustRightInd w:val="0"/>
        <w:spacing w:after="0" w:line="240" w:lineRule="auto"/>
        <w:rPr>
          <w:rFonts w:cstheme="minorHAnsi"/>
          <w:bCs/>
          <w:color w:val="FF0000"/>
        </w:rPr>
      </w:pPr>
    </w:p>
    <w:p w:rsidR="004C2E57" w:rsidRDefault="004C2E57" w:rsidP="004C2E57">
      <w:pPr>
        <w:autoSpaceDE w:val="0"/>
        <w:autoSpaceDN w:val="0"/>
        <w:adjustRightInd w:val="0"/>
        <w:spacing w:after="0" w:line="240" w:lineRule="auto"/>
        <w:rPr>
          <w:rFonts w:cstheme="minorHAnsi"/>
          <w:bCs/>
          <w:color w:val="FF0000"/>
        </w:rPr>
      </w:pPr>
      <w:r>
        <w:rPr>
          <w:rFonts w:cstheme="minorHAnsi"/>
          <w:bCs/>
          <w:color w:val="FF0000"/>
        </w:rPr>
        <w:t>Despite high benchmarks, there remains opportunity for improvement among facilities to increase the number of eligible patients who are properly screened and vaccinated with the influenza vaccine.</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1B0E17" w:rsidRPr="00E4620A" w:rsidRDefault="00E1508F" w:rsidP="001B0E1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rsidR="001B0E17" w:rsidRPr="00E4620A" w:rsidRDefault="001B0E17" w:rsidP="001B0E17">
      <w:pPr>
        <w:autoSpaceDE w:val="0"/>
        <w:autoSpaceDN w:val="0"/>
        <w:adjustRightInd w:val="0"/>
        <w:spacing w:after="0" w:line="240" w:lineRule="auto"/>
        <w:rPr>
          <w:rFonts w:cstheme="minorHAnsi"/>
          <w:bCs/>
        </w:rPr>
      </w:pPr>
      <w:r w:rsidRPr="001B0E17">
        <w:rPr>
          <w:rFonts w:cstheme="minorHAnsi"/>
          <w:bCs/>
        </w:rPr>
        <w:t>Not applicable because the plan at this time is to use only one data source: the direct abstraction of medical records.</w:t>
      </w:r>
    </w:p>
    <w:p w:rsidR="001B0E17" w:rsidRPr="00E4620A" w:rsidRDefault="001B0E17" w:rsidP="001B0E17">
      <w:pPr>
        <w:autoSpaceDE w:val="0"/>
        <w:autoSpaceDN w:val="0"/>
        <w:adjustRightInd w:val="0"/>
        <w:spacing w:after="0" w:line="240" w:lineRule="auto"/>
        <w:rPr>
          <w:rFonts w:cstheme="minorHAnsi"/>
          <w:bCs/>
        </w:rPr>
      </w:pPr>
    </w:p>
    <w:p w:rsidR="000F06B5"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N/A – only one set of specifications</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1B0E17" w:rsidRPr="00E4620A" w:rsidRDefault="00E1508F" w:rsidP="001B0E17">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1B0E17" w:rsidRPr="00E4620A" w:rsidRDefault="001B0E17" w:rsidP="001B0E17">
      <w:pPr>
        <w:autoSpaceDE w:val="0"/>
        <w:autoSpaceDN w:val="0"/>
        <w:adjustRightInd w:val="0"/>
        <w:spacing w:after="0" w:line="240" w:lineRule="auto"/>
        <w:rPr>
          <w:rFonts w:cstheme="minorHAnsi"/>
          <w:bCs/>
        </w:rPr>
      </w:pPr>
      <w:r w:rsidRPr="00E4620A">
        <w:rPr>
          <w:rFonts w:cstheme="minorHAnsi"/>
          <w:bCs/>
        </w:rPr>
        <w:t>N/A</w:t>
      </w:r>
    </w:p>
    <w:p w:rsidR="001B0E17" w:rsidRPr="00E4620A" w:rsidRDefault="001B0E17" w:rsidP="001B0E17">
      <w:pPr>
        <w:autoSpaceDE w:val="0"/>
        <w:autoSpaceDN w:val="0"/>
        <w:adjustRightInd w:val="0"/>
        <w:spacing w:after="0" w:line="240" w:lineRule="auto"/>
        <w:rPr>
          <w:rFonts w:cstheme="minorHAnsi"/>
          <w:bCs/>
        </w:rPr>
      </w:pPr>
    </w:p>
    <w:p w:rsidR="00A35F8F" w:rsidRPr="00D266D4" w:rsidRDefault="000B1A69" w:rsidP="00E1508F">
      <w:pPr>
        <w:autoSpaceDE w:val="0"/>
        <w:autoSpaceDN w:val="0"/>
        <w:adjustRightInd w:val="0"/>
        <w:spacing w:after="0" w:line="240" w:lineRule="auto"/>
        <w:rPr>
          <w:rFonts w:cstheme="minorHAnsi"/>
          <w:bCs/>
          <w:color w:val="FF0000"/>
        </w:rPr>
      </w:pPr>
      <w:r w:rsidRPr="00D266D4">
        <w:rPr>
          <w:rFonts w:cstheme="minorHAnsi"/>
          <w:bCs/>
          <w:color w:val="FF0000"/>
        </w:rPr>
        <w:t>N/A – only one set of specifications</w:t>
      </w:r>
    </w:p>
    <w:p w:rsidR="00E1508F" w:rsidRPr="00E1508F" w:rsidRDefault="00E1508F" w:rsidP="00E1508F">
      <w:pPr>
        <w:autoSpaceDE w:val="0"/>
        <w:autoSpaceDN w:val="0"/>
        <w:adjustRightInd w:val="0"/>
        <w:spacing w:after="0" w:line="240" w:lineRule="auto"/>
        <w:rPr>
          <w:rFonts w:cstheme="minorHAnsi"/>
          <w:bCs/>
        </w:rPr>
      </w:pPr>
    </w:p>
    <w:p w:rsidR="001B0E17" w:rsidRPr="00E4620A" w:rsidRDefault="00E1508F" w:rsidP="001B0E1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rsidR="001B0E17" w:rsidRPr="00E4620A" w:rsidRDefault="001B0E17" w:rsidP="001B0E17">
      <w:pPr>
        <w:autoSpaceDE w:val="0"/>
        <w:autoSpaceDN w:val="0"/>
        <w:adjustRightInd w:val="0"/>
        <w:spacing w:after="0" w:line="240" w:lineRule="auto"/>
        <w:rPr>
          <w:rFonts w:cstheme="minorHAnsi"/>
          <w:bCs/>
        </w:rPr>
      </w:pPr>
      <w:r w:rsidRPr="00E4620A">
        <w:rPr>
          <w:rFonts w:cstheme="minorHAnsi"/>
          <w:bCs/>
        </w:rPr>
        <w:t>N/A</w:t>
      </w:r>
    </w:p>
    <w:p w:rsidR="001B0E17" w:rsidRPr="00E4620A" w:rsidRDefault="001B0E17" w:rsidP="001B0E17">
      <w:pPr>
        <w:autoSpaceDE w:val="0"/>
        <w:autoSpaceDN w:val="0"/>
        <w:adjustRightInd w:val="0"/>
        <w:spacing w:after="0" w:line="240" w:lineRule="auto"/>
        <w:rPr>
          <w:rFonts w:cstheme="minorHAnsi"/>
          <w:bCs/>
        </w:rPr>
      </w:pPr>
    </w:p>
    <w:p w:rsidR="0079180E" w:rsidRPr="00D266D4" w:rsidRDefault="000B1A69" w:rsidP="00DB3627">
      <w:pPr>
        <w:autoSpaceDE w:val="0"/>
        <w:autoSpaceDN w:val="0"/>
        <w:adjustRightInd w:val="0"/>
        <w:spacing w:after="0" w:line="240" w:lineRule="auto"/>
        <w:rPr>
          <w:rFonts w:cstheme="minorHAnsi"/>
          <w:bCs/>
          <w:color w:val="FF0000"/>
        </w:rPr>
      </w:pPr>
      <w:r w:rsidRPr="00D266D4">
        <w:rPr>
          <w:rFonts w:cstheme="minorHAnsi"/>
          <w:bCs/>
          <w:color w:val="FF0000"/>
        </w:rPr>
        <w:t>N/A – only one set of specifications</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7C226A" w:rsidRPr="007C226A" w:rsidRDefault="008F7E67" w:rsidP="007C226A">
      <w:pPr>
        <w:pStyle w:val="ListParagraph"/>
        <w:autoSpaceDE w:val="0"/>
        <w:autoSpaceDN w:val="0"/>
        <w:adjustRightInd w:val="0"/>
        <w:spacing w:after="0" w:line="240" w:lineRule="auto"/>
        <w:ind w:left="0"/>
        <w:rPr>
          <w:rFonts w:cstheme="minorHAnsi"/>
          <w:bCs/>
        </w:rPr>
      </w:pPr>
      <w:r>
        <w:rPr>
          <w:rFonts w:cstheme="minorHAnsi"/>
          <w:b/>
          <w:bCs/>
        </w:rPr>
        <w:lastRenderedPageBreak/>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 xml:space="preserve">identify the extent and distribution of missing data (or </w:t>
      </w:r>
      <w:proofErr w:type="spellStart"/>
      <w:r w:rsidR="00771B2A" w:rsidRPr="008B604D">
        <w:rPr>
          <w:rFonts w:ascii="Calibri" w:eastAsia="Calibri" w:hAnsi="Calibri" w:cs="Calibri"/>
          <w:b/>
        </w:rPr>
        <w:t>nonresponse</w:t>
      </w:r>
      <w:proofErr w:type="spellEnd"/>
      <w:r w:rsidR="00771B2A" w:rsidRPr="008B604D">
        <w:rPr>
          <w:rFonts w:ascii="Calibri" w:eastAsia="Calibri" w:hAnsi="Calibri" w:cs="Calibri"/>
          <w:b/>
        </w:rPr>
        <w:t>)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rsidR="008F7E67" w:rsidRPr="00D266D4" w:rsidRDefault="000B1A69" w:rsidP="008F7E67">
      <w:pPr>
        <w:autoSpaceDE w:val="0"/>
        <w:autoSpaceDN w:val="0"/>
        <w:adjustRightInd w:val="0"/>
        <w:spacing w:after="0" w:line="240" w:lineRule="auto"/>
        <w:rPr>
          <w:rFonts w:cstheme="minorHAnsi"/>
          <w:bCs/>
          <w:color w:val="FF0000"/>
        </w:rPr>
      </w:pPr>
      <w:r w:rsidRPr="00D266D4">
        <w:rPr>
          <w:rFonts w:cstheme="minorHAnsi"/>
          <w:bCs/>
          <w:color w:val="FF0000"/>
        </w:rPr>
        <w:t>If data are missing the case cannot be completed and is rejected by the CMS clinical warehouse. All data fields must be answered for a case to be accepted.</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7C226A" w:rsidRPr="007C226A" w:rsidRDefault="008F7E67" w:rsidP="007C226A">
      <w:pPr>
        <w:pStyle w:val="ListParagraph"/>
        <w:autoSpaceDE w:val="0"/>
        <w:autoSpaceDN w:val="0"/>
        <w:adjustRightInd w:val="0"/>
        <w:spacing w:after="0" w:line="240" w:lineRule="auto"/>
        <w:ind w:left="0"/>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w:t>
      </w:r>
      <w:proofErr w:type="spellStart"/>
      <w:r w:rsidR="00145D4F">
        <w:rPr>
          <w:rFonts w:cstheme="minorHAnsi"/>
          <w:bCs/>
          <w:i/>
        </w:rPr>
        <w:t>nonresponse</w:t>
      </w:r>
      <w:proofErr w:type="spellEnd"/>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Default="000B1A69" w:rsidP="008F7E67">
      <w:pPr>
        <w:autoSpaceDE w:val="0"/>
        <w:autoSpaceDN w:val="0"/>
        <w:adjustRightInd w:val="0"/>
        <w:spacing w:after="0" w:line="240" w:lineRule="auto"/>
        <w:rPr>
          <w:rFonts w:cstheme="minorHAnsi"/>
          <w:bCs/>
        </w:rPr>
      </w:pPr>
      <w:r w:rsidRPr="000B1A69">
        <w:rPr>
          <w:rFonts w:cstheme="minorHAnsi"/>
          <w:bCs/>
          <w:color w:val="FF0000"/>
        </w:rPr>
        <w:t>Not applicable because cases with missing data are not accepted.</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7C226A" w:rsidRPr="007C226A" w:rsidRDefault="007C226A">
      <w:pPr>
        <w:autoSpaceDE w:val="0"/>
        <w:autoSpaceDN w:val="0"/>
        <w:adjustRightInd w:val="0"/>
        <w:spacing w:after="0" w:line="240" w:lineRule="auto"/>
        <w:rPr>
          <w:rFonts w:cstheme="minorHAnsi"/>
          <w:bCs/>
        </w:rPr>
      </w:pPr>
    </w:p>
    <w:p w:rsidR="00BA053B" w:rsidRPr="00A40110" w:rsidRDefault="000B1A69">
      <w:pPr>
        <w:autoSpaceDE w:val="0"/>
        <w:autoSpaceDN w:val="0"/>
        <w:adjustRightInd w:val="0"/>
        <w:spacing w:after="0" w:line="240" w:lineRule="auto"/>
        <w:rPr>
          <w:rFonts w:cstheme="minorHAnsi"/>
          <w:bCs/>
          <w:color w:val="FF0000"/>
        </w:rPr>
      </w:pPr>
      <w:r w:rsidRPr="000B1A69">
        <w:rPr>
          <w:rFonts w:cstheme="minorHAnsi"/>
          <w:bCs/>
          <w:color w:val="FF0000"/>
        </w:rPr>
        <w:t>Not applicable because cases with missing data are not accepted.</w:t>
      </w:r>
    </w:p>
    <w:sectPr w:rsidR="00BA053B" w:rsidRPr="00A40110"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3A3" w:rsidRDefault="007703A3" w:rsidP="005C73CA">
      <w:pPr>
        <w:spacing w:after="0" w:line="240" w:lineRule="auto"/>
      </w:pPr>
      <w:r>
        <w:separator/>
      </w:r>
    </w:p>
  </w:endnote>
  <w:endnote w:type="continuationSeparator" w:id="0">
    <w:p w:rsidR="007703A3" w:rsidRDefault="007703A3"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3A3" w:rsidRDefault="007703A3">
    <w:pPr>
      <w:pStyle w:val="Footer"/>
    </w:pPr>
    <w:r>
      <w:t>Version 6.5 12/29/2014</w:t>
    </w:r>
    <w:r>
      <w:ptab w:relativeTo="margin" w:alignment="right" w:leader="none"/>
    </w:r>
    <w:r w:rsidR="00E0233F">
      <w:fldChar w:fldCharType="begin"/>
    </w:r>
    <w:r>
      <w:instrText xml:space="preserve"> PAGE   \* MERGEFORMAT </w:instrText>
    </w:r>
    <w:r w:rsidR="00E0233F">
      <w:fldChar w:fldCharType="separate"/>
    </w:r>
    <w:r w:rsidR="00D7455F">
      <w:rPr>
        <w:noProof/>
      </w:rPr>
      <w:t>8</w:t>
    </w:r>
    <w:r w:rsidR="00E0233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3A3" w:rsidRDefault="007703A3" w:rsidP="005C73CA">
      <w:pPr>
        <w:spacing w:after="0" w:line="240" w:lineRule="auto"/>
      </w:pPr>
      <w:r>
        <w:separator/>
      </w:r>
    </w:p>
  </w:footnote>
  <w:footnote w:type="continuationSeparator" w:id="0">
    <w:p w:rsidR="007703A3" w:rsidRDefault="007703A3"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3A3" w:rsidRPr="00105D8B" w:rsidRDefault="007703A3" w:rsidP="00105D8B">
    <w:pPr>
      <w:pStyle w:val="Header"/>
      <w:jc w:val="center"/>
      <w:rPr>
        <w:color w:val="808080" w:themeColor="background1" w:themeShade="8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0467E5"/>
    <w:multiLevelType w:val="hybridMultilevel"/>
    <w:tmpl w:val="0200FB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05B219F"/>
    <w:multiLevelType w:val="hybridMultilevel"/>
    <w:tmpl w:val="39A83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41F52"/>
    <w:multiLevelType w:val="hybridMultilevel"/>
    <w:tmpl w:val="AB020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3"/>
  </w:num>
  <w:num w:numId="4">
    <w:abstractNumId w:val="8"/>
  </w:num>
  <w:num w:numId="5">
    <w:abstractNumId w:val="2"/>
  </w:num>
  <w:num w:numId="6">
    <w:abstractNumId w:val="1"/>
  </w:num>
  <w:num w:numId="7">
    <w:abstractNumId w:val="4"/>
  </w:num>
  <w:num w:numId="8">
    <w:abstractNumId w:val="24"/>
  </w:num>
  <w:num w:numId="9">
    <w:abstractNumId w:val="12"/>
  </w:num>
  <w:num w:numId="10">
    <w:abstractNumId w:val="29"/>
  </w:num>
  <w:num w:numId="11">
    <w:abstractNumId w:val="14"/>
  </w:num>
  <w:num w:numId="12">
    <w:abstractNumId w:val="27"/>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28"/>
  </w:num>
  <w:num w:numId="18">
    <w:abstractNumId w:val="26"/>
  </w:num>
  <w:num w:numId="19">
    <w:abstractNumId w:val="25"/>
  </w:num>
  <w:num w:numId="20">
    <w:abstractNumId w:val="18"/>
  </w:num>
  <w:num w:numId="21">
    <w:abstractNumId w:val="23"/>
  </w:num>
  <w:num w:numId="22">
    <w:abstractNumId w:val="17"/>
  </w:num>
  <w:num w:numId="23">
    <w:abstractNumId w:val="9"/>
  </w:num>
  <w:num w:numId="24">
    <w:abstractNumId w:val="16"/>
  </w:num>
  <w:num w:numId="25">
    <w:abstractNumId w:val="15"/>
  </w:num>
  <w:num w:numId="26">
    <w:abstractNumId w:val="30"/>
  </w:num>
  <w:num w:numId="27">
    <w:abstractNumId w:val="0"/>
  </w:num>
  <w:num w:numId="28">
    <w:abstractNumId w:val="11"/>
  </w:num>
  <w:num w:numId="29">
    <w:abstractNumId w:val="19"/>
  </w:num>
  <w:num w:numId="30">
    <w:abstractNumId w:val="5"/>
  </w:num>
  <w:num w:numId="31">
    <w:abstractNumId w:val="22"/>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useFELayout/>
  </w:compat>
  <w:rsids>
    <w:rsidRoot w:val="008A403A"/>
    <w:rsid w:val="00001D73"/>
    <w:rsid w:val="000023CA"/>
    <w:rsid w:val="00003469"/>
    <w:rsid w:val="0001094F"/>
    <w:rsid w:val="00021170"/>
    <w:rsid w:val="0002128B"/>
    <w:rsid w:val="00023E7D"/>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577A"/>
    <w:rsid w:val="000968F8"/>
    <w:rsid w:val="00096AA4"/>
    <w:rsid w:val="00097012"/>
    <w:rsid w:val="000A2C18"/>
    <w:rsid w:val="000A575C"/>
    <w:rsid w:val="000B032A"/>
    <w:rsid w:val="000B1A69"/>
    <w:rsid w:val="000B2DF7"/>
    <w:rsid w:val="000B3880"/>
    <w:rsid w:val="000C0FF8"/>
    <w:rsid w:val="000C348A"/>
    <w:rsid w:val="000D7948"/>
    <w:rsid w:val="000D7C84"/>
    <w:rsid w:val="000E4E13"/>
    <w:rsid w:val="000E6ABC"/>
    <w:rsid w:val="000E78F6"/>
    <w:rsid w:val="000F034A"/>
    <w:rsid w:val="000F06B5"/>
    <w:rsid w:val="000F39E9"/>
    <w:rsid w:val="00104B45"/>
    <w:rsid w:val="00105D8B"/>
    <w:rsid w:val="0011342F"/>
    <w:rsid w:val="001202E9"/>
    <w:rsid w:val="0012454F"/>
    <w:rsid w:val="00125273"/>
    <w:rsid w:val="0012575E"/>
    <w:rsid w:val="00127C06"/>
    <w:rsid w:val="00131005"/>
    <w:rsid w:val="001377A4"/>
    <w:rsid w:val="00145149"/>
    <w:rsid w:val="00145D4F"/>
    <w:rsid w:val="00146A99"/>
    <w:rsid w:val="0014773C"/>
    <w:rsid w:val="0017696D"/>
    <w:rsid w:val="001848FC"/>
    <w:rsid w:val="001927BC"/>
    <w:rsid w:val="00193F21"/>
    <w:rsid w:val="00194DC1"/>
    <w:rsid w:val="001969C5"/>
    <w:rsid w:val="001A052B"/>
    <w:rsid w:val="001A3CCE"/>
    <w:rsid w:val="001A6CDD"/>
    <w:rsid w:val="001B0E17"/>
    <w:rsid w:val="001C12EE"/>
    <w:rsid w:val="001C7B02"/>
    <w:rsid w:val="001E2A33"/>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6520D"/>
    <w:rsid w:val="0027501D"/>
    <w:rsid w:val="0028114D"/>
    <w:rsid w:val="00287649"/>
    <w:rsid w:val="00287E84"/>
    <w:rsid w:val="0029286C"/>
    <w:rsid w:val="0029300E"/>
    <w:rsid w:val="002A7B84"/>
    <w:rsid w:val="002B0C3A"/>
    <w:rsid w:val="002B2116"/>
    <w:rsid w:val="002B2D9B"/>
    <w:rsid w:val="002B3CC6"/>
    <w:rsid w:val="002B5016"/>
    <w:rsid w:val="002B742C"/>
    <w:rsid w:val="002B7F4D"/>
    <w:rsid w:val="002C285C"/>
    <w:rsid w:val="002C7BE4"/>
    <w:rsid w:val="002C7FA7"/>
    <w:rsid w:val="002D417D"/>
    <w:rsid w:val="002D5E5D"/>
    <w:rsid w:val="002E78A0"/>
    <w:rsid w:val="002F2687"/>
    <w:rsid w:val="002F48E1"/>
    <w:rsid w:val="002F4F3B"/>
    <w:rsid w:val="00304C86"/>
    <w:rsid w:val="003059EB"/>
    <w:rsid w:val="00307832"/>
    <w:rsid w:val="003116AC"/>
    <w:rsid w:val="00315567"/>
    <w:rsid w:val="00325DE8"/>
    <w:rsid w:val="00330144"/>
    <w:rsid w:val="00330E9F"/>
    <w:rsid w:val="00345CBA"/>
    <w:rsid w:val="00346245"/>
    <w:rsid w:val="00356038"/>
    <w:rsid w:val="00356267"/>
    <w:rsid w:val="00356BAD"/>
    <w:rsid w:val="00357B4A"/>
    <w:rsid w:val="003605B4"/>
    <w:rsid w:val="003627AC"/>
    <w:rsid w:val="00366914"/>
    <w:rsid w:val="00372FE3"/>
    <w:rsid w:val="003751DD"/>
    <w:rsid w:val="003755CB"/>
    <w:rsid w:val="00383F85"/>
    <w:rsid w:val="00387BA1"/>
    <w:rsid w:val="003A306C"/>
    <w:rsid w:val="003A3318"/>
    <w:rsid w:val="003A67C2"/>
    <w:rsid w:val="003A7DE7"/>
    <w:rsid w:val="003B1006"/>
    <w:rsid w:val="003C5F11"/>
    <w:rsid w:val="003D13B1"/>
    <w:rsid w:val="003D294B"/>
    <w:rsid w:val="003D6401"/>
    <w:rsid w:val="003E1863"/>
    <w:rsid w:val="004020FC"/>
    <w:rsid w:val="00415501"/>
    <w:rsid w:val="0041606D"/>
    <w:rsid w:val="0041686B"/>
    <w:rsid w:val="00416962"/>
    <w:rsid w:val="004235FF"/>
    <w:rsid w:val="004348CC"/>
    <w:rsid w:val="00450D01"/>
    <w:rsid w:val="00464A1A"/>
    <w:rsid w:val="004658FF"/>
    <w:rsid w:val="00467AD8"/>
    <w:rsid w:val="00474ED7"/>
    <w:rsid w:val="004756E1"/>
    <w:rsid w:val="0048008A"/>
    <w:rsid w:val="00483E94"/>
    <w:rsid w:val="00484120"/>
    <w:rsid w:val="004853A0"/>
    <w:rsid w:val="00496B5F"/>
    <w:rsid w:val="004A2E10"/>
    <w:rsid w:val="004B17FF"/>
    <w:rsid w:val="004B1BA0"/>
    <w:rsid w:val="004B6CEE"/>
    <w:rsid w:val="004C2443"/>
    <w:rsid w:val="004C2E57"/>
    <w:rsid w:val="004C498F"/>
    <w:rsid w:val="004C5D29"/>
    <w:rsid w:val="004C681A"/>
    <w:rsid w:val="004D4D8A"/>
    <w:rsid w:val="004E1E40"/>
    <w:rsid w:val="004F68EE"/>
    <w:rsid w:val="005038D5"/>
    <w:rsid w:val="00511BA4"/>
    <w:rsid w:val="005131BF"/>
    <w:rsid w:val="005149E7"/>
    <w:rsid w:val="005232D6"/>
    <w:rsid w:val="00527202"/>
    <w:rsid w:val="005333CC"/>
    <w:rsid w:val="005363F1"/>
    <w:rsid w:val="00537C1B"/>
    <w:rsid w:val="0055007C"/>
    <w:rsid w:val="00554922"/>
    <w:rsid w:val="00555282"/>
    <w:rsid w:val="005560E7"/>
    <w:rsid w:val="005612CC"/>
    <w:rsid w:val="00563029"/>
    <w:rsid w:val="00567D12"/>
    <w:rsid w:val="00576062"/>
    <w:rsid w:val="0059559F"/>
    <w:rsid w:val="005A49FF"/>
    <w:rsid w:val="005A5F86"/>
    <w:rsid w:val="005A7634"/>
    <w:rsid w:val="005C0447"/>
    <w:rsid w:val="005C56BC"/>
    <w:rsid w:val="005C739F"/>
    <w:rsid w:val="005C73CA"/>
    <w:rsid w:val="005D4768"/>
    <w:rsid w:val="005E2CAB"/>
    <w:rsid w:val="005E429E"/>
    <w:rsid w:val="005F6CCF"/>
    <w:rsid w:val="00601ED4"/>
    <w:rsid w:val="006030BC"/>
    <w:rsid w:val="006046BA"/>
    <w:rsid w:val="00612866"/>
    <w:rsid w:val="00616EB5"/>
    <w:rsid w:val="00617BF5"/>
    <w:rsid w:val="006269D4"/>
    <w:rsid w:val="006327D8"/>
    <w:rsid w:val="0063286A"/>
    <w:rsid w:val="00633A10"/>
    <w:rsid w:val="0064070A"/>
    <w:rsid w:val="00640F67"/>
    <w:rsid w:val="0064312E"/>
    <w:rsid w:val="00643A01"/>
    <w:rsid w:val="006446F9"/>
    <w:rsid w:val="0064697B"/>
    <w:rsid w:val="00656729"/>
    <w:rsid w:val="006574D2"/>
    <w:rsid w:val="00663563"/>
    <w:rsid w:val="006676D4"/>
    <w:rsid w:val="00675535"/>
    <w:rsid w:val="0068089B"/>
    <w:rsid w:val="00681359"/>
    <w:rsid w:val="00696262"/>
    <w:rsid w:val="006C392B"/>
    <w:rsid w:val="006C3A4F"/>
    <w:rsid w:val="006C4845"/>
    <w:rsid w:val="006D6BC1"/>
    <w:rsid w:val="006E2BFC"/>
    <w:rsid w:val="006E5C57"/>
    <w:rsid w:val="006E6D09"/>
    <w:rsid w:val="006E7DB0"/>
    <w:rsid w:val="006F22A5"/>
    <w:rsid w:val="00702C73"/>
    <w:rsid w:val="00713394"/>
    <w:rsid w:val="00723A04"/>
    <w:rsid w:val="00724677"/>
    <w:rsid w:val="00725AC2"/>
    <w:rsid w:val="00730A6D"/>
    <w:rsid w:val="00732880"/>
    <w:rsid w:val="00737849"/>
    <w:rsid w:val="007416B9"/>
    <w:rsid w:val="007422FD"/>
    <w:rsid w:val="00743E46"/>
    <w:rsid w:val="00747C45"/>
    <w:rsid w:val="0075020E"/>
    <w:rsid w:val="00756FDB"/>
    <w:rsid w:val="00760092"/>
    <w:rsid w:val="007629B6"/>
    <w:rsid w:val="007665BF"/>
    <w:rsid w:val="007703A3"/>
    <w:rsid w:val="00771B2A"/>
    <w:rsid w:val="00773465"/>
    <w:rsid w:val="007757CE"/>
    <w:rsid w:val="00775800"/>
    <w:rsid w:val="00784F97"/>
    <w:rsid w:val="0079180E"/>
    <w:rsid w:val="007950CC"/>
    <w:rsid w:val="0079538B"/>
    <w:rsid w:val="007961B8"/>
    <w:rsid w:val="00797624"/>
    <w:rsid w:val="007A4828"/>
    <w:rsid w:val="007B093D"/>
    <w:rsid w:val="007B2069"/>
    <w:rsid w:val="007C04A1"/>
    <w:rsid w:val="007C21FA"/>
    <w:rsid w:val="007C226A"/>
    <w:rsid w:val="007D13B1"/>
    <w:rsid w:val="007D4351"/>
    <w:rsid w:val="007D650B"/>
    <w:rsid w:val="007D7019"/>
    <w:rsid w:val="007E18DB"/>
    <w:rsid w:val="007E6F1C"/>
    <w:rsid w:val="007F5DA9"/>
    <w:rsid w:val="0080335D"/>
    <w:rsid w:val="00804C69"/>
    <w:rsid w:val="0080711D"/>
    <w:rsid w:val="008155CD"/>
    <w:rsid w:val="00833325"/>
    <w:rsid w:val="00840A41"/>
    <w:rsid w:val="00842F3C"/>
    <w:rsid w:val="008505D1"/>
    <w:rsid w:val="00855158"/>
    <w:rsid w:val="008579CB"/>
    <w:rsid w:val="00857EE8"/>
    <w:rsid w:val="0086464B"/>
    <w:rsid w:val="008647FC"/>
    <w:rsid w:val="00864CA8"/>
    <w:rsid w:val="00865E2D"/>
    <w:rsid w:val="00870E6C"/>
    <w:rsid w:val="00873B33"/>
    <w:rsid w:val="00875846"/>
    <w:rsid w:val="00884486"/>
    <w:rsid w:val="008871A9"/>
    <w:rsid w:val="008916BA"/>
    <w:rsid w:val="00892176"/>
    <w:rsid w:val="008A1DB7"/>
    <w:rsid w:val="008A403A"/>
    <w:rsid w:val="008A4C13"/>
    <w:rsid w:val="008B264B"/>
    <w:rsid w:val="008B604D"/>
    <w:rsid w:val="008C54A9"/>
    <w:rsid w:val="008E4184"/>
    <w:rsid w:val="008E67C3"/>
    <w:rsid w:val="008F589F"/>
    <w:rsid w:val="008F76A9"/>
    <w:rsid w:val="008F7E67"/>
    <w:rsid w:val="00900DBF"/>
    <w:rsid w:val="009048B9"/>
    <w:rsid w:val="00904E91"/>
    <w:rsid w:val="0091325F"/>
    <w:rsid w:val="00915886"/>
    <w:rsid w:val="009214DC"/>
    <w:rsid w:val="00927027"/>
    <w:rsid w:val="009344BA"/>
    <w:rsid w:val="00942A66"/>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2DA"/>
    <w:rsid w:val="009C0852"/>
    <w:rsid w:val="009C0C7C"/>
    <w:rsid w:val="009C13CA"/>
    <w:rsid w:val="009C32C6"/>
    <w:rsid w:val="009C665F"/>
    <w:rsid w:val="009D3204"/>
    <w:rsid w:val="009D7E38"/>
    <w:rsid w:val="009E095B"/>
    <w:rsid w:val="009E1846"/>
    <w:rsid w:val="009E78FF"/>
    <w:rsid w:val="00A01494"/>
    <w:rsid w:val="00A021CF"/>
    <w:rsid w:val="00A02FD1"/>
    <w:rsid w:val="00A06FF2"/>
    <w:rsid w:val="00A22FA9"/>
    <w:rsid w:val="00A25024"/>
    <w:rsid w:val="00A26137"/>
    <w:rsid w:val="00A335A2"/>
    <w:rsid w:val="00A35F8F"/>
    <w:rsid w:val="00A40110"/>
    <w:rsid w:val="00A41377"/>
    <w:rsid w:val="00A4263D"/>
    <w:rsid w:val="00A509B8"/>
    <w:rsid w:val="00A52AB9"/>
    <w:rsid w:val="00A6210B"/>
    <w:rsid w:val="00A64EBF"/>
    <w:rsid w:val="00A71200"/>
    <w:rsid w:val="00A7323A"/>
    <w:rsid w:val="00A831B4"/>
    <w:rsid w:val="00A92E52"/>
    <w:rsid w:val="00A97798"/>
    <w:rsid w:val="00AA3124"/>
    <w:rsid w:val="00AA5213"/>
    <w:rsid w:val="00AA65A6"/>
    <w:rsid w:val="00AB6C5F"/>
    <w:rsid w:val="00AB7A8D"/>
    <w:rsid w:val="00AC1D8E"/>
    <w:rsid w:val="00AC48FA"/>
    <w:rsid w:val="00AC62C2"/>
    <w:rsid w:val="00AD0240"/>
    <w:rsid w:val="00AD4137"/>
    <w:rsid w:val="00B037BA"/>
    <w:rsid w:val="00B13CA9"/>
    <w:rsid w:val="00B20139"/>
    <w:rsid w:val="00B218DA"/>
    <w:rsid w:val="00B342FA"/>
    <w:rsid w:val="00B40FF3"/>
    <w:rsid w:val="00B53E8B"/>
    <w:rsid w:val="00B71DE4"/>
    <w:rsid w:val="00B774D2"/>
    <w:rsid w:val="00B8015A"/>
    <w:rsid w:val="00B82A57"/>
    <w:rsid w:val="00BA053B"/>
    <w:rsid w:val="00BB35AE"/>
    <w:rsid w:val="00BC03A1"/>
    <w:rsid w:val="00BC0D25"/>
    <w:rsid w:val="00BC2184"/>
    <w:rsid w:val="00BC3A06"/>
    <w:rsid w:val="00BC782B"/>
    <w:rsid w:val="00BD2505"/>
    <w:rsid w:val="00BD3682"/>
    <w:rsid w:val="00BE592D"/>
    <w:rsid w:val="00BF52B0"/>
    <w:rsid w:val="00BF5697"/>
    <w:rsid w:val="00C029C4"/>
    <w:rsid w:val="00C109BB"/>
    <w:rsid w:val="00C113B6"/>
    <w:rsid w:val="00C14CCC"/>
    <w:rsid w:val="00C1695E"/>
    <w:rsid w:val="00C22C1C"/>
    <w:rsid w:val="00C33F2E"/>
    <w:rsid w:val="00C34936"/>
    <w:rsid w:val="00C34C14"/>
    <w:rsid w:val="00C355B9"/>
    <w:rsid w:val="00C401C4"/>
    <w:rsid w:val="00C41680"/>
    <w:rsid w:val="00C60A25"/>
    <w:rsid w:val="00C763EA"/>
    <w:rsid w:val="00C765C5"/>
    <w:rsid w:val="00C82479"/>
    <w:rsid w:val="00C84231"/>
    <w:rsid w:val="00C867F0"/>
    <w:rsid w:val="00CA06D8"/>
    <w:rsid w:val="00CA345A"/>
    <w:rsid w:val="00CA3917"/>
    <w:rsid w:val="00CB49FF"/>
    <w:rsid w:val="00CC02CF"/>
    <w:rsid w:val="00CC086A"/>
    <w:rsid w:val="00CD0F66"/>
    <w:rsid w:val="00CD364B"/>
    <w:rsid w:val="00CE23B8"/>
    <w:rsid w:val="00CE50D7"/>
    <w:rsid w:val="00CF2A3E"/>
    <w:rsid w:val="00CF4CBE"/>
    <w:rsid w:val="00D00344"/>
    <w:rsid w:val="00D1754D"/>
    <w:rsid w:val="00D2223F"/>
    <w:rsid w:val="00D266D4"/>
    <w:rsid w:val="00D274A4"/>
    <w:rsid w:val="00D277AF"/>
    <w:rsid w:val="00D31163"/>
    <w:rsid w:val="00D320B1"/>
    <w:rsid w:val="00D33AFD"/>
    <w:rsid w:val="00D36489"/>
    <w:rsid w:val="00D42195"/>
    <w:rsid w:val="00D436BD"/>
    <w:rsid w:val="00D50704"/>
    <w:rsid w:val="00D5760A"/>
    <w:rsid w:val="00D61410"/>
    <w:rsid w:val="00D7455F"/>
    <w:rsid w:val="00D80586"/>
    <w:rsid w:val="00D8181D"/>
    <w:rsid w:val="00D968D8"/>
    <w:rsid w:val="00DA563D"/>
    <w:rsid w:val="00DA7277"/>
    <w:rsid w:val="00DB3627"/>
    <w:rsid w:val="00DB4724"/>
    <w:rsid w:val="00DB6944"/>
    <w:rsid w:val="00DC4746"/>
    <w:rsid w:val="00DD2D18"/>
    <w:rsid w:val="00DE7149"/>
    <w:rsid w:val="00E0233F"/>
    <w:rsid w:val="00E0314C"/>
    <w:rsid w:val="00E10372"/>
    <w:rsid w:val="00E1508F"/>
    <w:rsid w:val="00E21050"/>
    <w:rsid w:val="00E219CB"/>
    <w:rsid w:val="00E261DF"/>
    <w:rsid w:val="00E27240"/>
    <w:rsid w:val="00E27EDD"/>
    <w:rsid w:val="00E30584"/>
    <w:rsid w:val="00E310B9"/>
    <w:rsid w:val="00E37E1B"/>
    <w:rsid w:val="00E4620A"/>
    <w:rsid w:val="00E46C50"/>
    <w:rsid w:val="00E562C0"/>
    <w:rsid w:val="00E64441"/>
    <w:rsid w:val="00E672D6"/>
    <w:rsid w:val="00E74ECA"/>
    <w:rsid w:val="00E758AB"/>
    <w:rsid w:val="00E76024"/>
    <w:rsid w:val="00E856A2"/>
    <w:rsid w:val="00E9445D"/>
    <w:rsid w:val="00E967AD"/>
    <w:rsid w:val="00E96884"/>
    <w:rsid w:val="00EA5435"/>
    <w:rsid w:val="00EA5F47"/>
    <w:rsid w:val="00EB455E"/>
    <w:rsid w:val="00EC1A08"/>
    <w:rsid w:val="00EC79DE"/>
    <w:rsid w:val="00ED1F76"/>
    <w:rsid w:val="00ED3576"/>
    <w:rsid w:val="00ED4ACE"/>
    <w:rsid w:val="00EE2C01"/>
    <w:rsid w:val="00EE4D35"/>
    <w:rsid w:val="00EF2DA7"/>
    <w:rsid w:val="00F15BFA"/>
    <w:rsid w:val="00F33DE6"/>
    <w:rsid w:val="00F435AA"/>
    <w:rsid w:val="00F453A1"/>
    <w:rsid w:val="00F5738A"/>
    <w:rsid w:val="00F612D4"/>
    <w:rsid w:val="00F63360"/>
    <w:rsid w:val="00F77F1D"/>
    <w:rsid w:val="00F87CCB"/>
    <w:rsid w:val="00FA48C7"/>
    <w:rsid w:val="00FB36C9"/>
    <w:rsid w:val="00FB51FB"/>
    <w:rsid w:val="00FB73C1"/>
    <w:rsid w:val="00FD237C"/>
    <w:rsid w:val="00FF5F32"/>
    <w:rsid w:val="00FF6ED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501"/>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and.org/pubs/technical_reports/TR653"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medicare.gov/data/hospital-compa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qualitynet.org/dcs/ContentServer?c=Page&amp;pagename=QnetPublic%2FPage%2FQnetTier2&amp;cid=122876820529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C90121"/>
    <w:rsid w:val="00021F89"/>
    <w:rsid w:val="00127222"/>
    <w:rsid w:val="001503DF"/>
    <w:rsid w:val="001736D7"/>
    <w:rsid w:val="00190AF4"/>
    <w:rsid w:val="00223FA3"/>
    <w:rsid w:val="002A288F"/>
    <w:rsid w:val="002A43AF"/>
    <w:rsid w:val="002C65A7"/>
    <w:rsid w:val="002D5B08"/>
    <w:rsid w:val="002F052A"/>
    <w:rsid w:val="002F7FD6"/>
    <w:rsid w:val="00350176"/>
    <w:rsid w:val="003548EE"/>
    <w:rsid w:val="003840F0"/>
    <w:rsid w:val="00437537"/>
    <w:rsid w:val="004409FD"/>
    <w:rsid w:val="00441759"/>
    <w:rsid w:val="00482278"/>
    <w:rsid w:val="004D785E"/>
    <w:rsid w:val="00520DB1"/>
    <w:rsid w:val="0053654E"/>
    <w:rsid w:val="00632A7E"/>
    <w:rsid w:val="00632AB6"/>
    <w:rsid w:val="006B69BA"/>
    <w:rsid w:val="00730B33"/>
    <w:rsid w:val="00772B2A"/>
    <w:rsid w:val="007C059B"/>
    <w:rsid w:val="007C672A"/>
    <w:rsid w:val="007D4368"/>
    <w:rsid w:val="00822666"/>
    <w:rsid w:val="00823ECC"/>
    <w:rsid w:val="00826796"/>
    <w:rsid w:val="00866C97"/>
    <w:rsid w:val="009017AE"/>
    <w:rsid w:val="009B4033"/>
    <w:rsid w:val="009C542D"/>
    <w:rsid w:val="00A95183"/>
    <w:rsid w:val="00AB4AF7"/>
    <w:rsid w:val="00AD7C4F"/>
    <w:rsid w:val="00B445F5"/>
    <w:rsid w:val="00BD40CB"/>
    <w:rsid w:val="00C362A2"/>
    <w:rsid w:val="00C90121"/>
    <w:rsid w:val="00CA344F"/>
    <w:rsid w:val="00CE5914"/>
    <w:rsid w:val="00D1676E"/>
    <w:rsid w:val="00D6781F"/>
    <w:rsid w:val="00D9205A"/>
    <w:rsid w:val="00DC0246"/>
    <w:rsid w:val="00E6518A"/>
    <w:rsid w:val="00E77429"/>
    <w:rsid w:val="00F540AB"/>
    <w:rsid w:val="00F915BA"/>
    <w:rsid w:val="00FF1A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8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ADE4D4E925EE44A48BA97C226E724D" ma:contentTypeVersion="0" ma:contentTypeDescription="Create a new document." ma:contentTypeScope="" ma:versionID="33b2859d5b62e3b917c6e10e72ad07a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EE93420-F1CC-45FF-96B2-6EFC1D942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7C80154A-261C-406B-B35C-7173ACEA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6511</Words>
  <Characters>37117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BDIckerson</cp:lastModifiedBy>
  <cp:revision>3</cp:revision>
  <cp:lastPrinted>2016-06-16T15:55:00Z</cp:lastPrinted>
  <dcterms:created xsi:type="dcterms:W3CDTF">2016-06-30T15:58:00Z</dcterms:created>
  <dcterms:modified xsi:type="dcterms:W3CDTF">2016-06-30T15:58:00Z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0x0101008BADE4D4E925EE44A48BA97C226E724D</vt:lpwstr>
  </property>
</Properties>
</file>