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6FF3FA8C"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7030A0"/>
          </w:rPr>
        </w:sdtEndPr>
        <w:sdtContent>
          <w:r w:rsidR="00CE75B8" w:rsidRPr="00FB41B1">
            <w:rPr>
              <w:rStyle w:val="Style1"/>
              <w:color w:val="7030A0"/>
            </w:rPr>
            <w:t>1893</w:t>
          </w:r>
        </w:sdtContent>
      </w:sdt>
    </w:p>
    <w:p w14:paraId="55B8DA2F" w14:textId="4B2C14EF"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2025901070"/>
              <w:placeholder>
                <w:docPart w:val="85DC01B702F84877A40DD7D88A2BEE33"/>
              </w:placeholder>
            </w:sdtPr>
            <w:sdtEndPr>
              <w:rPr>
                <w:rStyle w:val="DefaultParagraphFont"/>
                <w:noProof/>
                <w:color w:val="auto"/>
              </w:rPr>
            </w:sdtEndPr>
            <w:sdtContent>
              <w:r w:rsidR="00CE75B8" w:rsidRPr="00FB41B1">
                <w:rPr>
                  <w:color w:val="7030A0"/>
                </w:rPr>
                <w:t>Hospital 30-day, all-cause, risk-standardized mortality rate (RSMR) following chronic obstructive pulmonary disease (COPD) hospitalization</w:t>
              </w:r>
            </w:sdtContent>
          </w:sdt>
        </w:sdtContent>
      </w:sdt>
    </w:p>
    <w:p w14:paraId="55B8DA30" w14:textId="07FA277F"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00CE75B8" w:rsidRPr="003B1CC5">
            <w:rPr>
              <w:rStyle w:val="PlaceholderText"/>
              <w:rFonts w:cstheme="minorHAnsi"/>
              <w:color w:val="A6A6A6" w:themeColor="background1" w:themeShade="A6"/>
            </w:rPr>
            <w:t>Click here to enter composite measure #/ title</w:t>
          </w:r>
        </w:sdtContent>
      </w:sdt>
    </w:p>
    <w:p w14:paraId="55B8DA31" w14:textId="58476F01"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20-11-02T00:00:00Z">
            <w:dateFormat w:val="M/d/yyyy"/>
            <w:lid w:val="en-US"/>
            <w:storeMappedDataAs w:val="dateTime"/>
            <w:calendar w:val="gregorian"/>
          </w:date>
        </w:sdtPr>
        <w:sdtEndPr>
          <w:rPr>
            <w:rStyle w:val="DefaultParagraphFont"/>
            <w:noProof/>
            <w:color w:val="auto"/>
            <w:u w:val="none"/>
          </w:rPr>
        </w:sdtEndPr>
        <w:sdtContent>
          <w:r w:rsidR="00CE75B8">
            <w:rPr>
              <w:rStyle w:val="Style2"/>
            </w:rPr>
            <w:t>11/2/2020</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193C2117" w:rsidR="00496AF8" w:rsidRPr="003B1CC5" w:rsidRDefault="00DD1AB0"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573A3A">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sdt>
            <w:sdtPr>
              <w:rPr>
                <w:rStyle w:val="Style1"/>
              </w:rPr>
              <w:id w:val="-544297567"/>
              <w:placeholder>
                <w:docPart w:val="FD92DEBA0F574F888E8F14101E12882D"/>
              </w:placeholder>
            </w:sdtPr>
            <w:sdtEndPr>
              <w:rPr>
                <w:rStyle w:val="DefaultParagraphFont"/>
                <w:noProof/>
                <w:color w:val="auto"/>
              </w:rPr>
            </w:sdtEndPr>
            <w:sdtContent>
              <w:r w:rsidR="00CE75B8" w:rsidRPr="00FB41B1">
                <w:rPr>
                  <w:color w:val="7030A0"/>
                </w:rPr>
                <w:t>Hospital 30-day, all-cause, risk-standardized mortality rate (RSMR) following chronic obstructive pulmonary disease (COPD) hospitalization</w:t>
              </w:r>
            </w:sdtContent>
          </w:sdt>
        </w:sdtContent>
      </w:sdt>
    </w:p>
    <w:p w14:paraId="55B8DA52" w14:textId="77777777" w:rsidR="00236F87" w:rsidRPr="003B1CC5" w:rsidRDefault="00DD1AB0"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DD1AB0"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DD1AB0"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DD1AB0"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DD1AB0"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D6B7D44" w:rsidR="002B06BD" w:rsidRDefault="00676BD4" w:rsidP="00FB41B1">
      <w:pPr>
        <w:spacing w:after="240"/>
        <w:ind w:left="432" w:hanging="432"/>
        <w:rPr>
          <w:iCs/>
        </w:rPr>
      </w:pPr>
      <w:r>
        <w:rPr>
          <w:b/>
          <w:bCs/>
          <w:color w:val="0000FF"/>
        </w:rPr>
        <w:t>1a.</w:t>
      </w:r>
      <w:r w:rsidR="00C41794">
        <w:rPr>
          <w:b/>
          <w:bCs/>
          <w:color w:val="0000FF"/>
        </w:rPr>
        <w:t>2</w:t>
      </w:r>
      <w:r w:rsidR="002B06BD" w:rsidRPr="003B1CC5">
        <w:rPr>
          <w:bCs/>
        </w:rPr>
        <w:t xml:space="preserve"> </w:t>
      </w:r>
      <w:r w:rsidRPr="00FB41B1">
        <w:rPr>
          <w:b/>
          <w:bCs/>
        </w:rPr>
        <w:t>LOGIC MODEL</w:t>
      </w:r>
      <w:r w:rsidRPr="00FB41B1">
        <w:rPr>
          <w:bCs/>
        </w:rPr>
        <w:t xml:space="preserve"> </w:t>
      </w:r>
      <w:r w:rsidRPr="00FB41B1">
        <w:rPr>
          <w:iCs/>
        </w:rPr>
        <w:t>Diagram or briefly describe</w:t>
      </w:r>
      <w:r w:rsidR="002B06BD" w:rsidRPr="00FB41B1">
        <w:rPr>
          <w:iCs/>
        </w:rPr>
        <w:t xml:space="preserve"> the </w:t>
      </w:r>
      <w:r w:rsidRPr="00FB41B1">
        <w:rPr>
          <w:iCs/>
        </w:rPr>
        <w:t>steps</w:t>
      </w:r>
      <w:r w:rsidR="00236F87" w:rsidRPr="00FB41B1">
        <w:rPr>
          <w:iCs/>
        </w:rPr>
        <w:t xml:space="preserve"> </w:t>
      </w:r>
      <w:r w:rsidR="002B06BD" w:rsidRPr="00FB41B1">
        <w:rPr>
          <w:iCs/>
        </w:rPr>
        <w:t xml:space="preserve">between </w:t>
      </w:r>
      <w:r w:rsidR="00CB06C9" w:rsidRPr="00FB41B1">
        <w:rPr>
          <w:iCs/>
        </w:rPr>
        <w:t>the</w:t>
      </w:r>
      <w:r w:rsidR="002B06BD" w:rsidRPr="00FB41B1">
        <w:rPr>
          <w:iCs/>
        </w:rPr>
        <w:t xml:space="preserve"> healthcare structure</w:t>
      </w:r>
      <w:r w:rsidR="00CB06C9" w:rsidRPr="00FB41B1">
        <w:rPr>
          <w:iCs/>
        </w:rPr>
        <w:t>s</w:t>
      </w:r>
      <w:r w:rsidR="00F90F82" w:rsidRPr="00FB41B1">
        <w:rPr>
          <w:iCs/>
        </w:rPr>
        <w:t xml:space="preserve"> and</w:t>
      </w:r>
      <w:r w:rsidR="002B06BD" w:rsidRPr="00FB41B1">
        <w:rPr>
          <w:iCs/>
        </w:rPr>
        <w:t xml:space="preserve"> process</w:t>
      </w:r>
      <w:r w:rsidR="00CB06C9" w:rsidRPr="00FB41B1">
        <w:rPr>
          <w:iCs/>
        </w:rPr>
        <w:t>es</w:t>
      </w:r>
      <w:r w:rsidRPr="00FB41B1">
        <w:rPr>
          <w:iCs/>
        </w:rPr>
        <w:t xml:space="preserve"> (e.g.,</w:t>
      </w:r>
      <w:r w:rsidR="002B06BD" w:rsidRPr="00FB41B1">
        <w:rPr>
          <w:iCs/>
        </w:rPr>
        <w:t xml:space="preserve"> intervention</w:t>
      </w:r>
      <w:r w:rsidR="00CB06C9" w:rsidRPr="00FB41B1">
        <w:rPr>
          <w:iCs/>
        </w:rPr>
        <w:t>s</w:t>
      </w:r>
      <w:r w:rsidR="002B06BD" w:rsidRPr="00FB41B1">
        <w:rPr>
          <w:iCs/>
        </w:rPr>
        <w:t>, or service</w:t>
      </w:r>
      <w:r w:rsidR="00CB06C9" w:rsidRPr="00FB41B1">
        <w:rPr>
          <w:iCs/>
        </w:rPr>
        <w:t>s</w:t>
      </w:r>
      <w:r w:rsidRPr="00FB41B1">
        <w:rPr>
          <w:iCs/>
        </w:rPr>
        <w:t>)</w:t>
      </w:r>
      <w:r w:rsidR="00CB06C9" w:rsidRPr="00FB41B1">
        <w:rPr>
          <w:iCs/>
        </w:rPr>
        <w:t xml:space="preserve"> </w:t>
      </w:r>
      <w:r w:rsidRPr="00FB41B1">
        <w:rPr>
          <w:iCs/>
        </w:rPr>
        <w:t>and the patient’s health outcome</w:t>
      </w:r>
      <w:r w:rsidR="00F90F82" w:rsidRPr="00FB41B1">
        <w:rPr>
          <w:iCs/>
        </w:rPr>
        <w:t>(s)</w:t>
      </w:r>
      <w:r w:rsidRPr="00FB41B1">
        <w:rPr>
          <w:iCs/>
        </w:rPr>
        <w:t xml:space="preserve">. The relationships in the diagram should be easily understood by general, non-technical audiences. Indicate the </w:t>
      </w:r>
      <w:r w:rsidR="00F90F82" w:rsidRPr="00FB41B1">
        <w:rPr>
          <w:iCs/>
        </w:rPr>
        <w:t xml:space="preserve">structure, </w:t>
      </w:r>
      <w:r w:rsidRPr="00FB41B1">
        <w:rPr>
          <w:iCs/>
        </w:rPr>
        <w:t>process or outcome being measured.</w:t>
      </w:r>
    </w:p>
    <w:p w14:paraId="4FB19602" w14:textId="1D7ADBE0" w:rsidR="00DD1AB0" w:rsidRPr="00DD1AB0" w:rsidRDefault="00DD1AB0" w:rsidP="00FB41B1">
      <w:pPr>
        <w:spacing w:after="240"/>
        <w:ind w:left="432" w:hanging="432"/>
        <w:rPr>
          <w:iCs/>
          <w:color w:val="C00000"/>
        </w:rPr>
      </w:pPr>
      <w:r w:rsidRPr="00DD1AB0">
        <w:rPr>
          <w:bCs/>
          <w:color w:val="C00000"/>
        </w:rPr>
        <w:t>Figure 1. COPD Mortality Logic Model</w:t>
      </w:r>
    </w:p>
    <w:p w14:paraId="55FA6405" w14:textId="77777777" w:rsidR="00FB41B1" w:rsidRDefault="00FB41B1" w:rsidP="00FB41B1">
      <w:pPr>
        <w:spacing w:after="240"/>
        <w:ind w:left="432" w:hanging="432"/>
      </w:pPr>
      <w:r>
        <w:object w:dxaOrig="12711" w:dyaOrig="5391" w14:anchorId="50C64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98pt" o:ole="">
            <v:imagedata r:id="rId16" o:title=""/>
          </v:shape>
          <o:OLEObject Type="Embed" ProgID="Visio.Drawing.15" ShapeID="_x0000_i1025" DrawAspect="Content" ObjectID="_1655197861" r:id="rId17"/>
        </w:object>
      </w:r>
    </w:p>
    <w:p w14:paraId="1E9DC75A" w14:textId="26D3B0F2" w:rsidR="00FB41B1" w:rsidRDefault="00921596" w:rsidP="00921596">
      <w:pPr>
        <w:spacing w:after="240"/>
        <w:ind w:left="0" w:right="140" w:firstLine="0"/>
        <w:rPr>
          <w:b/>
          <w:bCs/>
          <w:color w:val="0000FF"/>
        </w:rPr>
      </w:pPr>
      <w:r w:rsidRPr="00921596">
        <w:rPr>
          <w:color w:val="7030A0"/>
        </w:rPr>
        <w:t>The goal of this measure is to directly affect patient outcomes by measuring risk-standardized rates of mortality. Measurement of patient outcomes, including mortality, allows for a broad view of quality of care that encompasses more than what can be captured by individual process-of-care measures. As described below, mortality is likely to be influenced by a broad range of clinical activities such as the prevention of complications and the provision of evidenced-based care.</w:t>
      </w:r>
    </w:p>
    <w:p w14:paraId="33C7741B" w14:textId="58E171DB" w:rsidR="004922E4" w:rsidRDefault="004922E4" w:rsidP="004922E4">
      <w:pPr>
        <w:ind w:right="140"/>
        <w:rPr>
          <w:iCs/>
        </w:rPr>
      </w:pPr>
      <w:r>
        <w:rPr>
          <w:b/>
          <w:bCs/>
          <w:color w:val="0000FF"/>
        </w:rPr>
        <w:lastRenderedPageBreak/>
        <w:t>1a.3</w:t>
      </w:r>
      <w:r w:rsidRPr="003B1CC5">
        <w:rPr>
          <w:bCs/>
        </w:rPr>
        <w:t xml:space="preserve"> </w:t>
      </w:r>
      <w:r w:rsidRPr="00FB41B1">
        <w:rPr>
          <w:b/>
          <w:bCs/>
        </w:rPr>
        <w:t xml:space="preserve">Value and Meaningfulness:  </w:t>
      </w:r>
      <w:r w:rsidRPr="00FB41B1">
        <w:rPr>
          <w:bCs/>
        </w:rPr>
        <w:t xml:space="preserve"> </w:t>
      </w:r>
      <w:r w:rsidRPr="00FB41B1">
        <w:rPr>
          <w:b/>
          <w:iCs/>
        </w:rPr>
        <w:t xml:space="preserve">IF </w:t>
      </w:r>
      <w:r w:rsidRPr="00FB41B1">
        <w:rPr>
          <w:iCs/>
        </w:rPr>
        <w:t xml:space="preserve">this measure is derived from patient report, provide evidence that the target population values the measured </w:t>
      </w:r>
      <w:r w:rsidRPr="00FB41B1">
        <w:rPr>
          <w:b/>
          <w:i/>
          <w:iCs/>
        </w:rPr>
        <w:t>outcome, process, or structure</w:t>
      </w:r>
      <w:r w:rsidRPr="00FB41B1">
        <w:rPr>
          <w:iCs/>
        </w:rPr>
        <w:t xml:space="preserve"> and finds it meaningful. (Describe how and from whom their input was obtained.)</w:t>
      </w:r>
    </w:p>
    <w:p w14:paraId="5BD9D59E" w14:textId="4EE5004A" w:rsidR="00FB41B1" w:rsidRPr="004922E4" w:rsidRDefault="00FB41B1" w:rsidP="00FB41B1">
      <w:pPr>
        <w:spacing w:before="120" w:after="120"/>
        <w:ind w:right="140"/>
        <w:rPr>
          <w:b/>
          <w:iCs/>
        </w:rPr>
      </w:pPr>
      <w:r w:rsidRPr="00D4798B">
        <w:rPr>
          <w:iCs/>
          <w:color w:val="7030A0"/>
        </w:rPr>
        <w:t>N/A. This measure is not an intermediate outcome, process, or structure performance measure.</w:t>
      </w: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42FB175D" w14:textId="77777777" w:rsidR="002C78FC" w:rsidRDefault="00B058A6" w:rsidP="002C78FC">
      <w:pPr>
        <w:ind w:left="432" w:hanging="432"/>
        <w:rPr>
          <w:b/>
        </w:rPr>
      </w:pPr>
      <w:r w:rsidRPr="00FB41B1">
        <w:rPr>
          <w:b/>
          <w:color w:val="0000FF"/>
        </w:rPr>
        <w:t>1</w:t>
      </w:r>
      <w:r w:rsidR="00773485" w:rsidRPr="00FB41B1">
        <w:rPr>
          <w:b/>
          <w:color w:val="0000FF"/>
        </w:rPr>
        <w:t>a</w:t>
      </w:r>
      <w:r w:rsidRPr="00FB41B1">
        <w:rPr>
          <w:b/>
          <w:color w:val="0000FF"/>
        </w:rPr>
        <w:t>.2</w:t>
      </w:r>
      <w:r w:rsidR="00E41417" w:rsidRPr="00FB41B1">
        <w:rPr>
          <w:iCs/>
        </w:rPr>
        <w:t xml:space="preserve"> </w:t>
      </w:r>
      <w:r w:rsidR="00C41794" w:rsidRPr="00FB41B1">
        <w:rPr>
          <w:b/>
        </w:rPr>
        <w:t>FOR OUTCOME MEASURES including PATIENT REPORTED OUTCOMES</w:t>
      </w:r>
      <w:r w:rsidR="003D6721" w:rsidRPr="00FB41B1">
        <w:rPr>
          <w:b/>
        </w:rPr>
        <w:t xml:space="preserve"> </w:t>
      </w:r>
      <w:r w:rsidR="00C41794" w:rsidRPr="00FB41B1">
        <w:rPr>
          <w:b/>
        </w:rPr>
        <w:t>-</w:t>
      </w:r>
      <w:r w:rsidR="00C41794" w:rsidRPr="00FB41B1">
        <w:rPr>
          <w:b/>
          <w:iCs/>
        </w:rPr>
        <w:t xml:space="preserve"> </w:t>
      </w:r>
      <w:r w:rsidR="003D6721" w:rsidRPr="00FB41B1">
        <w:rPr>
          <w:b/>
          <w:iCs/>
        </w:rPr>
        <w:t xml:space="preserve">Provide empirical data demonstrating </w:t>
      </w:r>
      <w:r w:rsidR="008B51D9" w:rsidRPr="00FB41B1">
        <w:rPr>
          <w:b/>
          <w:iCs/>
        </w:rPr>
        <w:t xml:space="preserve">the </w:t>
      </w:r>
      <w:r w:rsidR="005D25E9" w:rsidRPr="00FB41B1">
        <w:rPr>
          <w:b/>
          <w:iCs/>
        </w:rPr>
        <w:t xml:space="preserve">relationship </w:t>
      </w:r>
      <w:r w:rsidR="00AC1E53" w:rsidRPr="00FB41B1">
        <w:rPr>
          <w:b/>
          <w:iCs/>
        </w:rPr>
        <w:t>between</w:t>
      </w:r>
      <w:r w:rsidR="005D25E9" w:rsidRPr="00FB41B1">
        <w:rPr>
          <w:b/>
          <w:iCs/>
        </w:rPr>
        <w:t xml:space="preserve"> the </w:t>
      </w:r>
      <w:r w:rsidR="008B51D9" w:rsidRPr="00FB41B1">
        <w:rPr>
          <w:b/>
          <w:iCs/>
        </w:rPr>
        <w:t>outcome</w:t>
      </w:r>
      <w:r w:rsidR="005857F8" w:rsidRPr="00FB41B1">
        <w:rPr>
          <w:b/>
          <w:iCs/>
        </w:rPr>
        <w:t xml:space="preserve"> </w:t>
      </w:r>
      <w:r w:rsidR="00AA5587" w:rsidRPr="00FB41B1">
        <w:rPr>
          <w:b/>
          <w:iCs/>
        </w:rPr>
        <w:t>(</w:t>
      </w:r>
      <w:r w:rsidR="005857F8" w:rsidRPr="00FB41B1">
        <w:rPr>
          <w:b/>
          <w:iCs/>
        </w:rPr>
        <w:t>or PRO</w:t>
      </w:r>
      <w:r w:rsidR="00AA5587" w:rsidRPr="00FB41B1">
        <w:rPr>
          <w:b/>
          <w:iCs/>
        </w:rPr>
        <w:t>)</w:t>
      </w:r>
      <w:r w:rsidR="008B51D9" w:rsidRPr="00FB41B1">
        <w:rPr>
          <w:b/>
          <w:iCs/>
        </w:rPr>
        <w:t xml:space="preserve"> </w:t>
      </w:r>
      <w:r w:rsidR="005D25E9" w:rsidRPr="00FB41B1">
        <w:rPr>
          <w:b/>
          <w:iCs/>
        </w:rPr>
        <w:t>to</w:t>
      </w:r>
      <w:r w:rsidR="00236F87" w:rsidRPr="00FB41B1">
        <w:rPr>
          <w:b/>
          <w:iCs/>
        </w:rPr>
        <w:t xml:space="preserve"> </w:t>
      </w:r>
      <w:r w:rsidR="00496AF8" w:rsidRPr="00FB41B1">
        <w:rPr>
          <w:b/>
          <w:iCs/>
        </w:rPr>
        <w:t>at least one</w:t>
      </w:r>
      <w:r w:rsidR="009B5BEA" w:rsidRPr="00FB41B1">
        <w:rPr>
          <w:b/>
          <w:iCs/>
        </w:rPr>
        <w:t xml:space="preserve"> </w:t>
      </w:r>
      <w:r w:rsidR="003D6721" w:rsidRPr="00FB41B1">
        <w:rPr>
          <w:b/>
          <w:iCs/>
        </w:rPr>
        <w:t xml:space="preserve">healthcare structure, process, </w:t>
      </w:r>
      <w:r w:rsidR="00496AF8" w:rsidRPr="00FB41B1">
        <w:rPr>
          <w:b/>
          <w:iCs/>
        </w:rPr>
        <w:t>intervention, or service</w:t>
      </w:r>
      <w:r w:rsidR="00676BD4" w:rsidRPr="00FB41B1">
        <w:rPr>
          <w:b/>
          <w:iCs/>
        </w:rPr>
        <w:t>.</w:t>
      </w:r>
      <w:r w:rsidR="00AC1E53">
        <w:rPr>
          <w:b/>
          <w:iCs/>
        </w:rPr>
        <w:t xml:space="preserve"> </w:t>
      </w:r>
    </w:p>
    <w:p w14:paraId="7EC9C43A" w14:textId="55F8E6C2" w:rsidR="002C78FC" w:rsidRDefault="00CE75B8" w:rsidP="002C78FC">
      <w:pPr>
        <w:spacing w:before="120" w:after="120"/>
        <w:ind w:left="0" w:firstLine="0"/>
        <w:rPr>
          <w:b/>
        </w:rPr>
      </w:pPr>
      <w:r w:rsidRPr="002C78FC">
        <w:rPr>
          <w:bCs/>
          <w:iCs/>
          <w:color w:val="7030A0"/>
        </w:rPr>
        <w:t xml:space="preserve">COPD is a priority condition for outcomes measure development because it is a leading cause of morbidity and mortality. </w:t>
      </w:r>
      <w:r w:rsidR="007B4887" w:rsidRPr="007B4887">
        <w:rPr>
          <w:bCs/>
          <w:iCs/>
          <w:color w:val="C00000"/>
        </w:rPr>
        <w:t>Although overall COPD prevalence has declined over the last decade (Biener et al., 2019),</w:t>
      </w:r>
      <w:r w:rsidR="007B4887">
        <w:rPr>
          <w:bCs/>
          <w:iCs/>
          <w:color w:val="7030A0"/>
        </w:rPr>
        <w:t xml:space="preserve"> </w:t>
      </w:r>
      <w:r w:rsidRPr="007B4887">
        <w:rPr>
          <w:bCs/>
          <w:iCs/>
          <w:color w:val="C00000"/>
        </w:rPr>
        <w:t xml:space="preserve">COPD </w:t>
      </w:r>
      <w:r w:rsidR="007B4887" w:rsidRPr="007B4887">
        <w:rPr>
          <w:bCs/>
          <w:iCs/>
          <w:color w:val="C00000"/>
        </w:rPr>
        <w:t>continues to affect tens of millions of</w:t>
      </w:r>
      <w:r w:rsidRPr="007B4887">
        <w:rPr>
          <w:bCs/>
          <w:iCs/>
          <w:color w:val="C00000"/>
        </w:rPr>
        <w:t xml:space="preserve"> individuals in the United </w:t>
      </w:r>
      <w:r w:rsidR="007B4887" w:rsidRPr="007B4887">
        <w:rPr>
          <w:bCs/>
          <w:iCs/>
          <w:color w:val="C00000"/>
        </w:rPr>
        <w:t>States and is the nation’s fourth</w:t>
      </w:r>
      <w:r w:rsidRPr="007B4887">
        <w:rPr>
          <w:bCs/>
          <w:iCs/>
          <w:color w:val="C00000"/>
        </w:rPr>
        <w:t xml:space="preserve"> leading cause of death (National Heart,</w:t>
      </w:r>
      <w:r w:rsidR="007B4887" w:rsidRPr="007B4887">
        <w:rPr>
          <w:bCs/>
          <w:iCs/>
          <w:color w:val="C00000"/>
        </w:rPr>
        <w:t xml:space="preserve"> Lung, and Blood Institute, 2020</w:t>
      </w:r>
      <w:r w:rsidR="001B034B">
        <w:rPr>
          <w:bCs/>
          <w:iCs/>
          <w:color w:val="7030A0"/>
        </w:rPr>
        <w:t xml:space="preserve">; </w:t>
      </w:r>
      <w:r w:rsidR="001B034B" w:rsidRPr="001B034B">
        <w:rPr>
          <w:bCs/>
          <w:iCs/>
          <w:color w:val="C00000"/>
        </w:rPr>
        <w:t>CDC, 2020</w:t>
      </w:r>
      <w:r w:rsidRPr="002C78FC">
        <w:rPr>
          <w:bCs/>
          <w:iCs/>
          <w:color w:val="7030A0"/>
        </w:rPr>
        <w:t xml:space="preserve">; Wier et al., 2011; CDC, 2013; American Lung Association, 2015). Studies report that in-hospital mortality rates for patients hospitalized for exacerbations of COPD range from 2-5% (AHRQ, National Statistics on All Stays; </w:t>
      </w:r>
      <w:r w:rsidRPr="002C78FC">
        <w:rPr>
          <w:iCs/>
          <w:color w:val="7030A0"/>
        </w:rPr>
        <w:t>Patil et al., 2009; Tabak et al., 2009; Lindenauer et al., 2006; Dransfield et al., 2008</w:t>
      </w:r>
      <w:r w:rsidRPr="002C78FC">
        <w:rPr>
          <w:bCs/>
          <w:iCs/>
          <w:color w:val="7030A0"/>
        </w:rPr>
        <w:t>) and 30-day mortality rates range from 3-9% (</w:t>
      </w:r>
      <w:r w:rsidRPr="002C78FC">
        <w:rPr>
          <w:iCs/>
          <w:color w:val="7030A0"/>
        </w:rPr>
        <w:t>Faustini et al., 2008; Fruchter et al., 2008; Lindenauer et al., 2013</w:t>
      </w:r>
      <w:r w:rsidRPr="002C78FC">
        <w:rPr>
          <w:bCs/>
          <w:iCs/>
          <w:color w:val="7030A0"/>
        </w:rPr>
        <w:t>).</w:t>
      </w:r>
      <w:r w:rsidR="00BA701F">
        <w:rPr>
          <w:bCs/>
          <w:iCs/>
          <w:color w:val="7030A0"/>
        </w:rPr>
        <w:t xml:space="preserve"> </w:t>
      </w:r>
      <w:r w:rsidR="00BA701F">
        <w:rPr>
          <w:iCs/>
          <w:color w:val="C00000"/>
        </w:rPr>
        <w:t xml:space="preserve">30-day mortality rates following COPD discharge are also high and variable across hospitals; </w:t>
      </w:r>
      <w:r w:rsidR="00BA701F" w:rsidRPr="003F7797">
        <w:rPr>
          <w:iCs/>
          <w:color w:val="C00000"/>
        </w:rPr>
        <w:t xml:space="preserve">for the time period of July 2015-June 2018, publicly reported 30-day risk-standardized </w:t>
      </w:r>
      <w:r w:rsidR="00BA701F">
        <w:rPr>
          <w:iCs/>
          <w:color w:val="C00000"/>
        </w:rPr>
        <w:t>mortality rates among Medicare FFS patients ranged from 4.9% to 14.3</w:t>
      </w:r>
      <w:r w:rsidR="00BA701F" w:rsidRPr="003F7797">
        <w:rPr>
          <w:iCs/>
          <w:color w:val="C00000"/>
        </w:rPr>
        <w:t>% for patie</w:t>
      </w:r>
      <w:r w:rsidR="00BA701F">
        <w:rPr>
          <w:iCs/>
          <w:color w:val="C00000"/>
        </w:rPr>
        <w:t>nts admitted with COPD (Wallace et al.</w:t>
      </w:r>
      <w:r w:rsidR="00BA701F" w:rsidRPr="003F7797">
        <w:rPr>
          <w:iCs/>
          <w:color w:val="C00000"/>
        </w:rPr>
        <w:t>, 2019).</w:t>
      </w:r>
    </w:p>
    <w:p w14:paraId="59B07DD8" w14:textId="77777777" w:rsidR="002C78FC" w:rsidRDefault="00CE75B8" w:rsidP="002C78FC">
      <w:pPr>
        <w:spacing w:before="120" w:after="120"/>
        <w:ind w:left="0" w:firstLine="0"/>
        <w:rPr>
          <w:b/>
        </w:rPr>
      </w:pPr>
      <w:r w:rsidRPr="002C78FC">
        <w:rPr>
          <w:bCs/>
          <w:iCs/>
          <w:color w:val="7030A0"/>
        </w:rPr>
        <w:t xml:space="preserve">In 2011 COPD was one of the top 20 most expensive conditions treated in U.S. hospitals (AHRQ, 2011). It was also one of the top 20 most expensive conditions billed to Medicare, accounting for nearly $4,074,000 of total hospital charges </w:t>
      </w:r>
      <w:r w:rsidR="002C78FC" w:rsidRPr="002C78FC">
        <w:rPr>
          <w:bCs/>
          <w:iCs/>
          <w:color w:val="7030A0"/>
        </w:rPr>
        <w:t>billed to Medicare (AHRQ, 2011</w:t>
      </w:r>
      <w:r w:rsidR="002C78FC">
        <w:rPr>
          <w:bCs/>
          <w:iCs/>
        </w:rPr>
        <w:t>)</w:t>
      </w:r>
      <w:r w:rsidR="002C78FC" w:rsidRPr="000B12A4">
        <w:rPr>
          <w:iCs/>
          <w:color w:val="C00000"/>
        </w:rPr>
        <w:t xml:space="preserve">. </w:t>
      </w:r>
      <w:r w:rsidR="002C78FC">
        <w:rPr>
          <w:iCs/>
          <w:color w:val="C00000"/>
        </w:rPr>
        <w:t>Some estimated project total costs of COPD treatment to increase to almost $50 billion dollars by 2020, primarily driven by disease complexity, lengthy hospital admissions, and increased prevalence of comorbid conditions (Lin et al., 2020; Guarascio et al., 2013; Huber et al., 2015).</w:t>
      </w:r>
    </w:p>
    <w:p w14:paraId="478991D4" w14:textId="2A33C74A" w:rsidR="002C78FC" w:rsidRDefault="00CE75B8" w:rsidP="002C78FC">
      <w:pPr>
        <w:spacing w:before="120" w:after="120"/>
        <w:ind w:left="0" w:firstLine="0"/>
        <w:rPr>
          <w:iCs/>
          <w:color w:val="7030A0"/>
        </w:rPr>
      </w:pPr>
      <w:r w:rsidRPr="002C78FC">
        <w:rPr>
          <w:iCs/>
          <w:color w:val="7030A0"/>
        </w:rPr>
        <w:t>Many current hospital processes have been associated with lower mortality rates within 30 days of hospital admission (Jha et al., 2007</w:t>
      </w:r>
      <w:r w:rsidR="002C78FC">
        <w:rPr>
          <w:iCs/>
          <w:color w:val="7030A0"/>
        </w:rPr>
        <w:t xml:space="preserve">; </w:t>
      </w:r>
      <w:r w:rsidR="002C78FC" w:rsidRPr="002C78FC">
        <w:rPr>
          <w:iCs/>
          <w:color w:val="C00000"/>
        </w:rPr>
        <w:t>Wright et al., 2019</w:t>
      </w:r>
      <w:r w:rsidRPr="002C78FC">
        <w:rPr>
          <w:iCs/>
          <w:color w:val="7030A0"/>
        </w:rPr>
        <w:t>). In COPD in particular, supplemental oxygen and the use of noninvasive ventilation in carefully selected patients has been shown</w:t>
      </w:r>
      <w:r w:rsidR="002C78FC">
        <w:rPr>
          <w:iCs/>
          <w:color w:val="7030A0"/>
        </w:rPr>
        <w:t xml:space="preserve"> to improve both short- and long-</w:t>
      </w:r>
      <w:r w:rsidRPr="002C78FC">
        <w:rPr>
          <w:iCs/>
          <w:color w:val="7030A0"/>
        </w:rPr>
        <w:t>term survival. Current process-based performance measures, however, cannot capture all the ways that care within the hospital might influence outcomes. Measurement of patient outcomes, such as mortality, allows for a comprehensive view of quality of care that reflects complex aspects of care such as communication between providers and coordinated transitions to the outpatient environment. These aspects are critical to patient outcomes, and are broader than what can be captured by individual process-of-care measures.</w:t>
      </w:r>
    </w:p>
    <w:p w14:paraId="33B12A43" w14:textId="77777777" w:rsidR="00C57091" w:rsidRPr="002C78FC" w:rsidRDefault="00C57091" w:rsidP="00C57091">
      <w:pPr>
        <w:spacing w:before="120" w:after="120"/>
        <w:ind w:left="0" w:firstLine="0"/>
        <w:rPr>
          <w:b/>
          <w:color w:val="7030A0"/>
        </w:rPr>
      </w:pPr>
      <w:r w:rsidRPr="002C78FC">
        <w:rPr>
          <w:iCs/>
          <w:color w:val="7030A0"/>
        </w:rPr>
        <w:t>The diagram above indicates some of the many care processes that can influence mortality risk. Numerous studies have demonstrated that appropriate (guideline recommended care) and timely treatment for COPD patients can reduce the risk of mortality within 30 days of hospital admission (Krumholz et al., 2007; Williams et al., 2012; Ram et al., 2004; Austin et al., 2010; Ntoumenopoulos, 2011).</w:t>
      </w:r>
      <w:r>
        <w:rPr>
          <w:iCs/>
          <w:color w:val="7030A0"/>
        </w:rPr>
        <w:t xml:space="preserve"> </w:t>
      </w:r>
      <w:r w:rsidRPr="00D71FEB">
        <w:rPr>
          <w:iCs/>
          <w:color w:val="C00000"/>
        </w:rPr>
        <w:t xml:space="preserve">For instance, </w:t>
      </w:r>
      <w:r>
        <w:rPr>
          <w:iCs/>
          <w:color w:val="C00000"/>
        </w:rPr>
        <w:t xml:space="preserve">Wake Forest Baptist Medical Center </w:t>
      </w:r>
      <w:r w:rsidRPr="00D71FEB">
        <w:rPr>
          <w:iCs/>
          <w:color w:val="C00000"/>
        </w:rPr>
        <w:t xml:space="preserve">showed promising reductions in </w:t>
      </w:r>
      <w:r>
        <w:rPr>
          <w:iCs/>
          <w:color w:val="C00000"/>
        </w:rPr>
        <w:t xml:space="preserve">readmissions and mortality </w:t>
      </w:r>
      <w:r w:rsidRPr="00D71FEB">
        <w:rPr>
          <w:iCs/>
          <w:color w:val="C00000"/>
        </w:rPr>
        <w:t>after implementing a comprehensive care plan</w:t>
      </w:r>
      <w:r>
        <w:rPr>
          <w:iCs/>
          <w:color w:val="C00000"/>
        </w:rPr>
        <w:t xml:space="preserve"> focused on transitions of care, treatment of comorbidities, and appropriate and timely hospice and palliative care services</w:t>
      </w:r>
      <w:r w:rsidRPr="00D71FEB">
        <w:rPr>
          <w:iCs/>
          <w:color w:val="C00000"/>
        </w:rPr>
        <w:t xml:space="preserve"> for COPD patients (Ohar et al., 2018).</w:t>
      </w:r>
    </w:p>
    <w:p w14:paraId="1F711A9B" w14:textId="77777777" w:rsidR="00C57091" w:rsidRDefault="00C57091" w:rsidP="002C78FC">
      <w:pPr>
        <w:spacing w:before="120" w:after="120"/>
        <w:ind w:left="0" w:firstLine="0"/>
        <w:rPr>
          <w:b/>
          <w:color w:val="7030A0"/>
        </w:rPr>
      </w:pPr>
    </w:p>
    <w:p w14:paraId="7F30D13F" w14:textId="3FE43274" w:rsidR="002C78FC" w:rsidRDefault="00CE75B8" w:rsidP="002C78FC">
      <w:pPr>
        <w:spacing w:before="120" w:after="120"/>
        <w:ind w:left="0" w:firstLine="0"/>
        <w:rPr>
          <w:b/>
          <w:color w:val="7030A0"/>
        </w:rPr>
      </w:pPr>
      <w:r w:rsidRPr="002C78FC">
        <w:rPr>
          <w:iCs/>
          <w:color w:val="7030A0"/>
        </w:rPr>
        <w:lastRenderedPageBreak/>
        <w:t xml:space="preserve">The COPD </w:t>
      </w:r>
      <w:r w:rsidR="001B034B">
        <w:rPr>
          <w:iCs/>
          <w:color w:val="7030A0"/>
        </w:rPr>
        <w:t>mortality</w:t>
      </w:r>
      <w:r w:rsidRPr="002C78FC">
        <w:rPr>
          <w:iCs/>
          <w:color w:val="7030A0"/>
        </w:rPr>
        <w:t xml:space="preserve"> measure is thus intended to inform quality-of-care improvement efforts, as individual process-based performance measures cannot encompass all the complex and critical aspects of care within a hospital that contribute to patient outcomes. As a result, many stakeholders, including patient organizations, are interested in outcomes measures that allow patients and providers to assess relative outcomes performance for hospitals (Krumholz et al., 2007).</w:t>
      </w:r>
    </w:p>
    <w:p w14:paraId="7A22E454" w14:textId="77777777" w:rsidR="002C78FC" w:rsidRPr="002C78FC" w:rsidRDefault="00CE75B8" w:rsidP="002C78FC">
      <w:pPr>
        <w:spacing w:before="120" w:after="120"/>
        <w:ind w:left="0" w:firstLine="0"/>
        <w:rPr>
          <w:b/>
          <w:color w:val="7030A0"/>
        </w:rPr>
      </w:pPr>
      <w:r w:rsidRPr="002C78FC">
        <w:rPr>
          <w:iCs/>
          <w:color w:val="7030A0"/>
          <w:u w:val="single"/>
        </w:rPr>
        <w:t>References</w:t>
      </w:r>
      <w:r w:rsidRPr="00C57091">
        <w:rPr>
          <w:iCs/>
          <w:color w:val="7030A0"/>
        </w:rPr>
        <w:t>:</w:t>
      </w:r>
    </w:p>
    <w:p w14:paraId="3591BC74" w14:textId="77777777" w:rsidR="002C78FC" w:rsidRPr="002C78FC" w:rsidRDefault="00CE75B8" w:rsidP="002C78FC">
      <w:pPr>
        <w:spacing w:before="120" w:after="120"/>
        <w:ind w:left="0" w:firstLine="0"/>
        <w:rPr>
          <w:b/>
          <w:color w:val="7030A0"/>
        </w:rPr>
      </w:pPr>
      <w:r w:rsidRPr="002C78FC">
        <w:rPr>
          <w:iCs/>
          <w:color w:val="7030A0"/>
        </w:rPr>
        <w:t xml:space="preserve">Agency for Healthcare Research and Quality. Healthcare Cost and Utilization Project (HCUP). National Inpatient Hospital Costs: The Most Expensive Conditions by Payer, 2011. Available at: http://www.hcup-us.ahrq.gov/reports/statbriefs/sb160.pdf. Accessed November 16, 2015. </w:t>
      </w:r>
    </w:p>
    <w:p w14:paraId="66BE51D5" w14:textId="77777777" w:rsidR="002C78FC" w:rsidRPr="002C78FC" w:rsidRDefault="00CE75B8" w:rsidP="002C78FC">
      <w:pPr>
        <w:spacing w:before="120" w:after="120"/>
        <w:ind w:left="0" w:firstLine="0"/>
        <w:rPr>
          <w:b/>
          <w:color w:val="7030A0"/>
        </w:rPr>
      </w:pPr>
      <w:r w:rsidRPr="002C78FC">
        <w:rPr>
          <w:iCs/>
          <w:color w:val="7030A0"/>
        </w:rPr>
        <w:t>Agency for Healthcare Research and Quality. Healthcare Cost and Utilization Project (HCUP). National Statistics on All Stays. Available at: http://hcupnet.ahrq.gov./HCUPnet.jsp?Id=DDB2B43489A1ADB8&amp;Form=DispTab&amp;JS=Y&amp;Action=Accept. Accessed December 4, 2015.</w:t>
      </w:r>
    </w:p>
    <w:p w14:paraId="6B7BDBE0" w14:textId="5968C32C" w:rsidR="002C78FC" w:rsidRDefault="00CE75B8" w:rsidP="002C78FC">
      <w:pPr>
        <w:spacing w:before="120" w:after="120"/>
        <w:ind w:left="0" w:firstLine="0"/>
        <w:rPr>
          <w:iCs/>
          <w:color w:val="7030A0"/>
        </w:rPr>
      </w:pPr>
      <w:bookmarkStart w:id="5" w:name="_GoBack"/>
      <w:bookmarkEnd w:id="5"/>
      <w:r w:rsidRPr="002C78FC">
        <w:rPr>
          <w:iCs/>
          <w:color w:val="7030A0"/>
        </w:rPr>
        <w:t>American Lung Association. Lung Health &amp; Diseases. Learn About Chronic Obstructive Pulmonary Disease (COPD)—How Serious is COPD, 2015. Available at: http://www.lung.org/lung-health-and-diseases/lung-disease-lookup/copd/learn-about-copd/how-serious-is-copd.html. Accessed November 16, 2015.</w:t>
      </w:r>
    </w:p>
    <w:p w14:paraId="03EA74DB" w14:textId="77777777" w:rsidR="00DD1AB0" w:rsidRPr="002C78FC" w:rsidRDefault="00DD1AB0" w:rsidP="00DD1AB0">
      <w:pPr>
        <w:spacing w:before="120" w:after="120"/>
        <w:ind w:left="0" w:firstLine="0"/>
        <w:rPr>
          <w:b/>
          <w:color w:val="7030A0"/>
        </w:rPr>
      </w:pPr>
      <w:r w:rsidRPr="002C78FC">
        <w:rPr>
          <w:iCs/>
          <w:color w:val="7030A0"/>
        </w:rPr>
        <w:t>Austin MA, Wills KE, Blizzard L, et al. Effect of high flow oxygen on mortality in chronic obstructive pulmonary disease patients in prehospital setting: randomised controlled trial. BMJ. 2010 Oct 18; 341:c5462. doi: 10.1136/bmj.c5462.</w:t>
      </w:r>
    </w:p>
    <w:p w14:paraId="319A5D5C" w14:textId="24CD28BA" w:rsidR="007B4887" w:rsidRPr="007B4887" w:rsidRDefault="007B4887" w:rsidP="002C78FC">
      <w:pPr>
        <w:spacing w:before="120" w:after="120"/>
        <w:ind w:left="0" w:firstLine="0"/>
        <w:rPr>
          <w:rFonts w:cstheme="minorHAnsi"/>
          <w:b/>
          <w:color w:val="C00000"/>
        </w:rPr>
      </w:pPr>
      <w:r w:rsidRPr="007B4887">
        <w:rPr>
          <w:rFonts w:cstheme="minorHAnsi"/>
          <w:color w:val="C00000"/>
          <w:shd w:val="clear" w:color="auto" w:fill="FFFFFF"/>
        </w:rPr>
        <w:t>Biener AI, Decker SL, Rohde F. Prevalence and Treatment of Chronic Obstructive Pulmonary Disease (COPD) in the United States. </w:t>
      </w:r>
      <w:r w:rsidRPr="007B4887">
        <w:rPr>
          <w:rStyle w:val="Emphasis"/>
          <w:rFonts w:cstheme="minorHAnsi"/>
          <w:color w:val="C00000"/>
          <w:shd w:val="clear" w:color="auto" w:fill="FFFFFF"/>
        </w:rPr>
        <w:t>JAMA.</w:t>
      </w:r>
      <w:r w:rsidRPr="007B4887">
        <w:rPr>
          <w:rFonts w:cstheme="minorHAnsi"/>
          <w:color w:val="C00000"/>
          <w:shd w:val="clear" w:color="auto" w:fill="FFFFFF"/>
        </w:rPr>
        <w:t> 2019;322(7):602. doi:10.1001/jama.2019.10241.</w:t>
      </w:r>
    </w:p>
    <w:p w14:paraId="37778055" w14:textId="77777777" w:rsidR="002C78FC" w:rsidRPr="002C78FC" w:rsidRDefault="00CE75B8" w:rsidP="002C78FC">
      <w:pPr>
        <w:spacing w:before="120" w:after="120"/>
        <w:ind w:left="0" w:firstLine="0"/>
        <w:rPr>
          <w:b/>
          <w:color w:val="7030A0"/>
        </w:rPr>
      </w:pPr>
      <w:r w:rsidRPr="002C78FC">
        <w:rPr>
          <w:iCs/>
          <w:color w:val="7030A0"/>
        </w:rPr>
        <w:t>Centers for Disease Control and Prevention. Detailed Tables for the National Vital Statistics Report (NVSR) “Deaths: Final Data for 2013”. http://www.cdc.gov/nchs/data/nvsr/nvsr64/nvsr64_02.pdf Accessed November 16, 2015.</w:t>
      </w:r>
    </w:p>
    <w:p w14:paraId="5C39E7B9" w14:textId="00278903" w:rsidR="002C78FC" w:rsidRPr="001B034B" w:rsidRDefault="00CE75B8" w:rsidP="002C78FC">
      <w:pPr>
        <w:spacing w:before="120" w:after="120"/>
        <w:ind w:left="0" w:firstLine="0"/>
        <w:rPr>
          <w:b/>
          <w:color w:val="C00000"/>
        </w:rPr>
      </w:pPr>
      <w:r w:rsidRPr="001B034B">
        <w:rPr>
          <w:iCs/>
          <w:color w:val="C00000"/>
        </w:rPr>
        <w:t xml:space="preserve">Centers for Disease Control and Prevention. </w:t>
      </w:r>
      <w:r w:rsidR="001B034B">
        <w:rPr>
          <w:iCs/>
          <w:color w:val="C00000"/>
        </w:rPr>
        <w:t>Deaths: Final Data for 2017, Supplemental Tables.</w:t>
      </w:r>
      <w:r w:rsidRPr="001B034B">
        <w:rPr>
          <w:iCs/>
          <w:color w:val="C00000"/>
        </w:rPr>
        <w:t xml:space="preserve"> Chronic Obstructive Pulmonary Disease Am</w:t>
      </w:r>
      <w:r w:rsidR="001B034B">
        <w:rPr>
          <w:iCs/>
          <w:color w:val="C00000"/>
        </w:rPr>
        <w:t>ong Adults — United States, 2020</w:t>
      </w:r>
      <w:r w:rsidRPr="001B034B">
        <w:rPr>
          <w:iCs/>
          <w:color w:val="C00000"/>
        </w:rPr>
        <w:t>. Available at:</w:t>
      </w:r>
      <w:r w:rsidR="001B034B" w:rsidRPr="001B034B">
        <w:rPr>
          <w:iCs/>
          <w:color w:val="C00000"/>
        </w:rPr>
        <w:t xml:space="preserve"> </w:t>
      </w:r>
      <w:hyperlink r:id="rId18" w:history="1">
        <w:r w:rsidR="001B034B" w:rsidRPr="001B034B">
          <w:rPr>
            <w:rStyle w:val="Hyperlink"/>
            <w:color w:val="C00000"/>
          </w:rPr>
          <w:t>https://www.cdc.gov/nchs/fastats/copd.htm</w:t>
        </w:r>
      </w:hyperlink>
      <w:r w:rsidRPr="001B034B">
        <w:rPr>
          <w:iCs/>
          <w:color w:val="C00000"/>
        </w:rPr>
        <w:t xml:space="preserve">. Accessed </w:t>
      </w:r>
      <w:r w:rsidR="001B034B" w:rsidRPr="001B034B">
        <w:rPr>
          <w:iCs/>
          <w:color w:val="C00000"/>
        </w:rPr>
        <w:t>June 19. 2020</w:t>
      </w:r>
      <w:r w:rsidRPr="001B034B">
        <w:rPr>
          <w:iCs/>
          <w:color w:val="C00000"/>
        </w:rPr>
        <w:t>.</w:t>
      </w:r>
    </w:p>
    <w:p w14:paraId="748247A4" w14:textId="77777777" w:rsidR="002C78FC" w:rsidRPr="002C78FC" w:rsidRDefault="00CE75B8" w:rsidP="002C78FC">
      <w:pPr>
        <w:spacing w:before="120" w:after="120"/>
        <w:ind w:left="0" w:firstLine="0"/>
        <w:rPr>
          <w:b/>
          <w:color w:val="7030A0"/>
        </w:rPr>
      </w:pPr>
      <w:r w:rsidRPr="002C78FC">
        <w:rPr>
          <w:iCs/>
          <w:color w:val="7030A0"/>
        </w:rPr>
        <w:t>Dransfield MT, Rowe SM, Johnson JE, et al. Use of beta blockers and the risk of death in hospitalized patients with acute exacerbations of COPD. Thorax. Apr 2008; 63 (4): 301-305.</w:t>
      </w:r>
    </w:p>
    <w:p w14:paraId="4295277F" w14:textId="77777777" w:rsidR="002C78FC" w:rsidRPr="002C78FC" w:rsidRDefault="00CE75B8" w:rsidP="002C78FC">
      <w:pPr>
        <w:spacing w:before="120" w:after="120"/>
        <w:ind w:left="0" w:firstLine="0"/>
        <w:rPr>
          <w:b/>
          <w:color w:val="7030A0"/>
        </w:rPr>
      </w:pPr>
      <w:r w:rsidRPr="002C78FC">
        <w:rPr>
          <w:iCs/>
          <w:color w:val="7030A0"/>
        </w:rPr>
        <w:t>Faustini A, Marino C, D’Ippoliti D, et al. The Impact on risk-factor analysis of different mortality outcomes in COPD patients. European Respiratory Journal. Sep 2008; 32 (3): 629-636.</w:t>
      </w:r>
    </w:p>
    <w:p w14:paraId="0B592218" w14:textId="11BFF9B9" w:rsidR="002C78FC" w:rsidRDefault="00CE75B8" w:rsidP="002C78FC">
      <w:pPr>
        <w:spacing w:before="120" w:after="120"/>
        <w:ind w:left="0" w:firstLine="0"/>
        <w:rPr>
          <w:iCs/>
          <w:color w:val="7030A0"/>
        </w:rPr>
      </w:pPr>
      <w:r w:rsidRPr="002C78FC">
        <w:rPr>
          <w:iCs/>
          <w:color w:val="7030A0"/>
        </w:rPr>
        <w:t>Fruchter O, Yigla M., Predictors of long-term survival in elderly patients hospitalized for acute exacerbations of chronic obstructive pulmonary disease. Respirology. Nov 2008; 13 (6): 851-855.</w:t>
      </w:r>
    </w:p>
    <w:p w14:paraId="54867453" w14:textId="77777777" w:rsidR="007B4887" w:rsidRPr="00F91B2B" w:rsidRDefault="007B4887" w:rsidP="007B4887">
      <w:pPr>
        <w:spacing w:before="120" w:after="120"/>
        <w:ind w:left="0" w:firstLine="0"/>
        <w:rPr>
          <w:rFonts w:cstheme="minorHAnsi"/>
          <w:iCs/>
          <w:color w:val="C00000"/>
        </w:rPr>
      </w:pPr>
      <w:r w:rsidRPr="00F91B2B">
        <w:rPr>
          <w:rFonts w:cstheme="minorHAnsi"/>
          <w:color w:val="C00000"/>
          <w:shd w:val="clear" w:color="auto" w:fill="FFFFFF"/>
        </w:rPr>
        <w:t>Guarascio AJ, Ray SM, Finch CK, Self TH. The clinical and economic burden of chronic obstructive pulmonary disease in the USA. </w:t>
      </w:r>
      <w:r w:rsidRPr="00F91B2B">
        <w:rPr>
          <w:rFonts w:cstheme="minorHAnsi"/>
          <w:i/>
          <w:iCs/>
          <w:color w:val="C00000"/>
          <w:shd w:val="clear" w:color="auto" w:fill="FFFFFF"/>
        </w:rPr>
        <w:t>Clinicoecon Outcomes Res</w:t>
      </w:r>
      <w:r w:rsidRPr="00F91B2B">
        <w:rPr>
          <w:rFonts w:cstheme="minorHAnsi"/>
          <w:color w:val="C00000"/>
          <w:shd w:val="clear" w:color="auto" w:fill="FFFFFF"/>
        </w:rPr>
        <w:t>. 2013;5:235‐245. Published 2013 Jun 17. doi:10.2147/CEOR.S34321.</w:t>
      </w:r>
    </w:p>
    <w:p w14:paraId="778A62EF" w14:textId="77777777" w:rsidR="007B4887" w:rsidRPr="00F91B2B" w:rsidRDefault="007B4887" w:rsidP="007B4887">
      <w:pPr>
        <w:spacing w:before="120" w:after="120"/>
        <w:ind w:left="0" w:firstLine="0"/>
        <w:rPr>
          <w:rFonts w:cstheme="minorHAnsi"/>
          <w:b/>
          <w:color w:val="C00000"/>
        </w:rPr>
      </w:pPr>
      <w:r w:rsidRPr="00F91B2B">
        <w:rPr>
          <w:rFonts w:cstheme="minorHAnsi"/>
          <w:color w:val="C00000"/>
          <w:shd w:val="clear" w:color="auto" w:fill="FFFFFF"/>
        </w:rPr>
        <w:t>Huber MB, Wacker ME, Vogelmeier CF, Leidl R. Excess costs of comorbidities in chronic obstructive pulmonary disease: a systematic review. </w:t>
      </w:r>
      <w:r w:rsidRPr="00F91B2B">
        <w:rPr>
          <w:rFonts w:cstheme="minorHAnsi"/>
          <w:i/>
          <w:iCs/>
          <w:color w:val="C00000"/>
          <w:shd w:val="clear" w:color="auto" w:fill="FFFFFF"/>
        </w:rPr>
        <w:t>PLoS One</w:t>
      </w:r>
      <w:r w:rsidRPr="00F91B2B">
        <w:rPr>
          <w:rFonts w:cstheme="minorHAnsi"/>
          <w:color w:val="C00000"/>
          <w:shd w:val="clear" w:color="auto" w:fill="FFFFFF"/>
        </w:rPr>
        <w:t>. 2015;10(4):e0123292. Published 2015 Apr 13. doi:10.1371/journal.pone.0123292.</w:t>
      </w:r>
    </w:p>
    <w:p w14:paraId="126A9B3A" w14:textId="77777777" w:rsidR="002C78FC" w:rsidRPr="002C78FC" w:rsidRDefault="00CE75B8" w:rsidP="002C78FC">
      <w:pPr>
        <w:spacing w:before="120" w:after="120"/>
        <w:ind w:left="0" w:firstLine="0"/>
        <w:rPr>
          <w:b/>
          <w:color w:val="7030A0"/>
        </w:rPr>
      </w:pPr>
      <w:r w:rsidRPr="002C78FC">
        <w:rPr>
          <w:iCs/>
          <w:color w:val="7030A0"/>
        </w:rPr>
        <w:t>Jha AK, Orav EJ, Li Z, Epstein AM. The inverse relationship between mortality rates and performance in the Hospital Quality Alliance measures. Health Aff (Millwood) 2007 Jul-Aug; 26(4):1104-10.</w:t>
      </w:r>
    </w:p>
    <w:p w14:paraId="2D1D2683" w14:textId="547A8587" w:rsidR="002C78FC" w:rsidRDefault="00CE75B8" w:rsidP="002C78FC">
      <w:pPr>
        <w:spacing w:before="120" w:after="120"/>
        <w:ind w:left="0" w:firstLine="0"/>
        <w:rPr>
          <w:iCs/>
          <w:color w:val="7030A0"/>
        </w:rPr>
      </w:pPr>
      <w:r w:rsidRPr="002C78FC">
        <w:rPr>
          <w:iCs/>
          <w:color w:val="7030A0"/>
        </w:rPr>
        <w:lastRenderedPageBreak/>
        <w:t>Krumholz HM, Normand SL, Spertus JA, et al. Measuring performance for treating heart attacks and heart failure: the case for outcomes measurement. Health Aff (Millw</w:t>
      </w:r>
      <w:r w:rsidR="002C78FC" w:rsidRPr="002C78FC">
        <w:rPr>
          <w:iCs/>
          <w:color w:val="7030A0"/>
        </w:rPr>
        <w:t>ood). 2007 Jan-Feb;26(1):75-85.</w:t>
      </w:r>
    </w:p>
    <w:p w14:paraId="6E9FA670" w14:textId="77777777" w:rsidR="007B4887" w:rsidRPr="00F91B2B" w:rsidRDefault="007B4887" w:rsidP="007B4887">
      <w:pPr>
        <w:spacing w:before="120" w:after="120"/>
        <w:ind w:left="0" w:firstLine="0"/>
        <w:rPr>
          <w:rFonts w:cstheme="minorHAnsi"/>
          <w:b/>
          <w:color w:val="C00000"/>
        </w:rPr>
      </w:pPr>
      <w:r w:rsidRPr="00F91B2B">
        <w:rPr>
          <w:rFonts w:cstheme="minorHAnsi"/>
          <w:color w:val="C00000"/>
          <w:shd w:val="clear" w:color="auto" w:fill="FFFFFF"/>
        </w:rPr>
        <w:t>Lin SY, Xue H, Deng Y, Chukmaitov A. Multi-morbidities are Not a Driving Factor for an Increase of COPD-Related 30-Day Readmission Risk. </w:t>
      </w:r>
      <w:r w:rsidRPr="00F91B2B">
        <w:rPr>
          <w:rFonts w:cstheme="minorHAnsi"/>
          <w:i/>
          <w:iCs/>
          <w:color w:val="C00000"/>
          <w:shd w:val="clear" w:color="auto" w:fill="FFFFFF"/>
        </w:rPr>
        <w:t>Int J Chron Obstruct Pulmon Dis</w:t>
      </w:r>
      <w:r w:rsidRPr="00F91B2B">
        <w:rPr>
          <w:rFonts w:cstheme="minorHAnsi"/>
          <w:color w:val="C00000"/>
          <w:shd w:val="clear" w:color="auto" w:fill="FFFFFF"/>
        </w:rPr>
        <w:t>. 2020;15:143‐154. Published 2020 Jan 15. doi:10.2147/COPD.S230072.</w:t>
      </w:r>
    </w:p>
    <w:p w14:paraId="529C4A50" w14:textId="77777777" w:rsidR="002C78FC" w:rsidRPr="002C78FC" w:rsidRDefault="00CE75B8" w:rsidP="002C78FC">
      <w:pPr>
        <w:spacing w:before="120" w:after="120"/>
        <w:ind w:left="0" w:firstLine="0"/>
        <w:rPr>
          <w:b/>
          <w:color w:val="7030A0"/>
        </w:rPr>
      </w:pPr>
      <w:r w:rsidRPr="002C78FC">
        <w:rPr>
          <w:iCs/>
          <w:color w:val="7030A0"/>
        </w:rPr>
        <w:t>Lindenauer PK, Grosso LM, Wang C, et al. Development, validation, and results of a risk-standardized measure of hospital 30-day mortality for patients with exacerbation of chronic obstructive pulmonary disease. J Hosp Med. 2013 Aug; 8(8):428-35. doi: 10.1002/jhm.2066. Epub 2013 Jul 26.</w:t>
      </w:r>
    </w:p>
    <w:p w14:paraId="21E45738" w14:textId="77777777" w:rsidR="002C78FC" w:rsidRPr="002C78FC" w:rsidRDefault="00CE75B8" w:rsidP="002C78FC">
      <w:pPr>
        <w:spacing w:before="120" w:after="120"/>
        <w:ind w:left="0" w:firstLine="0"/>
        <w:rPr>
          <w:b/>
          <w:color w:val="7030A0"/>
        </w:rPr>
      </w:pPr>
      <w:r w:rsidRPr="002C78FC">
        <w:rPr>
          <w:iCs/>
          <w:color w:val="7030A0"/>
        </w:rPr>
        <w:t>Lindenauer PK, Pekow P, Gao S, et al. Quality of care for patients hospitalized for acute exacerbations of chronic obstructive pulmonary disease. Ann Intern Med. June 20 2006; 144 (12): 894-903.</w:t>
      </w:r>
    </w:p>
    <w:p w14:paraId="604A4B61" w14:textId="4AF9D570" w:rsidR="002C78FC" w:rsidRPr="00E11A82" w:rsidRDefault="00CE75B8" w:rsidP="002C78FC">
      <w:pPr>
        <w:spacing w:before="120" w:after="120"/>
        <w:ind w:left="0" w:firstLine="0"/>
        <w:rPr>
          <w:b/>
          <w:color w:val="C00000"/>
        </w:rPr>
      </w:pPr>
      <w:r w:rsidRPr="00E11A82">
        <w:rPr>
          <w:iCs/>
          <w:color w:val="C00000"/>
        </w:rPr>
        <w:t xml:space="preserve">National Heart, Lung, and Blood Institute. </w:t>
      </w:r>
      <w:r w:rsidR="007B4887" w:rsidRPr="00E11A82">
        <w:rPr>
          <w:iCs/>
          <w:color w:val="C00000"/>
        </w:rPr>
        <w:t>What is COPD. 2020</w:t>
      </w:r>
      <w:r w:rsidRPr="00E11A82">
        <w:rPr>
          <w:iCs/>
          <w:color w:val="C00000"/>
        </w:rPr>
        <w:t xml:space="preserve">. Available at: </w:t>
      </w:r>
      <w:hyperlink r:id="rId19" w:history="1">
        <w:r w:rsidR="007B4887" w:rsidRPr="00E11A82">
          <w:rPr>
            <w:rStyle w:val="Hyperlink"/>
            <w:color w:val="C00000"/>
          </w:rPr>
          <w:t>https://www.nhlbi.nih.gov/health-topics/copd</w:t>
        </w:r>
      </w:hyperlink>
      <w:r w:rsidRPr="00E11A82">
        <w:rPr>
          <w:iCs/>
          <w:color w:val="C00000"/>
        </w:rPr>
        <w:t xml:space="preserve">. </w:t>
      </w:r>
      <w:r w:rsidR="007B4887" w:rsidRPr="00E11A82">
        <w:rPr>
          <w:iCs/>
          <w:color w:val="C00000"/>
        </w:rPr>
        <w:t>Accessed June 16, 2020</w:t>
      </w:r>
      <w:r w:rsidRPr="00E11A82">
        <w:rPr>
          <w:iCs/>
          <w:color w:val="C00000"/>
        </w:rPr>
        <w:t>.</w:t>
      </w:r>
    </w:p>
    <w:p w14:paraId="0BEC5519" w14:textId="77777777" w:rsidR="00BA701F" w:rsidRDefault="00CE75B8" w:rsidP="002C78FC">
      <w:pPr>
        <w:spacing w:before="120" w:after="120"/>
        <w:ind w:left="0" w:firstLine="0"/>
        <w:rPr>
          <w:iCs/>
          <w:color w:val="7030A0"/>
        </w:rPr>
      </w:pPr>
      <w:r w:rsidRPr="002C78FC">
        <w:rPr>
          <w:iCs/>
          <w:color w:val="7030A0"/>
        </w:rPr>
        <w:t>Ntoumenopoulos G. Using titrated oxygen instead of high flow oxygen during an acute exacerbation of chronic obstructive pulmonary disease (COPD) saves lives. J Physiother. 2011; 57(1):55. doi: 10.1016/S1836-9553(11)70008-X.</w:t>
      </w:r>
    </w:p>
    <w:p w14:paraId="1F26CDB2" w14:textId="77777777" w:rsidR="00BA701F" w:rsidRPr="00D71FEB" w:rsidRDefault="00BA701F" w:rsidP="00BA701F">
      <w:pPr>
        <w:spacing w:before="120" w:after="120"/>
        <w:ind w:left="0" w:firstLine="0"/>
        <w:rPr>
          <w:b/>
          <w:color w:val="C00000"/>
        </w:rPr>
      </w:pPr>
      <w:r w:rsidRPr="00D71FEB">
        <w:rPr>
          <w:color w:val="C00000"/>
        </w:rPr>
        <w:t xml:space="preserve">Ohar JA, Loh CH, Lenoir KM, Wells BJ, Peters SP. A comprehensive care plan that reduces readmissions after acute exacerbations of COPD. </w:t>
      </w:r>
      <w:r w:rsidRPr="00D71FEB">
        <w:rPr>
          <w:i/>
          <w:iCs/>
          <w:color w:val="C00000"/>
        </w:rPr>
        <w:t xml:space="preserve">Respir Med. </w:t>
      </w:r>
      <w:r w:rsidRPr="00D71FEB">
        <w:rPr>
          <w:color w:val="C00000"/>
        </w:rPr>
        <w:t xml:space="preserve">2018;141:20-25. </w:t>
      </w:r>
    </w:p>
    <w:p w14:paraId="17DC9B14" w14:textId="77777777" w:rsidR="002C78FC" w:rsidRPr="002C78FC" w:rsidRDefault="00CE75B8" w:rsidP="002C78FC">
      <w:pPr>
        <w:spacing w:before="120" w:after="120"/>
        <w:ind w:left="0" w:firstLine="0"/>
        <w:rPr>
          <w:b/>
          <w:color w:val="7030A0"/>
        </w:rPr>
      </w:pPr>
      <w:r w:rsidRPr="002C78FC">
        <w:rPr>
          <w:iCs/>
          <w:color w:val="7030A0"/>
        </w:rPr>
        <w:t>Patil SP, Krishnan JA, Lechtzin n, Diette GB. In-hospital mortality following acute exacerbations of chronic obstructive pulmonary disease. Archives of Internal Medicine. Sep 28 2009; 169 (17): 1595-1602.</w:t>
      </w:r>
    </w:p>
    <w:p w14:paraId="7AAC5FA8" w14:textId="77777777" w:rsidR="002C78FC" w:rsidRPr="002C78FC" w:rsidRDefault="00CE75B8" w:rsidP="002C78FC">
      <w:pPr>
        <w:spacing w:before="120" w:after="120"/>
        <w:ind w:left="0" w:firstLine="0"/>
        <w:rPr>
          <w:b/>
          <w:color w:val="7030A0"/>
        </w:rPr>
      </w:pPr>
      <w:r w:rsidRPr="002C78FC">
        <w:rPr>
          <w:iCs/>
          <w:color w:val="7030A0"/>
        </w:rPr>
        <w:t xml:space="preserve">Ram FS, Picot J, Lightowler, Wedzicha JA. Non-invasive positive pressure ventilation for treatment of respiratory failure due to exacerbations of chronic obstructive pulmonary disease. Cochrane Database Syst Rev. 2004; (1):CD004104.  </w:t>
      </w:r>
    </w:p>
    <w:p w14:paraId="6EDEDCB4" w14:textId="2D7EA03F" w:rsidR="002C78FC" w:rsidRDefault="00CE75B8" w:rsidP="002C78FC">
      <w:pPr>
        <w:spacing w:before="120" w:after="120"/>
        <w:ind w:left="0" w:firstLine="0"/>
        <w:rPr>
          <w:iCs/>
          <w:color w:val="7030A0"/>
        </w:rPr>
      </w:pPr>
      <w:r w:rsidRPr="002C78FC">
        <w:rPr>
          <w:iCs/>
          <w:color w:val="7030A0"/>
        </w:rPr>
        <w:t>Tabak YP, Sun X, Johannes RS, et al. Mortality and need for mechanical ventilation in acute exacerbations of chronic obstructive pulmonary disease: development and validation of simple risk score. Archives of Internal Medicine. Sep 28 2009; 169(17): 1595-1602.</w:t>
      </w:r>
    </w:p>
    <w:p w14:paraId="7A7ACD7C" w14:textId="7AE17574" w:rsidR="00BA701F" w:rsidRDefault="00BA701F" w:rsidP="00BA701F">
      <w:pPr>
        <w:ind w:left="0" w:firstLine="0"/>
        <w:rPr>
          <w:rFonts w:cstheme="minorHAnsi"/>
          <w:color w:val="C00000"/>
        </w:rPr>
      </w:pPr>
      <w:bookmarkStart w:id="6" w:name="_Hlk42094040"/>
      <w:r w:rsidRPr="002F55D8">
        <w:rPr>
          <w:rFonts w:cstheme="minorHAnsi"/>
          <w:color w:val="C00000"/>
        </w:rPr>
        <w:t xml:space="preserve">Wallace L., Grady J., Djordjevic, D., et al. 2019 Condition-Specific Measures Updates and Specifications Report Hospital-Level 30-Day Risk-Standardized </w:t>
      </w:r>
      <w:r>
        <w:rPr>
          <w:rFonts w:cstheme="minorHAnsi"/>
          <w:color w:val="C00000"/>
        </w:rPr>
        <w:t>Mortality</w:t>
      </w:r>
      <w:r w:rsidRPr="002F55D8">
        <w:rPr>
          <w:rFonts w:cstheme="minorHAnsi"/>
          <w:color w:val="C00000"/>
        </w:rPr>
        <w:t xml:space="preserve"> Measures: Acute My</w:t>
      </w:r>
      <w:r>
        <w:rPr>
          <w:rFonts w:cstheme="minorHAnsi"/>
          <w:color w:val="C00000"/>
        </w:rPr>
        <w:t>ocardial Infarction – Version 13</w:t>
      </w:r>
      <w:r w:rsidRPr="002F55D8">
        <w:rPr>
          <w:rFonts w:cstheme="minorHAnsi"/>
          <w:color w:val="C00000"/>
        </w:rPr>
        <w:t>.0, Chronic Obstructive Pulmonary Disease – Version</w:t>
      </w:r>
      <w:r>
        <w:rPr>
          <w:rFonts w:cstheme="minorHAnsi"/>
          <w:color w:val="C00000"/>
        </w:rPr>
        <w:t xml:space="preserve"> 8.0, Heart Failure – Version 13.0, Pneumonia – Version 13</w:t>
      </w:r>
      <w:r w:rsidRPr="002F55D8">
        <w:rPr>
          <w:rFonts w:cstheme="minorHAnsi"/>
          <w:color w:val="C00000"/>
        </w:rPr>
        <w:t xml:space="preserve">.0. </w:t>
      </w:r>
      <w:bookmarkEnd w:id="6"/>
      <w:r w:rsidRPr="002F55D8">
        <w:rPr>
          <w:rFonts w:cstheme="minorHAnsi"/>
          <w:color w:val="C00000"/>
        </w:rPr>
        <w:t>2019</w:t>
      </w:r>
      <w:r>
        <w:rPr>
          <w:rFonts w:cstheme="minorHAnsi"/>
          <w:color w:val="C00000"/>
        </w:rPr>
        <w:t>, Stroke – Version 8.0</w:t>
      </w:r>
      <w:r w:rsidRPr="002F55D8">
        <w:rPr>
          <w:rFonts w:cstheme="minorHAnsi"/>
          <w:color w:val="C00000"/>
        </w:rPr>
        <w:t xml:space="preserve">; </w:t>
      </w:r>
      <w:hyperlink r:id="rId20" w:history="1">
        <w:r w:rsidRPr="003F7177">
          <w:rPr>
            <w:rStyle w:val="Hyperlink"/>
            <w:rFonts w:cstheme="minorHAnsi"/>
          </w:rPr>
          <w:t>https://qualitynet.org/inpatient/measures/mortality/methodology</w:t>
        </w:r>
      </w:hyperlink>
      <w:r w:rsidRPr="002F55D8">
        <w:rPr>
          <w:rFonts w:cstheme="minorHAnsi"/>
          <w:color w:val="C00000"/>
        </w:rPr>
        <w:t>. Available as of April 23, 2019.</w:t>
      </w:r>
    </w:p>
    <w:p w14:paraId="17EBA8FE" w14:textId="77777777" w:rsidR="002C78FC" w:rsidRPr="002C78FC" w:rsidRDefault="00CE75B8" w:rsidP="002C78FC">
      <w:pPr>
        <w:spacing w:before="120" w:after="120"/>
        <w:ind w:left="0" w:firstLine="0"/>
        <w:rPr>
          <w:b/>
          <w:color w:val="7030A0"/>
        </w:rPr>
      </w:pPr>
      <w:r w:rsidRPr="002C78FC">
        <w:rPr>
          <w:iCs/>
          <w:color w:val="7030A0"/>
        </w:rPr>
        <w:t>Wier LM, Elixhauser A, Pfuntner, et al. Overview of Hospitalizations among Patients with COPD, 2008. Healthcare Cost and Utilization Project (HCUP) Statistical Briefs #106 [Internet]. Rockville (MD): Agency for Health Care Policy and Research (US). Feb. 2011. Available at: http://www.ncbi.nlm.nih.gov/books/NBK53969/. Accessed November 16, 2015.</w:t>
      </w:r>
    </w:p>
    <w:p w14:paraId="55B8DA64" w14:textId="51B5BCB7" w:rsidR="00D14F0B" w:rsidRDefault="00CE75B8" w:rsidP="002C78FC">
      <w:pPr>
        <w:spacing w:before="120" w:after="120"/>
        <w:ind w:left="0" w:firstLine="0"/>
        <w:rPr>
          <w:iCs/>
          <w:color w:val="7030A0"/>
        </w:rPr>
      </w:pPr>
      <w:r w:rsidRPr="002C78FC">
        <w:rPr>
          <w:iCs/>
          <w:color w:val="7030A0"/>
        </w:rPr>
        <w:t>Williams JW, Cox CE, Hargett CW, et al. Noninvasive Positive-Pressure Ventilation (NPPV) for Acute Respiratory Failure [Internet]. Rockville (MD): Agency for Healthcare Research and Quality (US); 2012 Jul. Report No.: 12-EHC089-EF. AHRQ Comparative Effectiveness Reviews.</w:t>
      </w:r>
    </w:p>
    <w:p w14:paraId="0A4E29E3" w14:textId="77777777" w:rsidR="002C78FC" w:rsidRPr="00D71FEB" w:rsidRDefault="002C78FC" w:rsidP="002C78FC">
      <w:pPr>
        <w:spacing w:before="120"/>
        <w:ind w:left="0" w:firstLine="0"/>
        <w:rPr>
          <w:rFonts w:cstheme="minorHAnsi"/>
          <w:color w:val="C00000"/>
        </w:rPr>
      </w:pPr>
      <w:bookmarkStart w:id="7" w:name="_Hlk43199690"/>
      <w:r w:rsidRPr="00D71FEB">
        <w:rPr>
          <w:color w:val="C00000"/>
        </w:rPr>
        <w:t xml:space="preserve">Wright EA, Graham JH, Maeng D, et al. Reductions in 30-day readmission, mortality, and costs with inpatient-to-community pharmacist follow-up. </w:t>
      </w:r>
      <w:r w:rsidRPr="00D71FEB">
        <w:rPr>
          <w:i/>
          <w:iCs/>
          <w:color w:val="C00000"/>
        </w:rPr>
        <w:t xml:space="preserve">J Am Pharm Assoc (2003). </w:t>
      </w:r>
      <w:r w:rsidRPr="00D71FEB">
        <w:rPr>
          <w:color w:val="C00000"/>
        </w:rPr>
        <w:t xml:space="preserve">2019;59(2):178-186.  </w:t>
      </w:r>
    </w:p>
    <w:bookmarkEnd w:id="7"/>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8" w:name="Section1a3"/>
      <w:bookmarkEnd w:id="8"/>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 xml:space="preserve">If the </w:t>
      </w:r>
      <w:r w:rsidR="00C41794">
        <w:rPr>
          <w:b/>
          <w:iCs/>
        </w:rPr>
        <w:lastRenderedPageBreak/>
        <w:t>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lastRenderedPageBreak/>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9" w:name="Section1a8"/>
      <w:bookmarkEnd w:id="9"/>
      <w:r>
        <w:rPr>
          <w:b/>
          <w:color w:val="0000FF"/>
        </w:rPr>
        <w:t>1a.4</w:t>
      </w:r>
      <w:r w:rsidR="00837121" w:rsidRPr="003B1CC5">
        <w:rPr>
          <w:b/>
          <w:color w:val="0000FF"/>
        </w:rPr>
        <w:t xml:space="preserve"> </w:t>
      </w:r>
      <w:r w:rsidR="00837121" w:rsidRPr="003B1CC5">
        <w:rPr>
          <w:b/>
        </w:rPr>
        <w:t>OTHER SOURCE OF EVIDENCE</w:t>
      </w:r>
    </w:p>
    <w:p w14:paraId="55B8DA97" w14:textId="2083A672" w:rsidR="00837121"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7E240DA0" w14:textId="77777777" w:rsidR="00FB41B1" w:rsidRDefault="00FB41B1" w:rsidP="00FB41B1">
      <w:pPr>
        <w:spacing w:before="120"/>
        <w:ind w:left="0" w:firstLine="0"/>
        <w:rPr>
          <w:color w:val="7030A0"/>
        </w:rPr>
      </w:pPr>
      <w:r w:rsidRPr="00D4798B">
        <w:rPr>
          <w:color w:val="7030A0"/>
        </w:rPr>
        <w:t>N/A</w:t>
      </w:r>
    </w:p>
    <w:p w14:paraId="55B8DA99" w14:textId="482B9E33" w:rsidR="000E5C93" w:rsidRDefault="000E5C93" w:rsidP="00FB41B1">
      <w:pPr>
        <w:spacing w:before="120"/>
        <w:ind w:left="0" w:firstLine="0"/>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4295CDAC" w14:textId="77777777" w:rsidR="00FB41B1" w:rsidRDefault="00FB41B1" w:rsidP="00FB41B1">
      <w:pPr>
        <w:spacing w:before="120"/>
        <w:ind w:left="0" w:firstLine="0"/>
        <w:rPr>
          <w:color w:val="7030A0"/>
        </w:rPr>
      </w:pPr>
      <w:r w:rsidRPr="00D4798B">
        <w:rPr>
          <w:color w:val="7030A0"/>
        </w:rPr>
        <w:t>N/A</w:t>
      </w:r>
    </w:p>
    <w:p w14:paraId="55B8DA9C" w14:textId="7DC0DAD8" w:rsidR="00837121" w:rsidRDefault="000E5C93" w:rsidP="00FB41B1">
      <w:pPr>
        <w:spacing w:before="120"/>
        <w:ind w:left="0" w:firstLine="0"/>
        <w:rPr>
          <w:b/>
        </w:rPr>
      </w:pPr>
      <w:r w:rsidRPr="000E5C93">
        <w:rPr>
          <w:b/>
          <w:color w:val="244061" w:themeColor="accent1" w:themeShade="80"/>
        </w:rPr>
        <w:t xml:space="preserve">1a.4.2 </w:t>
      </w:r>
      <w:r w:rsidR="00837121" w:rsidRPr="003B1CC5">
        <w:rPr>
          <w:b/>
        </w:rPr>
        <w:t>What process was used to identify the evidence?</w:t>
      </w:r>
    </w:p>
    <w:p w14:paraId="7786042A" w14:textId="77777777" w:rsidR="00FB41B1" w:rsidRPr="00D4798B" w:rsidRDefault="00FB41B1" w:rsidP="00FB41B1">
      <w:pPr>
        <w:spacing w:before="120"/>
        <w:ind w:left="0" w:firstLine="0"/>
        <w:rPr>
          <w:color w:val="7030A0"/>
        </w:rPr>
      </w:pPr>
      <w:r w:rsidRPr="00D4798B">
        <w:rPr>
          <w:color w:val="7030A0"/>
        </w:rPr>
        <w:t>N/A</w:t>
      </w:r>
    </w:p>
    <w:p w14:paraId="458A5710" w14:textId="77777777" w:rsidR="0023164B" w:rsidRDefault="0023164B" w:rsidP="002E2177">
      <w:pPr>
        <w:ind w:left="0" w:firstLine="0"/>
        <w:rPr>
          <w:b/>
          <w:color w:val="0000FF"/>
        </w:rPr>
      </w:pPr>
    </w:p>
    <w:p w14:paraId="401DA035" w14:textId="4582059B" w:rsidR="0023164B" w:rsidRDefault="000E5C93" w:rsidP="00FB41B1">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1F2EA5FF" w14:textId="77777777" w:rsidR="00FB41B1" w:rsidRPr="00D4798B" w:rsidRDefault="00FB41B1" w:rsidP="00FB41B1">
      <w:pPr>
        <w:spacing w:before="120"/>
        <w:ind w:left="0" w:firstLine="0"/>
        <w:rPr>
          <w:color w:val="7030A0"/>
        </w:rPr>
      </w:pPr>
      <w:r w:rsidRPr="00D4798B">
        <w:rPr>
          <w:color w:val="7030A0"/>
        </w:rPr>
        <w:t>N/A</w:t>
      </w:r>
    </w:p>
    <w:p w14:paraId="281DED8B" w14:textId="77777777" w:rsidR="00FB41B1" w:rsidRPr="00FB41B1" w:rsidRDefault="00FB41B1" w:rsidP="00FB41B1">
      <w:pPr>
        <w:ind w:left="0" w:firstLine="0"/>
        <w:rPr>
          <w:b/>
        </w:rPr>
      </w:pPr>
    </w:p>
    <w:sectPr w:rsidR="00FB41B1" w:rsidRPr="00FB41B1">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36795070"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DD1AB0">
      <w:rPr>
        <w:noProof/>
      </w:rPr>
      <w:t>6</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0EB7"/>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034B"/>
    <w:rsid w:val="001B38BF"/>
    <w:rsid w:val="001B772D"/>
    <w:rsid w:val="001D5B5D"/>
    <w:rsid w:val="001E6153"/>
    <w:rsid w:val="00201FF9"/>
    <w:rsid w:val="00205857"/>
    <w:rsid w:val="0023164B"/>
    <w:rsid w:val="00235ADC"/>
    <w:rsid w:val="00236F87"/>
    <w:rsid w:val="00265702"/>
    <w:rsid w:val="002662B2"/>
    <w:rsid w:val="002717C7"/>
    <w:rsid w:val="002875E9"/>
    <w:rsid w:val="00287EB3"/>
    <w:rsid w:val="002A47BA"/>
    <w:rsid w:val="002A6777"/>
    <w:rsid w:val="002B06BD"/>
    <w:rsid w:val="002C0E48"/>
    <w:rsid w:val="002C6F04"/>
    <w:rsid w:val="002C78FC"/>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17896"/>
    <w:rsid w:val="00422917"/>
    <w:rsid w:val="00440687"/>
    <w:rsid w:val="0044131D"/>
    <w:rsid w:val="00441ADA"/>
    <w:rsid w:val="00457E46"/>
    <w:rsid w:val="004922E4"/>
    <w:rsid w:val="00496AF8"/>
    <w:rsid w:val="004A575D"/>
    <w:rsid w:val="004B65C6"/>
    <w:rsid w:val="004D1DC7"/>
    <w:rsid w:val="004E7215"/>
    <w:rsid w:val="004F7D7E"/>
    <w:rsid w:val="00500B0C"/>
    <w:rsid w:val="00515FDB"/>
    <w:rsid w:val="00537150"/>
    <w:rsid w:val="00540984"/>
    <w:rsid w:val="00543851"/>
    <w:rsid w:val="0055559D"/>
    <w:rsid w:val="005569AE"/>
    <w:rsid w:val="00573A3A"/>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3FC1"/>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A0F0E"/>
    <w:rsid w:val="007B4887"/>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2AB7"/>
    <w:rsid w:val="00905C5B"/>
    <w:rsid w:val="00921596"/>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A701F"/>
    <w:rsid w:val="00BE2295"/>
    <w:rsid w:val="00BE6373"/>
    <w:rsid w:val="00BF533A"/>
    <w:rsid w:val="00C05685"/>
    <w:rsid w:val="00C41794"/>
    <w:rsid w:val="00C46677"/>
    <w:rsid w:val="00C5180E"/>
    <w:rsid w:val="00C54E40"/>
    <w:rsid w:val="00C55F56"/>
    <w:rsid w:val="00C57091"/>
    <w:rsid w:val="00C57BA4"/>
    <w:rsid w:val="00C613EB"/>
    <w:rsid w:val="00C71C1A"/>
    <w:rsid w:val="00C84623"/>
    <w:rsid w:val="00CB06C9"/>
    <w:rsid w:val="00CB1E41"/>
    <w:rsid w:val="00CB271C"/>
    <w:rsid w:val="00CC0F87"/>
    <w:rsid w:val="00CE4F96"/>
    <w:rsid w:val="00CE75B8"/>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D1AB0"/>
    <w:rsid w:val="00DE1F5D"/>
    <w:rsid w:val="00DE50D8"/>
    <w:rsid w:val="00DF278A"/>
    <w:rsid w:val="00E11A82"/>
    <w:rsid w:val="00E12153"/>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4E05"/>
    <w:rsid w:val="00FA7323"/>
    <w:rsid w:val="00FB1299"/>
    <w:rsid w:val="00FB41B1"/>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styleId="UnresolvedMention">
    <w:name w:val="Unresolved Mention"/>
    <w:basedOn w:val="DefaultParagraphFont"/>
    <w:uiPriority w:val="99"/>
    <w:semiHidden/>
    <w:unhideWhenUsed/>
    <w:rsid w:val="00BA701F"/>
    <w:rPr>
      <w:color w:val="808080"/>
      <w:shd w:val="clear" w:color="auto" w:fill="E6E6E6"/>
    </w:rPr>
  </w:style>
  <w:style w:type="character" w:styleId="Emphasis">
    <w:name w:val="Emphasis"/>
    <w:basedOn w:val="DefaultParagraphFont"/>
    <w:uiPriority w:val="20"/>
    <w:qFormat/>
    <w:rsid w:val="007B48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s://www.cdc.gov/nchs/fastats/copd.ht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yperlink" Target="https://qualitynet.org/inpatient/measures/mortality/methodology"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nhlbi.nih.gov/health-topics/copd"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5DC01B702F84877A40DD7D88A2BEE33"/>
        <w:category>
          <w:name w:val="General"/>
          <w:gallery w:val="placeholder"/>
        </w:category>
        <w:types>
          <w:type w:val="bbPlcHdr"/>
        </w:types>
        <w:behaviors>
          <w:behavior w:val="content"/>
        </w:behaviors>
        <w:guid w:val="{17A01FCF-BA5C-47FF-9E7C-C0F2B7A96B92}"/>
      </w:docPartPr>
      <w:docPartBody>
        <w:p w:rsidR="00674EE0" w:rsidRDefault="00CF3F24" w:rsidP="00CF3F24">
          <w:pPr>
            <w:pStyle w:val="85DC01B702F84877A40DD7D88A2BEE33"/>
          </w:pPr>
          <w:r w:rsidRPr="003B1CC5">
            <w:rPr>
              <w:rStyle w:val="PlaceholderText"/>
              <w:rFonts w:cstheme="minorHAnsi"/>
              <w:color w:val="A6A6A6" w:themeColor="background1" w:themeShade="A6"/>
            </w:rPr>
            <w:t>Click here to enter measure title</w:t>
          </w:r>
        </w:p>
      </w:docPartBody>
    </w:docPart>
    <w:docPart>
      <w:docPartPr>
        <w:name w:val="FD92DEBA0F574F888E8F14101E12882D"/>
        <w:category>
          <w:name w:val="General"/>
          <w:gallery w:val="placeholder"/>
        </w:category>
        <w:types>
          <w:type w:val="bbPlcHdr"/>
        </w:types>
        <w:behaviors>
          <w:behavior w:val="content"/>
        </w:behaviors>
        <w:guid w:val="{4C3E00D7-F25F-473E-9A4F-8C90D1FC1AB6}"/>
      </w:docPartPr>
      <w:docPartBody>
        <w:p w:rsidR="00674EE0" w:rsidRDefault="00CF3F24" w:rsidP="00CF3F24">
          <w:pPr>
            <w:pStyle w:val="FD92DEBA0F574F888E8F14101E12882D"/>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674EE0"/>
    <w:rsid w:val="008F6A9B"/>
    <w:rsid w:val="00A77B15"/>
    <w:rsid w:val="00BE0F2D"/>
    <w:rsid w:val="00C03643"/>
    <w:rsid w:val="00C2797F"/>
    <w:rsid w:val="00C80225"/>
    <w:rsid w:val="00CF3F24"/>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3F24"/>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85DC01B702F84877A40DD7D88A2BEE33">
    <w:name w:val="85DC01B702F84877A40DD7D88A2BEE33"/>
    <w:rsid w:val="00CF3F24"/>
    <w:pPr>
      <w:spacing w:after="160" w:line="259" w:lineRule="auto"/>
    </w:pPr>
  </w:style>
  <w:style w:type="paragraph" w:customStyle="1" w:styleId="FD92DEBA0F574F888E8F14101E12882D">
    <w:name w:val="FD92DEBA0F574F888E8F14101E12882D"/>
    <w:rsid w:val="00CF3F2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www.w3.org/XML/1998/namespace"/>
    <ds:schemaRef ds:uri="http://schemas.microsoft.com/office/2006/documentManagement/types"/>
    <ds:schemaRef ds:uri="http://purl.org/dc/dcmitype/"/>
    <ds:schemaRef ds:uri="http://purl.org/dc/elements/1.1/"/>
    <ds:schemaRef ds:uri="http://schemas.microsoft.com/office/infopath/2007/PartnerControls"/>
    <ds:schemaRef ds:uri="836b82f1-340d-495e-85b5-201c5296619a"/>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5.xml><?xml version="1.0" encoding="utf-8"?>
<ds:datastoreItem xmlns:ds="http://schemas.openxmlformats.org/officeDocument/2006/customXml" ds:itemID="{6DED9A62-74F1-4F5B-9401-8C2A7D55E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2926</Words>
  <Characters>16680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Harris, Alexandra</cp:lastModifiedBy>
  <cp:revision>3</cp:revision>
  <dcterms:created xsi:type="dcterms:W3CDTF">2020-07-02T13:27:00Z</dcterms:created>
  <dcterms:modified xsi:type="dcterms:W3CDTF">2020-07-02T16:24:00Z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