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B0E53" w14:textId="77777777" w:rsidR="00927027" w:rsidRDefault="00927027" w:rsidP="00927027">
      <w:pPr>
        <w:contextualSpacing/>
        <w:jc w:val="center"/>
        <w:rPr>
          <w:rFonts w:cstheme="minorHAnsi"/>
          <w:b/>
          <w:noProof/>
        </w:rPr>
      </w:pPr>
      <w:bookmarkStart w:id="0" w:name="_GoBack"/>
      <w:bookmarkEnd w:id="0"/>
      <w:r>
        <w:rPr>
          <w:rFonts w:cstheme="minorHAnsi"/>
          <w:b/>
          <w:noProof/>
        </w:rPr>
        <w:t>Measure Te</w:t>
      </w:r>
      <w:r w:rsidR="00483E94">
        <w:rPr>
          <w:rFonts w:cstheme="minorHAnsi"/>
          <w:b/>
          <w:noProof/>
        </w:rPr>
        <w:t>sting to Demonstrate Scientific Acceptability of Measure Properties</w:t>
      </w:r>
    </w:p>
    <w:p w14:paraId="524B0E54" w14:textId="77777777" w:rsidR="00927027" w:rsidRDefault="00927027" w:rsidP="00105D8B">
      <w:pPr>
        <w:contextualSpacing/>
        <w:rPr>
          <w:rFonts w:cstheme="minorHAnsi"/>
          <w:b/>
          <w:noProof/>
        </w:rPr>
      </w:pPr>
    </w:p>
    <w:p w14:paraId="524B0E55" w14:textId="7777777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8D7592" w:rsidRPr="008D7592">
            <w:rPr>
              <w:rStyle w:val="Style1"/>
              <w:rFonts w:cstheme="minorHAnsi"/>
            </w:rPr>
            <w:t>Gastrointestinal Hemorrhage Mortality Rate</w:t>
          </w:r>
          <w:r w:rsidR="008D7592">
            <w:rPr>
              <w:rStyle w:val="Style1"/>
              <w:rFonts w:cstheme="minorHAnsi"/>
            </w:rPr>
            <w:t xml:space="preserve"> (IQI #18)</w:t>
          </w:r>
        </w:sdtContent>
      </w:sdt>
    </w:p>
    <w:p w14:paraId="524B0E56" w14:textId="77777777"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2-01-07T00:00:00Z">
            <w:dateFormat w:val="M/d/yyyy"/>
            <w:lid w:val="en-US"/>
            <w:storeMappedDataAs w:val="dateTime"/>
            <w:calendar w:val="gregorian"/>
          </w:date>
        </w:sdtPr>
        <w:sdtEndPr>
          <w:rPr>
            <w:rStyle w:val="DefaultParagraphFont"/>
            <w:noProof/>
            <w:color w:val="auto"/>
            <w:u w:val="none"/>
          </w:rPr>
        </w:sdtEndPr>
        <w:sdtContent>
          <w:r w:rsidR="00E34E1B">
            <w:rPr>
              <w:rStyle w:val="Style2"/>
              <w:rFonts w:cstheme="minorHAnsi"/>
            </w:rPr>
            <w:t>1/7/2012</w:t>
          </w:r>
        </w:sdtContent>
      </w:sdt>
    </w:p>
    <w:p w14:paraId="524B0E5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88"/>
        <w:gridCol w:w="4788"/>
      </w:tblGrid>
      <w:tr w:rsidR="00CD364B" w:rsidRPr="00A01494" w14:paraId="524B0E5A" w14:textId="77777777" w:rsidTr="00CD364B">
        <w:trPr>
          <w:jc w:val="center"/>
        </w:trPr>
        <w:tc>
          <w:tcPr>
            <w:tcW w:w="2500" w:type="pct"/>
          </w:tcPr>
          <w:p w14:paraId="524B0E58" w14:textId="77777777" w:rsidR="00CD364B" w:rsidRPr="00A01494" w:rsidRDefault="007E3559" w:rsidP="00CD364B">
            <w:pPr>
              <w:autoSpaceDE w:val="0"/>
              <w:autoSpaceDN w:val="0"/>
              <w:adjustRightInd w:val="0"/>
              <w:rPr>
                <w:rFonts w:cstheme="minorHAnsi"/>
                <w:bCs/>
              </w:rPr>
            </w:pPr>
            <w:sdt>
              <w:sdtPr>
                <w:rPr>
                  <w:rFonts w:eastAsia="MS Mincho" w:cstheme="minorHAnsi"/>
                  <w:bCs/>
                  <w:color w:val="0000FF"/>
                  <w:u w:val="single"/>
                </w:rPr>
                <w:id w:val="2117097531"/>
              </w:sdtPr>
              <w:sdtEndPr/>
              <w:sdtContent>
                <w:r w:rsidR="00CD364B">
                  <w:rPr>
                    <w:rFonts w:ascii="MS Mincho" w:eastAsia="MS Mincho" w:hAnsi="MS Mincho" w:cstheme="minorHAnsi" w:hint="eastAsia"/>
                    <w:bCs/>
                    <w:color w:val="0000FF"/>
                  </w:rPr>
                  <w:t>☐</w:t>
                </w:r>
              </w:sdtContent>
            </w:sdt>
            <w:r w:rsidR="00B20139">
              <w:rPr>
                <w:rFonts w:eastAsia="MS Mincho" w:cstheme="minorHAnsi"/>
                <w:bCs/>
                <w:color w:val="0000FF"/>
              </w:rPr>
              <w:t xml:space="preserve"> </w:t>
            </w:r>
            <w:r w:rsidR="00CD364B">
              <w:rPr>
                <w:rFonts w:cstheme="minorHAnsi"/>
                <w:bCs/>
              </w:rPr>
              <w:t>Composite</w:t>
            </w:r>
          </w:p>
        </w:tc>
        <w:tc>
          <w:tcPr>
            <w:tcW w:w="2500" w:type="pct"/>
          </w:tcPr>
          <w:p w14:paraId="524B0E59" w14:textId="77777777" w:rsidR="00CD364B" w:rsidRPr="008D7592" w:rsidRDefault="007E3559" w:rsidP="00CD364B">
            <w:pPr>
              <w:autoSpaceDE w:val="0"/>
              <w:autoSpaceDN w:val="0"/>
              <w:adjustRightInd w:val="0"/>
              <w:rPr>
                <w:rFonts w:cstheme="minorHAnsi"/>
                <w:bCs/>
                <w:highlight w:val="yellow"/>
              </w:rPr>
            </w:pPr>
            <w:sdt>
              <w:sdtPr>
                <w:rPr>
                  <w:rFonts w:eastAsia="MS Mincho" w:cstheme="minorHAnsi"/>
                  <w:bCs/>
                  <w:color w:val="0000FF"/>
                  <w:highlight w:val="yellow"/>
                </w:rPr>
                <w:id w:val="754863563"/>
              </w:sdtPr>
              <w:sdtEndPr/>
              <w:sdtContent>
                <w:r w:rsidR="005C739F" w:rsidRPr="008D7592">
                  <w:rPr>
                    <w:rFonts w:ascii="MS Mincho" w:eastAsia="MS Mincho" w:hAnsi="MS Mincho" w:cstheme="minorHAnsi" w:hint="eastAsia"/>
                    <w:bCs/>
                    <w:color w:val="0000FF"/>
                    <w:highlight w:val="yellow"/>
                  </w:rPr>
                  <w:t>☐</w:t>
                </w:r>
              </w:sdtContent>
            </w:sdt>
            <w:r w:rsidR="00CD364B" w:rsidRPr="008D7592">
              <w:rPr>
                <w:rFonts w:cstheme="minorHAnsi"/>
                <w:bCs/>
                <w:highlight w:val="yellow"/>
              </w:rPr>
              <w:t>Outcome</w:t>
            </w:r>
          </w:p>
        </w:tc>
      </w:tr>
      <w:tr w:rsidR="00CD364B" w:rsidRPr="00A01494" w14:paraId="524B0E5D" w14:textId="77777777" w:rsidTr="00CD364B">
        <w:trPr>
          <w:jc w:val="center"/>
        </w:trPr>
        <w:tc>
          <w:tcPr>
            <w:tcW w:w="2500" w:type="pct"/>
          </w:tcPr>
          <w:p w14:paraId="524B0E5B" w14:textId="77777777" w:rsidR="00CD364B" w:rsidRPr="00A01494" w:rsidRDefault="007E3559" w:rsidP="00CD364B">
            <w:pPr>
              <w:autoSpaceDE w:val="0"/>
              <w:autoSpaceDN w:val="0"/>
              <w:adjustRightInd w:val="0"/>
              <w:rPr>
                <w:rFonts w:cstheme="minorHAnsi"/>
                <w:bCs/>
              </w:rPr>
            </w:pPr>
            <w:sdt>
              <w:sdtPr>
                <w:rPr>
                  <w:rFonts w:eastAsia="MS Mincho" w:cstheme="minorHAnsi"/>
                  <w:bCs/>
                  <w:color w:val="0000FF"/>
                </w:rPr>
                <w:id w:val="-1096472788"/>
              </w:sdtPr>
              <w:sdtEndPr/>
              <w:sdtContent>
                <w:r w:rsidR="00CD364B" w:rsidRPr="00A01494">
                  <w:rPr>
                    <w:rFonts w:ascii="MS Mincho" w:eastAsia="MS Mincho" w:hAnsi="MS Mincho" w:cstheme="minorHAnsi" w:hint="eastAsia"/>
                    <w:bCs/>
                    <w:color w:val="0000FF"/>
                  </w:rPr>
                  <w:t>☐</w:t>
                </w:r>
              </w:sdtContent>
            </w:sdt>
            <w:r w:rsidR="00CD364B">
              <w:rPr>
                <w:rFonts w:eastAsia="MS Gothic" w:cstheme="minorHAnsi"/>
                <w:bCs/>
              </w:rPr>
              <w:t>Cost/resource</w:t>
            </w:r>
          </w:p>
        </w:tc>
        <w:tc>
          <w:tcPr>
            <w:tcW w:w="2500" w:type="pct"/>
          </w:tcPr>
          <w:p w14:paraId="524B0E5C" w14:textId="77777777" w:rsidR="00CD364B" w:rsidRPr="00A01494" w:rsidRDefault="007E3559" w:rsidP="00CD364B">
            <w:pPr>
              <w:autoSpaceDE w:val="0"/>
              <w:autoSpaceDN w:val="0"/>
              <w:adjustRightInd w:val="0"/>
              <w:rPr>
                <w:rFonts w:cstheme="minorHAnsi"/>
                <w:bCs/>
              </w:rPr>
            </w:pPr>
            <w:sdt>
              <w:sdtPr>
                <w:rPr>
                  <w:rFonts w:eastAsia="MS Mincho" w:cstheme="minorHAnsi"/>
                  <w:bCs/>
                  <w:color w:val="0000FF"/>
                </w:rPr>
                <w:id w:val="523839226"/>
              </w:sdtPr>
              <w:sdtEndPr/>
              <w:sdtContent>
                <w:r w:rsidR="00CD364B" w:rsidRPr="00A01494">
                  <w:rPr>
                    <w:rFonts w:ascii="MS Mincho" w:eastAsia="MS Mincho" w:hAnsi="MS Mincho" w:cstheme="minorHAnsi" w:hint="eastAsia"/>
                    <w:bCs/>
                    <w:color w:val="0000FF"/>
                  </w:rPr>
                  <w:t>☐</w:t>
                </w:r>
              </w:sdtContent>
            </w:sdt>
            <w:r w:rsidR="00CD364B">
              <w:rPr>
                <w:rFonts w:eastAsia="MS Gothic" w:cstheme="minorHAnsi"/>
                <w:bCs/>
              </w:rPr>
              <w:t>Process</w:t>
            </w:r>
          </w:p>
        </w:tc>
      </w:tr>
      <w:tr w:rsidR="00CD364B" w:rsidRPr="00A01494" w14:paraId="524B0E60" w14:textId="77777777" w:rsidTr="00CD364B">
        <w:trPr>
          <w:jc w:val="center"/>
        </w:trPr>
        <w:tc>
          <w:tcPr>
            <w:tcW w:w="2500" w:type="pct"/>
          </w:tcPr>
          <w:p w14:paraId="524B0E5E" w14:textId="77777777" w:rsidR="00CD364B" w:rsidRPr="00A01494" w:rsidRDefault="007E3559" w:rsidP="00CD364B">
            <w:pPr>
              <w:autoSpaceDE w:val="0"/>
              <w:autoSpaceDN w:val="0"/>
              <w:adjustRightInd w:val="0"/>
              <w:rPr>
                <w:rFonts w:cstheme="minorHAnsi"/>
                <w:bCs/>
              </w:rPr>
            </w:pPr>
            <w:sdt>
              <w:sdtPr>
                <w:rPr>
                  <w:rFonts w:eastAsia="MS Mincho" w:cstheme="minorHAnsi"/>
                  <w:bCs/>
                  <w:color w:val="0000FF"/>
                </w:rPr>
                <w:id w:val="-2071025758"/>
              </w:sdtPr>
              <w:sdtEndPr/>
              <w:sdtContent>
                <w:r w:rsidR="00CD364B" w:rsidRPr="00A01494">
                  <w:rPr>
                    <w:rFonts w:ascii="MS Mincho" w:eastAsia="MS Mincho" w:hAnsi="MS Mincho" w:cstheme="minorHAnsi" w:hint="eastAsia"/>
                    <w:bCs/>
                    <w:color w:val="0000FF"/>
                  </w:rPr>
                  <w:t>☐</w:t>
                </w:r>
              </w:sdtContent>
            </w:sdt>
            <w:r w:rsidR="00CD364B">
              <w:rPr>
                <w:rFonts w:eastAsia="MS Gothic" w:cstheme="minorHAnsi"/>
                <w:bCs/>
              </w:rPr>
              <w:t>Efficiency</w:t>
            </w:r>
          </w:p>
        </w:tc>
        <w:tc>
          <w:tcPr>
            <w:tcW w:w="2500" w:type="pct"/>
          </w:tcPr>
          <w:p w14:paraId="524B0E5F" w14:textId="77777777" w:rsidR="00CD364B" w:rsidRPr="00A01494" w:rsidRDefault="007E3559" w:rsidP="00CD364B">
            <w:pPr>
              <w:autoSpaceDE w:val="0"/>
              <w:autoSpaceDN w:val="0"/>
              <w:adjustRightInd w:val="0"/>
              <w:rPr>
                <w:rFonts w:cstheme="minorHAnsi"/>
                <w:bCs/>
              </w:rPr>
            </w:pPr>
            <w:sdt>
              <w:sdtPr>
                <w:rPr>
                  <w:rFonts w:eastAsia="MS Mincho" w:cstheme="minorHAnsi"/>
                  <w:bCs/>
                  <w:color w:val="0000FF"/>
                </w:rPr>
                <w:id w:val="1631897189"/>
              </w:sdtPr>
              <w:sdtEndPr/>
              <w:sdtContent>
                <w:r w:rsidR="00CD364B" w:rsidRPr="00A01494">
                  <w:rPr>
                    <w:rFonts w:ascii="MS Mincho" w:eastAsia="MS Mincho" w:hAnsi="MS Mincho" w:cstheme="minorHAnsi" w:hint="eastAsia"/>
                    <w:bCs/>
                    <w:color w:val="0000FF"/>
                  </w:rPr>
                  <w:t>☐</w:t>
                </w:r>
              </w:sdtContent>
            </w:sdt>
            <w:r w:rsidR="00CD364B">
              <w:rPr>
                <w:rFonts w:eastAsia="MS Gothic" w:cstheme="minorHAnsi"/>
                <w:bCs/>
              </w:rPr>
              <w:t>Structure</w:t>
            </w:r>
          </w:p>
        </w:tc>
      </w:tr>
    </w:tbl>
    <w:p w14:paraId="524B0E61" w14:textId="77777777" w:rsidR="00CD364B" w:rsidRDefault="00CD364B" w:rsidP="00CD364B">
      <w:pPr>
        <w:spacing w:after="0" w:line="240" w:lineRule="auto"/>
        <w:rPr>
          <w:rFonts w:eastAsia="Times New Roman" w:cstheme="minorHAnsi"/>
        </w:rPr>
      </w:pPr>
    </w:p>
    <w:p w14:paraId="524B0E62" w14:textId="77777777" w:rsidR="00CD364B" w:rsidRDefault="00CD364B" w:rsidP="008A403A">
      <w:pPr>
        <w:spacing w:after="0" w:line="240" w:lineRule="auto"/>
        <w:rPr>
          <w:rFonts w:cstheme="minorHAnsi"/>
          <w:noProof/>
        </w:rPr>
      </w:pPr>
    </w:p>
    <w:tbl>
      <w:tblPr>
        <w:tblStyle w:val="TableGrid"/>
        <w:tblW w:w="0" w:type="auto"/>
        <w:tblLook w:val="04A0" w:firstRow="1" w:lastRow="0" w:firstColumn="1" w:lastColumn="0" w:noHBand="0" w:noVBand="1"/>
      </w:tblPr>
      <w:tblGrid>
        <w:gridCol w:w="9576"/>
      </w:tblGrid>
      <w:tr w:rsidR="00702C73" w14:paraId="524B0E6A" w14:textId="77777777" w:rsidTr="00702C73">
        <w:tc>
          <w:tcPr>
            <w:tcW w:w="9576" w:type="dxa"/>
          </w:tcPr>
          <w:p w14:paraId="524B0E63" w14:textId="77777777" w:rsidR="00702C73" w:rsidRPr="00A25024" w:rsidRDefault="00702C73" w:rsidP="00702C73">
            <w:pPr>
              <w:rPr>
                <w:rFonts w:cstheme="minorHAnsi"/>
                <w:noProof/>
              </w:rPr>
            </w:pPr>
            <w:r w:rsidRPr="00A25024">
              <w:rPr>
                <w:rFonts w:cstheme="minorHAnsi"/>
                <w:noProof/>
              </w:rPr>
              <w:t>This Word document template must be used to submit information for measure testing.</w:t>
            </w:r>
          </w:p>
          <w:p w14:paraId="524B0E64" w14:textId="77777777" w:rsidR="00702C73" w:rsidRPr="00053F02" w:rsidRDefault="00702C73" w:rsidP="00702C73">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2b5 must be completed</w:t>
            </w:r>
          </w:p>
          <w:p w14:paraId="524B0E65" w14:textId="77777777" w:rsidR="00702C73" w:rsidRDefault="00702C73" w:rsidP="00702C73">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outcome or 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p>
          <w:p w14:paraId="524B0E66" w14:textId="77777777" w:rsidR="00702C73" w:rsidRDefault="00702C73" w:rsidP="00702C73">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Pr>
                <w:rFonts w:cstheme="minorHAnsi"/>
                <w:noProof/>
              </w:rPr>
              <w:t xml:space="preserve"> (e.g., claims and medical records), section </w:t>
            </w:r>
            <w:r w:rsidRPr="00053F02">
              <w:rPr>
                <w:rFonts w:cstheme="minorHAnsi"/>
                <w:b/>
                <w:noProof/>
              </w:rPr>
              <w:t>2b6</w:t>
            </w:r>
            <w:r>
              <w:rPr>
                <w:rFonts w:cstheme="minorHAnsi"/>
                <w:noProof/>
              </w:rPr>
              <w:t xml:space="preserve"> also must be completed</w:t>
            </w:r>
          </w:p>
          <w:p w14:paraId="524B0E67" w14:textId="77777777" w:rsidR="00702C73" w:rsidRDefault="00702C73" w:rsidP="00702C73">
            <w:pPr>
              <w:pStyle w:val="ListParagraph"/>
              <w:numPr>
                <w:ilvl w:val="0"/>
                <w:numId w:val="6"/>
              </w:numPr>
              <w:rPr>
                <w:rFonts w:cstheme="minorHAnsi"/>
                <w:noProof/>
              </w:rPr>
            </w:pPr>
            <w:r w:rsidRPr="00702C73">
              <w:rPr>
                <w:rFonts w:cstheme="minorHAnsi"/>
                <w:noProof/>
              </w:rPr>
              <w:t xml:space="preserve">Respond to  </w:t>
            </w:r>
            <w:r w:rsidRPr="00702C73">
              <w:rPr>
                <w:rFonts w:cstheme="minorHAnsi"/>
                <w:noProof/>
                <w:u w:val="single"/>
              </w:rPr>
              <w:t>all</w:t>
            </w:r>
            <w:r w:rsidRPr="00702C73">
              <w:rPr>
                <w:rFonts w:cstheme="minorHAnsi"/>
                <w:noProof/>
              </w:rPr>
              <w:t xml:space="preserve"> questions with answers immediately following the question (</w:t>
            </w:r>
            <w:r w:rsidRPr="00702C73">
              <w:rPr>
                <w:rFonts w:cstheme="minorHAnsi"/>
                <w:i/>
                <w:noProof/>
              </w:rPr>
              <w:t>unless meet the skip criteria or those that are indicated as optional</w:t>
            </w:r>
            <w:r w:rsidRPr="00702C73">
              <w:rPr>
                <w:rFonts w:cstheme="minorHAnsi"/>
                <w:noProof/>
              </w:rPr>
              <w:t>).</w:t>
            </w:r>
          </w:p>
          <w:p w14:paraId="524B0E68" w14:textId="77777777" w:rsidR="00702C73" w:rsidRDefault="00702C73" w:rsidP="00702C73">
            <w:pPr>
              <w:pStyle w:val="ListParagraph"/>
              <w:numPr>
                <w:ilvl w:val="0"/>
                <w:numId w:val="6"/>
              </w:numPr>
              <w:rPr>
                <w:rFonts w:cstheme="minorHAnsi"/>
                <w:noProof/>
              </w:rPr>
            </w:pPr>
            <w:r w:rsidRPr="006269D4">
              <w:rPr>
                <w:rFonts w:cstheme="minorHAnsi"/>
                <w:noProof/>
              </w:rPr>
              <w:t>Maximum of 10 pages (</w:t>
            </w:r>
            <w:r>
              <w:rPr>
                <w:rFonts w:cstheme="minorHAnsi"/>
                <w:i/>
                <w:noProof/>
              </w:rPr>
              <w:t>incuding</w:t>
            </w:r>
            <w:r w:rsidRPr="006269D4">
              <w:rPr>
                <w:rFonts w:cstheme="minorHAnsi"/>
                <w:i/>
                <w:noProof/>
              </w:rPr>
              <w:t xml:space="preserve"> qu</w:t>
            </w:r>
            <w:r>
              <w:rPr>
                <w:rFonts w:cstheme="minorHAnsi"/>
                <w:i/>
                <w:noProof/>
              </w:rPr>
              <w:t>estions/instructions; do not change margins or font size; contact project staff if need more pages</w:t>
            </w:r>
            <w:r>
              <w:rPr>
                <w:rFonts w:cstheme="minorHAnsi"/>
                <w:noProof/>
              </w:rPr>
              <w:t>)</w:t>
            </w:r>
          </w:p>
          <w:p w14:paraId="524B0E69" w14:textId="77777777" w:rsidR="00702C73" w:rsidRDefault="00702C73" w:rsidP="00702C73">
            <w:pPr>
              <w:pStyle w:val="ListParagraph"/>
              <w:numPr>
                <w:ilvl w:val="0"/>
                <w:numId w:val="6"/>
              </w:numPr>
              <w:rPr>
                <w:rFonts w:cstheme="minorHAnsi"/>
                <w:noProof/>
              </w:rPr>
            </w:pPr>
            <w:r w:rsidRPr="00702C73">
              <w:rPr>
                <w:rFonts w:cstheme="minorHAnsi"/>
                <w:noProof/>
              </w:rPr>
              <w:t xml:space="preserve">All information </w:t>
            </w:r>
            <w:r>
              <w:rPr>
                <w:rFonts w:cstheme="minorHAnsi"/>
                <w:noProof/>
              </w:rPr>
              <w:t xml:space="preserve">on </w:t>
            </w:r>
            <w:r w:rsidRPr="00702C73">
              <w:rPr>
                <w:rFonts w:cstheme="minorHAnsi"/>
                <w:noProof/>
              </w:rPr>
              <w:t xml:space="preserve">testing to demonstrate meeting the </w:t>
            </w:r>
            <w:hyperlink r:id="rId11" w:history="1">
              <w:r w:rsidRPr="00702C73">
                <w:rPr>
                  <w:rStyle w:val="Hyperlink"/>
                  <w:rFonts w:cstheme="minorHAnsi"/>
                  <w:noProof/>
                </w:rPr>
                <w:t>criteria for scientific acceptability of measure properties (2a,2b)</w:t>
              </w:r>
            </w:hyperlink>
            <w:r w:rsidRPr="00702C73">
              <w:rPr>
                <w:rFonts w:cstheme="minorHAnsi"/>
                <w:noProof/>
              </w:rPr>
              <w:t xml:space="preserve"> must be in this form. An appendix for </w:t>
            </w:r>
            <w:r w:rsidRPr="00702C73">
              <w:rPr>
                <w:rFonts w:cstheme="minorHAnsi"/>
                <w:i/>
                <w:noProof/>
              </w:rPr>
              <w:t>supplemental</w:t>
            </w:r>
            <w:r w:rsidRPr="00702C73">
              <w:rPr>
                <w:rFonts w:cstheme="minorHAnsi"/>
                <w:noProof/>
              </w:rPr>
              <w:t xml:space="preserve"> materials may be submitted, but there is no guarantee it will be reviewed.</w:t>
            </w:r>
          </w:p>
        </w:tc>
      </w:tr>
    </w:tbl>
    <w:p w14:paraId="524B0E6B" w14:textId="77777777" w:rsidR="005C73CA" w:rsidRDefault="005C73CA" w:rsidP="00702C73">
      <w:pPr>
        <w:spacing w:after="0" w:line="240" w:lineRule="auto"/>
        <w:rPr>
          <w:rFonts w:cstheme="minorHAnsi"/>
          <w:noProof/>
        </w:rPr>
      </w:pPr>
    </w:p>
    <w:p w14:paraId="524B0E6C"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24B0E6D"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927027">
        <w:rPr>
          <w:rFonts w:cstheme="minorHAnsi"/>
          <w:i/>
          <w:noProof/>
        </w:rPr>
        <w:t>7</w:t>
      </w:r>
      <w:r w:rsidRPr="00A25024">
        <w:rPr>
          <w:rFonts w:cstheme="minorHAnsi"/>
          <w:i/>
          <w:noProof/>
        </w:rPr>
        <w:t xml:space="preserve">. </w:t>
      </w:r>
    </w:p>
    <w:p w14:paraId="524B0E6E" w14:textId="77777777" w:rsidR="000574AB" w:rsidRPr="00A25024" w:rsidRDefault="000574AB" w:rsidP="008A403A">
      <w:pPr>
        <w:spacing w:after="0" w:line="240" w:lineRule="auto"/>
        <w:rPr>
          <w:rFonts w:cstheme="minorHAnsi"/>
          <w:noProof/>
        </w:rPr>
      </w:pPr>
    </w:p>
    <w:p w14:paraId="524B0E6F"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4348CC" w:rsidRPr="00A25024">
        <w:rPr>
          <w:rFonts w:cstheme="minorHAnsi"/>
          <w:bCs/>
          <w:i/>
        </w:rPr>
        <w:t xml:space="preserve">types of data specified and intended for </w:t>
      </w:r>
      <w:r w:rsidR="005A7634" w:rsidRPr="00A25024">
        <w:rPr>
          <w:rFonts w:cstheme="minorHAnsi"/>
          <w:bCs/>
          <w:i/>
        </w:rPr>
        <w:t xml:space="preserve">measure </w:t>
      </w:r>
      <w:r w:rsidR="004348CC" w:rsidRPr="00A25024">
        <w:rPr>
          <w:rFonts w:cstheme="minorHAnsi"/>
          <w:bCs/>
          <w:i/>
        </w:rPr>
        <w:t>implementation</w:t>
      </w:r>
      <w:r w:rsidR="00A01494">
        <w:rPr>
          <w:rFonts w:cstheme="minorHAnsi"/>
          <w:bCs/>
        </w:rPr>
        <w:t>)</w:t>
      </w:r>
    </w:p>
    <w:p w14:paraId="524B0E70" w14:textId="77777777" w:rsidR="00A01494" w:rsidRDefault="00A01494" w:rsidP="00DB3627">
      <w:pPr>
        <w:autoSpaceDE w:val="0"/>
        <w:autoSpaceDN w:val="0"/>
        <w:adjustRightInd w:val="0"/>
        <w:spacing w:after="0" w:line="240" w:lineRule="auto"/>
        <w:rPr>
          <w:rFonts w:cstheme="minorHAnsi"/>
          <w:bCs/>
        </w:rPr>
      </w:pP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A01494" w:rsidRPr="00A01494" w14:paraId="524B0E73" w14:textId="77777777" w:rsidTr="00616EB5">
        <w:trPr>
          <w:jc w:val="center"/>
        </w:trPr>
        <w:tc>
          <w:tcPr>
            <w:tcW w:w="4788" w:type="dxa"/>
            <w:shd w:val="clear" w:color="auto" w:fill="D9D9D9" w:themeFill="background1" w:themeFillShade="D9"/>
          </w:tcPr>
          <w:p w14:paraId="524B0E71" w14:textId="77777777" w:rsidR="00A01494" w:rsidRP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tc>
        <w:tc>
          <w:tcPr>
            <w:tcW w:w="4788" w:type="dxa"/>
            <w:shd w:val="clear" w:color="auto" w:fill="D9D9D9" w:themeFill="background1" w:themeFillShade="D9"/>
          </w:tcPr>
          <w:p w14:paraId="524B0E72"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24B0E76" w14:textId="77777777" w:rsidTr="00616EB5">
        <w:trPr>
          <w:jc w:val="center"/>
        </w:trPr>
        <w:tc>
          <w:tcPr>
            <w:tcW w:w="4788" w:type="dxa"/>
          </w:tcPr>
          <w:p w14:paraId="524B0E74" w14:textId="77777777" w:rsidR="00A01494" w:rsidRPr="00A01494" w:rsidRDefault="007E3559" w:rsidP="00DB3627">
            <w:pPr>
              <w:autoSpaceDE w:val="0"/>
              <w:autoSpaceDN w:val="0"/>
              <w:adjustRightInd w:val="0"/>
              <w:rPr>
                <w:rFonts w:cstheme="minorHAnsi"/>
                <w:bCs/>
              </w:rPr>
            </w:pPr>
            <w:sdt>
              <w:sdtPr>
                <w:rPr>
                  <w:rFonts w:eastAsia="MS Mincho" w:cstheme="minorHAnsi"/>
                  <w:bCs/>
                  <w:color w:val="0000FF"/>
                </w:rPr>
                <w:id w:val="-1224052509"/>
              </w:sdtPr>
              <w:sdtEndPr/>
              <w:sdtContent>
                <w:r w:rsidR="00725AC2">
                  <w:rPr>
                    <w:rFonts w:ascii="MS Mincho" w:eastAsia="MS Mincho" w:hAnsi="MS Mincho" w:cstheme="minorHAnsi" w:hint="eastAsia"/>
                    <w:bCs/>
                    <w:color w:val="0000FF"/>
                  </w:rPr>
                  <w:t>☐</w:t>
                </w:r>
              </w:sdtContent>
            </w:sdt>
            <w:r w:rsidR="00A01494" w:rsidRPr="00A01494">
              <w:rPr>
                <w:rFonts w:cstheme="minorHAnsi"/>
                <w:bCs/>
              </w:rPr>
              <w:t>abstracted from paper record</w:t>
            </w:r>
          </w:p>
        </w:tc>
        <w:tc>
          <w:tcPr>
            <w:tcW w:w="4788" w:type="dxa"/>
          </w:tcPr>
          <w:p w14:paraId="524B0E75" w14:textId="77777777" w:rsidR="00A01494" w:rsidRPr="00A01494" w:rsidRDefault="007E3559" w:rsidP="00DB3627">
            <w:pPr>
              <w:autoSpaceDE w:val="0"/>
              <w:autoSpaceDN w:val="0"/>
              <w:adjustRightInd w:val="0"/>
              <w:rPr>
                <w:rFonts w:cstheme="minorHAnsi"/>
                <w:bCs/>
              </w:rPr>
            </w:pPr>
            <w:sdt>
              <w:sdtPr>
                <w:rPr>
                  <w:rFonts w:eastAsia="MS Mincho" w:cstheme="minorHAnsi"/>
                  <w:bCs/>
                  <w:color w:val="0000FF"/>
                </w:rPr>
                <w:id w:val="-1105031443"/>
              </w:sdtPr>
              <w:sdtEndPr/>
              <w:sdtContent>
                <w:r w:rsidR="00A01494" w:rsidRPr="00A01494">
                  <w:rPr>
                    <w:rFonts w:ascii="MS Mincho" w:eastAsia="MS Mincho" w:hAnsi="MS Mincho" w:cstheme="minorHAnsi" w:hint="eastAsia"/>
                    <w:bCs/>
                    <w:color w:val="0000FF"/>
                  </w:rPr>
                  <w:t>☐</w:t>
                </w:r>
              </w:sdtContent>
            </w:sdt>
            <w:r w:rsidR="00A01494" w:rsidRPr="00A01494">
              <w:rPr>
                <w:rFonts w:cstheme="minorHAnsi"/>
                <w:bCs/>
              </w:rPr>
              <w:t>abstracted from paper record</w:t>
            </w:r>
          </w:p>
        </w:tc>
      </w:tr>
      <w:tr w:rsidR="00A01494" w:rsidRPr="00A01494" w14:paraId="524B0E79" w14:textId="77777777" w:rsidTr="00616EB5">
        <w:trPr>
          <w:jc w:val="center"/>
        </w:trPr>
        <w:tc>
          <w:tcPr>
            <w:tcW w:w="4788" w:type="dxa"/>
          </w:tcPr>
          <w:p w14:paraId="524B0E77" w14:textId="77777777" w:rsidR="00A01494" w:rsidRPr="00D255A1" w:rsidRDefault="007E3559" w:rsidP="00DB3627">
            <w:pPr>
              <w:autoSpaceDE w:val="0"/>
              <w:autoSpaceDN w:val="0"/>
              <w:adjustRightInd w:val="0"/>
              <w:rPr>
                <w:rFonts w:cstheme="minorHAnsi"/>
                <w:bCs/>
                <w:highlight w:val="yellow"/>
              </w:rPr>
            </w:pPr>
            <w:sdt>
              <w:sdtPr>
                <w:rPr>
                  <w:rFonts w:eastAsia="MS Mincho" w:cstheme="minorHAnsi"/>
                  <w:bCs/>
                  <w:color w:val="0000FF"/>
                  <w:highlight w:val="yellow"/>
                </w:rPr>
                <w:id w:val="1691103223"/>
              </w:sdtPr>
              <w:sdtEndPr/>
              <w:sdtContent>
                <w:r w:rsidR="00A01494" w:rsidRPr="00D255A1">
                  <w:rPr>
                    <w:rFonts w:ascii="MS Mincho" w:eastAsia="MS Mincho" w:hAnsi="MS Mincho" w:cstheme="minorHAnsi" w:hint="eastAsia"/>
                    <w:bCs/>
                    <w:color w:val="0000FF"/>
                    <w:highlight w:val="yellow"/>
                  </w:rPr>
                  <w:t>☐</w:t>
                </w:r>
              </w:sdtContent>
            </w:sdt>
            <w:r w:rsidR="00A01494" w:rsidRPr="00D255A1">
              <w:rPr>
                <w:rFonts w:eastAsia="MS Gothic" w:cstheme="minorHAnsi"/>
                <w:bCs/>
                <w:highlight w:val="yellow"/>
              </w:rPr>
              <w:t xml:space="preserve">administrative </w:t>
            </w:r>
            <w:r w:rsidR="00A01494" w:rsidRPr="00D255A1">
              <w:rPr>
                <w:rFonts w:cstheme="minorHAnsi"/>
                <w:bCs/>
                <w:highlight w:val="yellow"/>
              </w:rPr>
              <w:t>claims</w:t>
            </w:r>
          </w:p>
        </w:tc>
        <w:tc>
          <w:tcPr>
            <w:tcW w:w="4788" w:type="dxa"/>
          </w:tcPr>
          <w:p w14:paraId="524B0E78" w14:textId="77777777" w:rsidR="00A01494" w:rsidRPr="00D255A1" w:rsidRDefault="007E3559" w:rsidP="00DB3627">
            <w:pPr>
              <w:autoSpaceDE w:val="0"/>
              <w:autoSpaceDN w:val="0"/>
              <w:adjustRightInd w:val="0"/>
              <w:rPr>
                <w:rFonts w:cstheme="minorHAnsi"/>
                <w:bCs/>
                <w:highlight w:val="yellow"/>
              </w:rPr>
            </w:pPr>
            <w:sdt>
              <w:sdtPr>
                <w:rPr>
                  <w:rFonts w:eastAsia="MS Mincho" w:cstheme="minorHAnsi"/>
                  <w:bCs/>
                  <w:color w:val="0000FF"/>
                  <w:highlight w:val="yellow"/>
                </w:rPr>
                <w:id w:val="-2113813231"/>
              </w:sdtPr>
              <w:sdtEndPr/>
              <w:sdtContent>
                <w:r w:rsidR="00A01494" w:rsidRPr="00D255A1">
                  <w:rPr>
                    <w:rFonts w:ascii="MS Mincho" w:eastAsia="MS Mincho" w:hAnsi="MS Mincho" w:cstheme="minorHAnsi" w:hint="eastAsia"/>
                    <w:bCs/>
                    <w:color w:val="0000FF"/>
                    <w:highlight w:val="yellow"/>
                  </w:rPr>
                  <w:t>☐</w:t>
                </w:r>
              </w:sdtContent>
            </w:sdt>
            <w:r w:rsidR="00A01494" w:rsidRPr="00D255A1">
              <w:rPr>
                <w:rFonts w:eastAsia="MS Gothic" w:cstheme="minorHAnsi"/>
                <w:bCs/>
                <w:highlight w:val="yellow"/>
              </w:rPr>
              <w:t xml:space="preserve">administrative </w:t>
            </w:r>
            <w:r w:rsidR="00A01494" w:rsidRPr="00D255A1">
              <w:rPr>
                <w:rFonts w:cstheme="minorHAnsi"/>
                <w:bCs/>
                <w:highlight w:val="yellow"/>
              </w:rPr>
              <w:t>claims</w:t>
            </w:r>
          </w:p>
        </w:tc>
      </w:tr>
      <w:tr w:rsidR="00A01494" w:rsidRPr="00A01494" w14:paraId="524B0E7C" w14:textId="77777777" w:rsidTr="00616EB5">
        <w:trPr>
          <w:jc w:val="center"/>
        </w:trPr>
        <w:tc>
          <w:tcPr>
            <w:tcW w:w="4788" w:type="dxa"/>
          </w:tcPr>
          <w:p w14:paraId="524B0E7A" w14:textId="77777777" w:rsidR="00A01494" w:rsidRPr="00A01494" w:rsidRDefault="007E3559" w:rsidP="00DB3627">
            <w:pPr>
              <w:autoSpaceDE w:val="0"/>
              <w:autoSpaceDN w:val="0"/>
              <w:adjustRightInd w:val="0"/>
              <w:rPr>
                <w:rFonts w:cstheme="minorHAnsi"/>
                <w:bCs/>
              </w:rPr>
            </w:pPr>
            <w:sdt>
              <w:sdtPr>
                <w:rPr>
                  <w:rFonts w:eastAsia="MS Mincho" w:cstheme="minorHAnsi"/>
                  <w:bCs/>
                  <w:color w:val="0000FF"/>
                </w:rPr>
                <w:id w:val="1731734307"/>
              </w:sdtPr>
              <w:sdtEndPr/>
              <w:sdtContent>
                <w:r w:rsidR="00A01494" w:rsidRPr="00A01494">
                  <w:rPr>
                    <w:rFonts w:ascii="MS Mincho" w:eastAsia="MS Mincho" w:hAnsi="MS Mincho" w:cstheme="minorHAnsi" w:hint="eastAsia"/>
                    <w:bCs/>
                    <w:color w:val="0000FF"/>
                  </w:rPr>
                  <w:t>☐</w:t>
                </w:r>
              </w:sdtContent>
            </w:sdt>
            <w:r w:rsidR="00A01494" w:rsidRPr="00A01494">
              <w:rPr>
                <w:rFonts w:eastAsia="MS Gothic" w:cstheme="minorHAnsi"/>
                <w:bCs/>
              </w:rPr>
              <w:t>clinical database/registry</w:t>
            </w:r>
          </w:p>
        </w:tc>
        <w:tc>
          <w:tcPr>
            <w:tcW w:w="4788" w:type="dxa"/>
          </w:tcPr>
          <w:p w14:paraId="524B0E7B" w14:textId="77777777" w:rsidR="00A01494" w:rsidRPr="00A01494" w:rsidRDefault="007E3559" w:rsidP="00DB3627">
            <w:pPr>
              <w:autoSpaceDE w:val="0"/>
              <w:autoSpaceDN w:val="0"/>
              <w:adjustRightInd w:val="0"/>
              <w:rPr>
                <w:rFonts w:cstheme="minorHAnsi"/>
                <w:bCs/>
              </w:rPr>
            </w:pPr>
            <w:sdt>
              <w:sdtPr>
                <w:rPr>
                  <w:rFonts w:eastAsia="MS Mincho" w:cstheme="minorHAnsi"/>
                  <w:bCs/>
                  <w:color w:val="0000FF"/>
                </w:rPr>
                <w:id w:val="1264254884"/>
              </w:sdtPr>
              <w:sdtEndPr/>
              <w:sdtContent>
                <w:r w:rsidR="00A01494" w:rsidRPr="00A01494">
                  <w:rPr>
                    <w:rFonts w:ascii="MS Mincho" w:eastAsia="MS Mincho" w:hAnsi="MS Mincho" w:cstheme="minorHAnsi" w:hint="eastAsia"/>
                    <w:bCs/>
                    <w:color w:val="0000FF"/>
                  </w:rPr>
                  <w:t>☐</w:t>
                </w:r>
              </w:sdtContent>
            </w:sdt>
            <w:r w:rsidR="00A01494" w:rsidRPr="00A01494">
              <w:rPr>
                <w:rFonts w:eastAsia="MS Gothic" w:cstheme="minorHAnsi"/>
                <w:bCs/>
              </w:rPr>
              <w:t>clinical database/registry</w:t>
            </w:r>
          </w:p>
        </w:tc>
      </w:tr>
      <w:tr w:rsidR="00A01494" w:rsidRPr="00A01494" w14:paraId="524B0E7F" w14:textId="77777777" w:rsidTr="00616EB5">
        <w:trPr>
          <w:jc w:val="center"/>
        </w:trPr>
        <w:tc>
          <w:tcPr>
            <w:tcW w:w="4788" w:type="dxa"/>
          </w:tcPr>
          <w:p w14:paraId="524B0E7D" w14:textId="77777777" w:rsidR="00A01494" w:rsidRPr="00A01494" w:rsidRDefault="007E3559" w:rsidP="00DB3627">
            <w:pPr>
              <w:autoSpaceDE w:val="0"/>
              <w:autoSpaceDN w:val="0"/>
              <w:adjustRightInd w:val="0"/>
              <w:rPr>
                <w:rFonts w:cstheme="minorHAnsi"/>
                <w:bCs/>
              </w:rPr>
            </w:pPr>
            <w:sdt>
              <w:sdtPr>
                <w:rPr>
                  <w:rFonts w:eastAsia="MS Mincho" w:cstheme="minorHAnsi"/>
                  <w:bCs/>
                  <w:color w:val="0000FF"/>
                </w:rPr>
                <w:id w:val="505715918"/>
              </w:sdtPr>
              <w:sdtEndPr/>
              <w:sdtContent>
                <w:r w:rsidR="00A01494" w:rsidRPr="00A01494">
                  <w:rPr>
                    <w:rFonts w:ascii="MS Mincho" w:eastAsia="MS Mincho" w:hAnsi="MS Mincho" w:cstheme="minorHAnsi" w:hint="eastAsia"/>
                    <w:bCs/>
                    <w:color w:val="0000FF"/>
                  </w:rPr>
                  <w:t>☐</w:t>
                </w:r>
              </w:sdtContent>
            </w:sdt>
            <w:r w:rsidR="00A01494" w:rsidRPr="00A01494">
              <w:rPr>
                <w:rFonts w:cstheme="minorHAnsi"/>
                <w:bCs/>
              </w:rPr>
              <w:t>abstracted from electronic health record</w:t>
            </w:r>
          </w:p>
        </w:tc>
        <w:tc>
          <w:tcPr>
            <w:tcW w:w="4788" w:type="dxa"/>
          </w:tcPr>
          <w:p w14:paraId="524B0E7E" w14:textId="77777777" w:rsidR="00A01494" w:rsidRPr="00A01494" w:rsidRDefault="007E3559" w:rsidP="00DB3627">
            <w:pPr>
              <w:autoSpaceDE w:val="0"/>
              <w:autoSpaceDN w:val="0"/>
              <w:adjustRightInd w:val="0"/>
              <w:rPr>
                <w:rFonts w:cstheme="minorHAnsi"/>
                <w:bCs/>
              </w:rPr>
            </w:pPr>
            <w:sdt>
              <w:sdtPr>
                <w:rPr>
                  <w:rFonts w:eastAsia="MS Mincho" w:cstheme="minorHAnsi"/>
                  <w:bCs/>
                  <w:color w:val="0000FF"/>
                </w:rPr>
                <w:id w:val="1609319676"/>
              </w:sdtPr>
              <w:sdtEndPr/>
              <w:sdtContent>
                <w:r w:rsidR="00A01494" w:rsidRPr="00A01494">
                  <w:rPr>
                    <w:rFonts w:ascii="MS Mincho" w:eastAsia="MS Mincho" w:hAnsi="MS Mincho" w:cstheme="minorHAnsi" w:hint="eastAsia"/>
                    <w:bCs/>
                    <w:color w:val="0000FF"/>
                  </w:rPr>
                  <w:t>☐</w:t>
                </w:r>
              </w:sdtContent>
            </w:sdt>
            <w:r w:rsidR="00A01494" w:rsidRPr="00A01494">
              <w:rPr>
                <w:rFonts w:cstheme="minorHAnsi"/>
                <w:bCs/>
              </w:rPr>
              <w:t>abstracted from electronic health record</w:t>
            </w:r>
          </w:p>
        </w:tc>
      </w:tr>
      <w:tr w:rsidR="00A01494" w:rsidRPr="00A01494" w14:paraId="524B0E82" w14:textId="77777777" w:rsidTr="00616EB5">
        <w:trPr>
          <w:jc w:val="center"/>
        </w:trPr>
        <w:tc>
          <w:tcPr>
            <w:tcW w:w="4788" w:type="dxa"/>
          </w:tcPr>
          <w:p w14:paraId="524B0E80" w14:textId="77777777" w:rsidR="00A01494" w:rsidRPr="00A01494" w:rsidRDefault="007E3559" w:rsidP="00DB3627">
            <w:pPr>
              <w:autoSpaceDE w:val="0"/>
              <w:autoSpaceDN w:val="0"/>
              <w:adjustRightInd w:val="0"/>
              <w:rPr>
                <w:rFonts w:cstheme="minorHAnsi"/>
                <w:bCs/>
              </w:rPr>
            </w:pPr>
            <w:sdt>
              <w:sdtPr>
                <w:rPr>
                  <w:rFonts w:eastAsia="MS Mincho" w:cstheme="minorHAnsi"/>
                  <w:bCs/>
                  <w:color w:val="0000FF"/>
                </w:rPr>
                <w:id w:val="-900827376"/>
              </w:sdtPr>
              <w:sdtEndPr/>
              <w:sdtContent>
                <w:r w:rsidR="00A01494" w:rsidRPr="00A01494">
                  <w:rPr>
                    <w:rFonts w:ascii="MS Mincho" w:eastAsia="MS Mincho" w:hAnsi="MS Mincho" w:cstheme="minorHAnsi" w:hint="eastAsia"/>
                    <w:bCs/>
                    <w:color w:val="0000FF"/>
                  </w:rPr>
                  <w:t>☐</w:t>
                </w:r>
              </w:sdtContent>
            </w:sdt>
            <w:r w:rsidR="00A01494" w:rsidRPr="00A01494">
              <w:rPr>
                <w:rFonts w:cstheme="minorHAnsi"/>
                <w:bCs/>
              </w:rPr>
              <w:t>eMeasure implemented in electronic health record</w:t>
            </w:r>
          </w:p>
        </w:tc>
        <w:tc>
          <w:tcPr>
            <w:tcW w:w="4788" w:type="dxa"/>
          </w:tcPr>
          <w:p w14:paraId="524B0E81" w14:textId="77777777" w:rsidR="00A01494" w:rsidRPr="00A01494" w:rsidRDefault="007E3559" w:rsidP="00DB3627">
            <w:pPr>
              <w:autoSpaceDE w:val="0"/>
              <w:autoSpaceDN w:val="0"/>
              <w:adjustRightInd w:val="0"/>
              <w:rPr>
                <w:rFonts w:cstheme="minorHAnsi"/>
                <w:bCs/>
              </w:rPr>
            </w:pPr>
            <w:sdt>
              <w:sdtPr>
                <w:rPr>
                  <w:rFonts w:eastAsia="MS Mincho" w:cstheme="minorHAnsi"/>
                  <w:bCs/>
                  <w:color w:val="0000FF"/>
                </w:rPr>
                <w:id w:val="-252742928"/>
              </w:sdtPr>
              <w:sdtEndPr/>
              <w:sdtContent>
                <w:r w:rsidR="00A01494" w:rsidRPr="00A01494">
                  <w:rPr>
                    <w:rFonts w:ascii="MS Mincho" w:eastAsia="MS Mincho" w:hAnsi="MS Mincho" w:cstheme="minorHAnsi" w:hint="eastAsia"/>
                    <w:bCs/>
                    <w:color w:val="0000FF"/>
                  </w:rPr>
                  <w:t>☐</w:t>
                </w:r>
              </w:sdtContent>
            </w:sdt>
            <w:r w:rsidR="00A01494" w:rsidRPr="00A01494">
              <w:rPr>
                <w:rFonts w:cstheme="minorHAnsi"/>
                <w:bCs/>
              </w:rPr>
              <w:t>eMeasure implemented in electronic health record</w:t>
            </w:r>
          </w:p>
        </w:tc>
      </w:tr>
      <w:tr w:rsidR="00A01494" w:rsidRPr="00A01494" w14:paraId="524B0E85" w14:textId="77777777" w:rsidTr="00616EB5">
        <w:trPr>
          <w:jc w:val="center"/>
        </w:trPr>
        <w:tc>
          <w:tcPr>
            <w:tcW w:w="4788" w:type="dxa"/>
          </w:tcPr>
          <w:p w14:paraId="524B0E83" w14:textId="77777777" w:rsidR="00A01494" w:rsidRPr="00A01494" w:rsidRDefault="007E3559" w:rsidP="00DB3627">
            <w:pPr>
              <w:autoSpaceDE w:val="0"/>
              <w:autoSpaceDN w:val="0"/>
              <w:adjustRightInd w:val="0"/>
              <w:rPr>
                <w:rFonts w:cstheme="minorHAnsi"/>
                <w:bCs/>
              </w:rPr>
            </w:pPr>
            <w:sdt>
              <w:sdtPr>
                <w:rPr>
                  <w:rFonts w:eastAsia="MS Mincho" w:cstheme="minorHAnsi"/>
                  <w:bCs/>
                  <w:color w:val="0000FF"/>
                </w:rPr>
                <w:id w:val="840052862"/>
              </w:sdtPr>
              <w:sdtEndPr/>
              <w:sdtContent>
                <w:r w:rsidR="00A01494" w:rsidRPr="00A01494">
                  <w:rPr>
                    <w:rFonts w:ascii="MS Mincho" w:eastAsia="MS Mincho" w:hAnsi="MS Mincho" w:cstheme="minorHAnsi" w:hint="eastAsia"/>
                    <w:bCs/>
                    <w:color w:val="0000FF"/>
                  </w:rPr>
                  <w:t>☐</w:t>
                </w:r>
              </w:sdtContent>
            </w:sdt>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788" w:type="dxa"/>
          </w:tcPr>
          <w:p w14:paraId="524B0E84" w14:textId="77777777" w:rsidR="00A01494" w:rsidRPr="00A01494" w:rsidRDefault="007E3559" w:rsidP="00DB3627">
            <w:pPr>
              <w:autoSpaceDE w:val="0"/>
              <w:autoSpaceDN w:val="0"/>
              <w:adjustRightInd w:val="0"/>
              <w:rPr>
                <w:rFonts w:cstheme="minorHAnsi"/>
                <w:bCs/>
              </w:rPr>
            </w:pPr>
            <w:sdt>
              <w:sdtPr>
                <w:rPr>
                  <w:rFonts w:eastAsia="MS Mincho" w:cstheme="minorHAnsi"/>
                  <w:bCs/>
                  <w:color w:val="0000FF"/>
                </w:rPr>
                <w:id w:val="1446193823"/>
              </w:sdtPr>
              <w:sdtEndPr/>
              <w:sdtContent>
                <w:r w:rsidR="00A01494" w:rsidRPr="00A01494">
                  <w:rPr>
                    <w:rFonts w:ascii="MS Mincho" w:eastAsia="MS Mincho" w:hAnsi="MS Mincho" w:cstheme="minorHAnsi" w:hint="eastAsia"/>
                    <w:bCs/>
                    <w:color w:val="0000FF"/>
                  </w:rPr>
                  <w:t>☐</w:t>
                </w:r>
              </w:sdtContent>
            </w:sdt>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24B0E86"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524B0E87" w14:textId="77777777" w:rsidR="00021170" w:rsidRPr="00A01494" w:rsidRDefault="002B5016" w:rsidP="00DB3627">
      <w:pPr>
        <w:autoSpaceDE w:val="0"/>
        <w:autoSpaceDN w:val="0"/>
        <w:adjustRightInd w:val="0"/>
        <w:spacing w:after="0" w:line="240" w:lineRule="auto"/>
        <w:rPr>
          <w:rFonts w:cstheme="minorHAnsi"/>
          <w:b/>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used an existing data</w:t>
      </w:r>
      <w:r w:rsidR="006327D8" w:rsidRPr="00A25024">
        <w:rPr>
          <w:rFonts w:cstheme="minorHAnsi"/>
          <w:b/>
          <w:bCs/>
        </w:rPr>
        <w:t>set</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524B0E88" w14:textId="77777777" w:rsidR="00C355B9" w:rsidRDefault="00C355B9" w:rsidP="00DB3627">
      <w:pPr>
        <w:autoSpaceDE w:val="0"/>
        <w:autoSpaceDN w:val="0"/>
        <w:adjustRightInd w:val="0"/>
        <w:spacing w:after="0" w:line="240" w:lineRule="auto"/>
        <w:rPr>
          <w:rFonts w:cstheme="minorHAnsi"/>
          <w:bCs/>
        </w:rPr>
      </w:pPr>
    </w:p>
    <w:p w14:paraId="524B0E89" w14:textId="77777777" w:rsidR="00D255A1" w:rsidRDefault="00D255A1" w:rsidP="00D255A1">
      <w:pPr>
        <w:autoSpaceDE w:val="0"/>
        <w:autoSpaceDN w:val="0"/>
        <w:adjustRightInd w:val="0"/>
        <w:spacing w:after="0" w:line="240" w:lineRule="auto"/>
        <w:rPr>
          <w:rFonts w:cstheme="minorHAnsi"/>
          <w:bCs/>
        </w:rPr>
      </w:pPr>
      <w:r w:rsidRPr="00D255A1">
        <w:rPr>
          <w:rFonts w:cstheme="minorHAnsi"/>
          <w:bCs/>
        </w:rPr>
        <w:lastRenderedPageBreak/>
        <w:t>HCUP State Inpatient Databases (SID). Healthcare Cost and Utilization Project (HCUP). Agency for Healthcare Research and Quality, Rockville, MD. The SID consists of approximately 30 million adult discharges and 4,000 hospitals.</w:t>
      </w:r>
    </w:p>
    <w:p w14:paraId="524B0E8A" w14:textId="77777777" w:rsidR="009E1846" w:rsidRDefault="009E1846" w:rsidP="00DB3627">
      <w:pPr>
        <w:autoSpaceDE w:val="0"/>
        <w:autoSpaceDN w:val="0"/>
        <w:adjustRightInd w:val="0"/>
        <w:spacing w:after="0" w:line="240" w:lineRule="auto"/>
        <w:rPr>
          <w:rFonts w:cstheme="minorHAnsi"/>
          <w:b/>
        </w:rPr>
      </w:pPr>
    </w:p>
    <w:p w14:paraId="524B0E8B"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3B3CEC">
            <w:rPr>
              <w:rStyle w:val="Style1"/>
            </w:rPr>
            <w:t>2008 (Version 4.4</w:t>
          </w:r>
          <w:r w:rsidR="00275C4C">
            <w:rPr>
              <w:rStyle w:val="Style1"/>
            </w:rPr>
            <w:t>; March 2012</w:t>
          </w:r>
          <w:r w:rsidR="003B3CEC">
            <w:rPr>
              <w:rStyle w:val="Style1"/>
            </w:rPr>
            <w:t>)</w:t>
          </w:r>
          <w:r w:rsidR="00275C4C">
            <w:rPr>
              <w:rStyle w:val="Style1"/>
            </w:rPr>
            <w:t xml:space="preserve">; 2010 (Version 4.5; March 2013) </w:t>
          </w:r>
        </w:sdtContent>
      </w:sdt>
    </w:p>
    <w:p w14:paraId="524B0E8C" w14:textId="77777777" w:rsidR="000574AB" w:rsidRDefault="000574AB" w:rsidP="00DB3627">
      <w:pPr>
        <w:autoSpaceDE w:val="0"/>
        <w:autoSpaceDN w:val="0"/>
        <w:adjustRightInd w:val="0"/>
        <w:spacing w:after="0" w:line="240" w:lineRule="auto"/>
        <w:rPr>
          <w:rFonts w:cstheme="minorHAnsi"/>
          <w:bCs/>
        </w:rPr>
      </w:pPr>
    </w:p>
    <w:p w14:paraId="524B0E8D" w14:textId="77777777" w:rsidR="00616EB5" w:rsidRPr="00A25024" w:rsidRDefault="00616EB5" w:rsidP="00DB3627">
      <w:pPr>
        <w:autoSpaceDE w:val="0"/>
        <w:autoSpaceDN w:val="0"/>
        <w:adjustRightInd w:val="0"/>
        <w:spacing w:after="0" w:line="240" w:lineRule="auto"/>
        <w:rPr>
          <w:rFonts w:cstheme="minorHAnsi"/>
          <w:bCs/>
        </w:rPr>
      </w:pPr>
    </w:p>
    <w:p w14:paraId="524B0E8E" w14:textId="77777777" w:rsidR="00021170" w:rsidRPr="00A2502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021170" w:rsidRPr="00A25024">
        <w:rPr>
          <w:rFonts w:cstheme="minorHAnsi"/>
          <w:bCs/>
        </w:rPr>
        <w:t>)</w:t>
      </w:r>
      <w:r w:rsidR="00021170" w:rsidRPr="00A25024">
        <w:rPr>
          <w:rFonts w:cstheme="minorHAnsi"/>
          <w:bCs/>
        </w:rPr>
        <w:br/>
      </w:r>
      <w:sdt>
        <w:sdtPr>
          <w:rPr>
            <w:rFonts w:eastAsia="MS Mincho" w:cstheme="minorHAnsi"/>
            <w:b/>
            <w:bCs/>
            <w:color w:val="0000FF"/>
          </w:rPr>
          <w:id w:val="-1563787151"/>
        </w:sdtPr>
        <w:sdtEndPr/>
        <w:sdtContent>
          <w:r w:rsidR="00080CF7" w:rsidRPr="00A25024">
            <w:rPr>
              <w:rFonts w:ascii="MS Gothic" w:eastAsia="MS Gothic" w:hAnsi="MS Gothic" w:cs="MS Gothic" w:hint="eastAsia"/>
              <w:b/>
              <w:bCs/>
              <w:color w:val="0000FF"/>
            </w:rPr>
            <w:t>☐</w:t>
          </w:r>
        </w:sdtContent>
      </w:sdt>
      <w:r w:rsidR="00021170" w:rsidRPr="00A25024">
        <w:rPr>
          <w:rFonts w:cstheme="minorHAnsi"/>
          <w:b/>
          <w:bCs/>
        </w:rPr>
        <w:t>individual clinician</w:t>
      </w:r>
      <w:r w:rsidR="006327D8" w:rsidRPr="00A25024">
        <w:rPr>
          <w:rFonts w:cstheme="minorHAnsi"/>
          <w:b/>
          <w:bCs/>
        </w:rPr>
        <w:t xml:space="preserve">     </w:t>
      </w:r>
      <w:sdt>
        <w:sdtPr>
          <w:rPr>
            <w:rFonts w:eastAsia="MS Mincho" w:cstheme="minorHAnsi"/>
            <w:b/>
            <w:bCs/>
            <w:color w:val="0000FF"/>
          </w:rPr>
          <w:id w:val="1187168995"/>
        </w:sdtPr>
        <w:sdtEndPr/>
        <w:sdtContent>
          <w:r w:rsidR="006327D8" w:rsidRPr="00A25024">
            <w:rPr>
              <w:rFonts w:ascii="MS Gothic" w:eastAsia="MS Gothic" w:hAnsi="MS Gothic" w:cs="MS Gothic" w:hint="eastAsia"/>
              <w:b/>
              <w:bCs/>
              <w:color w:val="0000FF"/>
            </w:rPr>
            <w:t>☐</w:t>
          </w:r>
        </w:sdtContent>
      </w:sdt>
      <w:r w:rsidR="006327D8" w:rsidRPr="00A25024">
        <w:rPr>
          <w:rFonts w:cstheme="minorHAnsi"/>
          <w:b/>
          <w:bCs/>
        </w:rPr>
        <w:t xml:space="preserve">group/practice     </w:t>
      </w:r>
      <w:sdt>
        <w:sdtPr>
          <w:rPr>
            <w:rFonts w:eastAsia="MS Mincho" w:cstheme="minorHAnsi"/>
            <w:b/>
            <w:bCs/>
            <w:color w:val="0000FF"/>
          </w:rPr>
          <w:id w:val="-1166016515"/>
        </w:sdtPr>
        <w:sdtEndPr/>
        <w:sdtContent>
          <w:r w:rsidR="006327D8" w:rsidRPr="00A25024">
            <w:rPr>
              <w:rFonts w:ascii="MS Gothic" w:eastAsia="MS Gothic" w:hAnsi="MS Gothic" w:cs="MS Gothic" w:hint="eastAsia"/>
              <w:b/>
              <w:bCs/>
              <w:color w:val="0000FF"/>
            </w:rPr>
            <w:t>☐</w:t>
          </w:r>
        </w:sdtContent>
      </w:sdt>
      <w:r w:rsidR="00DB3627" w:rsidRPr="00D255A1">
        <w:rPr>
          <w:rFonts w:eastAsia="MS Mincho" w:cstheme="minorHAnsi"/>
          <w:b/>
          <w:bCs/>
          <w:highlight w:val="yellow"/>
        </w:rPr>
        <w:t>hospital/</w:t>
      </w:r>
      <w:r w:rsidR="00021170" w:rsidRPr="00D255A1">
        <w:rPr>
          <w:rFonts w:cstheme="minorHAnsi"/>
          <w:b/>
          <w:bCs/>
          <w:highlight w:val="yellow"/>
        </w:rPr>
        <w:t>facility</w:t>
      </w:r>
      <w:r w:rsidR="006327D8" w:rsidRPr="00D255A1">
        <w:rPr>
          <w:rFonts w:cstheme="minorHAnsi"/>
          <w:b/>
          <w:bCs/>
          <w:highlight w:val="yellow"/>
        </w:rPr>
        <w:t>/agency</w:t>
      </w:r>
      <w:r w:rsidR="006327D8" w:rsidRPr="00A25024">
        <w:rPr>
          <w:rFonts w:cstheme="minorHAnsi"/>
          <w:b/>
          <w:bCs/>
        </w:rPr>
        <w:t xml:space="preserve">     </w:t>
      </w:r>
      <w:sdt>
        <w:sdtPr>
          <w:rPr>
            <w:rFonts w:eastAsia="MS Mincho" w:cstheme="minorHAnsi"/>
            <w:b/>
            <w:bCs/>
            <w:color w:val="0000FF"/>
          </w:rPr>
          <w:id w:val="-1279562922"/>
        </w:sdtPr>
        <w:sdtEndPr/>
        <w:sdtContent>
          <w:r w:rsidR="00021170" w:rsidRPr="00A25024">
            <w:rPr>
              <w:rFonts w:ascii="MS Gothic" w:eastAsia="MS Gothic" w:hAnsi="MS Gothic" w:cs="MS Gothic" w:hint="eastAsia"/>
              <w:b/>
              <w:bCs/>
              <w:color w:val="0000FF"/>
            </w:rPr>
            <w:t>☐</w:t>
          </w:r>
        </w:sdtContent>
      </w:sdt>
      <w:r w:rsidR="00021170" w:rsidRPr="00A25024">
        <w:rPr>
          <w:rFonts w:cstheme="minorHAnsi"/>
          <w:b/>
          <w:bCs/>
        </w:rPr>
        <w:t xml:space="preserve">health plan   </w:t>
      </w:r>
      <w:r w:rsidR="006327D8" w:rsidRPr="00A25024">
        <w:rPr>
          <w:rFonts w:cstheme="minorHAnsi"/>
          <w:b/>
          <w:bCs/>
        </w:rPr>
        <w:br/>
      </w:r>
      <w:sdt>
        <w:sdtPr>
          <w:rPr>
            <w:rFonts w:eastAsia="MS Mincho" w:cstheme="minorHAnsi"/>
            <w:b/>
            <w:bCs/>
            <w:color w:val="0000FF"/>
          </w:rPr>
          <w:id w:val="1103220053"/>
        </w:sdtPr>
        <w:sdtEndPr/>
        <w:sdtContent>
          <w:r w:rsidR="006327D8" w:rsidRPr="00A25024">
            <w:rPr>
              <w:rFonts w:ascii="MS Gothic" w:eastAsia="MS Gothic" w:hAnsi="MS Gothic" w:cs="MS Gothic" w:hint="eastAsia"/>
              <w:b/>
              <w:bCs/>
              <w:color w:val="0000FF"/>
            </w:rPr>
            <w:t>☐</w:t>
          </w:r>
        </w:sdtContent>
      </w:sdt>
      <w:r w:rsidR="00021170" w:rsidRPr="00A25024">
        <w:rPr>
          <w:rFonts w:cstheme="minorHAnsi"/>
          <w:b/>
          <w:bCs/>
        </w:rPr>
        <w:t>other</w:t>
      </w:r>
      <w:r w:rsidR="00080CF7" w:rsidRPr="00A25024">
        <w:rPr>
          <w:rFonts w:cstheme="minorHAnsi"/>
          <w:bCs/>
        </w:rPr>
        <w:t xml:space="preserve">: </w:t>
      </w:r>
      <w:r w:rsidR="00021170" w:rsidRPr="00A25024">
        <w:rPr>
          <w:rFonts w:cstheme="minorHAnsi"/>
          <w:bCs/>
        </w:rPr>
        <w:t xml:space="preserve"> </w:t>
      </w:r>
      <w:sdt>
        <w:sdtPr>
          <w:rPr>
            <w:rStyle w:val="Style1"/>
          </w:rPr>
          <w:id w:val="712080176"/>
          <w:showingPlcHdr/>
          <w:text/>
        </w:sdtPr>
        <w:sdtEndPr>
          <w:rPr>
            <w:rStyle w:val="DefaultParagraphFont"/>
            <w:rFonts w:cstheme="minorHAnsi"/>
            <w:bCs/>
            <w:color w:val="auto"/>
          </w:rPr>
        </w:sdtEndPr>
        <w:sdtContent>
          <w:r w:rsidR="0022691B">
            <w:rPr>
              <w:rStyle w:val="PlaceholderText"/>
            </w:rPr>
            <w:t>Click here to describe</w:t>
          </w:r>
        </w:sdtContent>
      </w:sdt>
      <w:r w:rsidR="00021170" w:rsidRPr="00A25024">
        <w:rPr>
          <w:rFonts w:cstheme="minorHAnsi"/>
          <w:bCs/>
        </w:rPr>
        <w:br/>
      </w:r>
    </w:p>
    <w:p w14:paraId="524B0E8F"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4348CC" w:rsidRPr="00A25024">
        <w:rPr>
          <w:rFonts w:cstheme="minorHAnsi"/>
          <w:bCs/>
        </w:rPr>
        <w:br/>
      </w:r>
    </w:p>
    <w:p w14:paraId="524B0E90" w14:textId="77777777" w:rsidR="002B5016" w:rsidRDefault="00D255A1" w:rsidP="00DB3627">
      <w:pPr>
        <w:autoSpaceDE w:val="0"/>
        <w:autoSpaceDN w:val="0"/>
        <w:adjustRightInd w:val="0"/>
        <w:spacing w:after="0" w:line="240" w:lineRule="auto"/>
        <w:rPr>
          <w:rFonts w:cstheme="minorHAnsi"/>
          <w:bCs/>
        </w:rPr>
      </w:pPr>
      <w:r>
        <w:rPr>
          <w:rFonts w:cstheme="minorHAnsi"/>
          <w:bCs/>
        </w:rPr>
        <w:t>N = 4,033</w:t>
      </w:r>
      <w:r w:rsidR="003716B2">
        <w:rPr>
          <w:rFonts w:cstheme="minorHAnsi"/>
          <w:bCs/>
        </w:rPr>
        <w:t xml:space="preserve">.   </w:t>
      </w:r>
      <w:r w:rsidR="00272DFA">
        <w:rPr>
          <w:rFonts w:cstheme="minorHAnsi"/>
          <w:bCs/>
        </w:rPr>
        <w:t xml:space="preserve">The reference population for Version 4.4 of the AHRQ QI software is based on the 2008 State Inpatient Databases (SID).  </w:t>
      </w:r>
      <w:r w:rsidR="003716B2">
        <w:rPr>
          <w:rFonts w:cstheme="minorHAnsi"/>
          <w:bCs/>
        </w:rPr>
        <w:t>The 2008 SID includes all community hospitals from 42 states.</w:t>
      </w:r>
    </w:p>
    <w:p w14:paraId="524B0E91" w14:textId="77777777" w:rsidR="001105B1" w:rsidRDefault="001105B1" w:rsidP="00DB3627">
      <w:pPr>
        <w:autoSpaceDE w:val="0"/>
        <w:autoSpaceDN w:val="0"/>
        <w:adjustRightInd w:val="0"/>
        <w:spacing w:after="0" w:line="240" w:lineRule="auto"/>
        <w:rPr>
          <w:rFonts w:cstheme="minorHAnsi"/>
          <w:bCs/>
        </w:rPr>
      </w:pPr>
    </w:p>
    <w:p w14:paraId="524B0E92" w14:textId="77777777" w:rsidR="004A42DA" w:rsidRPr="00E7698B" w:rsidRDefault="004A42DA" w:rsidP="004A42DA">
      <w:pPr>
        <w:spacing w:after="0" w:line="240" w:lineRule="auto"/>
        <w:rPr>
          <w:rFonts w:eastAsia="Times New Roman" w:cs="Times New Roman"/>
          <w:noProof/>
          <w:color w:val="000000"/>
        </w:rPr>
      </w:pPr>
      <w:r w:rsidRPr="00E7698B">
        <w:rPr>
          <w:rFonts w:eastAsia="Times New Roman" w:cs="Times New Roman"/>
          <w:noProof/>
          <w:color w:val="000000"/>
        </w:rPr>
        <w:t>The hospital universe is defined as all hospitals located in the U.S. that are open during any part</w:t>
      </w:r>
    </w:p>
    <w:p w14:paraId="524B0E93" w14:textId="77777777" w:rsidR="004A42DA" w:rsidRDefault="004A42DA" w:rsidP="004A42DA">
      <w:pPr>
        <w:spacing w:after="0" w:line="240" w:lineRule="auto"/>
        <w:rPr>
          <w:rFonts w:eastAsia="Times New Roman" w:cs="Times New Roman"/>
          <w:noProof/>
          <w:color w:val="000000"/>
        </w:rPr>
      </w:pPr>
      <w:r w:rsidRPr="00E7698B">
        <w:rPr>
          <w:rFonts w:eastAsia="Times New Roman" w:cs="Times New Roman"/>
          <w:noProof/>
          <w:color w:val="000000"/>
        </w:rPr>
        <w:t>of the calendar year and designated as community hospitals in the AHA Annual Survey</w:t>
      </w:r>
      <w:r>
        <w:rPr>
          <w:rFonts w:eastAsia="Times New Roman" w:cs="Times New Roman"/>
          <w:noProof/>
          <w:color w:val="000000"/>
        </w:rPr>
        <w:t xml:space="preserve"> </w:t>
      </w:r>
      <w:r w:rsidRPr="00E7698B">
        <w:rPr>
          <w:rFonts w:eastAsia="Times New Roman" w:cs="Times New Roman"/>
          <w:noProof/>
          <w:color w:val="000000"/>
        </w:rPr>
        <w:t>Database (Health Forum, LLC © 2011). The AHA defines community hospitals as follows: "All</w:t>
      </w:r>
      <w:r>
        <w:rPr>
          <w:rFonts w:eastAsia="Times New Roman" w:cs="Times New Roman"/>
          <w:noProof/>
          <w:color w:val="000000"/>
        </w:rPr>
        <w:t xml:space="preserve"> </w:t>
      </w:r>
      <w:r w:rsidRPr="00E7698B">
        <w:rPr>
          <w:rFonts w:eastAsia="Times New Roman" w:cs="Times New Roman"/>
          <w:noProof/>
          <w:color w:val="000000"/>
        </w:rPr>
        <w:t>non-Federal, short-term, general, and other specialty hospitals, excluding hospital units of</w:t>
      </w:r>
      <w:r>
        <w:rPr>
          <w:rFonts w:eastAsia="Times New Roman" w:cs="Times New Roman"/>
          <w:noProof/>
          <w:color w:val="000000"/>
        </w:rPr>
        <w:t xml:space="preserve"> </w:t>
      </w:r>
      <w:r w:rsidRPr="00E7698B">
        <w:rPr>
          <w:rFonts w:eastAsia="Times New Roman" w:cs="Times New Roman"/>
          <w:noProof/>
          <w:color w:val="000000"/>
        </w:rPr>
        <w:t>institutions." Starting in 2005, the AHA included long term acute care facilities in the definition</w:t>
      </w:r>
      <w:r w:rsidR="00C46B21">
        <w:rPr>
          <w:rFonts w:eastAsia="Times New Roman" w:cs="Times New Roman"/>
          <w:noProof/>
          <w:color w:val="000000"/>
        </w:rPr>
        <w:t xml:space="preserve"> </w:t>
      </w:r>
      <w:r w:rsidRPr="00E7698B">
        <w:rPr>
          <w:rFonts w:eastAsia="Times New Roman" w:cs="Times New Roman"/>
          <w:noProof/>
          <w:color w:val="000000"/>
        </w:rPr>
        <w:t>of community hospitals. These facilities provide acute care services to patients who need long</w:t>
      </w:r>
      <w:r>
        <w:rPr>
          <w:rFonts w:eastAsia="Times New Roman" w:cs="Times New Roman"/>
          <w:noProof/>
          <w:color w:val="000000"/>
        </w:rPr>
        <w:t xml:space="preserve"> </w:t>
      </w:r>
      <w:r w:rsidRPr="00E7698B">
        <w:rPr>
          <w:rFonts w:eastAsia="Times New Roman" w:cs="Times New Roman"/>
          <w:noProof/>
          <w:color w:val="000000"/>
        </w:rPr>
        <w:t>term hospitalization (stays of more than 25 days). Consequently, Veterans Hospitals and other</w:t>
      </w:r>
      <w:r>
        <w:rPr>
          <w:rFonts w:eastAsia="Times New Roman" w:cs="Times New Roman"/>
          <w:noProof/>
          <w:color w:val="000000"/>
        </w:rPr>
        <w:t xml:space="preserve"> </w:t>
      </w:r>
      <w:r w:rsidRPr="00E7698B">
        <w:rPr>
          <w:rFonts w:eastAsia="Times New Roman" w:cs="Times New Roman"/>
          <w:noProof/>
          <w:color w:val="000000"/>
        </w:rPr>
        <w:t>Federal facilities (Department of Defense and Indian Health Service) are excluded. Beginning</w:t>
      </w:r>
      <w:r>
        <w:rPr>
          <w:rFonts w:eastAsia="Times New Roman" w:cs="Times New Roman"/>
          <w:noProof/>
          <w:color w:val="000000"/>
        </w:rPr>
        <w:t xml:space="preserve"> in</w:t>
      </w:r>
      <w:r w:rsidRPr="00E7698B">
        <w:rPr>
          <w:rFonts w:eastAsia="Times New Roman" w:cs="Times New Roman"/>
          <w:noProof/>
          <w:color w:val="000000"/>
        </w:rPr>
        <w:t xml:space="preserve"> 1998, we excluded short-term rehabilitation hospitals from the universe because</w:t>
      </w:r>
      <w:r>
        <w:rPr>
          <w:rFonts w:eastAsia="Times New Roman" w:cs="Times New Roman"/>
          <w:noProof/>
          <w:color w:val="000000"/>
        </w:rPr>
        <w:t xml:space="preserve"> </w:t>
      </w:r>
      <w:r w:rsidRPr="00E7698B">
        <w:rPr>
          <w:rFonts w:eastAsia="Times New Roman" w:cs="Times New Roman"/>
          <w:noProof/>
          <w:color w:val="000000"/>
        </w:rPr>
        <w:t>the type of care provided and the characteristics of the discharges from these facilities were</w:t>
      </w:r>
      <w:r>
        <w:rPr>
          <w:rFonts w:eastAsia="Times New Roman" w:cs="Times New Roman"/>
          <w:noProof/>
          <w:color w:val="000000"/>
        </w:rPr>
        <w:t xml:space="preserve"> </w:t>
      </w:r>
      <w:r w:rsidRPr="00E7698B">
        <w:rPr>
          <w:rFonts w:eastAsia="Times New Roman" w:cs="Times New Roman"/>
          <w:noProof/>
          <w:color w:val="000000"/>
        </w:rPr>
        <w:t xml:space="preserve">markedly different from other short-term hospitals. </w:t>
      </w:r>
    </w:p>
    <w:p w14:paraId="524B0E94" w14:textId="77777777" w:rsidR="004A42DA" w:rsidRDefault="007E3559" w:rsidP="004A42DA">
      <w:pPr>
        <w:autoSpaceDE w:val="0"/>
        <w:autoSpaceDN w:val="0"/>
        <w:adjustRightInd w:val="0"/>
        <w:spacing w:after="0" w:line="240" w:lineRule="auto"/>
        <w:rPr>
          <w:rFonts w:eastAsia="Times New Roman" w:cs="Times New Roman"/>
          <w:color w:val="000000"/>
        </w:rPr>
      </w:pPr>
      <w:hyperlink r:id="rId12" w:history="1">
        <w:r w:rsidR="004A42DA" w:rsidRPr="00D41E32">
          <w:rPr>
            <w:rStyle w:val="Hyperlink"/>
            <w:rFonts w:eastAsia="Times New Roman" w:cs="Times New Roman"/>
          </w:rPr>
          <w:t>http://hcup-us.ahrq.gov/db/nation/nis/NISIntroduction2010.pdf</w:t>
        </w:r>
      </w:hyperlink>
    </w:p>
    <w:p w14:paraId="524B0E95" w14:textId="77777777" w:rsidR="004A42DA" w:rsidRDefault="004A42DA" w:rsidP="004A42DA">
      <w:pPr>
        <w:autoSpaceDE w:val="0"/>
        <w:autoSpaceDN w:val="0"/>
        <w:adjustRightInd w:val="0"/>
        <w:spacing w:after="0" w:line="240" w:lineRule="auto"/>
        <w:rPr>
          <w:rFonts w:cstheme="minorHAnsi"/>
          <w:bCs/>
        </w:rPr>
      </w:pPr>
    </w:p>
    <w:p w14:paraId="524B0E96" w14:textId="77777777"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524B0E97" w14:textId="77777777" w:rsidR="00D255A1" w:rsidRDefault="00D255A1" w:rsidP="00D255A1">
      <w:pPr>
        <w:autoSpaceDE w:val="0"/>
        <w:autoSpaceDN w:val="0"/>
        <w:adjustRightInd w:val="0"/>
        <w:spacing w:after="0" w:line="240" w:lineRule="auto"/>
        <w:rPr>
          <w:rFonts w:cstheme="minorHAnsi"/>
          <w:bCs/>
        </w:rPr>
      </w:pPr>
      <w:r>
        <w:rPr>
          <w:rFonts w:cstheme="minorHAnsi"/>
          <w:bCs/>
        </w:rPr>
        <w:t xml:space="preserve">N = </w:t>
      </w:r>
      <w:r w:rsidRPr="00D255A1">
        <w:rPr>
          <w:rFonts w:cstheme="minorHAnsi"/>
          <w:bCs/>
        </w:rPr>
        <w:t>458,307</w:t>
      </w:r>
    </w:p>
    <w:p w14:paraId="524B0E98" w14:textId="77777777" w:rsidR="001105B1" w:rsidRDefault="001105B1" w:rsidP="001105B1">
      <w:pPr>
        <w:autoSpaceDE w:val="0"/>
        <w:autoSpaceDN w:val="0"/>
        <w:adjustRightInd w:val="0"/>
        <w:spacing w:after="0" w:line="240" w:lineRule="auto"/>
        <w:rPr>
          <w:rFonts w:cstheme="minorHAnsi"/>
          <w:bCs/>
        </w:rPr>
      </w:pPr>
    </w:p>
    <w:tbl>
      <w:tblPr>
        <w:tblW w:w="5000" w:type="pct"/>
        <w:tblLook w:val="04A0" w:firstRow="1" w:lastRow="0" w:firstColumn="1" w:lastColumn="0" w:noHBand="0" w:noVBand="1"/>
      </w:tblPr>
      <w:tblGrid>
        <w:gridCol w:w="1468"/>
        <w:gridCol w:w="2152"/>
        <w:gridCol w:w="1168"/>
        <w:gridCol w:w="1468"/>
        <w:gridCol w:w="2152"/>
        <w:gridCol w:w="1168"/>
      </w:tblGrid>
      <w:tr w:rsidR="00EF65E9" w:rsidRPr="00C03244" w14:paraId="524B0E9F" w14:textId="77777777" w:rsidTr="00E34E1B">
        <w:trPr>
          <w:trHeight w:val="300"/>
        </w:trPr>
        <w:tc>
          <w:tcPr>
            <w:tcW w:w="766" w:type="pct"/>
            <w:tcBorders>
              <w:top w:val="single" w:sz="4" w:space="0" w:color="auto"/>
              <w:left w:val="single" w:sz="4" w:space="0" w:color="auto"/>
              <w:bottom w:val="single" w:sz="4" w:space="0" w:color="auto"/>
              <w:right w:val="nil"/>
            </w:tcBorders>
            <w:shd w:val="clear" w:color="auto" w:fill="BFBFBF" w:themeFill="background1" w:themeFillShade="BF"/>
            <w:noWrap/>
            <w:vAlign w:val="bottom"/>
            <w:hideMark/>
          </w:tcPr>
          <w:p w14:paraId="524B0E99" w14:textId="77777777" w:rsidR="001105B1" w:rsidRPr="00C03244" w:rsidRDefault="001105B1" w:rsidP="00E34E1B">
            <w:pPr>
              <w:spacing w:after="0" w:line="240" w:lineRule="auto"/>
              <w:rPr>
                <w:rFonts w:ascii="Calibri" w:eastAsia="Times New Roman" w:hAnsi="Calibri" w:cs="Times New Roman"/>
                <w:b/>
                <w:color w:val="000000"/>
              </w:rPr>
            </w:pPr>
            <w:r w:rsidRPr="00C03244">
              <w:rPr>
                <w:rFonts w:ascii="Calibri" w:eastAsia="Times New Roman" w:hAnsi="Calibri" w:cs="Times New Roman"/>
                <w:b/>
                <w:color w:val="000000"/>
              </w:rPr>
              <w:t>Characteristic</w:t>
            </w:r>
          </w:p>
        </w:tc>
        <w:tc>
          <w:tcPr>
            <w:tcW w:w="1146" w:type="pct"/>
            <w:tcBorders>
              <w:top w:val="single" w:sz="4" w:space="0" w:color="auto"/>
              <w:left w:val="nil"/>
              <w:bottom w:val="single" w:sz="4" w:space="0" w:color="auto"/>
              <w:right w:val="nil"/>
            </w:tcBorders>
            <w:shd w:val="clear" w:color="auto" w:fill="BFBFBF" w:themeFill="background1" w:themeFillShade="BF"/>
            <w:noWrap/>
            <w:vAlign w:val="bottom"/>
            <w:hideMark/>
          </w:tcPr>
          <w:p w14:paraId="524B0E9A" w14:textId="77777777" w:rsidR="001105B1" w:rsidRPr="00C03244" w:rsidRDefault="001105B1" w:rsidP="00E34E1B">
            <w:pPr>
              <w:spacing w:after="0" w:line="240" w:lineRule="auto"/>
              <w:rPr>
                <w:rFonts w:ascii="Calibri" w:eastAsia="Times New Roman" w:hAnsi="Calibri" w:cs="Times New Roman"/>
                <w:b/>
                <w:color w:val="000000"/>
              </w:rPr>
            </w:pPr>
          </w:p>
        </w:tc>
        <w:tc>
          <w:tcPr>
            <w:tcW w:w="587" w:type="pct"/>
            <w:tcBorders>
              <w:top w:val="single" w:sz="4" w:space="0" w:color="auto"/>
              <w:left w:val="nil"/>
              <w:bottom w:val="single" w:sz="4" w:space="0" w:color="auto"/>
              <w:right w:val="nil"/>
            </w:tcBorders>
            <w:shd w:val="clear" w:color="auto" w:fill="BFBFBF" w:themeFill="background1" w:themeFillShade="BF"/>
            <w:noWrap/>
            <w:vAlign w:val="bottom"/>
            <w:hideMark/>
          </w:tcPr>
          <w:p w14:paraId="524B0E9B" w14:textId="77777777" w:rsidR="001105B1" w:rsidRPr="00C03244" w:rsidRDefault="00EF65E9" w:rsidP="00E34E1B">
            <w:pPr>
              <w:spacing w:after="0" w:line="240" w:lineRule="auto"/>
              <w:jc w:val="right"/>
              <w:rPr>
                <w:rFonts w:ascii="Calibri" w:eastAsia="Times New Roman" w:hAnsi="Calibri" w:cs="Times New Roman"/>
                <w:b/>
                <w:color w:val="000000"/>
              </w:rPr>
            </w:pPr>
            <w:r>
              <w:rPr>
                <w:rFonts w:ascii="Calibri" w:eastAsia="Times New Roman" w:hAnsi="Calibri" w:cs="Times New Roman"/>
                <w:b/>
                <w:color w:val="000000"/>
              </w:rPr>
              <w:t>Frequency</w:t>
            </w:r>
          </w:p>
        </w:tc>
        <w:tc>
          <w:tcPr>
            <w:tcW w:w="766" w:type="pct"/>
            <w:tcBorders>
              <w:top w:val="single" w:sz="4" w:space="0" w:color="auto"/>
              <w:left w:val="nil"/>
              <w:bottom w:val="single" w:sz="4" w:space="0" w:color="auto"/>
              <w:right w:val="nil"/>
            </w:tcBorders>
            <w:shd w:val="clear" w:color="auto" w:fill="BFBFBF" w:themeFill="background1" w:themeFillShade="BF"/>
            <w:noWrap/>
            <w:vAlign w:val="bottom"/>
            <w:hideMark/>
          </w:tcPr>
          <w:p w14:paraId="524B0E9C" w14:textId="77777777" w:rsidR="001105B1" w:rsidRPr="00C03244" w:rsidRDefault="001105B1" w:rsidP="00E34E1B">
            <w:pPr>
              <w:spacing w:after="0" w:line="240" w:lineRule="auto"/>
              <w:rPr>
                <w:rFonts w:ascii="Calibri" w:eastAsia="Times New Roman" w:hAnsi="Calibri" w:cs="Times New Roman"/>
                <w:b/>
                <w:color w:val="000000"/>
              </w:rPr>
            </w:pPr>
            <w:r w:rsidRPr="00C03244">
              <w:rPr>
                <w:rFonts w:ascii="Calibri" w:eastAsia="Times New Roman" w:hAnsi="Calibri" w:cs="Times New Roman"/>
                <w:b/>
                <w:color w:val="000000"/>
              </w:rPr>
              <w:t>Characteristic</w:t>
            </w:r>
          </w:p>
        </w:tc>
        <w:tc>
          <w:tcPr>
            <w:tcW w:w="1146" w:type="pct"/>
            <w:tcBorders>
              <w:top w:val="single" w:sz="4" w:space="0" w:color="auto"/>
              <w:left w:val="nil"/>
              <w:bottom w:val="single" w:sz="4" w:space="0" w:color="auto"/>
              <w:right w:val="nil"/>
            </w:tcBorders>
            <w:shd w:val="clear" w:color="auto" w:fill="BFBFBF" w:themeFill="background1" w:themeFillShade="BF"/>
            <w:noWrap/>
            <w:vAlign w:val="bottom"/>
            <w:hideMark/>
          </w:tcPr>
          <w:p w14:paraId="524B0E9D" w14:textId="77777777" w:rsidR="001105B1" w:rsidRPr="00C03244" w:rsidRDefault="001105B1" w:rsidP="00E34E1B">
            <w:pPr>
              <w:spacing w:after="0" w:line="240" w:lineRule="auto"/>
              <w:rPr>
                <w:rFonts w:ascii="Calibri" w:eastAsia="Times New Roman" w:hAnsi="Calibri" w:cs="Times New Roman"/>
                <w:b/>
                <w:color w:val="000000"/>
              </w:rPr>
            </w:pPr>
          </w:p>
        </w:tc>
        <w:tc>
          <w:tcPr>
            <w:tcW w:w="588" w:type="pct"/>
            <w:tcBorders>
              <w:top w:val="single" w:sz="4" w:space="0" w:color="auto"/>
              <w:left w:val="nil"/>
              <w:bottom w:val="single" w:sz="4" w:space="0" w:color="auto"/>
              <w:right w:val="single" w:sz="4" w:space="0" w:color="auto"/>
            </w:tcBorders>
            <w:shd w:val="clear" w:color="auto" w:fill="BFBFBF" w:themeFill="background1" w:themeFillShade="BF"/>
            <w:noWrap/>
            <w:vAlign w:val="bottom"/>
            <w:hideMark/>
          </w:tcPr>
          <w:p w14:paraId="524B0E9E" w14:textId="77777777" w:rsidR="001105B1" w:rsidRPr="00C03244" w:rsidRDefault="00EF65E9" w:rsidP="00E34E1B">
            <w:pPr>
              <w:spacing w:after="0" w:line="240" w:lineRule="auto"/>
              <w:jc w:val="right"/>
              <w:rPr>
                <w:rFonts w:ascii="Calibri" w:eastAsia="Times New Roman" w:hAnsi="Calibri" w:cs="Times New Roman"/>
                <w:b/>
                <w:color w:val="000000"/>
              </w:rPr>
            </w:pPr>
            <w:r>
              <w:rPr>
                <w:rFonts w:ascii="Calibri" w:eastAsia="Times New Roman" w:hAnsi="Calibri" w:cs="Times New Roman"/>
                <w:b/>
                <w:color w:val="000000"/>
              </w:rPr>
              <w:t>Frequency</w:t>
            </w:r>
          </w:p>
        </w:tc>
      </w:tr>
      <w:tr w:rsidR="001105B1" w:rsidRPr="00C03244" w14:paraId="524B0EA6" w14:textId="77777777" w:rsidTr="00E34E1B">
        <w:trPr>
          <w:trHeight w:val="300"/>
        </w:trPr>
        <w:tc>
          <w:tcPr>
            <w:tcW w:w="766" w:type="pct"/>
            <w:tcBorders>
              <w:top w:val="single" w:sz="4" w:space="0" w:color="auto"/>
              <w:left w:val="single" w:sz="4" w:space="0" w:color="auto"/>
              <w:bottom w:val="nil"/>
              <w:right w:val="nil"/>
            </w:tcBorders>
            <w:shd w:val="clear" w:color="auto" w:fill="auto"/>
            <w:noWrap/>
            <w:vAlign w:val="bottom"/>
            <w:hideMark/>
          </w:tcPr>
          <w:p w14:paraId="524B0EA0"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Age</w:t>
            </w:r>
          </w:p>
        </w:tc>
        <w:tc>
          <w:tcPr>
            <w:tcW w:w="1146" w:type="pct"/>
            <w:tcBorders>
              <w:top w:val="single" w:sz="4" w:space="0" w:color="auto"/>
              <w:left w:val="nil"/>
              <w:bottom w:val="nil"/>
              <w:right w:val="nil"/>
            </w:tcBorders>
            <w:shd w:val="clear" w:color="auto" w:fill="auto"/>
            <w:noWrap/>
            <w:vAlign w:val="bottom"/>
            <w:hideMark/>
          </w:tcPr>
          <w:p w14:paraId="524B0EA1"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18 to 59</w:t>
            </w:r>
          </w:p>
        </w:tc>
        <w:tc>
          <w:tcPr>
            <w:tcW w:w="587" w:type="pct"/>
            <w:tcBorders>
              <w:top w:val="single" w:sz="4" w:space="0" w:color="auto"/>
              <w:left w:val="nil"/>
              <w:bottom w:val="nil"/>
              <w:right w:val="nil"/>
            </w:tcBorders>
            <w:shd w:val="clear" w:color="auto" w:fill="auto"/>
            <w:noWrap/>
            <w:vAlign w:val="bottom"/>
            <w:hideMark/>
          </w:tcPr>
          <w:p w14:paraId="524B0EA2"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0.2725</w:t>
            </w:r>
          </w:p>
        </w:tc>
        <w:tc>
          <w:tcPr>
            <w:tcW w:w="766" w:type="pct"/>
            <w:tcBorders>
              <w:top w:val="single" w:sz="4" w:space="0" w:color="auto"/>
              <w:left w:val="nil"/>
              <w:bottom w:val="nil"/>
              <w:right w:val="nil"/>
            </w:tcBorders>
            <w:shd w:val="clear" w:color="auto" w:fill="auto"/>
            <w:noWrap/>
            <w:vAlign w:val="bottom"/>
            <w:hideMark/>
          </w:tcPr>
          <w:p w14:paraId="524B0EA3"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single" w:sz="4" w:space="0" w:color="auto"/>
              <w:left w:val="nil"/>
              <w:bottom w:val="nil"/>
              <w:right w:val="nil"/>
            </w:tcBorders>
            <w:shd w:val="clear" w:color="auto" w:fill="auto"/>
            <w:noWrap/>
            <w:vAlign w:val="bottom"/>
            <w:hideMark/>
          </w:tcPr>
          <w:p w14:paraId="524B0EA4"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'2421' to ‘2423’</w:t>
            </w:r>
          </w:p>
        </w:tc>
        <w:tc>
          <w:tcPr>
            <w:tcW w:w="588" w:type="pct"/>
            <w:tcBorders>
              <w:top w:val="single" w:sz="4" w:space="0" w:color="auto"/>
              <w:left w:val="nil"/>
              <w:bottom w:val="nil"/>
              <w:right w:val="single" w:sz="4" w:space="0" w:color="auto"/>
            </w:tcBorders>
            <w:shd w:val="clear" w:color="auto" w:fill="auto"/>
            <w:noWrap/>
            <w:vAlign w:val="bottom"/>
            <w:hideMark/>
          </w:tcPr>
          <w:p w14:paraId="524B0EA5"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0.0447</w:t>
            </w:r>
          </w:p>
        </w:tc>
      </w:tr>
      <w:tr w:rsidR="001105B1" w:rsidRPr="00C03244" w14:paraId="524B0EAD" w14:textId="77777777" w:rsidTr="00E34E1B">
        <w:trPr>
          <w:trHeight w:val="300"/>
        </w:trPr>
        <w:tc>
          <w:tcPr>
            <w:tcW w:w="766" w:type="pct"/>
            <w:tcBorders>
              <w:top w:val="nil"/>
              <w:left w:val="single" w:sz="4" w:space="0" w:color="auto"/>
              <w:bottom w:val="nil"/>
              <w:right w:val="nil"/>
            </w:tcBorders>
            <w:shd w:val="clear" w:color="auto" w:fill="auto"/>
            <w:noWrap/>
            <w:vAlign w:val="bottom"/>
            <w:hideMark/>
          </w:tcPr>
          <w:p w14:paraId="524B0EA7" w14:textId="77777777" w:rsidR="001105B1" w:rsidRPr="00C03244" w:rsidRDefault="001105B1" w:rsidP="00E34E1B">
            <w:pPr>
              <w:spacing w:after="0" w:line="240" w:lineRule="auto"/>
              <w:rPr>
                <w:rFonts w:ascii="Calibri" w:eastAsia="Times New Roman" w:hAnsi="Calibri" w:cs="Times New Roman"/>
                <w:color w:val="000000"/>
              </w:rPr>
            </w:pPr>
            <w:r>
              <w:rPr>
                <w:rFonts w:ascii="Calibri" w:eastAsia="Times New Roman" w:hAnsi="Calibri" w:cs="Times New Roman"/>
                <w:color w:val="000000"/>
              </w:rPr>
              <w:t>Age</w:t>
            </w:r>
          </w:p>
        </w:tc>
        <w:tc>
          <w:tcPr>
            <w:tcW w:w="1146" w:type="pct"/>
            <w:tcBorders>
              <w:top w:val="nil"/>
              <w:left w:val="nil"/>
              <w:bottom w:val="nil"/>
              <w:right w:val="nil"/>
            </w:tcBorders>
            <w:shd w:val="clear" w:color="auto" w:fill="auto"/>
            <w:noWrap/>
            <w:vAlign w:val="bottom"/>
            <w:hideMark/>
          </w:tcPr>
          <w:p w14:paraId="524B0EA8" w14:textId="77777777" w:rsidR="001105B1" w:rsidRPr="00C03244" w:rsidRDefault="001105B1" w:rsidP="00E34E1B">
            <w:pPr>
              <w:spacing w:after="0" w:line="240" w:lineRule="auto"/>
              <w:rPr>
                <w:rFonts w:ascii="Calibri" w:eastAsia="Times New Roman" w:hAnsi="Calibri" w:cs="Times New Roman"/>
                <w:color w:val="000000"/>
              </w:rPr>
            </w:pPr>
            <w:r>
              <w:rPr>
                <w:rFonts w:ascii="Calibri" w:eastAsia="Times New Roman" w:hAnsi="Calibri" w:cs="Times New Roman"/>
                <w:color w:val="000000"/>
              </w:rPr>
              <w:t>60 to 64</w:t>
            </w:r>
          </w:p>
        </w:tc>
        <w:tc>
          <w:tcPr>
            <w:tcW w:w="587" w:type="pct"/>
            <w:tcBorders>
              <w:top w:val="nil"/>
              <w:left w:val="nil"/>
              <w:bottom w:val="nil"/>
              <w:right w:val="nil"/>
            </w:tcBorders>
            <w:shd w:val="clear" w:color="auto" w:fill="auto"/>
            <w:noWrap/>
            <w:vAlign w:val="bottom"/>
            <w:hideMark/>
          </w:tcPr>
          <w:p w14:paraId="524B0EA9"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0.0766</w:t>
            </w:r>
          </w:p>
        </w:tc>
        <w:tc>
          <w:tcPr>
            <w:tcW w:w="766" w:type="pct"/>
            <w:tcBorders>
              <w:top w:val="nil"/>
              <w:left w:val="nil"/>
              <w:bottom w:val="nil"/>
              <w:right w:val="nil"/>
            </w:tcBorders>
            <w:shd w:val="clear" w:color="auto" w:fill="auto"/>
            <w:noWrap/>
            <w:vAlign w:val="bottom"/>
            <w:hideMark/>
          </w:tcPr>
          <w:p w14:paraId="524B0EAA"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nil"/>
              <w:left w:val="nil"/>
              <w:bottom w:val="nil"/>
              <w:right w:val="nil"/>
            </w:tcBorders>
            <w:shd w:val="clear" w:color="auto" w:fill="auto"/>
            <w:noWrap/>
            <w:vAlign w:val="bottom"/>
            <w:hideMark/>
          </w:tcPr>
          <w:p w14:paraId="524B0EAB"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'2424'</w:t>
            </w:r>
          </w:p>
        </w:tc>
        <w:tc>
          <w:tcPr>
            <w:tcW w:w="588" w:type="pct"/>
            <w:tcBorders>
              <w:top w:val="nil"/>
              <w:left w:val="nil"/>
              <w:bottom w:val="nil"/>
              <w:right w:val="single" w:sz="4" w:space="0" w:color="auto"/>
            </w:tcBorders>
            <w:shd w:val="clear" w:color="auto" w:fill="auto"/>
            <w:noWrap/>
            <w:vAlign w:val="bottom"/>
            <w:hideMark/>
          </w:tcPr>
          <w:p w14:paraId="524B0EAC"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0.0016</w:t>
            </w:r>
          </w:p>
        </w:tc>
      </w:tr>
      <w:tr w:rsidR="001105B1" w:rsidRPr="00C03244" w14:paraId="524B0EB4" w14:textId="77777777" w:rsidTr="00E34E1B">
        <w:trPr>
          <w:trHeight w:val="300"/>
        </w:trPr>
        <w:tc>
          <w:tcPr>
            <w:tcW w:w="766" w:type="pct"/>
            <w:tcBorders>
              <w:top w:val="nil"/>
              <w:left w:val="single" w:sz="4" w:space="0" w:color="auto"/>
              <w:bottom w:val="nil"/>
              <w:right w:val="nil"/>
            </w:tcBorders>
            <w:shd w:val="clear" w:color="auto" w:fill="auto"/>
            <w:noWrap/>
            <w:vAlign w:val="bottom"/>
            <w:hideMark/>
          </w:tcPr>
          <w:p w14:paraId="524B0EAE"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Age</w:t>
            </w:r>
          </w:p>
        </w:tc>
        <w:tc>
          <w:tcPr>
            <w:tcW w:w="1146" w:type="pct"/>
            <w:tcBorders>
              <w:top w:val="nil"/>
              <w:left w:val="nil"/>
              <w:bottom w:val="nil"/>
              <w:right w:val="nil"/>
            </w:tcBorders>
            <w:shd w:val="clear" w:color="auto" w:fill="auto"/>
            <w:noWrap/>
            <w:vAlign w:val="bottom"/>
            <w:hideMark/>
          </w:tcPr>
          <w:p w14:paraId="524B0EAF"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65 to 85+</w:t>
            </w:r>
          </w:p>
        </w:tc>
        <w:tc>
          <w:tcPr>
            <w:tcW w:w="587" w:type="pct"/>
            <w:tcBorders>
              <w:top w:val="nil"/>
              <w:left w:val="nil"/>
              <w:bottom w:val="nil"/>
              <w:right w:val="nil"/>
            </w:tcBorders>
            <w:shd w:val="clear" w:color="auto" w:fill="auto"/>
            <w:noWrap/>
            <w:vAlign w:val="bottom"/>
            <w:hideMark/>
          </w:tcPr>
          <w:p w14:paraId="524B0EB0"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0.6509</w:t>
            </w:r>
          </w:p>
        </w:tc>
        <w:tc>
          <w:tcPr>
            <w:tcW w:w="766" w:type="pct"/>
            <w:tcBorders>
              <w:top w:val="nil"/>
              <w:left w:val="nil"/>
              <w:bottom w:val="nil"/>
              <w:right w:val="nil"/>
            </w:tcBorders>
            <w:shd w:val="clear" w:color="auto" w:fill="auto"/>
            <w:noWrap/>
            <w:vAlign w:val="bottom"/>
            <w:hideMark/>
          </w:tcPr>
          <w:p w14:paraId="524B0EB1"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nil"/>
              <w:left w:val="nil"/>
              <w:bottom w:val="nil"/>
              <w:right w:val="nil"/>
            </w:tcBorders>
            <w:shd w:val="clear" w:color="auto" w:fill="auto"/>
            <w:noWrap/>
            <w:vAlign w:val="bottom"/>
            <w:hideMark/>
          </w:tcPr>
          <w:p w14:paraId="524B0EB2"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'2441' to ‘2442’</w:t>
            </w:r>
          </w:p>
        </w:tc>
        <w:tc>
          <w:tcPr>
            <w:tcW w:w="588" w:type="pct"/>
            <w:tcBorders>
              <w:top w:val="nil"/>
              <w:left w:val="nil"/>
              <w:bottom w:val="nil"/>
              <w:right w:val="single" w:sz="4" w:space="0" w:color="auto"/>
            </w:tcBorders>
            <w:shd w:val="clear" w:color="auto" w:fill="auto"/>
            <w:noWrap/>
            <w:vAlign w:val="bottom"/>
            <w:hideMark/>
          </w:tcPr>
          <w:p w14:paraId="524B0EB3"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0.1294</w:t>
            </w:r>
          </w:p>
        </w:tc>
      </w:tr>
      <w:tr w:rsidR="001105B1" w:rsidRPr="00C03244" w14:paraId="524B0EBB" w14:textId="77777777" w:rsidTr="00E34E1B">
        <w:trPr>
          <w:trHeight w:val="300"/>
        </w:trPr>
        <w:tc>
          <w:tcPr>
            <w:tcW w:w="766" w:type="pct"/>
            <w:tcBorders>
              <w:top w:val="nil"/>
              <w:left w:val="single" w:sz="4" w:space="0" w:color="auto"/>
              <w:bottom w:val="nil"/>
              <w:right w:val="nil"/>
            </w:tcBorders>
            <w:shd w:val="clear" w:color="auto" w:fill="auto"/>
            <w:noWrap/>
            <w:vAlign w:val="bottom"/>
            <w:hideMark/>
          </w:tcPr>
          <w:p w14:paraId="524B0EB5"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nil"/>
              <w:left w:val="nil"/>
              <w:bottom w:val="nil"/>
              <w:right w:val="nil"/>
            </w:tcBorders>
            <w:shd w:val="clear" w:color="auto" w:fill="auto"/>
            <w:noWrap/>
            <w:vAlign w:val="bottom"/>
            <w:hideMark/>
          </w:tcPr>
          <w:p w14:paraId="524B0EB6"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'2201'</w:t>
            </w:r>
          </w:p>
        </w:tc>
        <w:tc>
          <w:tcPr>
            <w:tcW w:w="587" w:type="pct"/>
            <w:tcBorders>
              <w:top w:val="nil"/>
              <w:left w:val="nil"/>
              <w:bottom w:val="nil"/>
              <w:right w:val="nil"/>
            </w:tcBorders>
            <w:shd w:val="clear" w:color="auto" w:fill="auto"/>
            <w:noWrap/>
            <w:vAlign w:val="bottom"/>
            <w:hideMark/>
          </w:tcPr>
          <w:p w14:paraId="524B0EB7"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0.0021</w:t>
            </w:r>
          </w:p>
        </w:tc>
        <w:tc>
          <w:tcPr>
            <w:tcW w:w="766" w:type="pct"/>
            <w:tcBorders>
              <w:top w:val="nil"/>
              <w:left w:val="nil"/>
              <w:bottom w:val="nil"/>
              <w:right w:val="nil"/>
            </w:tcBorders>
            <w:shd w:val="clear" w:color="auto" w:fill="auto"/>
            <w:noWrap/>
            <w:vAlign w:val="bottom"/>
            <w:hideMark/>
          </w:tcPr>
          <w:p w14:paraId="524B0EB8"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nil"/>
              <w:left w:val="nil"/>
              <w:bottom w:val="nil"/>
              <w:right w:val="nil"/>
            </w:tcBorders>
            <w:shd w:val="clear" w:color="auto" w:fill="auto"/>
            <w:noWrap/>
            <w:vAlign w:val="bottom"/>
            <w:hideMark/>
          </w:tcPr>
          <w:p w14:paraId="524B0EB9"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'2443'</w:t>
            </w:r>
          </w:p>
        </w:tc>
        <w:tc>
          <w:tcPr>
            <w:tcW w:w="588" w:type="pct"/>
            <w:tcBorders>
              <w:top w:val="nil"/>
              <w:left w:val="nil"/>
              <w:bottom w:val="nil"/>
              <w:right w:val="single" w:sz="4" w:space="0" w:color="auto"/>
            </w:tcBorders>
            <w:shd w:val="clear" w:color="auto" w:fill="auto"/>
            <w:noWrap/>
            <w:vAlign w:val="bottom"/>
            <w:hideMark/>
          </w:tcPr>
          <w:p w14:paraId="524B0EBA"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0.0150</w:t>
            </w:r>
          </w:p>
        </w:tc>
      </w:tr>
      <w:tr w:rsidR="001105B1" w:rsidRPr="00C03244" w14:paraId="524B0EC2" w14:textId="77777777" w:rsidTr="00E34E1B">
        <w:trPr>
          <w:trHeight w:val="300"/>
        </w:trPr>
        <w:tc>
          <w:tcPr>
            <w:tcW w:w="766" w:type="pct"/>
            <w:tcBorders>
              <w:top w:val="nil"/>
              <w:left w:val="single" w:sz="4" w:space="0" w:color="auto"/>
              <w:bottom w:val="nil"/>
              <w:right w:val="nil"/>
            </w:tcBorders>
            <w:shd w:val="clear" w:color="auto" w:fill="auto"/>
            <w:noWrap/>
            <w:vAlign w:val="bottom"/>
            <w:hideMark/>
          </w:tcPr>
          <w:p w14:paraId="524B0EBC"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nil"/>
              <w:left w:val="nil"/>
              <w:bottom w:val="nil"/>
              <w:right w:val="nil"/>
            </w:tcBorders>
            <w:shd w:val="clear" w:color="auto" w:fill="auto"/>
            <w:noWrap/>
            <w:vAlign w:val="bottom"/>
            <w:hideMark/>
          </w:tcPr>
          <w:p w14:paraId="524B0EBD"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'2202'</w:t>
            </w:r>
          </w:p>
        </w:tc>
        <w:tc>
          <w:tcPr>
            <w:tcW w:w="587" w:type="pct"/>
            <w:tcBorders>
              <w:top w:val="nil"/>
              <w:left w:val="nil"/>
              <w:bottom w:val="nil"/>
              <w:right w:val="nil"/>
            </w:tcBorders>
            <w:shd w:val="clear" w:color="auto" w:fill="auto"/>
            <w:noWrap/>
            <w:vAlign w:val="bottom"/>
            <w:hideMark/>
          </w:tcPr>
          <w:p w14:paraId="524B0EBE"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0.0034</w:t>
            </w:r>
          </w:p>
        </w:tc>
        <w:tc>
          <w:tcPr>
            <w:tcW w:w="766" w:type="pct"/>
            <w:tcBorders>
              <w:top w:val="nil"/>
              <w:left w:val="nil"/>
              <w:bottom w:val="nil"/>
              <w:right w:val="nil"/>
            </w:tcBorders>
            <w:shd w:val="clear" w:color="auto" w:fill="auto"/>
            <w:noWrap/>
            <w:vAlign w:val="bottom"/>
            <w:hideMark/>
          </w:tcPr>
          <w:p w14:paraId="524B0EBF"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nil"/>
              <w:left w:val="nil"/>
              <w:bottom w:val="nil"/>
              <w:right w:val="nil"/>
            </w:tcBorders>
            <w:shd w:val="clear" w:color="auto" w:fill="auto"/>
            <w:noWrap/>
            <w:vAlign w:val="bottom"/>
            <w:hideMark/>
          </w:tcPr>
          <w:p w14:paraId="524B0EC0"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'2444'</w:t>
            </w:r>
          </w:p>
        </w:tc>
        <w:tc>
          <w:tcPr>
            <w:tcW w:w="588" w:type="pct"/>
            <w:tcBorders>
              <w:top w:val="nil"/>
              <w:left w:val="nil"/>
              <w:bottom w:val="nil"/>
              <w:right w:val="single" w:sz="4" w:space="0" w:color="auto"/>
            </w:tcBorders>
            <w:shd w:val="clear" w:color="auto" w:fill="auto"/>
            <w:noWrap/>
            <w:vAlign w:val="bottom"/>
            <w:hideMark/>
          </w:tcPr>
          <w:p w14:paraId="524B0EC1"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0.0020</w:t>
            </w:r>
          </w:p>
        </w:tc>
      </w:tr>
      <w:tr w:rsidR="001105B1" w:rsidRPr="00C03244" w14:paraId="524B0EC9" w14:textId="77777777" w:rsidTr="00E34E1B">
        <w:trPr>
          <w:trHeight w:val="300"/>
        </w:trPr>
        <w:tc>
          <w:tcPr>
            <w:tcW w:w="766" w:type="pct"/>
            <w:tcBorders>
              <w:top w:val="nil"/>
              <w:left w:val="single" w:sz="4" w:space="0" w:color="auto"/>
              <w:bottom w:val="nil"/>
              <w:right w:val="nil"/>
            </w:tcBorders>
            <w:shd w:val="clear" w:color="auto" w:fill="auto"/>
            <w:noWrap/>
            <w:vAlign w:val="bottom"/>
            <w:hideMark/>
          </w:tcPr>
          <w:p w14:paraId="524B0EC3"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nil"/>
              <w:left w:val="nil"/>
              <w:bottom w:val="nil"/>
              <w:right w:val="nil"/>
            </w:tcBorders>
            <w:shd w:val="clear" w:color="auto" w:fill="auto"/>
            <w:noWrap/>
            <w:vAlign w:val="bottom"/>
            <w:hideMark/>
          </w:tcPr>
          <w:p w14:paraId="524B0EC4"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'2203'</w:t>
            </w:r>
          </w:p>
        </w:tc>
        <w:tc>
          <w:tcPr>
            <w:tcW w:w="587" w:type="pct"/>
            <w:tcBorders>
              <w:top w:val="nil"/>
              <w:left w:val="nil"/>
              <w:bottom w:val="nil"/>
              <w:right w:val="nil"/>
            </w:tcBorders>
            <w:shd w:val="clear" w:color="auto" w:fill="auto"/>
            <w:noWrap/>
            <w:vAlign w:val="bottom"/>
            <w:hideMark/>
          </w:tcPr>
          <w:p w14:paraId="524B0EC5"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0.0023</w:t>
            </w:r>
          </w:p>
        </w:tc>
        <w:tc>
          <w:tcPr>
            <w:tcW w:w="766" w:type="pct"/>
            <w:tcBorders>
              <w:top w:val="nil"/>
              <w:left w:val="nil"/>
              <w:bottom w:val="nil"/>
              <w:right w:val="nil"/>
            </w:tcBorders>
            <w:shd w:val="clear" w:color="auto" w:fill="auto"/>
            <w:noWrap/>
            <w:vAlign w:val="bottom"/>
            <w:hideMark/>
          </w:tcPr>
          <w:p w14:paraId="524B0EC6"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nil"/>
              <w:left w:val="nil"/>
              <w:bottom w:val="nil"/>
              <w:right w:val="nil"/>
            </w:tcBorders>
            <w:shd w:val="clear" w:color="auto" w:fill="auto"/>
            <w:noWrap/>
            <w:vAlign w:val="bottom"/>
            <w:hideMark/>
          </w:tcPr>
          <w:p w14:paraId="524B0EC7" w14:textId="77777777" w:rsidR="001105B1" w:rsidRPr="00C03244" w:rsidRDefault="001105B1" w:rsidP="00E34E1B">
            <w:pPr>
              <w:spacing w:after="0" w:line="240" w:lineRule="auto"/>
              <w:rPr>
                <w:rFonts w:ascii="Calibri" w:eastAsia="Times New Roman" w:hAnsi="Calibri" w:cs="Times New Roman"/>
                <w:color w:val="000000"/>
              </w:rPr>
            </w:pPr>
            <w:r>
              <w:rPr>
                <w:rFonts w:ascii="Calibri" w:eastAsia="Times New Roman" w:hAnsi="Calibri" w:cs="Times New Roman"/>
                <w:color w:val="000000"/>
              </w:rPr>
              <w:t>'2531</w:t>
            </w:r>
            <w:r w:rsidRPr="00C03244">
              <w:rPr>
                <w:rFonts w:ascii="Calibri" w:eastAsia="Times New Roman" w:hAnsi="Calibri" w:cs="Times New Roman"/>
                <w:color w:val="000000"/>
              </w:rPr>
              <w:t>'</w:t>
            </w:r>
          </w:p>
        </w:tc>
        <w:tc>
          <w:tcPr>
            <w:tcW w:w="588" w:type="pct"/>
            <w:tcBorders>
              <w:top w:val="nil"/>
              <w:left w:val="nil"/>
              <w:bottom w:val="nil"/>
              <w:right w:val="single" w:sz="4" w:space="0" w:color="auto"/>
            </w:tcBorders>
            <w:shd w:val="clear" w:color="auto" w:fill="auto"/>
            <w:noWrap/>
            <w:vAlign w:val="bottom"/>
            <w:hideMark/>
          </w:tcPr>
          <w:p w14:paraId="524B0EC8"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0.1323</w:t>
            </w:r>
          </w:p>
        </w:tc>
      </w:tr>
      <w:tr w:rsidR="001105B1" w:rsidRPr="00C03244" w14:paraId="524B0ED0" w14:textId="77777777" w:rsidTr="00E34E1B">
        <w:trPr>
          <w:trHeight w:val="300"/>
        </w:trPr>
        <w:tc>
          <w:tcPr>
            <w:tcW w:w="766" w:type="pct"/>
            <w:tcBorders>
              <w:top w:val="nil"/>
              <w:left w:val="single" w:sz="4" w:space="0" w:color="auto"/>
              <w:bottom w:val="nil"/>
              <w:right w:val="nil"/>
            </w:tcBorders>
            <w:shd w:val="clear" w:color="auto" w:fill="auto"/>
            <w:noWrap/>
            <w:vAlign w:val="bottom"/>
            <w:hideMark/>
          </w:tcPr>
          <w:p w14:paraId="524B0ECA"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lastRenderedPageBreak/>
              <w:t>APR-DRG</w:t>
            </w:r>
          </w:p>
        </w:tc>
        <w:tc>
          <w:tcPr>
            <w:tcW w:w="1146" w:type="pct"/>
            <w:tcBorders>
              <w:top w:val="nil"/>
              <w:left w:val="nil"/>
              <w:bottom w:val="nil"/>
              <w:right w:val="nil"/>
            </w:tcBorders>
            <w:shd w:val="clear" w:color="auto" w:fill="auto"/>
            <w:noWrap/>
            <w:vAlign w:val="bottom"/>
            <w:hideMark/>
          </w:tcPr>
          <w:p w14:paraId="524B0ECB"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'2204'</w:t>
            </w:r>
          </w:p>
        </w:tc>
        <w:tc>
          <w:tcPr>
            <w:tcW w:w="587" w:type="pct"/>
            <w:tcBorders>
              <w:top w:val="nil"/>
              <w:left w:val="nil"/>
              <w:bottom w:val="nil"/>
              <w:right w:val="nil"/>
            </w:tcBorders>
            <w:shd w:val="clear" w:color="auto" w:fill="auto"/>
            <w:noWrap/>
            <w:vAlign w:val="bottom"/>
            <w:hideMark/>
          </w:tcPr>
          <w:p w14:paraId="524B0ECC"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0.0015</w:t>
            </w:r>
          </w:p>
        </w:tc>
        <w:tc>
          <w:tcPr>
            <w:tcW w:w="766" w:type="pct"/>
            <w:tcBorders>
              <w:top w:val="nil"/>
              <w:left w:val="nil"/>
              <w:bottom w:val="nil"/>
              <w:right w:val="nil"/>
            </w:tcBorders>
            <w:shd w:val="clear" w:color="auto" w:fill="auto"/>
            <w:noWrap/>
            <w:vAlign w:val="bottom"/>
            <w:hideMark/>
          </w:tcPr>
          <w:p w14:paraId="524B0ECD"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nil"/>
              <w:left w:val="nil"/>
              <w:bottom w:val="nil"/>
              <w:right w:val="nil"/>
            </w:tcBorders>
            <w:shd w:val="clear" w:color="auto" w:fill="auto"/>
            <w:noWrap/>
            <w:vAlign w:val="bottom"/>
            <w:hideMark/>
          </w:tcPr>
          <w:p w14:paraId="524B0ECE"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'2532'</w:t>
            </w:r>
          </w:p>
        </w:tc>
        <w:tc>
          <w:tcPr>
            <w:tcW w:w="588" w:type="pct"/>
            <w:tcBorders>
              <w:top w:val="nil"/>
              <w:left w:val="nil"/>
              <w:bottom w:val="nil"/>
              <w:right w:val="single" w:sz="4" w:space="0" w:color="auto"/>
            </w:tcBorders>
            <w:shd w:val="clear" w:color="auto" w:fill="auto"/>
            <w:noWrap/>
            <w:vAlign w:val="bottom"/>
            <w:hideMark/>
          </w:tcPr>
          <w:p w14:paraId="524B0ECF"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0.1750</w:t>
            </w:r>
          </w:p>
        </w:tc>
      </w:tr>
      <w:tr w:rsidR="001105B1" w:rsidRPr="00C03244" w14:paraId="524B0ED7" w14:textId="77777777" w:rsidTr="00E34E1B">
        <w:trPr>
          <w:trHeight w:val="300"/>
        </w:trPr>
        <w:tc>
          <w:tcPr>
            <w:tcW w:w="766" w:type="pct"/>
            <w:tcBorders>
              <w:top w:val="nil"/>
              <w:left w:val="single" w:sz="4" w:space="0" w:color="auto"/>
              <w:bottom w:val="nil"/>
              <w:right w:val="nil"/>
            </w:tcBorders>
            <w:shd w:val="clear" w:color="auto" w:fill="auto"/>
            <w:noWrap/>
            <w:vAlign w:val="bottom"/>
            <w:hideMark/>
          </w:tcPr>
          <w:p w14:paraId="524B0ED1"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nil"/>
              <w:left w:val="nil"/>
              <w:bottom w:val="nil"/>
              <w:right w:val="nil"/>
            </w:tcBorders>
            <w:shd w:val="clear" w:color="auto" w:fill="auto"/>
            <w:noWrap/>
            <w:vAlign w:val="bottom"/>
            <w:hideMark/>
          </w:tcPr>
          <w:p w14:paraId="524B0ED2"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'2211'</w:t>
            </w:r>
          </w:p>
        </w:tc>
        <w:tc>
          <w:tcPr>
            <w:tcW w:w="587" w:type="pct"/>
            <w:tcBorders>
              <w:top w:val="nil"/>
              <w:left w:val="nil"/>
              <w:bottom w:val="nil"/>
              <w:right w:val="nil"/>
            </w:tcBorders>
            <w:shd w:val="clear" w:color="auto" w:fill="auto"/>
            <w:noWrap/>
            <w:vAlign w:val="bottom"/>
            <w:hideMark/>
          </w:tcPr>
          <w:p w14:paraId="524B0ED3"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0.0043</w:t>
            </w:r>
          </w:p>
        </w:tc>
        <w:tc>
          <w:tcPr>
            <w:tcW w:w="766" w:type="pct"/>
            <w:tcBorders>
              <w:top w:val="nil"/>
              <w:left w:val="nil"/>
              <w:bottom w:val="nil"/>
              <w:right w:val="nil"/>
            </w:tcBorders>
            <w:shd w:val="clear" w:color="auto" w:fill="auto"/>
            <w:noWrap/>
            <w:vAlign w:val="bottom"/>
            <w:hideMark/>
          </w:tcPr>
          <w:p w14:paraId="524B0ED4"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nil"/>
              <w:left w:val="nil"/>
              <w:bottom w:val="nil"/>
              <w:right w:val="nil"/>
            </w:tcBorders>
            <w:shd w:val="clear" w:color="auto" w:fill="auto"/>
            <w:noWrap/>
            <w:vAlign w:val="bottom"/>
            <w:hideMark/>
          </w:tcPr>
          <w:p w14:paraId="524B0ED5"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'2533'</w:t>
            </w:r>
          </w:p>
        </w:tc>
        <w:tc>
          <w:tcPr>
            <w:tcW w:w="588" w:type="pct"/>
            <w:tcBorders>
              <w:top w:val="nil"/>
              <w:left w:val="nil"/>
              <w:bottom w:val="nil"/>
              <w:right w:val="single" w:sz="4" w:space="0" w:color="auto"/>
            </w:tcBorders>
            <w:shd w:val="clear" w:color="auto" w:fill="auto"/>
            <w:noWrap/>
            <w:vAlign w:val="bottom"/>
            <w:hideMark/>
          </w:tcPr>
          <w:p w14:paraId="524B0ED6"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0.0682</w:t>
            </w:r>
          </w:p>
        </w:tc>
      </w:tr>
      <w:tr w:rsidR="001105B1" w:rsidRPr="00C03244" w14:paraId="524B0EDE" w14:textId="77777777" w:rsidTr="00E34E1B">
        <w:trPr>
          <w:trHeight w:val="300"/>
        </w:trPr>
        <w:tc>
          <w:tcPr>
            <w:tcW w:w="766" w:type="pct"/>
            <w:tcBorders>
              <w:top w:val="nil"/>
              <w:left w:val="single" w:sz="4" w:space="0" w:color="auto"/>
              <w:bottom w:val="nil"/>
              <w:right w:val="nil"/>
            </w:tcBorders>
            <w:shd w:val="clear" w:color="auto" w:fill="auto"/>
            <w:noWrap/>
            <w:vAlign w:val="bottom"/>
            <w:hideMark/>
          </w:tcPr>
          <w:p w14:paraId="524B0ED8"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nil"/>
              <w:left w:val="nil"/>
              <w:bottom w:val="nil"/>
              <w:right w:val="nil"/>
            </w:tcBorders>
            <w:shd w:val="clear" w:color="auto" w:fill="auto"/>
            <w:noWrap/>
            <w:vAlign w:val="bottom"/>
            <w:hideMark/>
          </w:tcPr>
          <w:p w14:paraId="524B0ED9"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'2212'</w:t>
            </w:r>
          </w:p>
        </w:tc>
        <w:tc>
          <w:tcPr>
            <w:tcW w:w="587" w:type="pct"/>
            <w:tcBorders>
              <w:top w:val="nil"/>
              <w:left w:val="nil"/>
              <w:bottom w:val="nil"/>
              <w:right w:val="nil"/>
            </w:tcBorders>
            <w:shd w:val="clear" w:color="auto" w:fill="auto"/>
            <w:noWrap/>
            <w:vAlign w:val="bottom"/>
            <w:hideMark/>
          </w:tcPr>
          <w:p w14:paraId="524B0EDA"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0.0047</w:t>
            </w:r>
          </w:p>
        </w:tc>
        <w:tc>
          <w:tcPr>
            <w:tcW w:w="766" w:type="pct"/>
            <w:tcBorders>
              <w:top w:val="nil"/>
              <w:left w:val="nil"/>
              <w:bottom w:val="nil"/>
              <w:right w:val="nil"/>
            </w:tcBorders>
            <w:shd w:val="clear" w:color="auto" w:fill="auto"/>
            <w:noWrap/>
            <w:vAlign w:val="bottom"/>
            <w:hideMark/>
          </w:tcPr>
          <w:p w14:paraId="524B0EDB"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nil"/>
              <w:left w:val="nil"/>
              <w:bottom w:val="nil"/>
              <w:right w:val="nil"/>
            </w:tcBorders>
            <w:shd w:val="clear" w:color="auto" w:fill="auto"/>
            <w:noWrap/>
            <w:vAlign w:val="bottom"/>
            <w:hideMark/>
          </w:tcPr>
          <w:p w14:paraId="524B0EDC"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'2534'</w:t>
            </w:r>
          </w:p>
        </w:tc>
        <w:tc>
          <w:tcPr>
            <w:tcW w:w="588" w:type="pct"/>
            <w:tcBorders>
              <w:top w:val="nil"/>
              <w:left w:val="nil"/>
              <w:bottom w:val="nil"/>
              <w:right w:val="single" w:sz="4" w:space="0" w:color="auto"/>
            </w:tcBorders>
            <w:shd w:val="clear" w:color="auto" w:fill="auto"/>
            <w:noWrap/>
            <w:vAlign w:val="bottom"/>
            <w:hideMark/>
          </w:tcPr>
          <w:p w14:paraId="524B0EDD"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0.0114</w:t>
            </w:r>
          </w:p>
        </w:tc>
      </w:tr>
      <w:tr w:rsidR="001105B1" w:rsidRPr="00C03244" w14:paraId="524B0EE5" w14:textId="77777777" w:rsidTr="00E34E1B">
        <w:trPr>
          <w:trHeight w:val="300"/>
        </w:trPr>
        <w:tc>
          <w:tcPr>
            <w:tcW w:w="766" w:type="pct"/>
            <w:tcBorders>
              <w:top w:val="nil"/>
              <w:left w:val="single" w:sz="4" w:space="0" w:color="auto"/>
              <w:bottom w:val="nil"/>
              <w:right w:val="nil"/>
            </w:tcBorders>
            <w:shd w:val="clear" w:color="auto" w:fill="auto"/>
            <w:noWrap/>
            <w:vAlign w:val="bottom"/>
            <w:hideMark/>
          </w:tcPr>
          <w:p w14:paraId="524B0EDF"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nil"/>
              <w:left w:val="nil"/>
              <w:bottom w:val="nil"/>
              <w:right w:val="nil"/>
            </w:tcBorders>
            <w:shd w:val="clear" w:color="auto" w:fill="auto"/>
            <w:noWrap/>
            <w:vAlign w:val="bottom"/>
            <w:hideMark/>
          </w:tcPr>
          <w:p w14:paraId="524B0EE0"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'2213'</w:t>
            </w:r>
          </w:p>
        </w:tc>
        <w:tc>
          <w:tcPr>
            <w:tcW w:w="587" w:type="pct"/>
            <w:tcBorders>
              <w:top w:val="nil"/>
              <w:left w:val="nil"/>
              <w:bottom w:val="nil"/>
              <w:right w:val="nil"/>
            </w:tcBorders>
            <w:shd w:val="clear" w:color="auto" w:fill="auto"/>
            <w:noWrap/>
            <w:vAlign w:val="bottom"/>
            <w:hideMark/>
          </w:tcPr>
          <w:p w14:paraId="524B0EE1"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0.0025</w:t>
            </w:r>
          </w:p>
        </w:tc>
        <w:tc>
          <w:tcPr>
            <w:tcW w:w="766" w:type="pct"/>
            <w:tcBorders>
              <w:top w:val="nil"/>
              <w:left w:val="nil"/>
              <w:bottom w:val="nil"/>
              <w:right w:val="nil"/>
            </w:tcBorders>
            <w:shd w:val="clear" w:color="auto" w:fill="auto"/>
            <w:noWrap/>
            <w:vAlign w:val="bottom"/>
            <w:hideMark/>
          </w:tcPr>
          <w:p w14:paraId="524B0EE2"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nil"/>
              <w:left w:val="nil"/>
              <w:bottom w:val="nil"/>
              <w:right w:val="nil"/>
            </w:tcBorders>
            <w:shd w:val="clear" w:color="auto" w:fill="auto"/>
            <w:noWrap/>
            <w:vAlign w:val="bottom"/>
            <w:hideMark/>
          </w:tcPr>
          <w:p w14:paraId="524B0EE3"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'2541' to ‘2534’</w:t>
            </w:r>
          </w:p>
        </w:tc>
        <w:tc>
          <w:tcPr>
            <w:tcW w:w="588" w:type="pct"/>
            <w:tcBorders>
              <w:top w:val="nil"/>
              <w:left w:val="nil"/>
              <w:bottom w:val="nil"/>
              <w:right w:val="single" w:sz="4" w:space="0" w:color="auto"/>
            </w:tcBorders>
            <w:shd w:val="clear" w:color="auto" w:fill="auto"/>
            <w:noWrap/>
            <w:vAlign w:val="bottom"/>
            <w:hideMark/>
          </w:tcPr>
          <w:p w14:paraId="524B0EE4"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0.0668</w:t>
            </w:r>
          </w:p>
        </w:tc>
      </w:tr>
      <w:tr w:rsidR="001105B1" w:rsidRPr="00C03244" w14:paraId="524B0EEC" w14:textId="77777777" w:rsidTr="00E34E1B">
        <w:trPr>
          <w:trHeight w:val="300"/>
        </w:trPr>
        <w:tc>
          <w:tcPr>
            <w:tcW w:w="766" w:type="pct"/>
            <w:tcBorders>
              <w:top w:val="nil"/>
              <w:left w:val="single" w:sz="4" w:space="0" w:color="auto"/>
              <w:bottom w:val="nil"/>
              <w:right w:val="nil"/>
            </w:tcBorders>
            <w:shd w:val="clear" w:color="auto" w:fill="auto"/>
            <w:noWrap/>
            <w:vAlign w:val="bottom"/>
            <w:hideMark/>
          </w:tcPr>
          <w:p w14:paraId="524B0EE6"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nil"/>
              <w:left w:val="nil"/>
              <w:bottom w:val="nil"/>
              <w:right w:val="nil"/>
            </w:tcBorders>
            <w:shd w:val="clear" w:color="auto" w:fill="auto"/>
            <w:noWrap/>
            <w:vAlign w:val="bottom"/>
            <w:hideMark/>
          </w:tcPr>
          <w:p w14:paraId="524B0EE7"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'2214'</w:t>
            </w:r>
          </w:p>
        </w:tc>
        <w:tc>
          <w:tcPr>
            <w:tcW w:w="587" w:type="pct"/>
            <w:tcBorders>
              <w:top w:val="nil"/>
              <w:left w:val="nil"/>
              <w:bottom w:val="nil"/>
              <w:right w:val="nil"/>
            </w:tcBorders>
            <w:shd w:val="clear" w:color="auto" w:fill="auto"/>
            <w:noWrap/>
            <w:vAlign w:val="bottom"/>
            <w:hideMark/>
          </w:tcPr>
          <w:p w14:paraId="524B0EE8"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0.0010</w:t>
            </w:r>
          </w:p>
        </w:tc>
        <w:tc>
          <w:tcPr>
            <w:tcW w:w="766" w:type="pct"/>
            <w:tcBorders>
              <w:top w:val="nil"/>
              <w:left w:val="nil"/>
              <w:bottom w:val="nil"/>
              <w:right w:val="nil"/>
            </w:tcBorders>
            <w:shd w:val="clear" w:color="auto" w:fill="auto"/>
            <w:noWrap/>
            <w:vAlign w:val="bottom"/>
            <w:hideMark/>
          </w:tcPr>
          <w:p w14:paraId="524B0EE9"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nil"/>
              <w:left w:val="nil"/>
              <w:bottom w:val="nil"/>
              <w:right w:val="nil"/>
            </w:tcBorders>
            <w:shd w:val="clear" w:color="auto" w:fill="auto"/>
            <w:noWrap/>
            <w:vAlign w:val="bottom"/>
            <w:hideMark/>
          </w:tcPr>
          <w:p w14:paraId="524B0EEA"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'2544'</w:t>
            </w:r>
          </w:p>
        </w:tc>
        <w:tc>
          <w:tcPr>
            <w:tcW w:w="588" w:type="pct"/>
            <w:tcBorders>
              <w:top w:val="nil"/>
              <w:left w:val="nil"/>
              <w:bottom w:val="nil"/>
              <w:right w:val="single" w:sz="4" w:space="0" w:color="auto"/>
            </w:tcBorders>
            <w:shd w:val="clear" w:color="auto" w:fill="auto"/>
            <w:noWrap/>
            <w:vAlign w:val="bottom"/>
            <w:hideMark/>
          </w:tcPr>
          <w:p w14:paraId="524B0EEB"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0.0014</w:t>
            </w:r>
          </w:p>
        </w:tc>
      </w:tr>
      <w:tr w:rsidR="001105B1" w:rsidRPr="00C03244" w14:paraId="524B0EF3" w14:textId="77777777" w:rsidTr="00E34E1B">
        <w:trPr>
          <w:trHeight w:val="243"/>
        </w:trPr>
        <w:tc>
          <w:tcPr>
            <w:tcW w:w="766" w:type="pct"/>
            <w:tcBorders>
              <w:top w:val="nil"/>
              <w:left w:val="single" w:sz="4" w:space="0" w:color="auto"/>
              <w:bottom w:val="nil"/>
              <w:right w:val="nil"/>
            </w:tcBorders>
            <w:shd w:val="clear" w:color="auto" w:fill="auto"/>
            <w:noWrap/>
            <w:vAlign w:val="bottom"/>
            <w:hideMark/>
          </w:tcPr>
          <w:p w14:paraId="524B0EED"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nil"/>
              <w:left w:val="nil"/>
              <w:bottom w:val="nil"/>
              <w:right w:val="nil"/>
            </w:tcBorders>
            <w:shd w:val="clear" w:color="auto" w:fill="auto"/>
            <w:noWrap/>
            <w:vAlign w:val="bottom"/>
            <w:hideMark/>
          </w:tcPr>
          <w:p w14:paraId="524B0EEE"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'2411' to ‘2413’</w:t>
            </w:r>
          </w:p>
        </w:tc>
        <w:tc>
          <w:tcPr>
            <w:tcW w:w="587" w:type="pct"/>
            <w:tcBorders>
              <w:top w:val="nil"/>
              <w:left w:val="nil"/>
              <w:bottom w:val="nil"/>
              <w:right w:val="nil"/>
            </w:tcBorders>
            <w:shd w:val="clear" w:color="auto" w:fill="auto"/>
            <w:noWrap/>
            <w:vAlign w:val="bottom"/>
            <w:hideMark/>
          </w:tcPr>
          <w:p w14:paraId="524B0EEF"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0.2849</w:t>
            </w:r>
          </w:p>
        </w:tc>
        <w:tc>
          <w:tcPr>
            <w:tcW w:w="766" w:type="pct"/>
            <w:tcBorders>
              <w:top w:val="nil"/>
              <w:left w:val="nil"/>
              <w:bottom w:val="nil"/>
              <w:right w:val="nil"/>
            </w:tcBorders>
            <w:shd w:val="clear" w:color="auto" w:fill="auto"/>
            <w:noWrap/>
            <w:vAlign w:val="bottom"/>
            <w:hideMark/>
          </w:tcPr>
          <w:p w14:paraId="524B0EF0"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MDC</w:t>
            </w:r>
          </w:p>
        </w:tc>
        <w:tc>
          <w:tcPr>
            <w:tcW w:w="1146" w:type="pct"/>
            <w:tcBorders>
              <w:top w:val="nil"/>
              <w:left w:val="nil"/>
              <w:bottom w:val="nil"/>
              <w:right w:val="nil"/>
            </w:tcBorders>
            <w:shd w:val="clear" w:color="auto" w:fill="auto"/>
            <w:noWrap/>
            <w:vAlign w:val="bottom"/>
            <w:hideMark/>
          </w:tcPr>
          <w:p w14:paraId="524B0EF1"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OTHER</w:t>
            </w:r>
          </w:p>
        </w:tc>
        <w:tc>
          <w:tcPr>
            <w:tcW w:w="588" w:type="pct"/>
            <w:tcBorders>
              <w:top w:val="nil"/>
              <w:left w:val="nil"/>
              <w:bottom w:val="nil"/>
              <w:right w:val="single" w:sz="4" w:space="0" w:color="auto"/>
            </w:tcBorders>
            <w:shd w:val="clear" w:color="auto" w:fill="auto"/>
            <w:noWrap/>
            <w:vAlign w:val="bottom"/>
            <w:hideMark/>
          </w:tcPr>
          <w:p w14:paraId="524B0EF2"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0.0365</w:t>
            </w:r>
          </w:p>
        </w:tc>
      </w:tr>
      <w:tr w:rsidR="001105B1" w:rsidRPr="00C03244" w14:paraId="524B0EFA" w14:textId="77777777" w:rsidTr="00E34E1B">
        <w:trPr>
          <w:trHeight w:val="300"/>
        </w:trPr>
        <w:tc>
          <w:tcPr>
            <w:tcW w:w="766" w:type="pct"/>
            <w:tcBorders>
              <w:top w:val="nil"/>
              <w:left w:val="single" w:sz="4" w:space="0" w:color="auto"/>
              <w:bottom w:val="single" w:sz="4" w:space="0" w:color="auto"/>
              <w:right w:val="nil"/>
            </w:tcBorders>
            <w:shd w:val="clear" w:color="auto" w:fill="auto"/>
            <w:noWrap/>
            <w:vAlign w:val="bottom"/>
            <w:hideMark/>
          </w:tcPr>
          <w:p w14:paraId="524B0EF4"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APR-DRG</w:t>
            </w:r>
          </w:p>
        </w:tc>
        <w:tc>
          <w:tcPr>
            <w:tcW w:w="1146" w:type="pct"/>
            <w:tcBorders>
              <w:top w:val="nil"/>
              <w:left w:val="nil"/>
              <w:bottom w:val="single" w:sz="4" w:space="0" w:color="auto"/>
              <w:right w:val="nil"/>
            </w:tcBorders>
            <w:shd w:val="clear" w:color="auto" w:fill="auto"/>
            <w:noWrap/>
            <w:vAlign w:val="bottom"/>
            <w:hideMark/>
          </w:tcPr>
          <w:p w14:paraId="524B0EF5"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'2414'</w:t>
            </w:r>
          </w:p>
        </w:tc>
        <w:tc>
          <w:tcPr>
            <w:tcW w:w="587" w:type="pct"/>
            <w:tcBorders>
              <w:top w:val="nil"/>
              <w:left w:val="nil"/>
              <w:bottom w:val="single" w:sz="4" w:space="0" w:color="auto"/>
              <w:right w:val="nil"/>
            </w:tcBorders>
            <w:shd w:val="clear" w:color="auto" w:fill="auto"/>
            <w:noWrap/>
            <w:vAlign w:val="bottom"/>
            <w:hideMark/>
          </w:tcPr>
          <w:p w14:paraId="524B0EF6"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0.0089</w:t>
            </w:r>
          </w:p>
        </w:tc>
        <w:tc>
          <w:tcPr>
            <w:tcW w:w="766" w:type="pct"/>
            <w:tcBorders>
              <w:top w:val="nil"/>
              <w:left w:val="nil"/>
              <w:bottom w:val="single" w:sz="4" w:space="0" w:color="auto"/>
              <w:right w:val="nil"/>
            </w:tcBorders>
            <w:shd w:val="clear" w:color="auto" w:fill="auto"/>
            <w:noWrap/>
            <w:vAlign w:val="bottom"/>
            <w:hideMark/>
          </w:tcPr>
          <w:p w14:paraId="524B0EF7"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TRNSFER</w:t>
            </w:r>
          </w:p>
        </w:tc>
        <w:tc>
          <w:tcPr>
            <w:tcW w:w="1146" w:type="pct"/>
            <w:tcBorders>
              <w:top w:val="nil"/>
              <w:left w:val="nil"/>
              <w:bottom w:val="single" w:sz="4" w:space="0" w:color="auto"/>
              <w:right w:val="nil"/>
            </w:tcBorders>
            <w:shd w:val="clear" w:color="auto" w:fill="auto"/>
            <w:noWrap/>
            <w:vAlign w:val="bottom"/>
            <w:hideMark/>
          </w:tcPr>
          <w:p w14:paraId="524B0EF8" w14:textId="77777777" w:rsidR="001105B1" w:rsidRPr="00C03244" w:rsidRDefault="001105B1" w:rsidP="00E34E1B">
            <w:pPr>
              <w:spacing w:after="0" w:line="240" w:lineRule="auto"/>
              <w:rPr>
                <w:rFonts w:ascii="Calibri" w:eastAsia="Times New Roman" w:hAnsi="Calibri" w:cs="Times New Roman"/>
                <w:color w:val="000000"/>
              </w:rPr>
            </w:pPr>
            <w:r w:rsidRPr="00C03244">
              <w:rPr>
                <w:rFonts w:ascii="Calibri" w:eastAsia="Times New Roman" w:hAnsi="Calibri" w:cs="Times New Roman"/>
                <w:color w:val="000000"/>
              </w:rPr>
              <w:t>Transfer-in</w:t>
            </w:r>
          </w:p>
        </w:tc>
        <w:tc>
          <w:tcPr>
            <w:tcW w:w="588" w:type="pct"/>
            <w:tcBorders>
              <w:top w:val="nil"/>
              <w:left w:val="nil"/>
              <w:bottom w:val="single" w:sz="4" w:space="0" w:color="auto"/>
              <w:right w:val="single" w:sz="4" w:space="0" w:color="auto"/>
            </w:tcBorders>
            <w:shd w:val="clear" w:color="auto" w:fill="auto"/>
            <w:noWrap/>
            <w:vAlign w:val="bottom"/>
            <w:hideMark/>
          </w:tcPr>
          <w:p w14:paraId="524B0EF9" w14:textId="77777777" w:rsidR="001105B1" w:rsidRPr="00C03244" w:rsidRDefault="001105B1" w:rsidP="00E34E1B">
            <w:pPr>
              <w:spacing w:after="0" w:line="240" w:lineRule="auto"/>
              <w:jc w:val="right"/>
              <w:rPr>
                <w:rFonts w:ascii="Calibri" w:eastAsia="Times New Roman" w:hAnsi="Calibri" w:cs="Times New Roman"/>
                <w:color w:val="000000"/>
              </w:rPr>
            </w:pPr>
            <w:r w:rsidRPr="00C03244">
              <w:rPr>
                <w:rFonts w:ascii="Calibri" w:eastAsia="Times New Roman" w:hAnsi="Calibri" w:cs="Times New Roman"/>
                <w:color w:val="000000"/>
              </w:rPr>
              <w:t>0.0145</w:t>
            </w:r>
          </w:p>
        </w:tc>
      </w:tr>
    </w:tbl>
    <w:p w14:paraId="524B0EFB" w14:textId="77777777" w:rsidR="001105B1" w:rsidRDefault="001105B1" w:rsidP="001105B1">
      <w:pPr>
        <w:autoSpaceDE w:val="0"/>
        <w:autoSpaceDN w:val="0"/>
        <w:adjustRightInd w:val="0"/>
        <w:spacing w:after="0" w:line="240" w:lineRule="auto"/>
        <w:rPr>
          <w:rFonts w:cstheme="minorHAnsi"/>
          <w:bCs/>
        </w:rPr>
      </w:pPr>
    </w:p>
    <w:p w14:paraId="524B0EFC" w14:textId="77777777" w:rsidR="004A42DA" w:rsidRDefault="004A42DA" w:rsidP="004A42DA">
      <w:pPr>
        <w:spacing w:after="0" w:line="240" w:lineRule="auto"/>
        <w:rPr>
          <w:rFonts w:eastAsia="Times New Roman" w:cs="Times New Roman"/>
          <w:noProof/>
          <w:color w:val="000000"/>
        </w:rPr>
      </w:pPr>
      <w:r>
        <w:rPr>
          <w:rFonts w:eastAsia="Times New Roman" w:cs="Times New Roman"/>
          <w:noProof/>
          <w:color w:val="000000"/>
        </w:rPr>
        <w:t>Descriptions of APR-DRG characteristics:</w:t>
      </w:r>
    </w:p>
    <w:p w14:paraId="524B0EFD" w14:textId="77777777" w:rsidR="004A42DA" w:rsidRDefault="004A42DA" w:rsidP="004A42DA">
      <w:pPr>
        <w:spacing w:after="0" w:line="240" w:lineRule="auto"/>
        <w:rPr>
          <w:rFonts w:eastAsia="Times New Roman" w:cs="Times New Roman"/>
          <w:noProof/>
          <w:color w:val="000000"/>
        </w:rPr>
      </w:pPr>
      <w:r>
        <w:rPr>
          <w:rFonts w:eastAsia="Times New Roman" w:cs="Times New Roman"/>
          <w:noProof/>
          <w:color w:val="000000"/>
        </w:rPr>
        <w:t>220</w:t>
      </w:r>
      <w:r>
        <w:rPr>
          <w:rFonts w:eastAsia="Times New Roman" w:cs="Times New Roman"/>
          <w:noProof/>
          <w:color w:val="000000"/>
        </w:rPr>
        <w:tab/>
        <w:t>Major Stomach, Esophageal  &amp; Duodenal Procedures</w:t>
      </w:r>
    </w:p>
    <w:p w14:paraId="524B0EFE" w14:textId="77777777" w:rsidR="004A42DA" w:rsidRDefault="004A42DA" w:rsidP="004A42DA">
      <w:pPr>
        <w:spacing w:after="0" w:line="240" w:lineRule="auto"/>
        <w:rPr>
          <w:rFonts w:eastAsia="Times New Roman" w:cs="Times New Roman"/>
          <w:noProof/>
          <w:color w:val="000000"/>
        </w:rPr>
      </w:pPr>
      <w:r>
        <w:rPr>
          <w:rFonts w:eastAsia="Times New Roman" w:cs="Times New Roman"/>
          <w:noProof/>
          <w:color w:val="000000"/>
        </w:rPr>
        <w:t>221</w:t>
      </w:r>
      <w:r>
        <w:rPr>
          <w:rFonts w:eastAsia="Times New Roman" w:cs="Times New Roman"/>
          <w:noProof/>
          <w:color w:val="000000"/>
        </w:rPr>
        <w:tab/>
        <w:t>Major Small &amp; Large Bowel Procedures</w:t>
      </w:r>
    </w:p>
    <w:p w14:paraId="524B0EFF" w14:textId="77777777" w:rsidR="004A42DA" w:rsidRDefault="004A42DA" w:rsidP="004A42DA">
      <w:pPr>
        <w:spacing w:after="0" w:line="240" w:lineRule="auto"/>
        <w:rPr>
          <w:rFonts w:eastAsia="Times New Roman" w:cs="Times New Roman"/>
          <w:noProof/>
          <w:color w:val="000000"/>
        </w:rPr>
      </w:pPr>
      <w:r>
        <w:rPr>
          <w:rFonts w:eastAsia="Times New Roman" w:cs="Times New Roman"/>
          <w:noProof/>
          <w:color w:val="000000"/>
        </w:rPr>
        <w:t>241</w:t>
      </w:r>
      <w:r>
        <w:rPr>
          <w:rFonts w:eastAsia="Times New Roman" w:cs="Times New Roman"/>
          <w:noProof/>
          <w:color w:val="000000"/>
        </w:rPr>
        <w:tab/>
        <w:t>Peptic Ulcer &amp; Gastritis</w:t>
      </w:r>
    </w:p>
    <w:p w14:paraId="524B0F00" w14:textId="77777777" w:rsidR="004A42DA" w:rsidRDefault="004A42DA" w:rsidP="004A42DA">
      <w:pPr>
        <w:spacing w:after="0" w:line="240" w:lineRule="auto"/>
        <w:rPr>
          <w:rFonts w:eastAsia="Times New Roman" w:cs="Times New Roman"/>
          <w:noProof/>
          <w:color w:val="000000"/>
        </w:rPr>
      </w:pPr>
    </w:p>
    <w:p w14:paraId="524B0F01" w14:textId="77777777" w:rsidR="004A42DA" w:rsidRDefault="004A42DA" w:rsidP="004A42DA">
      <w:pPr>
        <w:spacing w:after="0" w:line="240" w:lineRule="auto"/>
        <w:rPr>
          <w:rFonts w:eastAsia="Times New Roman" w:cs="Times New Roman"/>
          <w:noProof/>
          <w:color w:val="000000"/>
        </w:rPr>
      </w:pPr>
      <w:r>
        <w:rPr>
          <w:rFonts w:eastAsia="Times New Roman" w:cs="Times New Roman"/>
          <w:noProof/>
          <w:color w:val="000000"/>
        </w:rPr>
        <w:t>Descriptions of Risk of Mortality Subclass:</w:t>
      </w:r>
    </w:p>
    <w:p w14:paraId="524B0F02" w14:textId="77777777" w:rsidR="004A42DA" w:rsidRDefault="004A42DA" w:rsidP="004A42DA">
      <w:pPr>
        <w:spacing w:after="0" w:line="240" w:lineRule="auto"/>
        <w:rPr>
          <w:rFonts w:eastAsia="Times New Roman" w:cs="Times New Roman"/>
          <w:noProof/>
          <w:color w:val="000000"/>
        </w:rPr>
      </w:pPr>
      <w:r>
        <w:rPr>
          <w:rFonts w:eastAsia="Times New Roman" w:cs="Times New Roman"/>
          <w:noProof/>
          <w:color w:val="000000"/>
        </w:rPr>
        <w:t>1</w:t>
      </w:r>
      <w:r>
        <w:rPr>
          <w:rFonts w:eastAsia="Times New Roman" w:cs="Times New Roman"/>
          <w:noProof/>
          <w:color w:val="000000"/>
        </w:rPr>
        <w:tab/>
        <w:t>Minor</w:t>
      </w:r>
    </w:p>
    <w:p w14:paraId="524B0F03" w14:textId="77777777" w:rsidR="004A42DA" w:rsidRDefault="004A42DA" w:rsidP="004A42DA">
      <w:pPr>
        <w:spacing w:after="0" w:line="240" w:lineRule="auto"/>
        <w:rPr>
          <w:rFonts w:eastAsia="Times New Roman" w:cs="Times New Roman"/>
          <w:noProof/>
          <w:color w:val="000000"/>
        </w:rPr>
      </w:pPr>
      <w:r>
        <w:rPr>
          <w:rFonts w:eastAsia="Times New Roman" w:cs="Times New Roman"/>
          <w:noProof/>
          <w:color w:val="000000"/>
        </w:rPr>
        <w:t>2</w:t>
      </w:r>
      <w:r>
        <w:rPr>
          <w:rFonts w:eastAsia="Times New Roman" w:cs="Times New Roman"/>
          <w:noProof/>
          <w:color w:val="000000"/>
        </w:rPr>
        <w:tab/>
        <w:t>Moderate</w:t>
      </w:r>
    </w:p>
    <w:p w14:paraId="524B0F04" w14:textId="77777777" w:rsidR="004A42DA" w:rsidRDefault="004A42DA" w:rsidP="004A42DA">
      <w:pPr>
        <w:spacing w:after="0" w:line="240" w:lineRule="auto"/>
        <w:rPr>
          <w:rFonts w:eastAsia="Times New Roman" w:cs="Times New Roman"/>
          <w:noProof/>
          <w:color w:val="000000"/>
        </w:rPr>
      </w:pPr>
      <w:r>
        <w:rPr>
          <w:rFonts w:eastAsia="Times New Roman" w:cs="Times New Roman"/>
          <w:noProof/>
          <w:color w:val="000000"/>
        </w:rPr>
        <w:t>3</w:t>
      </w:r>
      <w:r>
        <w:rPr>
          <w:rFonts w:eastAsia="Times New Roman" w:cs="Times New Roman"/>
          <w:noProof/>
          <w:color w:val="000000"/>
        </w:rPr>
        <w:tab/>
        <w:t>Major</w:t>
      </w:r>
    </w:p>
    <w:p w14:paraId="524B0F05" w14:textId="77777777" w:rsidR="004A42DA" w:rsidRDefault="004A42DA" w:rsidP="004A42DA">
      <w:pPr>
        <w:spacing w:after="0" w:line="240" w:lineRule="auto"/>
        <w:rPr>
          <w:rFonts w:eastAsia="Times New Roman" w:cs="Times New Roman"/>
          <w:noProof/>
          <w:color w:val="000000"/>
        </w:rPr>
      </w:pPr>
      <w:r>
        <w:rPr>
          <w:rFonts w:eastAsia="Times New Roman" w:cs="Times New Roman"/>
          <w:noProof/>
          <w:color w:val="000000"/>
        </w:rPr>
        <w:t>4</w:t>
      </w:r>
      <w:r>
        <w:rPr>
          <w:rFonts w:eastAsia="Times New Roman" w:cs="Times New Roman"/>
          <w:noProof/>
          <w:color w:val="000000"/>
        </w:rPr>
        <w:tab/>
        <w:t>Extreme</w:t>
      </w:r>
    </w:p>
    <w:p w14:paraId="524B0F06" w14:textId="77777777" w:rsidR="004A42DA" w:rsidRDefault="004A42DA" w:rsidP="004A42DA">
      <w:pPr>
        <w:spacing w:after="0" w:line="240" w:lineRule="auto"/>
        <w:rPr>
          <w:rFonts w:eastAsia="Times New Roman" w:cs="Times New Roman"/>
          <w:noProof/>
          <w:color w:val="000000"/>
        </w:rPr>
      </w:pPr>
    </w:p>
    <w:p w14:paraId="524B0F07" w14:textId="77777777" w:rsidR="004A42DA" w:rsidRDefault="004A42DA" w:rsidP="004A42DA">
      <w:pPr>
        <w:spacing w:after="0" w:line="240" w:lineRule="auto"/>
        <w:rPr>
          <w:rFonts w:eastAsia="Times New Roman" w:cs="Times New Roman"/>
          <w:noProof/>
          <w:color w:val="000000"/>
        </w:rPr>
      </w:pPr>
      <w:r>
        <w:rPr>
          <w:rFonts w:eastAsia="Times New Roman" w:cs="Times New Roman"/>
          <w:noProof/>
          <w:color w:val="000000"/>
        </w:rPr>
        <w:t>The full list of descriptors for the APR-DRG characteristics are listed here:</w:t>
      </w:r>
    </w:p>
    <w:p w14:paraId="524B0F08" w14:textId="77777777" w:rsidR="004A42DA" w:rsidRDefault="007E3559" w:rsidP="004A42DA">
      <w:pPr>
        <w:autoSpaceDE w:val="0"/>
        <w:autoSpaceDN w:val="0"/>
        <w:adjustRightInd w:val="0"/>
        <w:spacing w:after="0" w:line="240" w:lineRule="auto"/>
        <w:rPr>
          <w:rFonts w:eastAsia="Times New Roman" w:cs="Times New Roman"/>
          <w:color w:val="000000"/>
        </w:rPr>
      </w:pPr>
      <w:hyperlink r:id="rId13" w:history="1">
        <w:r w:rsidR="004A42DA" w:rsidRPr="00D41E32">
          <w:rPr>
            <w:rStyle w:val="Hyperlink"/>
            <w:rFonts w:eastAsia="Times New Roman" w:cs="Times New Roman"/>
          </w:rPr>
          <w:t>http://hcup-us.ahrq.gov/db/nation/nis/v261_aprdrg_meth_ovrview.pdf</w:t>
        </w:r>
      </w:hyperlink>
    </w:p>
    <w:p w14:paraId="524B0F09" w14:textId="77777777" w:rsidR="004A42DA" w:rsidRPr="00A25024" w:rsidRDefault="004A42DA" w:rsidP="004A42DA">
      <w:pPr>
        <w:autoSpaceDE w:val="0"/>
        <w:autoSpaceDN w:val="0"/>
        <w:adjustRightInd w:val="0"/>
        <w:spacing w:after="0" w:line="240" w:lineRule="auto"/>
        <w:rPr>
          <w:rFonts w:cstheme="minorHAnsi"/>
          <w:bCs/>
        </w:rPr>
      </w:pPr>
    </w:p>
    <w:p w14:paraId="524B0F0A" w14:textId="77777777"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524B0F0B" w14:textId="77777777" w:rsidR="00E37E1B" w:rsidRDefault="00E37E1B" w:rsidP="00E37E1B">
      <w:pPr>
        <w:autoSpaceDE w:val="0"/>
        <w:autoSpaceDN w:val="0"/>
        <w:adjustRightInd w:val="0"/>
        <w:spacing w:after="0" w:line="240" w:lineRule="auto"/>
        <w:rPr>
          <w:rFonts w:cstheme="minorHAnsi"/>
          <w:bCs/>
        </w:rPr>
      </w:pPr>
    </w:p>
    <w:p w14:paraId="524B0F0C" w14:textId="77777777" w:rsidR="00D255A1" w:rsidRDefault="00D255A1" w:rsidP="00E37E1B">
      <w:pPr>
        <w:autoSpaceDE w:val="0"/>
        <w:autoSpaceDN w:val="0"/>
        <w:adjustRightInd w:val="0"/>
        <w:spacing w:after="0" w:line="240" w:lineRule="auto"/>
        <w:rPr>
          <w:rFonts w:cstheme="minorHAnsi"/>
          <w:bCs/>
        </w:rPr>
      </w:pPr>
      <w:r>
        <w:rPr>
          <w:rFonts w:cstheme="minorHAnsi"/>
          <w:bCs/>
        </w:rPr>
        <w:t>Not applicable</w:t>
      </w:r>
    </w:p>
    <w:p w14:paraId="524B0F0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p>
    <w:p w14:paraId="524B0F0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524B0F0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separate reliability testing of data elements is not required – report validity of data elements in 2b2</w:t>
      </w:r>
    </w:p>
    <w:p w14:paraId="524B0F10" w14:textId="77777777" w:rsidR="008C54A9" w:rsidRPr="00A25024" w:rsidRDefault="008C54A9" w:rsidP="00DB3627">
      <w:pPr>
        <w:autoSpaceDE w:val="0"/>
        <w:autoSpaceDN w:val="0"/>
        <w:adjustRightInd w:val="0"/>
        <w:spacing w:after="0" w:line="240" w:lineRule="auto"/>
        <w:rPr>
          <w:rFonts w:cstheme="minorHAnsi"/>
          <w:b/>
          <w:bCs/>
        </w:rPr>
      </w:pPr>
    </w:p>
    <w:p w14:paraId="524B0F11" w14:textId="77777777"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eastAsia="MS Mincho" w:cstheme="minorHAnsi"/>
            <w:b/>
            <w:bCs/>
            <w:color w:val="0000FF"/>
          </w:rPr>
          <w:id w:val="-1065327783"/>
        </w:sdtPr>
        <w:sdtEndPr/>
        <w:sdtContent>
          <w:r w:rsidR="00743E46">
            <w:rPr>
              <w:rFonts w:ascii="MS Mincho" w:eastAsia="MS Mincho" w:hAnsi="MS Mincho" w:cstheme="minorHAnsi" w:hint="eastAsia"/>
              <w:b/>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D36489" w:rsidRPr="00A25024">
        <w:rPr>
          <w:rFonts w:cstheme="minorHAnsi"/>
          <w:b/>
          <w:bCs/>
        </w:rPr>
        <w:t>data</w:t>
      </w:r>
      <w:r w:rsidR="007422FD" w:rsidRPr="00A25024">
        <w:rPr>
          <w:rFonts w:cstheme="minorHAnsi"/>
          <w:b/>
          <w:bCs/>
        </w:rPr>
        <w:t xml:space="preserve"> elements</w:t>
      </w:r>
      <w:r w:rsidR="00E310B9" w:rsidRPr="00A25024">
        <w:rPr>
          <w:rFonts w:cstheme="minorHAnsi"/>
          <w:b/>
          <w:bCs/>
        </w:rPr>
        <w:t xml:space="preserve"> used in the measure</w:t>
      </w:r>
      <w:r w:rsidR="00E310B9" w:rsidRPr="00A25024">
        <w:rPr>
          <w:rFonts w:cstheme="minorHAnsi"/>
          <w:bCs/>
        </w:rPr>
        <w:t xml:space="preserve"> (</w:t>
      </w:r>
      <w:r w:rsidR="00E310B9" w:rsidRPr="00756FDB">
        <w:rPr>
          <w:rFonts w:cstheme="minorHAnsi"/>
          <w:bCs/>
          <w:i/>
        </w:rPr>
        <w:t>e.g., inter-abstractor reliability</w:t>
      </w:r>
      <w:r w:rsidR="00E310B9" w:rsidRPr="00A25024">
        <w:rPr>
          <w:rFonts w:cstheme="minorHAnsi"/>
          <w:bCs/>
        </w:rPr>
        <w:t>)</w:t>
      </w:r>
      <w:r w:rsidR="00CA06D8" w:rsidRPr="00A25024">
        <w:rPr>
          <w:rFonts w:cstheme="minorHAnsi"/>
          <w:bCs/>
        </w:rPr>
        <w:t xml:space="preserve">   </w:t>
      </w:r>
      <w:r w:rsidR="00D1754D" w:rsidRPr="00A25024">
        <w:rPr>
          <w:rFonts w:cstheme="minorHAnsi"/>
          <w:bCs/>
        </w:rPr>
        <w:br/>
      </w:r>
      <w:sdt>
        <w:sdtPr>
          <w:rPr>
            <w:rFonts w:eastAsia="MS Mincho" w:cstheme="minorHAnsi"/>
            <w:b/>
            <w:bCs/>
            <w:color w:val="0000FF"/>
          </w:rPr>
          <w:id w:val="349842497"/>
        </w:sdtPr>
        <w:sdtEndPr/>
        <w:sdtContent>
          <w:r w:rsidR="00080CF7" w:rsidRPr="00A25024">
            <w:rPr>
              <w:rFonts w:ascii="MS Gothic" w:eastAsia="MS Gothic" w:hAnsi="MS Gothic" w:cs="MS Gothic" w:hint="eastAsia"/>
              <w:b/>
              <w:bCs/>
              <w:color w:val="0000FF"/>
            </w:rPr>
            <w:t>☐</w:t>
          </w:r>
        </w:sdtContent>
      </w:sdt>
      <w:r w:rsidR="00A25024" w:rsidRPr="00A25024">
        <w:rPr>
          <w:rFonts w:eastAsia="MS Mincho" w:cstheme="minorHAnsi"/>
          <w:b/>
          <w:bCs/>
          <w:color w:val="0000FF"/>
        </w:rPr>
        <w:t xml:space="preserve"> </w:t>
      </w:r>
      <w:r w:rsidR="005232D6" w:rsidRPr="00D255A1">
        <w:rPr>
          <w:rFonts w:cstheme="minorHAnsi"/>
          <w:b/>
          <w:bCs/>
          <w:highlight w:val="yellow"/>
        </w:rPr>
        <w:t>P</w:t>
      </w:r>
      <w:r w:rsidR="00D1754D" w:rsidRPr="00D255A1">
        <w:rPr>
          <w:rFonts w:cstheme="minorHAnsi"/>
          <w:b/>
          <w:bCs/>
          <w:highlight w:val="yellow"/>
        </w:rPr>
        <w:t xml:space="preserve">erformance </w:t>
      </w:r>
      <w:r w:rsidR="00CA06D8" w:rsidRPr="00D255A1">
        <w:rPr>
          <w:rFonts w:cstheme="minorHAnsi"/>
          <w:b/>
          <w:bCs/>
          <w:highlight w:val="yellow"/>
        </w:rPr>
        <w:t>measure score</w:t>
      </w:r>
      <w:r w:rsidR="0011342F" w:rsidRPr="00A25024">
        <w:rPr>
          <w:rFonts w:cstheme="minorHAnsi"/>
          <w:bCs/>
        </w:rPr>
        <w:t xml:space="preserve"> (</w:t>
      </w:r>
      <w:r w:rsidR="00E310B9" w:rsidRPr="00A25024">
        <w:rPr>
          <w:rFonts w:cstheme="minorHAnsi"/>
          <w:bCs/>
        </w:rPr>
        <w:t xml:space="preserve">e.g., </w:t>
      </w:r>
      <w:r w:rsidR="0011342F" w:rsidRPr="00A25024">
        <w:rPr>
          <w:rFonts w:cstheme="minorHAnsi"/>
          <w:bCs/>
          <w:i/>
        </w:rPr>
        <w:t>signal-to-noise</w:t>
      </w:r>
      <w:r w:rsidR="0011342F" w:rsidRPr="00A25024">
        <w:rPr>
          <w:rFonts w:cstheme="minorHAnsi"/>
          <w:bCs/>
        </w:rPr>
        <w:t>)</w:t>
      </w:r>
      <w:r w:rsidR="00DA7277" w:rsidRPr="00A25024">
        <w:rPr>
          <w:rFonts w:cstheme="minorHAnsi"/>
          <w:bCs/>
        </w:rPr>
        <w:br/>
      </w:r>
      <w:r w:rsidR="00D50704" w:rsidRPr="00A25024">
        <w:rPr>
          <w:rFonts w:cstheme="minorHAnsi"/>
          <w:bCs/>
          <w:u w:val="single"/>
        </w:rPr>
        <w:br/>
      </w:r>
      <w:r>
        <w:rPr>
          <w:rFonts w:cstheme="minorHAnsi"/>
          <w:b/>
          <w:bCs/>
        </w:rPr>
        <w:t>2a2.</w:t>
      </w:r>
      <w:r w:rsidR="008C54A9" w:rsidRPr="00A25024">
        <w:rPr>
          <w:rFonts w:cstheme="minorHAnsi"/>
          <w:b/>
          <w:bCs/>
        </w:rPr>
        <w:t xml:space="preserve">2. 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524B0F12" w14:textId="77777777" w:rsidR="008C54A9" w:rsidRDefault="008C54A9" w:rsidP="008C54A9">
      <w:pPr>
        <w:autoSpaceDE w:val="0"/>
        <w:autoSpaceDN w:val="0"/>
        <w:adjustRightInd w:val="0"/>
        <w:spacing w:after="0" w:line="240" w:lineRule="auto"/>
        <w:rPr>
          <w:rFonts w:cstheme="minorHAnsi"/>
          <w:bCs/>
        </w:rPr>
      </w:pPr>
    </w:p>
    <w:p w14:paraId="524B0F13" w14:textId="77777777" w:rsidR="00D255A1" w:rsidRDefault="00B7403D" w:rsidP="00D255A1">
      <w:pPr>
        <w:autoSpaceDE w:val="0"/>
        <w:autoSpaceDN w:val="0"/>
        <w:adjustRightInd w:val="0"/>
        <w:spacing w:after="0" w:line="240" w:lineRule="auto"/>
        <w:rPr>
          <w:rFonts w:cstheme="minorHAnsi"/>
          <w:bCs/>
        </w:rPr>
      </w:pPr>
      <w:r>
        <w:rPr>
          <w:rFonts w:cstheme="minorHAnsi"/>
          <w:bCs/>
        </w:rPr>
        <w:t>O</w:t>
      </w:r>
      <w:r w:rsidR="00D255A1">
        <w:rPr>
          <w:rFonts w:cstheme="minorHAnsi"/>
          <w:bCs/>
        </w:rPr>
        <w:t xml:space="preserve">ur metric of reliability </w:t>
      </w:r>
      <w:r>
        <w:rPr>
          <w:rFonts w:cstheme="minorHAnsi"/>
          <w:bCs/>
        </w:rPr>
        <w:t xml:space="preserve">is </w:t>
      </w:r>
      <w:r w:rsidR="00D255A1">
        <w:rPr>
          <w:rFonts w:cstheme="minorHAnsi"/>
          <w:bCs/>
        </w:rPr>
        <w:t>t</w:t>
      </w:r>
      <w:r w:rsidR="00D255A1" w:rsidRPr="00D255A1">
        <w:rPr>
          <w:rFonts w:cstheme="minorHAnsi"/>
          <w:bCs/>
        </w:rPr>
        <w:t>he signal to noise ratio</w:t>
      </w:r>
      <w:r w:rsidR="00D255A1">
        <w:rPr>
          <w:rFonts w:cstheme="minorHAnsi"/>
          <w:bCs/>
        </w:rPr>
        <w:t>, which</w:t>
      </w:r>
      <w:r w:rsidR="00D255A1" w:rsidRPr="00D255A1">
        <w:rPr>
          <w:rFonts w:cstheme="minorHAnsi"/>
          <w:bCs/>
        </w:rPr>
        <w:t xml:space="preserve"> is the ratio of the between hospital variance (signal) to the within hospital variance (noise). The formula is</w:t>
      </w:r>
      <w:r w:rsidR="00D255A1">
        <w:rPr>
          <w:rFonts w:cstheme="minorHAnsi"/>
          <w:bCs/>
        </w:rPr>
        <w:t xml:space="preserve"> </w:t>
      </w:r>
      <w:r w:rsidR="00D255A1" w:rsidRPr="00D255A1">
        <w:rPr>
          <w:rFonts w:cstheme="minorHAnsi"/>
          <w:bCs/>
        </w:rPr>
        <w:t xml:space="preserve">signal / (signal + noise). </w:t>
      </w:r>
      <w:r w:rsidR="00D255A1">
        <w:rPr>
          <w:rFonts w:cstheme="minorHAnsi"/>
          <w:bCs/>
        </w:rPr>
        <w:t xml:space="preserve">  </w:t>
      </w:r>
      <w:r>
        <w:rPr>
          <w:rFonts w:cstheme="minorHAnsi"/>
          <w:bCs/>
        </w:rPr>
        <w:t xml:space="preserve">There is hospital-specific signal to noise ratio, which is used as an Empirical Bayes univariate shrinkage estimator.  </w:t>
      </w:r>
      <w:r w:rsidR="00D255A1">
        <w:rPr>
          <w:rFonts w:cstheme="minorHAnsi"/>
          <w:bCs/>
        </w:rPr>
        <w:t>The overall signal</w:t>
      </w:r>
      <w:r w:rsidR="0066376E">
        <w:rPr>
          <w:rFonts w:cstheme="minorHAnsi"/>
          <w:bCs/>
        </w:rPr>
        <w:t xml:space="preserve"> to noise ratio is a weighted average of the hospital-specific signal-to-noise ratio, where the weight is </w:t>
      </w:r>
      <w:r w:rsidR="007243C7">
        <w:rPr>
          <w:rFonts w:cstheme="minorHAnsi"/>
          <w:bCs/>
        </w:rPr>
        <w:t>[</w:t>
      </w:r>
      <w:r w:rsidR="0066376E">
        <w:rPr>
          <w:rFonts w:cstheme="minorHAnsi"/>
          <w:bCs/>
        </w:rPr>
        <w:t>1 / (signal+noise)^2</w:t>
      </w:r>
      <w:r w:rsidR="007243C7">
        <w:rPr>
          <w:rFonts w:cstheme="minorHAnsi"/>
          <w:bCs/>
        </w:rPr>
        <w:t>]</w:t>
      </w:r>
      <w:r w:rsidR="0066376E">
        <w:rPr>
          <w:rFonts w:cstheme="minorHAnsi"/>
          <w:bCs/>
        </w:rPr>
        <w:t>.   The signal is calculated using an iterative method.</w:t>
      </w:r>
    </w:p>
    <w:p w14:paraId="524B0F14" w14:textId="77777777" w:rsidR="004A42DA" w:rsidRDefault="004A42DA" w:rsidP="00D255A1">
      <w:pPr>
        <w:autoSpaceDE w:val="0"/>
        <w:autoSpaceDN w:val="0"/>
        <w:adjustRightInd w:val="0"/>
        <w:spacing w:after="0" w:line="240" w:lineRule="auto"/>
        <w:rPr>
          <w:rFonts w:cstheme="minorHAnsi"/>
          <w:bCs/>
        </w:rPr>
      </w:pPr>
    </w:p>
    <w:p w14:paraId="524B0F15" w14:textId="77777777" w:rsidR="004A42DA" w:rsidRDefault="004A42DA" w:rsidP="00D255A1">
      <w:pPr>
        <w:autoSpaceDE w:val="0"/>
        <w:autoSpaceDN w:val="0"/>
        <w:adjustRightInd w:val="0"/>
        <w:spacing w:after="0" w:line="240" w:lineRule="auto"/>
        <w:rPr>
          <w:rFonts w:cstheme="minorHAnsi"/>
          <w:bCs/>
        </w:rPr>
      </w:pPr>
      <w:r>
        <w:rPr>
          <w:rFonts w:eastAsia="Times New Roman" w:cs="Times New Roman"/>
          <w:noProof/>
          <w:color w:val="000000"/>
        </w:rPr>
        <w:lastRenderedPageBreak/>
        <w:t>The analysis reports the reliability of the risk-adjusted rate (before applying the empirical Bayes univirate shrinkage estimator).</w:t>
      </w:r>
    </w:p>
    <w:p w14:paraId="524B0F16" w14:textId="77777777" w:rsidR="00D255A1" w:rsidRPr="00A25024" w:rsidRDefault="00D255A1" w:rsidP="00D255A1">
      <w:pPr>
        <w:autoSpaceDE w:val="0"/>
        <w:autoSpaceDN w:val="0"/>
        <w:adjustRightInd w:val="0"/>
        <w:spacing w:after="0" w:line="240" w:lineRule="auto"/>
        <w:rPr>
          <w:rFonts w:cstheme="minorHAnsi"/>
          <w:bCs/>
        </w:rPr>
      </w:pPr>
    </w:p>
    <w:p w14:paraId="524B0F17" w14:textId="77777777"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3. For each level 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 and association with case volume</w:t>
      </w:r>
      <w:r w:rsidR="00AA5213" w:rsidRPr="00A25024">
        <w:rPr>
          <w:rFonts w:cstheme="minorHAnsi"/>
          <w:bCs/>
        </w:rPr>
        <w:t>)</w:t>
      </w:r>
      <w:r w:rsidR="0048008A" w:rsidRPr="00A25024">
        <w:rPr>
          <w:rFonts w:cstheme="minorHAnsi"/>
          <w:bCs/>
        </w:rPr>
        <w:br/>
      </w:r>
    </w:p>
    <w:tbl>
      <w:tblPr>
        <w:tblW w:w="5000" w:type="pct"/>
        <w:tblLook w:val="04A0" w:firstRow="1" w:lastRow="0" w:firstColumn="1" w:lastColumn="0" w:noHBand="0" w:noVBand="1"/>
      </w:tblPr>
      <w:tblGrid>
        <w:gridCol w:w="1262"/>
        <w:gridCol w:w="1361"/>
        <w:gridCol w:w="2688"/>
        <w:gridCol w:w="2161"/>
        <w:gridCol w:w="2104"/>
      </w:tblGrid>
      <w:tr w:rsidR="0036585B" w:rsidRPr="00D255A1" w14:paraId="524B0F24" w14:textId="77777777" w:rsidTr="0036585B">
        <w:trPr>
          <w:trHeight w:val="300"/>
        </w:trPr>
        <w:tc>
          <w:tcPr>
            <w:tcW w:w="659" w:type="pct"/>
            <w:tcBorders>
              <w:top w:val="single" w:sz="4" w:space="0" w:color="auto"/>
              <w:left w:val="single" w:sz="4" w:space="0" w:color="auto"/>
              <w:bottom w:val="single" w:sz="4" w:space="0" w:color="auto"/>
              <w:right w:val="nil"/>
            </w:tcBorders>
            <w:shd w:val="clear" w:color="auto" w:fill="BFBFBF" w:themeFill="background1" w:themeFillShade="BF"/>
            <w:noWrap/>
            <w:vAlign w:val="bottom"/>
            <w:hideMark/>
          </w:tcPr>
          <w:p w14:paraId="524B0F18" w14:textId="77777777" w:rsidR="0036585B" w:rsidRPr="0062685E" w:rsidRDefault="0036585B" w:rsidP="0062685E">
            <w:pPr>
              <w:spacing w:after="0" w:line="240" w:lineRule="auto"/>
              <w:rPr>
                <w:rFonts w:ascii="Arial" w:eastAsia="Times New Roman" w:hAnsi="Arial" w:cs="Arial"/>
                <w:b/>
                <w:color w:val="000000"/>
                <w:sz w:val="20"/>
                <w:szCs w:val="20"/>
              </w:rPr>
            </w:pPr>
            <w:r w:rsidRPr="0062685E">
              <w:rPr>
                <w:rFonts w:ascii="Arial" w:eastAsia="Times New Roman" w:hAnsi="Arial" w:cs="Arial"/>
                <w:b/>
                <w:color w:val="000000"/>
                <w:sz w:val="20"/>
                <w:szCs w:val="20"/>
              </w:rPr>
              <w:t>Size Decile</w:t>
            </w:r>
          </w:p>
        </w:tc>
        <w:tc>
          <w:tcPr>
            <w:tcW w:w="708" w:type="pct"/>
            <w:tcBorders>
              <w:top w:val="single" w:sz="4" w:space="0" w:color="auto"/>
              <w:left w:val="nil"/>
              <w:bottom w:val="single" w:sz="4" w:space="0" w:color="auto"/>
              <w:right w:val="nil"/>
            </w:tcBorders>
            <w:shd w:val="clear" w:color="auto" w:fill="BFBFBF" w:themeFill="background1" w:themeFillShade="BF"/>
            <w:noWrap/>
            <w:vAlign w:val="bottom"/>
            <w:hideMark/>
          </w:tcPr>
          <w:p w14:paraId="524B0F19" w14:textId="77777777" w:rsidR="0036585B" w:rsidRDefault="0036585B" w:rsidP="00B7403D">
            <w:pPr>
              <w:spacing w:after="0" w:line="240" w:lineRule="auto"/>
              <w:jc w:val="right"/>
              <w:rPr>
                <w:rFonts w:ascii="Arial" w:eastAsia="Times New Roman" w:hAnsi="Arial" w:cs="Arial"/>
                <w:b/>
                <w:color w:val="000000"/>
                <w:sz w:val="20"/>
                <w:szCs w:val="20"/>
              </w:rPr>
            </w:pPr>
            <w:r>
              <w:rPr>
                <w:rFonts w:ascii="Arial" w:eastAsia="Times New Roman" w:hAnsi="Arial" w:cs="Arial"/>
                <w:b/>
                <w:color w:val="000000"/>
                <w:sz w:val="20"/>
                <w:szCs w:val="20"/>
              </w:rPr>
              <w:t>Number</w:t>
            </w:r>
          </w:p>
          <w:p w14:paraId="524B0F1A" w14:textId="77777777" w:rsidR="0036585B" w:rsidRPr="0062685E" w:rsidRDefault="0036585B" w:rsidP="00B7403D">
            <w:pPr>
              <w:spacing w:after="0" w:line="240" w:lineRule="auto"/>
              <w:jc w:val="right"/>
              <w:rPr>
                <w:rFonts w:ascii="Arial" w:eastAsia="Times New Roman" w:hAnsi="Arial" w:cs="Arial"/>
                <w:b/>
                <w:color w:val="000000"/>
                <w:sz w:val="20"/>
                <w:szCs w:val="20"/>
              </w:rPr>
            </w:pPr>
            <w:r>
              <w:rPr>
                <w:rFonts w:ascii="Arial" w:eastAsia="Times New Roman" w:hAnsi="Arial" w:cs="Arial"/>
                <w:b/>
                <w:color w:val="000000"/>
                <w:sz w:val="20"/>
                <w:szCs w:val="20"/>
              </w:rPr>
              <w:t xml:space="preserve">of </w:t>
            </w:r>
            <w:r w:rsidRPr="0062685E">
              <w:rPr>
                <w:rFonts w:ascii="Arial" w:eastAsia="Times New Roman" w:hAnsi="Arial" w:cs="Arial"/>
                <w:b/>
                <w:color w:val="000000"/>
                <w:sz w:val="20"/>
                <w:szCs w:val="20"/>
              </w:rPr>
              <w:t>Hospitals</w:t>
            </w:r>
          </w:p>
        </w:tc>
        <w:tc>
          <w:tcPr>
            <w:tcW w:w="1405" w:type="pct"/>
            <w:tcBorders>
              <w:top w:val="single" w:sz="4" w:space="0" w:color="auto"/>
              <w:left w:val="nil"/>
              <w:bottom w:val="single" w:sz="4" w:space="0" w:color="auto"/>
              <w:right w:val="nil"/>
            </w:tcBorders>
            <w:shd w:val="clear" w:color="auto" w:fill="BFBFBF" w:themeFill="background1" w:themeFillShade="BF"/>
            <w:noWrap/>
            <w:vAlign w:val="bottom"/>
            <w:hideMark/>
          </w:tcPr>
          <w:p w14:paraId="524B0F1B" w14:textId="77777777" w:rsidR="0036585B" w:rsidRDefault="0036585B" w:rsidP="00B7403D">
            <w:pPr>
              <w:spacing w:after="0" w:line="240" w:lineRule="auto"/>
              <w:jc w:val="right"/>
              <w:rPr>
                <w:rFonts w:ascii="Arial" w:eastAsia="Times New Roman" w:hAnsi="Arial" w:cs="Arial"/>
                <w:b/>
                <w:color w:val="000000"/>
                <w:sz w:val="20"/>
                <w:szCs w:val="20"/>
              </w:rPr>
            </w:pPr>
            <w:r>
              <w:rPr>
                <w:rFonts w:ascii="Arial" w:eastAsia="Times New Roman" w:hAnsi="Arial" w:cs="Arial"/>
                <w:b/>
                <w:color w:val="000000"/>
                <w:sz w:val="20"/>
                <w:szCs w:val="20"/>
              </w:rPr>
              <w:t>Ave. Number of</w:t>
            </w:r>
          </w:p>
          <w:p w14:paraId="524B0F1C" w14:textId="77777777" w:rsidR="0036585B" w:rsidRDefault="0036585B" w:rsidP="004A42DA">
            <w:pPr>
              <w:spacing w:after="0" w:line="240" w:lineRule="auto"/>
              <w:jc w:val="right"/>
              <w:rPr>
                <w:rFonts w:ascii="Arial" w:eastAsia="Times New Roman" w:hAnsi="Arial" w:cs="Arial"/>
                <w:b/>
                <w:color w:val="000000"/>
                <w:sz w:val="20"/>
                <w:szCs w:val="20"/>
              </w:rPr>
            </w:pPr>
            <w:r w:rsidRPr="0062685E">
              <w:rPr>
                <w:rFonts w:ascii="Arial" w:eastAsia="Times New Roman" w:hAnsi="Arial" w:cs="Arial"/>
                <w:b/>
                <w:color w:val="000000"/>
                <w:sz w:val="20"/>
                <w:szCs w:val="20"/>
              </w:rPr>
              <w:t>Patients per Hospital</w:t>
            </w:r>
          </w:p>
          <w:p w14:paraId="524B0F1D" w14:textId="77777777" w:rsidR="0036585B" w:rsidRPr="0062685E" w:rsidRDefault="0036585B" w:rsidP="004A42DA">
            <w:pPr>
              <w:spacing w:after="0" w:line="240" w:lineRule="auto"/>
              <w:jc w:val="right"/>
              <w:rPr>
                <w:rFonts w:ascii="Arial" w:eastAsia="Times New Roman" w:hAnsi="Arial" w:cs="Arial"/>
                <w:b/>
                <w:color w:val="000000"/>
                <w:sz w:val="20"/>
                <w:szCs w:val="20"/>
              </w:rPr>
            </w:pPr>
            <w:r>
              <w:rPr>
                <w:rFonts w:ascii="Arial" w:eastAsia="Times New Roman" w:hAnsi="Arial" w:cs="Arial"/>
                <w:b/>
                <w:color w:val="000000"/>
                <w:sz w:val="20"/>
                <w:szCs w:val="20"/>
              </w:rPr>
              <w:t xml:space="preserve"> in Decile</w:t>
            </w:r>
          </w:p>
        </w:tc>
        <w:tc>
          <w:tcPr>
            <w:tcW w:w="1128" w:type="pct"/>
            <w:tcBorders>
              <w:top w:val="single" w:sz="4" w:space="0" w:color="auto"/>
              <w:left w:val="nil"/>
              <w:bottom w:val="single" w:sz="4" w:space="0" w:color="auto"/>
            </w:tcBorders>
            <w:shd w:val="clear" w:color="auto" w:fill="BFBFBF" w:themeFill="background1" w:themeFillShade="BF"/>
            <w:noWrap/>
            <w:vAlign w:val="bottom"/>
            <w:hideMark/>
          </w:tcPr>
          <w:p w14:paraId="524B0F1E" w14:textId="77777777" w:rsidR="0036585B" w:rsidRDefault="0036585B" w:rsidP="00B7403D">
            <w:pPr>
              <w:spacing w:after="0" w:line="240" w:lineRule="auto"/>
              <w:jc w:val="right"/>
              <w:rPr>
                <w:rFonts w:ascii="Arial" w:eastAsia="Times New Roman" w:hAnsi="Arial" w:cs="Arial"/>
                <w:b/>
                <w:color w:val="000000"/>
                <w:sz w:val="20"/>
                <w:szCs w:val="20"/>
              </w:rPr>
            </w:pPr>
            <w:r>
              <w:rPr>
                <w:rFonts w:ascii="Arial" w:eastAsia="Times New Roman" w:hAnsi="Arial" w:cs="Arial"/>
                <w:b/>
                <w:color w:val="000000"/>
                <w:sz w:val="20"/>
                <w:szCs w:val="20"/>
              </w:rPr>
              <w:t xml:space="preserve">Ave. </w:t>
            </w:r>
            <w:r w:rsidRPr="0062685E">
              <w:rPr>
                <w:rFonts w:ascii="Arial" w:eastAsia="Times New Roman" w:hAnsi="Arial" w:cs="Arial"/>
                <w:b/>
                <w:color w:val="000000"/>
                <w:sz w:val="20"/>
                <w:szCs w:val="20"/>
              </w:rPr>
              <w:t>Signal-to-Noise</w:t>
            </w:r>
          </w:p>
          <w:p w14:paraId="524B0F1F" w14:textId="77777777" w:rsidR="0036585B" w:rsidRDefault="0036585B" w:rsidP="004A42DA">
            <w:pPr>
              <w:spacing w:after="0" w:line="240" w:lineRule="auto"/>
              <w:jc w:val="right"/>
              <w:rPr>
                <w:rFonts w:ascii="Arial" w:eastAsia="Times New Roman" w:hAnsi="Arial" w:cs="Arial"/>
                <w:b/>
                <w:color w:val="000000"/>
                <w:sz w:val="20"/>
                <w:szCs w:val="20"/>
              </w:rPr>
            </w:pPr>
            <w:r>
              <w:rPr>
                <w:rFonts w:ascii="Arial" w:eastAsia="Times New Roman" w:hAnsi="Arial" w:cs="Arial"/>
                <w:b/>
                <w:color w:val="000000"/>
                <w:sz w:val="20"/>
                <w:szCs w:val="20"/>
              </w:rPr>
              <w:t>Ratio for Hospitals</w:t>
            </w:r>
          </w:p>
          <w:p w14:paraId="524B0F20" w14:textId="77777777" w:rsidR="0036585B" w:rsidRPr="0062685E" w:rsidRDefault="0036585B" w:rsidP="004A42DA">
            <w:pPr>
              <w:spacing w:after="0" w:line="240" w:lineRule="auto"/>
              <w:jc w:val="right"/>
              <w:rPr>
                <w:rFonts w:ascii="Arial" w:eastAsia="Times New Roman" w:hAnsi="Arial" w:cs="Arial"/>
                <w:b/>
                <w:color w:val="000000"/>
                <w:sz w:val="20"/>
                <w:szCs w:val="20"/>
              </w:rPr>
            </w:pPr>
            <w:r>
              <w:rPr>
                <w:rFonts w:ascii="Arial" w:eastAsia="Times New Roman" w:hAnsi="Arial" w:cs="Arial"/>
                <w:b/>
                <w:color w:val="000000"/>
                <w:sz w:val="20"/>
                <w:szCs w:val="20"/>
              </w:rPr>
              <w:t xml:space="preserve"> in Decile</w:t>
            </w:r>
          </w:p>
        </w:tc>
        <w:tc>
          <w:tcPr>
            <w:tcW w:w="1100" w:type="pct"/>
            <w:tcBorders>
              <w:top w:val="single" w:sz="4" w:space="0" w:color="auto"/>
              <w:bottom w:val="single" w:sz="4" w:space="0" w:color="auto"/>
              <w:right w:val="single" w:sz="4" w:space="0" w:color="auto"/>
            </w:tcBorders>
            <w:shd w:val="clear" w:color="auto" w:fill="BFBFBF" w:themeFill="background1" w:themeFillShade="BF"/>
          </w:tcPr>
          <w:p w14:paraId="524B0F21" w14:textId="77777777" w:rsidR="0036585B" w:rsidRDefault="0036585B" w:rsidP="00B7403D">
            <w:pPr>
              <w:spacing w:after="0" w:line="240" w:lineRule="auto"/>
              <w:jc w:val="right"/>
              <w:rPr>
                <w:rFonts w:ascii="Arial" w:eastAsia="Times New Roman" w:hAnsi="Arial" w:cs="Arial"/>
                <w:b/>
                <w:color w:val="000000"/>
                <w:sz w:val="20"/>
                <w:szCs w:val="20"/>
              </w:rPr>
            </w:pPr>
            <w:r>
              <w:rPr>
                <w:rFonts w:ascii="Arial" w:eastAsia="Times New Roman" w:hAnsi="Arial" w:cs="Arial"/>
                <w:b/>
                <w:color w:val="000000"/>
                <w:sz w:val="20"/>
                <w:szCs w:val="20"/>
              </w:rPr>
              <w:t>Percent of Signal</w:t>
            </w:r>
          </w:p>
          <w:p w14:paraId="524B0F22" w14:textId="77777777" w:rsidR="0036585B" w:rsidRDefault="0036585B" w:rsidP="00B7403D">
            <w:pPr>
              <w:spacing w:after="0" w:line="240" w:lineRule="auto"/>
              <w:jc w:val="right"/>
              <w:rPr>
                <w:rFonts w:ascii="Arial" w:eastAsia="Times New Roman" w:hAnsi="Arial" w:cs="Arial"/>
                <w:b/>
                <w:color w:val="000000"/>
                <w:sz w:val="20"/>
                <w:szCs w:val="20"/>
              </w:rPr>
            </w:pPr>
            <w:r>
              <w:rPr>
                <w:rFonts w:ascii="Arial" w:eastAsia="Times New Roman" w:hAnsi="Arial" w:cs="Arial"/>
                <w:b/>
                <w:color w:val="000000"/>
                <w:sz w:val="20"/>
                <w:szCs w:val="20"/>
              </w:rPr>
              <w:t>Variance Explained</w:t>
            </w:r>
          </w:p>
          <w:p w14:paraId="524B0F23" w14:textId="77777777" w:rsidR="0036585B" w:rsidRDefault="0036585B" w:rsidP="00B7403D">
            <w:pPr>
              <w:spacing w:after="0" w:line="240" w:lineRule="auto"/>
              <w:jc w:val="right"/>
              <w:rPr>
                <w:rFonts w:ascii="Arial" w:eastAsia="Times New Roman" w:hAnsi="Arial" w:cs="Arial"/>
                <w:b/>
                <w:color w:val="000000"/>
                <w:sz w:val="20"/>
                <w:szCs w:val="20"/>
              </w:rPr>
            </w:pPr>
            <w:r>
              <w:rPr>
                <w:rFonts w:ascii="Arial" w:eastAsia="Times New Roman" w:hAnsi="Arial" w:cs="Arial"/>
                <w:b/>
                <w:color w:val="000000"/>
                <w:sz w:val="20"/>
                <w:szCs w:val="20"/>
              </w:rPr>
              <w:t>by Performance Score</w:t>
            </w:r>
          </w:p>
        </w:tc>
      </w:tr>
      <w:tr w:rsidR="0036585B" w:rsidRPr="00D255A1" w14:paraId="524B0F2A" w14:textId="77777777" w:rsidTr="0036585B">
        <w:trPr>
          <w:trHeight w:val="300"/>
        </w:trPr>
        <w:tc>
          <w:tcPr>
            <w:tcW w:w="659" w:type="pct"/>
            <w:tcBorders>
              <w:top w:val="single" w:sz="4" w:space="0" w:color="auto"/>
              <w:left w:val="single" w:sz="4" w:space="0" w:color="auto"/>
              <w:bottom w:val="nil"/>
              <w:right w:val="nil"/>
            </w:tcBorders>
            <w:shd w:val="clear" w:color="auto" w:fill="auto"/>
            <w:noWrap/>
            <w:vAlign w:val="bottom"/>
            <w:hideMark/>
          </w:tcPr>
          <w:p w14:paraId="524B0F25" w14:textId="77777777" w:rsidR="0036585B" w:rsidRPr="0062685E" w:rsidRDefault="0036585B" w:rsidP="0062685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1</w:t>
            </w:r>
          </w:p>
        </w:tc>
        <w:tc>
          <w:tcPr>
            <w:tcW w:w="708" w:type="pct"/>
            <w:tcBorders>
              <w:top w:val="single" w:sz="4" w:space="0" w:color="auto"/>
              <w:left w:val="nil"/>
              <w:bottom w:val="nil"/>
              <w:right w:val="nil"/>
            </w:tcBorders>
            <w:shd w:val="clear" w:color="auto" w:fill="auto"/>
            <w:noWrap/>
            <w:vAlign w:val="bottom"/>
            <w:hideMark/>
          </w:tcPr>
          <w:p w14:paraId="524B0F26"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404</w:t>
            </w:r>
          </w:p>
        </w:tc>
        <w:tc>
          <w:tcPr>
            <w:tcW w:w="1405" w:type="pct"/>
            <w:tcBorders>
              <w:top w:val="single" w:sz="4" w:space="0" w:color="auto"/>
              <w:left w:val="nil"/>
              <w:bottom w:val="nil"/>
              <w:right w:val="nil"/>
            </w:tcBorders>
            <w:shd w:val="clear" w:color="auto" w:fill="auto"/>
            <w:noWrap/>
            <w:vAlign w:val="bottom"/>
            <w:hideMark/>
          </w:tcPr>
          <w:p w14:paraId="524B0F27"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2.2</w:t>
            </w:r>
          </w:p>
        </w:tc>
        <w:tc>
          <w:tcPr>
            <w:tcW w:w="1128" w:type="pct"/>
            <w:tcBorders>
              <w:top w:val="single" w:sz="4" w:space="0" w:color="auto"/>
              <w:left w:val="nil"/>
              <w:bottom w:val="nil"/>
            </w:tcBorders>
            <w:shd w:val="clear" w:color="auto" w:fill="auto"/>
            <w:noWrap/>
            <w:vAlign w:val="bottom"/>
            <w:hideMark/>
          </w:tcPr>
          <w:p w14:paraId="524B0F28"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0.00784</w:t>
            </w:r>
          </w:p>
        </w:tc>
        <w:tc>
          <w:tcPr>
            <w:tcW w:w="1100" w:type="pct"/>
            <w:tcBorders>
              <w:top w:val="single" w:sz="4" w:space="0" w:color="auto"/>
              <w:bottom w:val="nil"/>
              <w:right w:val="single" w:sz="4" w:space="0" w:color="auto"/>
            </w:tcBorders>
          </w:tcPr>
          <w:p w14:paraId="524B0F29" w14:textId="27002962" w:rsidR="0036585B" w:rsidRPr="0062685E" w:rsidRDefault="00C71AD7" w:rsidP="00D255A1">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0.25538</w:t>
            </w:r>
          </w:p>
        </w:tc>
      </w:tr>
      <w:tr w:rsidR="0036585B" w:rsidRPr="00D255A1" w14:paraId="524B0F30" w14:textId="77777777" w:rsidTr="0036585B">
        <w:trPr>
          <w:trHeight w:val="300"/>
        </w:trPr>
        <w:tc>
          <w:tcPr>
            <w:tcW w:w="659" w:type="pct"/>
            <w:tcBorders>
              <w:top w:val="nil"/>
              <w:left w:val="single" w:sz="4" w:space="0" w:color="auto"/>
              <w:bottom w:val="nil"/>
              <w:right w:val="nil"/>
            </w:tcBorders>
            <w:shd w:val="clear" w:color="auto" w:fill="auto"/>
            <w:noWrap/>
            <w:vAlign w:val="bottom"/>
            <w:hideMark/>
          </w:tcPr>
          <w:p w14:paraId="524B0F2B" w14:textId="77777777" w:rsidR="0036585B" w:rsidRPr="0062685E" w:rsidRDefault="0036585B" w:rsidP="0062685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2</w:t>
            </w:r>
          </w:p>
        </w:tc>
        <w:tc>
          <w:tcPr>
            <w:tcW w:w="708" w:type="pct"/>
            <w:tcBorders>
              <w:top w:val="nil"/>
              <w:left w:val="nil"/>
              <w:bottom w:val="nil"/>
              <w:right w:val="nil"/>
            </w:tcBorders>
            <w:shd w:val="clear" w:color="auto" w:fill="auto"/>
            <w:noWrap/>
            <w:vAlign w:val="bottom"/>
            <w:hideMark/>
          </w:tcPr>
          <w:p w14:paraId="524B0F2C"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403</w:t>
            </w:r>
          </w:p>
        </w:tc>
        <w:tc>
          <w:tcPr>
            <w:tcW w:w="1405" w:type="pct"/>
            <w:tcBorders>
              <w:top w:val="nil"/>
              <w:left w:val="nil"/>
              <w:bottom w:val="nil"/>
              <w:right w:val="nil"/>
            </w:tcBorders>
            <w:shd w:val="clear" w:color="auto" w:fill="auto"/>
            <w:noWrap/>
            <w:vAlign w:val="bottom"/>
            <w:hideMark/>
          </w:tcPr>
          <w:p w14:paraId="524B0F2D"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7.9</w:t>
            </w:r>
          </w:p>
        </w:tc>
        <w:tc>
          <w:tcPr>
            <w:tcW w:w="1128" w:type="pct"/>
            <w:tcBorders>
              <w:top w:val="nil"/>
              <w:left w:val="nil"/>
              <w:bottom w:val="nil"/>
            </w:tcBorders>
            <w:shd w:val="clear" w:color="auto" w:fill="auto"/>
            <w:noWrap/>
            <w:vAlign w:val="bottom"/>
            <w:hideMark/>
          </w:tcPr>
          <w:p w14:paraId="524B0F2E"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0.01840</w:t>
            </w:r>
          </w:p>
        </w:tc>
        <w:tc>
          <w:tcPr>
            <w:tcW w:w="1100" w:type="pct"/>
            <w:tcBorders>
              <w:top w:val="nil"/>
              <w:bottom w:val="nil"/>
              <w:right w:val="single" w:sz="4" w:space="0" w:color="auto"/>
            </w:tcBorders>
          </w:tcPr>
          <w:p w14:paraId="524B0F2F" w14:textId="4C40515E" w:rsidR="0036585B" w:rsidRPr="0062685E" w:rsidRDefault="00C71AD7" w:rsidP="00D255A1">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0.26128</w:t>
            </w:r>
          </w:p>
        </w:tc>
      </w:tr>
      <w:tr w:rsidR="0036585B" w:rsidRPr="00D255A1" w14:paraId="524B0F36" w14:textId="77777777" w:rsidTr="0036585B">
        <w:trPr>
          <w:trHeight w:val="300"/>
        </w:trPr>
        <w:tc>
          <w:tcPr>
            <w:tcW w:w="659" w:type="pct"/>
            <w:tcBorders>
              <w:top w:val="nil"/>
              <w:left w:val="single" w:sz="4" w:space="0" w:color="auto"/>
              <w:bottom w:val="nil"/>
              <w:right w:val="nil"/>
            </w:tcBorders>
            <w:shd w:val="clear" w:color="auto" w:fill="auto"/>
            <w:noWrap/>
            <w:vAlign w:val="bottom"/>
            <w:hideMark/>
          </w:tcPr>
          <w:p w14:paraId="524B0F31" w14:textId="77777777" w:rsidR="0036585B" w:rsidRPr="0062685E" w:rsidRDefault="0036585B" w:rsidP="0062685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3</w:t>
            </w:r>
          </w:p>
        </w:tc>
        <w:tc>
          <w:tcPr>
            <w:tcW w:w="708" w:type="pct"/>
            <w:tcBorders>
              <w:top w:val="nil"/>
              <w:left w:val="nil"/>
              <w:bottom w:val="nil"/>
              <w:right w:val="nil"/>
            </w:tcBorders>
            <w:shd w:val="clear" w:color="auto" w:fill="auto"/>
            <w:noWrap/>
            <w:vAlign w:val="bottom"/>
            <w:hideMark/>
          </w:tcPr>
          <w:p w14:paraId="524B0F32"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403</w:t>
            </w:r>
          </w:p>
        </w:tc>
        <w:tc>
          <w:tcPr>
            <w:tcW w:w="1405" w:type="pct"/>
            <w:tcBorders>
              <w:top w:val="nil"/>
              <w:left w:val="nil"/>
              <w:bottom w:val="nil"/>
              <w:right w:val="nil"/>
            </w:tcBorders>
            <w:shd w:val="clear" w:color="auto" w:fill="auto"/>
            <w:noWrap/>
            <w:vAlign w:val="bottom"/>
            <w:hideMark/>
          </w:tcPr>
          <w:p w14:paraId="524B0F33"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17.4</w:t>
            </w:r>
          </w:p>
        </w:tc>
        <w:tc>
          <w:tcPr>
            <w:tcW w:w="1128" w:type="pct"/>
            <w:tcBorders>
              <w:top w:val="nil"/>
              <w:left w:val="nil"/>
              <w:bottom w:val="nil"/>
            </w:tcBorders>
            <w:shd w:val="clear" w:color="auto" w:fill="auto"/>
            <w:noWrap/>
            <w:vAlign w:val="bottom"/>
            <w:hideMark/>
          </w:tcPr>
          <w:p w14:paraId="524B0F34"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0.03937</w:t>
            </w:r>
          </w:p>
        </w:tc>
        <w:tc>
          <w:tcPr>
            <w:tcW w:w="1100" w:type="pct"/>
            <w:tcBorders>
              <w:top w:val="nil"/>
              <w:bottom w:val="nil"/>
              <w:right w:val="single" w:sz="4" w:space="0" w:color="auto"/>
            </w:tcBorders>
          </w:tcPr>
          <w:p w14:paraId="524B0F35" w14:textId="5A7E68E6" w:rsidR="0036585B" w:rsidRPr="0062685E" w:rsidRDefault="00C71AD7" w:rsidP="00D255A1">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0.27338</w:t>
            </w:r>
          </w:p>
        </w:tc>
      </w:tr>
      <w:tr w:rsidR="0036585B" w:rsidRPr="00D255A1" w14:paraId="524B0F3C" w14:textId="77777777" w:rsidTr="0036585B">
        <w:trPr>
          <w:trHeight w:val="300"/>
        </w:trPr>
        <w:tc>
          <w:tcPr>
            <w:tcW w:w="659" w:type="pct"/>
            <w:tcBorders>
              <w:top w:val="nil"/>
              <w:left w:val="single" w:sz="4" w:space="0" w:color="auto"/>
              <w:bottom w:val="nil"/>
              <w:right w:val="nil"/>
            </w:tcBorders>
            <w:shd w:val="clear" w:color="auto" w:fill="auto"/>
            <w:noWrap/>
            <w:vAlign w:val="bottom"/>
            <w:hideMark/>
          </w:tcPr>
          <w:p w14:paraId="524B0F37" w14:textId="77777777" w:rsidR="0036585B" w:rsidRPr="0062685E" w:rsidRDefault="0036585B" w:rsidP="0062685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4</w:t>
            </w:r>
          </w:p>
        </w:tc>
        <w:tc>
          <w:tcPr>
            <w:tcW w:w="708" w:type="pct"/>
            <w:tcBorders>
              <w:top w:val="nil"/>
              <w:left w:val="nil"/>
              <w:bottom w:val="nil"/>
              <w:right w:val="nil"/>
            </w:tcBorders>
            <w:shd w:val="clear" w:color="auto" w:fill="auto"/>
            <w:noWrap/>
            <w:vAlign w:val="bottom"/>
            <w:hideMark/>
          </w:tcPr>
          <w:p w14:paraId="524B0F38"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404</w:t>
            </w:r>
          </w:p>
        </w:tc>
        <w:tc>
          <w:tcPr>
            <w:tcW w:w="1405" w:type="pct"/>
            <w:tcBorders>
              <w:top w:val="nil"/>
              <w:left w:val="nil"/>
              <w:bottom w:val="nil"/>
              <w:right w:val="nil"/>
            </w:tcBorders>
            <w:shd w:val="clear" w:color="auto" w:fill="auto"/>
            <w:noWrap/>
            <w:vAlign w:val="bottom"/>
            <w:hideMark/>
          </w:tcPr>
          <w:p w14:paraId="524B0F39"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32.3</w:t>
            </w:r>
          </w:p>
        </w:tc>
        <w:tc>
          <w:tcPr>
            <w:tcW w:w="1128" w:type="pct"/>
            <w:tcBorders>
              <w:top w:val="nil"/>
              <w:left w:val="nil"/>
              <w:bottom w:val="nil"/>
            </w:tcBorders>
            <w:shd w:val="clear" w:color="auto" w:fill="auto"/>
            <w:noWrap/>
            <w:vAlign w:val="bottom"/>
            <w:hideMark/>
          </w:tcPr>
          <w:p w14:paraId="524B0F3A"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0.07589</w:t>
            </w:r>
          </w:p>
        </w:tc>
        <w:tc>
          <w:tcPr>
            <w:tcW w:w="1100" w:type="pct"/>
            <w:tcBorders>
              <w:top w:val="nil"/>
              <w:bottom w:val="nil"/>
              <w:right w:val="single" w:sz="4" w:space="0" w:color="auto"/>
            </w:tcBorders>
          </w:tcPr>
          <w:p w14:paraId="524B0F3B" w14:textId="3E8B3305" w:rsidR="0036585B" w:rsidRPr="0062685E" w:rsidRDefault="00C71AD7" w:rsidP="00D255A1">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0.29436</w:t>
            </w:r>
          </w:p>
        </w:tc>
      </w:tr>
      <w:tr w:rsidR="0036585B" w:rsidRPr="00D255A1" w14:paraId="524B0F42" w14:textId="77777777" w:rsidTr="0036585B">
        <w:trPr>
          <w:trHeight w:val="300"/>
        </w:trPr>
        <w:tc>
          <w:tcPr>
            <w:tcW w:w="659" w:type="pct"/>
            <w:tcBorders>
              <w:top w:val="nil"/>
              <w:left w:val="single" w:sz="4" w:space="0" w:color="auto"/>
              <w:bottom w:val="nil"/>
              <w:right w:val="nil"/>
            </w:tcBorders>
            <w:shd w:val="clear" w:color="auto" w:fill="auto"/>
            <w:noWrap/>
            <w:vAlign w:val="bottom"/>
            <w:hideMark/>
          </w:tcPr>
          <w:p w14:paraId="524B0F3D" w14:textId="77777777" w:rsidR="0036585B" w:rsidRPr="0062685E" w:rsidRDefault="0036585B" w:rsidP="0062685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5</w:t>
            </w:r>
          </w:p>
        </w:tc>
        <w:tc>
          <w:tcPr>
            <w:tcW w:w="708" w:type="pct"/>
            <w:tcBorders>
              <w:top w:val="nil"/>
              <w:left w:val="nil"/>
              <w:bottom w:val="nil"/>
              <w:right w:val="nil"/>
            </w:tcBorders>
            <w:shd w:val="clear" w:color="auto" w:fill="auto"/>
            <w:noWrap/>
            <w:vAlign w:val="bottom"/>
            <w:hideMark/>
          </w:tcPr>
          <w:p w14:paraId="524B0F3E"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403</w:t>
            </w:r>
          </w:p>
        </w:tc>
        <w:tc>
          <w:tcPr>
            <w:tcW w:w="1405" w:type="pct"/>
            <w:tcBorders>
              <w:top w:val="nil"/>
              <w:left w:val="nil"/>
              <w:bottom w:val="nil"/>
              <w:right w:val="nil"/>
            </w:tcBorders>
            <w:shd w:val="clear" w:color="auto" w:fill="auto"/>
            <w:noWrap/>
            <w:vAlign w:val="bottom"/>
            <w:hideMark/>
          </w:tcPr>
          <w:p w14:paraId="524B0F3F"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55.3</w:t>
            </w:r>
          </w:p>
        </w:tc>
        <w:tc>
          <w:tcPr>
            <w:tcW w:w="1128" w:type="pct"/>
            <w:tcBorders>
              <w:top w:val="nil"/>
              <w:left w:val="nil"/>
              <w:bottom w:val="nil"/>
            </w:tcBorders>
            <w:shd w:val="clear" w:color="auto" w:fill="auto"/>
            <w:noWrap/>
            <w:vAlign w:val="bottom"/>
            <w:hideMark/>
          </w:tcPr>
          <w:p w14:paraId="524B0F40"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0.13402</w:t>
            </w:r>
          </w:p>
        </w:tc>
        <w:tc>
          <w:tcPr>
            <w:tcW w:w="1100" w:type="pct"/>
            <w:tcBorders>
              <w:top w:val="nil"/>
              <w:bottom w:val="nil"/>
              <w:right w:val="single" w:sz="4" w:space="0" w:color="auto"/>
            </w:tcBorders>
          </w:tcPr>
          <w:p w14:paraId="524B0F41" w14:textId="7D311D21" w:rsidR="0036585B" w:rsidRPr="0062685E" w:rsidRDefault="00C71AD7" w:rsidP="00D255A1">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0.32887</w:t>
            </w:r>
          </w:p>
        </w:tc>
      </w:tr>
      <w:tr w:rsidR="0036585B" w:rsidRPr="00D255A1" w14:paraId="524B0F48" w14:textId="77777777" w:rsidTr="0036585B">
        <w:trPr>
          <w:trHeight w:val="300"/>
        </w:trPr>
        <w:tc>
          <w:tcPr>
            <w:tcW w:w="659" w:type="pct"/>
            <w:tcBorders>
              <w:top w:val="nil"/>
              <w:left w:val="single" w:sz="4" w:space="0" w:color="auto"/>
              <w:bottom w:val="nil"/>
              <w:right w:val="nil"/>
            </w:tcBorders>
            <w:shd w:val="clear" w:color="auto" w:fill="auto"/>
            <w:noWrap/>
            <w:vAlign w:val="bottom"/>
            <w:hideMark/>
          </w:tcPr>
          <w:p w14:paraId="524B0F43" w14:textId="77777777" w:rsidR="0036585B" w:rsidRPr="0062685E" w:rsidRDefault="0036585B" w:rsidP="0062685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6</w:t>
            </w:r>
          </w:p>
        </w:tc>
        <w:tc>
          <w:tcPr>
            <w:tcW w:w="708" w:type="pct"/>
            <w:tcBorders>
              <w:top w:val="nil"/>
              <w:left w:val="nil"/>
              <w:bottom w:val="nil"/>
              <w:right w:val="nil"/>
            </w:tcBorders>
            <w:shd w:val="clear" w:color="auto" w:fill="auto"/>
            <w:noWrap/>
            <w:vAlign w:val="bottom"/>
            <w:hideMark/>
          </w:tcPr>
          <w:p w14:paraId="524B0F44"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403</w:t>
            </w:r>
          </w:p>
        </w:tc>
        <w:tc>
          <w:tcPr>
            <w:tcW w:w="1405" w:type="pct"/>
            <w:tcBorders>
              <w:top w:val="nil"/>
              <w:left w:val="nil"/>
              <w:bottom w:val="nil"/>
              <w:right w:val="nil"/>
            </w:tcBorders>
            <w:shd w:val="clear" w:color="auto" w:fill="auto"/>
            <w:noWrap/>
            <w:vAlign w:val="bottom"/>
            <w:hideMark/>
          </w:tcPr>
          <w:p w14:paraId="524B0F45"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86.1</w:t>
            </w:r>
          </w:p>
        </w:tc>
        <w:tc>
          <w:tcPr>
            <w:tcW w:w="1128" w:type="pct"/>
            <w:tcBorders>
              <w:top w:val="nil"/>
              <w:left w:val="nil"/>
              <w:bottom w:val="nil"/>
            </w:tcBorders>
            <w:shd w:val="clear" w:color="auto" w:fill="auto"/>
            <w:noWrap/>
            <w:vAlign w:val="bottom"/>
            <w:hideMark/>
          </w:tcPr>
          <w:p w14:paraId="524B0F46"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0.20778</w:t>
            </w:r>
          </w:p>
        </w:tc>
        <w:tc>
          <w:tcPr>
            <w:tcW w:w="1100" w:type="pct"/>
            <w:tcBorders>
              <w:top w:val="nil"/>
              <w:bottom w:val="nil"/>
              <w:right w:val="single" w:sz="4" w:space="0" w:color="auto"/>
            </w:tcBorders>
          </w:tcPr>
          <w:p w14:paraId="524B0F47" w14:textId="603784C8" w:rsidR="0036585B" w:rsidRPr="0062685E" w:rsidRDefault="00C71AD7" w:rsidP="00D255A1">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0.37477</w:t>
            </w:r>
          </w:p>
        </w:tc>
      </w:tr>
      <w:tr w:rsidR="0036585B" w:rsidRPr="00D255A1" w14:paraId="524B0F4E" w14:textId="77777777" w:rsidTr="0036585B">
        <w:trPr>
          <w:trHeight w:val="300"/>
        </w:trPr>
        <w:tc>
          <w:tcPr>
            <w:tcW w:w="659" w:type="pct"/>
            <w:tcBorders>
              <w:top w:val="nil"/>
              <w:left w:val="single" w:sz="4" w:space="0" w:color="auto"/>
              <w:bottom w:val="nil"/>
              <w:right w:val="nil"/>
            </w:tcBorders>
            <w:shd w:val="clear" w:color="auto" w:fill="auto"/>
            <w:noWrap/>
            <w:vAlign w:val="bottom"/>
            <w:hideMark/>
          </w:tcPr>
          <w:p w14:paraId="524B0F49" w14:textId="77777777" w:rsidR="0036585B" w:rsidRPr="0062685E" w:rsidRDefault="0036585B" w:rsidP="0062685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7</w:t>
            </w:r>
          </w:p>
        </w:tc>
        <w:tc>
          <w:tcPr>
            <w:tcW w:w="708" w:type="pct"/>
            <w:tcBorders>
              <w:top w:val="nil"/>
              <w:left w:val="nil"/>
              <w:bottom w:val="nil"/>
              <w:right w:val="nil"/>
            </w:tcBorders>
            <w:shd w:val="clear" w:color="auto" w:fill="auto"/>
            <w:noWrap/>
            <w:vAlign w:val="bottom"/>
            <w:hideMark/>
          </w:tcPr>
          <w:p w14:paraId="524B0F4A"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404</w:t>
            </w:r>
          </w:p>
        </w:tc>
        <w:tc>
          <w:tcPr>
            <w:tcW w:w="1405" w:type="pct"/>
            <w:tcBorders>
              <w:top w:val="nil"/>
              <w:left w:val="nil"/>
              <w:bottom w:val="nil"/>
              <w:right w:val="nil"/>
            </w:tcBorders>
            <w:shd w:val="clear" w:color="auto" w:fill="auto"/>
            <w:noWrap/>
            <w:vAlign w:val="bottom"/>
            <w:hideMark/>
          </w:tcPr>
          <w:p w14:paraId="524B0F4B"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126.0</w:t>
            </w:r>
          </w:p>
        </w:tc>
        <w:tc>
          <w:tcPr>
            <w:tcW w:w="1128" w:type="pct"/>
            <w:tcBorders>
              <w:top w:val="nil"/>
              <w:left w:val="nil"/>
              <w:bottom w:val="nil"/>
            </w:tcBorders>
            <w:shd w:val="clear" w:color="auto" w:fill="auto"/>
            <w:noWrap/>
            <w:vAlign w:val="bottom"/>
            <w:hideMark/>
          </w:tcPr>
          <w:p w14:paraId="524B0F4C"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0.28276</w:t>
            </w:r>
          </w:p>
        </w:tc>
        <w:tc>
          <w:tcPr>
            <w:tcW w:w="1100" w:type="pct"/>
            <w:tcBorders>
              <w:top w:val="nil"/>
              <w:bottom w:val="nil"/>
              <w:right w:val="single" w:sz="4" w:space="0" w:color="auto"/>
            </w:tcBorders>
          </w:tcPr>
          <w:p w14:paraId="524B0F4D" w14:textId="4CEDC7FE" w:rsidR="0036585B" w:rsidRPr="0062685E" w:rsidRDefault="00C71AD7" w:rsidP="00D255A1">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0.42245</w:t>
            </w:r>
          </w:p>
        </w:tc>
      </w:tr>
      <w:tr w:rsidR="0036585B" w:rsidRPr="00D255A1" w14:paraId="524B0F54" w14:textId="77777777" w:rsidTr="0036585B">
        <w:trPr>
          <w:trHeight w:val="300"/>
        </w:trPr>
        <w:tc>
          <w:tcPr>
            <w:tcW w:w="659" w:type="pct"/>
            <w:tcBorders>
              <w:top w:val="nil"/>
              <w:left w:val="single" w:sz="4" w:space="0" w:color="auto"/>
              <w:bottom w:val="nil"/>
              <w:right w:val="nil"/>
            </w:tcBorders>
            <w:shd w:val="clear" w:color="auto" w:fill="auto"/>
            <w:noWrap/>
            <w:vAlign w:val="bottom"/>
            <w:hideMark/>
          </w:tcPr>
          <w:p w14:paraId="524B0F4F" w14:textId="77777777" w:rsidR="0036585B" w:rsidRPr="0062685E" w:rsidRDefault="0036585B" w:rsidP="0062685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8</w:t>
            </w:r>
          </w:p>
        </w:tc>
        <w:tc>
          <w:tcPr>
            <w:tcW w:w="708" w:type="pct"/>
            <w:tcBorders>
              <w:top w:val="nil"/>
              <w:left w:val="nil"/>
              <w:bottom w:val="nil"/>
              <w:right w:val="nil"/>
            </w:tcBorders>
            <w:shd w:val="clear" w:color="auto" w:fill="auto"/>
            <w:noWrap/>
            <w:vAlign w:val="bottom"/>
            <w:hideMark/>
          </w:tcPr>
          <w:p w14:paraId="524B0F50"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403</w:t>
            </w:r>
          </w:p>
        </w:tc>
        <w:tc>
          <w:tcPr>
            <w:tcW w:w="1405" w:type="pct"/>
            <w:tcBorders>
              <w:top w:val="nil"/>
              <w:left w:val="nil"/>
              <w:bottom w:val="nil"/>
              <w:right w:val="nil"/>
            </w:tcBorders>
            <w:shd w:val="clear" w:color="auto" w:fill="auto"/>
            <w:noWrap/>
            <w:vAlign w:val="bottom"/>
            <w:hideMark/>
          </w:tcPr>
          <w:p w14:paraId="524B0F51"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176.6</w:t>
            </w:r>
          </w:p>
        </w:tc>
        <w:tc>
          <w:tcPr>
            <w:tcW w:w="1128" w:type="pct"/>
            <w:tcBorders>
              <w:top w:val="nil"/>
              <w:left w:val="nil"/>
              <w:bottom w:val="nil"/>
            </w:tcBorders>
            <w:shd w:val="clear" w:color="auto" w:fill="auto"/>
            <w:noWrap/>
            <w:vAlign w:val="bottom"/>
            <w:hideMark/>
          </w:tcPr>
          <w:p w14:paraId="524B0F52"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0.35913</w:t>
            </w:r>
          </w:p>
        </w:tc>
        <w:tc>
          <w:tcPr>
            <w:tcW w:w="1100" w:type="pct"/>
            <w:tcBorders>
              <w:top w:val="nil"/>
              <w:bottom w:val="nil"/>
              <w:right w:val="single" w:sz="4" w:space="0" w:color="auto"/>
            </w:tcBorders>
          </w:tcPr>
          <w:p w14:paraId="524B0F53" w14:textId="591E4539" w:rsidR="0036585B" w:rsidRPr="0062685E" w:rsidRDefault="00C71AD7" w:rsidP="00D255A1">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0.47308</w:t>
            </w:r>
          </w:p>
        </w:tc>
      </w:tr>
      <w:tr w:rsidR="0036585B" w:rsidRPr="00D255A1" w14:paraId="524B0F5A" w14:textId="77777777" w:rsidTr="0036585B">
        <w:trPr>
          <w:trHeight w:val="300"/>
        </w:trPr>
        <w:tc>
          <w:tcPr>
            <w:tcW w:w="659" w:type="pct"/>
            <w:tcBorders>
              <w:top w:val="nil"/>
              <w:left w:val="single" w:sz="4" w:space="0" w:color="auto"/>
              <w:bottom w:val="nil"/>
              <w:right w:val="nil"/>
            </w:tcBorders>
            <w:shd w:val="clear" w:color="auto" w:fill="auto"/>
            <w:noWrap/>
            <w:vAlign w:val="bottom"/>
            <w:hideMark/>
          </w:tcPr>
          <w:p w14:paraId="524B0F55" w14:textId="77777777" w:rsidR="0036585B" w:rsidRPr="0062685E" w:rsidRDefault="0036585B" w:rsidP="0062685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9</w:t>
            </w:r>
          </w:p>
        </w:tc>
        <w:tc>
          <w:tcPr>
            <w:tcW w:w="708" w:type="pct"/>
            <w:tcBorders>
              <w:top w:val="nil"/>
              <w:left w:val="nil"/>
              <w:bottom w:val="nil"/>
              <w:right w:val="nil"/>
            </w:tcBorders>
            <w:shd w:val="clear" w:color="auto" w:fill="auto"/>
            <w:noWrap/>
            <w:vAlign w:val="bottom"/>
            <w:hideMark/>
          </w:tcPr>
          <w:p w14:paraId="524B0F56"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403</w:t>
            </w:r>
          </w:p>
        </w:tc>
        <w:tc>
          <w:tcPr>
            <w:tcW w:w="1405" w:type="pct"/>
            <w:tcBorders>
              <w:top w:val="nil"/>
              <w:left w:val="nil"/>
              <w:bottom w:val="nil"/>
              <w:right w:val="nil"/>
            </w:tcBorders>
            <w:shd w:val="clear" w:color="auto" w:fill="auto"/>
            <w:noWrap/>
            <w:vAlign w:val="bottom"/>
            <w:hideMark/>
          </w:tcPr>
          <w:p w14:paraId="524B0F57"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241.0</w:t>
            </w:r>
          </w:p>
        </w:tc>
        <w:tc>
          <w:tcPr>
            <w:tcW w:w="1128" w:type="pct"/>
            <w:tcBorders>
              <w:top w:val="nil"/>
              <w:left w:val="nil"/>
              <w:bottom w:val="nil"/>
            </w:tcBorders>
            <w:shd w:val="clear" w:color="auto" w:fill="auto"/>
            <w:noWrap/>
            <w:vAlign w:val="bottom"/>
            <w:hideMark/>
          </w:tcPr>
          <w:p w14:paraId="524B0F58"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0.44316</w:t>
            </w:r>
          </w:p>
        </w:tc>
        <w:tc>
          <w:tcPr>
            <w:tcW w:w="1100" w:type="pct"/>
            <w:tcBorders>
              <w:top w:val="nil"/>
              <w:bottom w:val="nil"/>
              <w:right w:val="single" w:sz="4" w:space="0" w:color="auto"/>
            </w:tcBorders>
          </w:tcPr>
          <w:p w14:paraId="524B0F59" w14:textId="79526F66" w:rsidR="0036585B" w:rsidRPr="0062685E" w:rsidRDefault="00C71AD7" w:rsidP="00D255A1">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0.53150</w:t>
            </w:r>
          </w:p>
        </w:tc>
      </w:tr>
      <w:tr w:rsidR="0036585B" w:rsidRPr="00D255A1" w14:paraId="524B0F60" w14:textId="77777777" w:rsidTr="0036585B">
        <w:trPr>
          <w:trHeight w:val="300"/>
        </w:trPr>
        <w:tc>
          <w:tcPr>
            <w:tcW w:w="659" w:type="pct"/>
            <w:tcBorders>
              <w:top w:val="nil"/>
              <w:left w:val="single" w:sz="4" w:space="0" w:color="auto"/>
              <w:bottom w:val="single" w:sz="4" w:space="0" w:color="auto"/>
              <w:right w:val="nil"/>
            </w:tcBorders>
            <w:shd w:val="clear" w:color="auto" w:fill="auto"/>
            <w:noWrap/>
            <w:vAlign w:val="bottom"/>
            <w:hideMark/>
          </w:tcPr>
          <w:p w14:paraId="524B0F5B" w14:textId="77777777" w:rsidR="0036585B" w:rsidRPr="0062685E" w:rsidRDefault="0036585B" w:rsidP="0062685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10</w:t>
            </w:r>
          </w:p>
        </w:tc>
        <w:tc>
          <w:tcPr>
            <w:tcW w:w="708" w:type="pct"/>
            <w:tcBorders>
              <w:top w:val="nil"/>
              <w:left w:val="nil"/>
              <w:bottom w:val="single" w:sz="4" w:space="0" w:color="auto"/>
              <w:right w:val="nil"/>
            </w:tcBorders>
            <w:shd w:val="clear" w:color="auto" w:fill="auto"/>
            <w:noWrap/>
            <w:vAlign w:val="bottom"/>
            <w:hideMark/>
          </w:tcPr>
          <w:p w14:paraId="524B0F5C"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403</w:t>
            </w:r>
          </w:p>
        </w:tc>
        <w:tc>
          <w:tcPr>
            <w:tcW w:w="1405" w:type="pct"/>
            <w:tcBorders>
              <w:top w:val="nil"/>
              <w:left w:val="nil"/>
              <w:bottom w:val="single" w:sz="4" w:space="0" w:color="auto"/>
              <w:right w:val="nil"/>
            </w:tcBorders>
            <w:shd w:val="clear" w:color="auto" w:fill="auto"/>
            <w:noWrap/>
            <w:vAlign w:val="bottom"/>
            <w:hideMark/>
          </w:tcPr>
          <w:p w14:paraId="524B0F5D"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391.9</w:t>
            </w:r>
          </w:p>
        </w:tc>
        <w:tc>
          <w:tcPr>
            <w:tcW w:w="1128" w:type="pct"/>
            <w:tcBorders>
              <w:top w:val="nil"/>
              <w:left w:val="nil"/>
              <w:bottom w:val="single" w:sz="4" w:space="0" w:color="auto"/>
            </w:tcBorders>
            <w:shd w:val="clear" w:color="auto" w:fill="auto"/>
            <w:noWrap/>
            <w:vAlign w:val="bottom"/>
            <w:hideMark/>
          </w:tcPr>
          <w:p w14:paraId="524B0F5E"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0.56323</w:t>
            </w:r>
          </w:p>
        </w:tc>
        <w:tc>
          <w:tcPr>
            <w:tcW w:w="1100" w:type="pct"/>
            <w:tcBorders>
              <w:top w:val="nil"/>
              <w:bottom w:val="single" w:sz="4" w:space="0" w:color="auto"/>
              <w:right w:val="single" w:sz="4" w:space="0" w:color="auto"/>
            </w:tcBorders>
          </w:tcPr>
          <w:p w14:paraId="524B0F5F" w14:textId="6A889822" w:rsidR="0036585B" w:rsidRPr="0062685E" w:rsidRDefault="00C71AD7" w:rsidP="00D255A1">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0.62033</w:t>
            </w:r>
          </w:p>
        </w:tc>
      </w:tr>
      <w:tr w:rsidR="0036585B" w:rsidRPr="00D255A1" w14:paraId="524B0F66" w14:textId="77777777" w:rsidTr="0036585B">
        <w:trPr>
          <w:trHeight w:val="300"/>
        </w:trPr>
        <w:tc>
          <w:tcPr>
            <w:tcW w:w="659" w:type="pct"/>
            <w:tcBorders>
              <w:top w:val="single" w:sz="4" w:space="0" w:color="auto"/>
              <w:left w:val="single" w:sz="4" w:space="0" w:color="auto"/>
              <w:bottom w:val="single" w:sz="4" w:space="0" w:color="auto"/>
              <w:right w:val="nil"/>
            </w:tcBorders>
            <w:shd w:val="clear" w:color="auto" w:fill="auto"/>
            <w:noWrap/>
            <w:vAlign w:val="bottom"/>
            <w:hideMark/>
          </w:tcPr>
          <w:p w14:paraId="524B0F61" w14:textId="77777777" w:rsidR="0036585B" w:rsidRPr="0062685E" w:rsidRDefault="0036585B" w:rsidP="0062685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Overall</w:t>
            </w:r>
          </w:p>
        </w:tc>
        <w:tc>
          <w:tcPr>
            <w:tcW w:w="708" w:type="pct"/>
            <w:tcBorders>
              <w:top w:val="single" w:sz="4" w:space="0" w:color="auto"/>
              <w:left w:val="nil"/>
              <w:bottom w:val="single" w:sz="4" w:space="0" w:color="auto"/>
              <w:right w:val="nil"/>
            </w:tcBorders>
            <w:shd w:val="clear" w:color="auto" w:fill="auto"/>
            <w:noWrap/>
            <w:vAlign w:val="bottom"/>
            <w:hideMark/>
          </w:tcPr>
          <w:p w14:paraId="524B0F62"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4,033</w:t>
            </w:r>
          </w:p>
        </w:tc>
        <w:tc>
          <w:tcPr>
            <w:tcW w:w="1405" w:type="pct"/>
            <w:tcBorders>
              <w:top w:val="single" w:sz="4" w:space="0" w:color="auto"/>
              <w:left w:val="nil"/>
              <w:bottom w:val="single" w:sz="4" w:space="0" w:color="auto"/>
              <w:right w:val="nil"/>
            </w:tcBorders>
            <w:shd w:val="clear" w:color="auto" w:fill="auto"/>
            <w:noWrap/>
            <w:vAlign w:val="bottom"/>
            <w:hideMark/>
          </w:tcPr>
          <w:p w14:paraId="524B0F63"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458,307</w:t>
            </w:r>
          </w:p>
        </w:tc>
        <w:tc>
          <w:tcPr>
            <w:tcW w:w="1128" w:type="pct"/>
            <w:tcBorders>
              <w:top w:val="single" w:sz="4" w:space="0" w:color="auto"/>
              <w:left w:val="nil"/>
              <w:bottom w:val="single" w:sz="4" w:space="0" w:color="auto"/>
            </w:tcBorders>
            <w:shd w:val="clear" w:color="auto" w:fill="auto"/>
            <w:noWrap/>
            <w:vAlign w:val="bottom"/>
            <w:hideMark/>
          </w:tcPr>
          <w:p w14:paraId="524B0F64" w14:textId="77777777" w:rsidR="0036585B" w:rsidRPr="0062685E" w:rsidRDefault="0036585B" w:rsidP="00D255A1">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0.46902</w:t>
            </w:r>
          </w:p>
        </w:tc>
        <w:tc>
          <w:tcPr>
            <w:tcW w:w="1100" w:type="pct"/>
            <w:tcBorders>
              <w:top w:val="single" w:sz="4" w:space="0" w:color="auto"/>
              <w:bottom w:val="single" w:sz="4" w:space="0" w:color="auto"/>
              <w:right w:val="single" w:sz="4" w:space="0" w:color="auto"/>
            </w:tcBorders>
          </w:tcPr>
          <w:p w14:paraId="524B0F65" w14:textId="154148C4" w:rsidR="0036585B" w:rsidRPr="0062685E" w:rsidRDefault="00C71AD7" w:rsidP="00D255A1">
            <w:pPr>
              <w:spacing w:after="0" w:line="240" w:lineRule="auto"/>
              <w:jc w:val="right"/>
              <w:rPr>
                <w:rFonts w:ascii="Arial" w:eastAsia="Times New Roman" w:hAnsi="Arial" w:cs="Arial"/>
                <w:color w:val="000000"/>
                <w:sz w:val="20"/>
                <w:szCs w:val="20"/>
              </w:rPr>
            </w:pPr>
            <w:r>
              <w:rPr>
                <w:rFonts w:ascii="Arial" w:eastAsia="Times New Roman" w:hAnsi="Arial" w:cs="Arial"/>
                <w:color w:val="000000"/>
                <w:sz w:val="20"/>
                <w:szCs w:val="20"/>
              </w:rPr>
              <w:t>0.55332</w:t>
            </w:r>
          </w:p>
        </w:tc>
      </w:tr>
    </w:tbl>
    <w:p w14:paraId="524B0F67" w14:textId="77777777" w:rsidR="00D255A1" w:rsidRDefault="00D255A1" w:rsidP="008C54A9">
      <w:pPr>
        <w:autoSpaceDE w:val="0"/>
        <w:autoSpaceDN w:val="0"/>
        <w:adjustRightInd w:val="0"/>
        <w:spacing w:after="0" w:line="240" w:lineRule="auto"/>
        <w:rPr>
          <w:rFonts w:cstheme="minorHAnsi"/>
          <w:bCs/>
        </w:rPr>
      </w:pPr>
    </w:p>
    <w:p w14:paraId="524B0F68" w14:textId="77777777" w:rsidR="004A42DA" w:rsidRDefault="004A42DA" w:rsidP="008C54A9">
      <w:pPr>
        <w:autoSpaceDE w:val="0"/>
        <w:autoSpaceDN w:val="0"/>
        <w:adjustRightInd w:val="0"/>
        <w:spacing w:after="0" w:line="240" w:lineRule="auto"/>
        <w:rPr>
          <w:rFonts w:eastAsia="Times New Roman" w:cs="Times New Roman"/>
          <w:noProof/>
          <w:color w:val="000000"/>
        </w:rPr>
      </w:pPr>
      <w:r>
        <w:rPr>
          <w:rFonts w:eastAsia="Times New Roman" w:cs="Times New Roman"/>
          <w:noProof/>
          <w:color w:val="000000"/>
        </w:rPr>
        <w:t>Note: The aveage “signal-to-noise” ratio for the hospitals in the decile.  As with the overall ratio, the decile-specific ratio is weighted by 1 / (signal+noise)^2.</w:t>
      </w:r>
    </w:p>
    <w:p w14:paraId="524B0F69" w14:textId="77777777" w:rsidR="004A42DA" w:rsidRPr="00A25024" w:rsidRDefault="004A42DA" w:rsidP="008C54A9">
      <w:pPr>
        <w:autoSpaceDE w:val="0"/>
        <w:autoSpaceDN w:val="0"/>
        <w:adjustRightInd w:val="0"/>
        <w:spacing w:after="0" w:line="240" w:lineRule="auto"/>
        <w:rPr>
          <w:rFonts w:cstheme="minorHAnsi"/>
          <w:bCs/>
        </w:rPr>
      </w:pPr>
    </w:p>
    <w:p w14:paraId="524B0F6A" w14:textId="77777777" w:rsidR="007422FD" w:rsidRPr="00A25024"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524B0F6B" w14:textId="77777777" w:rsidR="006D6BC1" w:rsidRDefault="00D255A1" w:rsidP="00DB3627">
      <w:pPr>
        <w:autoSpaceDE w:val="0"/>
        <w:autoSpaceDN w:val="0"/>
        <w:adjustRightInd w:val="0"/>
        <w:spacing w:after="0" w:line="240" w:lineRule="auto"/>
        <w:rPr>
          <w:rFonts w:cstheme="minorHAnsi"/>
          <w:bCs/>
        </w:rPr>
      </w:pPr>
      <w:r w:rsidRPr="00D255A1">
        <w:rPr>
          <w:rFonts w:cstheme="minorHAnsi"/>
          <w:bCs/>
        </w:rPr>
        <w:t>The ratio itself is only a diagnostic for the degree of variance in the risk-adjusted rate systematically</w:t>
      </w:r>
      <w:r>
        <w:rPr>
          <w:rFonts w:cstheme="minorHAnsi"/>
          <w:bCs/>
        </w:rPr>
        <w:t xml:space="preserve"> </w:t>
      </w:r>
      <w:r w:rsidRPr="00D255A1">
        <w:rPr>
          <w:rFonts w:cstheme="minorHAnsi"/>
          <w:bCs/>
        </w:rPr>
        <w:t>associated with the provider. Therefore, what matters is the magnitude of the variance in the “smoothed” rate (that is, the variance in the risk-adjusted rate after the application of the univariate shrinkage estimator based on the signal ratio).</w:t>
      </w:r>
    </w:p>
    <w:p w14:paraId="524B0F6C" w14:textId="77777777" w:rsidR="0036585B" w:rsidRDefault="0036585B" w:rsidP="00DB3627">
      <w:pPr>
        <w:autoSpaceDE w:val="0"/>
        <w:autoSpaceDN w:val="0"/>
        <w:adjustRightInd w:val="0"/>
        <w:spacing w:after="0" w:line="240" w:lineRule="auto"/>
        <w:rPr>
          <w:rFonts w:cstheme="minorHAnsi"/>
          <w:bCs/>
        </w:rPr>
      </w:pPr>
    </w:p>
    <w:p w14:paraId="524B0F6D" w14:textId="77777777" w:rsidR="0036585B" w:rsidRPr="00491E5B" w:rsidRDefault="0036585B" w:rsidP="0036585B">
      <w:pPr>
        <w:spacing w:after="0" w:line="240" w:lineRule="auto"/>
        <w:rPr>
          <w:rFonts w:eastAsia="Times New Roman" w:cs="Times New Roman"/>
          <w:noProof/>
          <w:color w:val="000000"/>
        </w:rPr>
      </w:pPr>
      <w:r>
        <w:rPr>
          <w:rFonts w:eastAsia="Times New Roman" w:cs="Times New Roman"/>
          <w:noProof/>
          <w:color w:val="000000"/>
        </w:rPr>
        <w:t xml:space="preserve">We do not consider reliability a threshold criterion, where measures with a ratio above X are consdiered relilable, and measures with a ratio below X are considered not reliable.  Rather the reliablity ratio is a continuous value used as a weight W, and what matters is the amount of variation remaining in the performance score after the weight is applied, where the performance score = W * risk-adjusted rate + (1-W) * reference population rate </w:t>
      </w:r>
    </w:p>
    <w:p w14:paraId="524B0F6E" w14:textId="77777777" w:rsidR="0036585B" w:rsidRDefault="0036585B" w:rsidP="00DB3627">
      <w:pPr>
        <w:autoSpaceDE w:val="0"/>
        <w:autoSpaceDN w:val="0"/>
        <w:adjustRightInd w:val="0"/>
        <w:spacing w:after="0" w:line="240" w:lineRule="auto"/>
        <w:rPr>
          <w:rFonts w:cstheme="minorHAnsi"/>
          <w:bCs/>
        </w:rPr>
      </w:pPr>
    </w:p>
    <w:p w14:paraId="524B0F6F" w14:textId="77777777" w:rsidR="0036585B" w:rsidRDefault="0036585B" w:rsidP="00DB3627">
      <w:pPr>
        <w:autoSpaceDE w:val="0"/>
        <w:autoSpaceDN w:val="0"/>
        <w:adjustRightInd w:val="0"/>
        <w:spacing w:after="0" w:line="240" w:lineRule="auto"/>
        <w:rPr>
          <w:rFonts w:cstheme="minorHAnsi"/>
          <w:bCs/>
        </w:rPr>
      </w:pPr>
      <w:r>
        <w:rPr>
          <w:rFonts w:eastAsia="Times New Roman" w:cs="Times New Roman"/>
          <w:noProof/>
          <w:color w:val="000000"/>
        </w:rPr>
        <w:t>We also report the percentage of the signal variance “explained” by the variance in the performance score.   The interpretation of a “low” percentage is that there is room to improve the reliablity of the measure through more cases per hosptial or “borrowing” strength from related process or outcome measures or an improved prior probability.</w:t>
      </w:r>
    </w:p>
    <w:p w14:paraId="524B0F70"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__________________________________</w:t>
      </w:r>
    </w:p>
    <w:p w14:paraId="524B0F71"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524B0F72" w14:textId="77777777" w:rsidR="00696262" w:rsidRPr="00A25024" w:rsidRDefault="00092566" w:rsidP="00DB3627">
      <w:pPr>
        <w:autoSpaceDE w:val="0"/>
        <w:autoSpaceDN w:val="0"/>
        <w:adjustRightInd w:val="0"/>
        <w:spacing w:after="0" w:line="240" w:lineRule="auto"/>
        <w:rPr>
          <w:rFonts w:cstheme="minorHAnsi"/>
          <w:b/>
          <w:bCs/>
        </w:rPr>
      </w:pPr>
      <w:r>
        <w:rPr>
          <w:rFonts w:cstheme="minorHAnsi"/>
          <w:b/>
          <w:bCs/>
        </w:rPr>
        <w:lastRenderedPageBreak/>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eastAsia="MS Mincho" w:cstheme="minorHAnsi"/>
            <w:b/>
            <w:bCs/>
            <w:color w:val="0000FF"/>
          </w:rPr>
          <w:id w:val="1384363073"/>
        </w:sdtPr>
        <w:sdtEndPr/>
        <w:sdtContent>
          <w:r w:rsidR="00A25024" w:rsidRPr="00A25024">
            <w:rPr>
              <w:rFonts w:ascii="MS Gothic" w:eastAsia="MS Gothic" w:hAnsi="MS Gothic" w:cs="MS Gothic" w:hint="eastAsia"/>
              <w:b/>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p>
    <w:p w14:paraId="524B0F73" w14:textId="77777777" w:rsidR="00A25024" w:rsidRPr="00A25024" w:rsidRDefault="00A25024" w:rsidP="00696262">
      <w:pPr>
        <w:autoSpaceDE w:val="0"/>
        <w:autoSpaceDN w:val="0"/>
        <w:adjustRightInd w:val="0"/>
        <w:spacing w:after="0" w:line="240" w:lineRule="auto"/>
        <w:rPr>
          <w:rFonts w:eastAsia="MS Gothic" w:cstheme="minorHAnsi"/>
          <w:b/>
          <w:bCs/>
        </w:rPr>
      </w:pPr>
    </w:p>
    <w:p w14:paraId="524B0F74" w14:textId="77777777" w:rsidR="00696262" w:rsidRPr="00A25024" w:rsidRDefault="007E3559" w:rsidP="00696262">
      <w:pPr>
        <w:autoSpaceDE w:val="0"/>
        <w:autoSpaceDN w:val="0"/>
        <w:adjustRightInd w:val="0"/>
        <w:spacing w:after="0" w:line="240" w:lineRule="auto"/>
        <w:rPr>
          <w:rFonts w:cstheme="minorHAnsi"/>
          <w:b/>
          <w:bCs/>
        </w:rPr>
      </w:pPr>
      <w:sdt>
        <w:sdtPr>
          <w:rPr>
            <w:rFonts w:eastAsia="MS Mincho" w:cstheme="minorHAnsi"/>
            <w:b/>
            <w:bCs/>
            <w:color w:val="0000FF"/>
          </w:rPr>
          <w:id w:val="717787002"/>
        </w:sdtPr>
        <w:sdtEndPr/>
        <w:sdtContent>
          <w:r w:rsidR="00A25024" w:rsidRPr="00A25024">
            <w:rPr>
              <w:rFonts w:ascii="MS Gothic" w:eastAsia="MS Gothic" w:hAnsi="MS Gothic" w:cs="MS Gothic" w:hint="eastAsia"/>
              <w:b/>
              <w:bCs/>
              <w:color w:val="0000FF"/>
            </w:rPr>
            <w:t>☐</w:t>
          </w:r>
        </w:sdtContent>
      </w:sdt>
      <w:r w:rsidR="00A25024" w:rsidRPr="00A25024">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524B0F75" w14:textId="77777777" w:rsidR="000574AB" w:rsidRPr="00A25024" w:rsidRDefault="007E3559" w:rsidP="00696262">
      <w:pPr>
        <w:autoSpaceDE w:val="0"/>
        <w:autoSpaceDN w:val="0"/>
        <w:adjustRightInd w:val="0"/>
        <w:spacing w:after="0" w:line="240" w:lineRule="auto"/>
        <w:ind w:left="255"/>
        <w:rPr>
          <w:rFonts w:cstheme="minorHAnsi"/>
          <w:bCs/>
        </w:rPr>
      </w:pPr>
      <w:sdt>
        <w:sdtPr>
          <w:rPr>
            <w:rFonts w:eastAsia="MS Mincho" w:cstheme="minorHAnsi"/>
            <w:b/>
            <w:bCs/>
            <w:color w:val="0000FF"/>
          </w:rPr>
          <w:id w:val="-1867505943"/>
        </w:sdtPr>
        <w:sdtEndPr/>
        <w:sdtContent>
          <w:r w:rsidR="00696262" w:rsidRPr="00A25024">
            <w:rPr>
              <w:rFonts w:ascii="MS Gothic" w:eastAsia="MS Gothic" w:hAnsi="MS Gothic" w:cs="MS Gothic" w:hint="eastAsia"/>
              <w:b/>
              <w:bCs/>
              <w:color w:val="0000FF"/>
            </w:rPr>
            <w:t>☐</w:t>
          </w:r>
        </w:sdtContent>
      </w:sdt>
      <w:r w:rsidR="00A25024" w:rsidRPr="00A25024">
        <w:rPr>
          <w:rFonts w:eastAsia="MS Mincho" w:cstheme="minorHAnsi"/>
          <w:b/>
          <w:bCs/>
          <w:color w:val="0000FF"/>
        </w:rPr>
        <w:t xml:space="preserve"> </w:t>
      </w:r>
      <w:r w:rsidR="005232D6" w:rsidRPr="0066376E">
        <w:rPr>
          <w:rFonts w:eastAsia="MS Mincho" w:cstheme="minorHAnsi"/>
          <w:b/>
          <w:bCs/>
          <w:highlight w:val="yellow"/>
        </w:rPr>
        <w:t>E</w:t>
      </w:r>
      <w:r w:rsidR="00696262" w:rsidRPr="0066376E">
        <w:rPr>
          <w:rFonts w:eastAsia="MS Mincho" w:cstheme="minorHAnsi"/>
          <w:b/>
          <w:bCs/>
          <w:highlight w:val="yellow"/>
        </w:rPr>
        <w:t>mpirical validity testing</w:t>
      </w:r>
      <w:r w:rsidR="004B6CEE" w:rsidRPr="00A25024">
        <w:rPr>
          <w:rFonts w:cstheme="minorHAnsi"/>
          <w:b/>
          <w:bCs/>
        </w:rPr>
        <w:br/>
      </w:r>
      <w:sdt>
        <w:sdtPr>
          <w:rPr>
            <w:rFonts w:eastAsia="MS Mincho" w:cstheme="minorHAnsi"/>
            <w:b/>
            <w:bCs/>
            <w:color w:val="0000FF"/>
          </w:rPr>
          <w:id w:val="320477205"/>
        </w:sdtPr>
        <w:sdtEndPr/>
        <w:sdtContent>
          <w:r w:rsidR="00696262" w:rsidRPr="00A25024">
            <w:rPr>
              <w:rFonts w:ascii="MS Gothic" w:eastAsia="MS Gothic" w:hAnsi="MS Gothic" w:cs="MS Gothic" w:hint="eastAsia"/>
              <w:b/>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5149E7">
        <w:rPr>
          <w:rFonts w:eastAsia="MS Gothic" w:cstheme="minorHAnsi"/>
          <w:bCs/>
          <w:i/>
        </w:rPr>
        <w:t>performance</w:t>
      </w:r>
      <w:r w:rsidR="00A41377" w:rsidRPr="00A25024">
        <w:rPr>
          <w:rFonts w:eastAsia="MS Gothic" w:cstheme="minorHAnsi"/>
          <w:bCs/>
        </w:rPr>
        <w:t>)</w:t>
      </w:r>
    </w:p>
    <w:p w14:paraId="524B0F76" w14:textId="77777777" w:rsidR="00CA06D8" w:rsidRPr="00A25024" w:rsidRDefault="00CA06D8" w:rsidP="00DB3627">
      <w:pPr>
        <w:autoSpaceDE w:val="0"/>
        <w:autoSpaceDN w:val="0"/>
        <w:adjustRightInd w:val="0"/>
        <w:spacing w:after="0" w:line="240" w:lineRule="auto"/>
        <w:rPr>
          <w:rFonts w:cstheme="minorHAnsi"/>
        </w:rPr>
      </w:pPr>
    </w:p>
    <w:p w14:paraId="524B0F77" w14:textId="77777777" w:rsidR="00833325" w:rsidRPr="00A25024"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2. For each level 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524B0F78" w14:textId="77777777" w:rsidR="00833325" w:rsidRDefault="0062685E" w:rsidP="00DB3627">
      <w:pPr>
        <w:autoSpaceDE w:val="0"/>
        <w:autoSpaceDN w:val="0"/>
        <w:adjustRightInd w:val="0"/>
        <w:spacing w:after="0" w:line="240" w:lineRule="auto"/>
        <w:rPr>
          <w:rFonts w:cstheme="minorHAnsi"/>
          <w:bCs/>
        </w:rPr>
      </w:pPr>
      <w:r>
        <w:rPr>
          <w:rFonts w:cstheme="minorHAnsi"/>
          <w:bCs/>
        </w:rPr>
        <w:t xml:space="preserve">We conduct </w:t>
      </w:r>
      <w:r w:rsidR="00B7403D">
        <w:rPr>
          <w:rFonts w:cstheme="minorHAnsi"/>
          <w:bCs/>
        </w:rPr>
        <w:t>c</w:t>
      </w:r>
      <w:r w:rsidR="0066376E">
        <w:rPr>
          <w:rFonts w:cstheme="minorHAnsi"/>
          <w:bCs/>
        </w:rPr>
        <w:t xml:space="preserve">onstruct validity </w:t>
      </w:r>
      <w:r w:rsidR="00B7403D">
        <w:rPr>
          <w:rFonts w:cstheme="minorHAnsi"/>
          <w:bCs/>
        </w:rPr>
        <w:t xml:space="preserve">testing </w:t>
      </w:r>
      <w:r w:rsidR="007243C7">
        <w:rPr>
          <w:rFonts w:cstheme="minorHAnsi"/>
          <w:bCs/>
        </w:rPr>
        <w:t xml:space="preserve">to examine the </w:t>
      </w:r>
      <w:r w:rsidR="0066376E">
        <w:rPr>
          <w:rFonts w:cstheme="minorHAnsi"/>
          <w:bCs/>
        </w:rPr>
        <w:t>associati</w:t>
      </w:r>
      <w:r w:rsidR="007243C7">
        <w:rPr>
          <w:rFonts w:cstheme="minorHAnsi"/>
          <w:bCs/>
        </w:rPr>
        <w:t>on</w:t>
      </w:r>
      <w:r w:rsidR="0066376E">
        <w:rPr>
          <w:rFonts w:cstheme="minorHAnsi"/>
          <w:bCs/>
        </w:rPr>
        <w:t xml:space="preserve"> </w:t>
      </w:r>
      <w:r w:rsidR="007243C7">
        <w:rPr>
          <w:rFonts w:cstheme="minorHAnsi"/>
          <w:bCs/>
        </w:rPr>
        <w:t xml:space="preserve">between </w:t>
      </w:r>
      <w:r w:rsidR="0066376E">
        <w:rPr>
          <w:rFonts w:cstheme="minorHAnsi"/>
          <w:bCs/>
        </w:rPr>
        <w:t xml:space="preserve">the </w:t>
      </w:r>
      <w:r w:rsidR="00B7403D">
        <w:rPr>
          <w:rFonts w:cstheme="minorHAnsi"/>
          <w:bCs/>
        </w:rPr>
        <w:t xml:space="preserve">risk-adjusted </w:t>
      </w:r>
      <w:r w:rsidR="0066376E">
        <w:rPr>
          <w:rFonts w:cstheme="minorHAnsi"/>
          <w:bCs/>
        </w:rPr>
        <w:t xml:space="preserve">mortality rate </w:t>
      </w:r>
      <w:r w:rsidR="007243C7">
        <w:rPr>
          <w:rFonts w:cstheme="minorHAnsi"/>
          <w:bCs/>
        </w:rPr>
        <w:t>and</w:t>
      </w:r>
      <w:r w:rsidR="0066376E">
        <w:rPr>
          <w:rFonts w:cstheme="minorHAnsi"/>
          <w:bCs/>
        </w:rPr>
        <w:t xml:space="preserve"> hospital structural characteristics</w:t>
      </w:r>
      <w:r w:rsidR="007243C7">
        <w:rPr>
          <w:rFonts w:cstheme="minorHAnsi"/>
          <w:bCs/>
        </w:rPr>
        <w:t xml:space="preserve"> potentially associated with quality of care</w:t>
      </w:r>
      <w:r w:rsidR="00B7403D">
        <w:rPr>
          <w:rFonts w:cstheme="minorHAnsi"/>
          <w:bCs/>
        </w:rPr>
        <w:t>, including prior performance,</w:t>
      </w:r>
      <w:r w:rsidR="0066376E">
        <w:rPr>
          <w:rFonts w:cstheme="minorHAnsi"/>
          <w:bCs/>
        </w:rPr>
        <w:t xml:space="preserve"> using regression analysis.</w:t>
      </w:r>
    </w:p>
    <w:p w14:paraId="524B0F79" w14:textId="77777777" w:rsidR="0036585B" w:rsidRDefault="0036585B" w:rsidP="00DB3627">
      <w:pPr>
        <w:autoSpaceDE w:val="0"/>
        <w:autoSpaceDN w:val="0"/>
        <w:adjustRightInd w:val="0"/>
        <w:spacing w:after="0" w:line="240" w:lineRule="auto"/>
        <w:rPr>
          <w:rFonts w:cstheme="minorHAnsi"/>
          <w:bCs/>
        </w:rPr>
      </w:pPr>
    </w:p>
    <w:p w14:paraId="524B0F7A" w14:textId="77777777" w:rsidR="0036585B" w:rsidRDefault="0036585B" w:rsidP="0036585B">
      <w:pPr>
        <w:spacing w:after="0" w:line="240" w:lineRule="auto"/>
        <w:rPr>
          <w:rFonts w:eastAsia="Times New Roman" w:cs="Times New Roman"/>
          <w:noProof/>
          <w:color w:val="000000"/>
        </w:rPr>
      </w:pPr>
      <w:r>
        <w:rPr>
          <w:rFonts w:eastAsia="Times New Roman" w:cs="Times New Roman"/>
          <w:noProof/>
          <w:color w:val="000000"/>
        </w:rPr>
        <w:t>The hypothesized relationship is as follows:</w:t>
      </w:r>
    </w:p>
    <w:p w14:paraId="524B0F7B" w14:textId="77777777" w:rsidR="0036585B" w:rsidRDefault="0036585B" w:rsidP="0036585B">
      <w:pPr>
        <w:spacing w:after="0" w:line="240" w:lineRule="auto"/>
        <w:rPr>
          <w:rFonts w:eastAsia="Times New Roman" w:cs="Times New Roman"/>
          <w:noProof/>
          <w:color w:val="000000"/>
        </w:rPr>
      </w:pPr>
      <w:r>
        <w:rPr>
          <w:rFonts w:eastAsia="Times New Roman" w:cs="Times New Roman"/>
          <w:noProof/>
          <w:color w:val="000000"/>
        </w:rPr>
        <w:t>1)  Volume – higher volume is associtaed with  better outcomes, either because practice makes perfect  (volume causes outcome) or referral (outcome causes volume)</w:t>
      </w:r>
    </w:p>
    <w:p w14:paraId="524B0F7C" w14:textId="77777777" w:rsidR="0036585B" w:rsidRDefault="0036585B" w:rsidP="0036585B">
      <w:pPr>
        <w:spacing w:after="0" w:line="240" w:lineRule="auto"/>
        <w:rPr>
          <w:rFonts w:eastAsia="Times New Roman" w:cs="Times New Roman"/>
          <w:noProof/>
          <w:color w:val="000000"/>
        </w:rPr>
      </w:pPr>
      <w:r>
        <w:rPr>
          <w:rFonts w:eastAsia="Times New Roman" w:cs="Times New Roman"/>
          <w:noProof/>
          <w:color w:val="000000"/>
        </w:rPr>
        <w:t>2) Reservation quality – higher reservation quality is associated with better outcomes  because reservation quality is associated with excess capacity</w:t>
      </w:r>
    </w:p>
    <w:p w14:paraId="524B0F7D" w14:textId="77777777" w:rsidR="0036585B" w:rsidRDefault="0036585B" w:rsidP="0036585B">
      <w:pPr>
        <w:spacing w:after="0" w:line="240" w:lineRule="auto"/>
        <w:rPr>
          <w:rFonts w:eastAsia="Times New Roman" w:cs="Times New Roman"/>
          <w:noProof/>
          <w:color w:val="000000"/>
        </w:rPr>
      </w:pPr>
      <w:r>
        <w:rPr>
          <w:rFonts w:eastAsia="Times New Roman" w:cs="Times New Roman"/>
          <w:noProof/>
          <w:color w:val="000000"/>
        </w:rPr>
        <w:t>3) Transfer out – higher transfer out rate is associated with worse outcomes because transferred cases have higher risk of mortality</w:t>
      </w:r>
    </w:p>
    <w:p w14:paraId="524B0F7E" w14:textId="77777777" w:rsidR="0036585B" w:rsidRDefault="0036585B" w:rsidP="0036585B">
      <w:pPr>
        <w:autoSpaceDE w:val="0"/>
        <w:autoSpaceDN w:val="0"/>
        <w:adjustRightInd w:val="0"/>
        <w:spacing w:after="0" w:line="240" w:lineRule="auto"/>
        <w:rPr>
          <w:rFonts w:cstheme="minorHAnsi"/>
          <w:bCs/>
        </w:rPr>
      </w:pPr>
      <w:r>
        <w:rPr>
          <w:rFonts w:eastAsia="Times New Roman" w:cs="Times New Roman"/>
          <w:noProof/>
          <w:color w:val="000000"/>
        </w:rPr>
        <w:t>4) Diagnosis codes – More reported diagnosis codes are associated with more reported comorbidities, therefore higher expected rates, there fore better outcomes</w:t>
      </w:r>
    </w:p>
    <w:p w14:paraId="524B0F7F" w14:textId="77777777" w:rsidR="0066376E" w:rsidRPr="00A25024" w:rsidRDefault="0066376E" w:rsidP="00DB3627">
      <w:pPr>
        <w:autoSpaceDE w:val="0"/>
        <w:autoSpaceDN w:val="0"/>
        <w:adjustRightInd w:val="0"/>
        <w:spacing w:after="0" w:line="240" w:lineRule="auto"/>
        <w:rPr>
          <w:rFonts w:cstheme="minorHAnsi"/>
          <w:bCs/>
        </w:rPr>
      </w:pPr>
    </w:p>
    <w:p w14:paraId="524B0F80" w14:textId="77777777" w:rsidR="007422FD"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22691B">
        <w:rPr>
          <w:rFonts w:cstheme="minorHAnsi"/>
          <w:bCs/>
          <w:i/>
        </w:rPr>
        <w:t>t-test, ANOVA</w:t>
      </w:r>
      <w:r w:rsidR="00AA5213" w:rsidRPr="0022691B">
        <w:rPr>
          <w:rFonts w:cstheme="minorHAnsi"/>
          <w:bCs/>
        </w:rPr>
        <w:t>)</w:t>
      </w:r>
      <w:r w:rsidR="00833325" w:rsidRPr="00A25024">
        <w:rPr>
          <w:rFonts w:cstheme="minorHAnsi"/>
          <w:bCs/>
        </w:rPr>
        <w:br/>
      </w:r>
    </w:p>
    <w:p w14:paraId="524B0F81" w14:textId="77777777" w:rsidR="0066376E" w:rsidRPr="007243C7" w:rsidRDefault="0066376E" w:rsidP="00674AAA">
      <w:pPr>
        <w:pStyle w:val="BHNormal"/>
        <w:spacing w:before="0"/>
        <w:ind w:firstLine="0"/>
        <w:rPr>
          <w:rFonts w:ascii="Arial" w:hAnsi="Arial" w:cs="Arial"/>
          <w:sz w:val="20"/>
          <w:szCs w:val="20"/>
        </w:rPr>
      </w:pPr>
      <w:r w:rsidRPr="007243C7">
        <w:rPr>
          <w:rFonts w:ascii="Arial" w:hAnsi="Arial" w:cs="Arial"/>
          <w:sz w:val="20"/>
          <w:szCs w:val="20"/>
        </w:rPr>
        <w:t>Table 1.  Structure Measures Used to Estimate Prior Probability</w:t>
      </w:r>
    </w:p>
    <w:tbl>
      <w:tblPr>
        <w:tblStyle w:val="TableGrid"/>
        <w:tblW w:w="5000" w:type="pct"/>
        <w:tblLook w:val="04A0" w:firstRow="1" w:lastRow="0" w:firstColumn="1" w:lastColumn="0" w:noHBand="0" w:noVBand="1"/>
      </w:tblPr>
      <w:tblGrid>
        <w:gridCol w:w="1798"/>
        <w:gridCol w:w="3620"/>
        <w:gridCol w:w="4158"/>
      </w:tblGrid>
      <w:tr w:rsidR="0066376E" w:rsidRPr="00A5525E" w14:paraId="524B0F85" w14:textId="77777777" w:rsidTr="0062685E">
        <w:tc>
          <w:tcPr>
            <w:tcW w:w="939" w:type="pct"/>
            <w:shd w:val="clear" w:color="auto" w:fill="BFBFBF" w:themeFill="background1" w:themeFillShade="BF"/>
          </w:tcPr>
          <w:p w14:paraId="524B0F82" w14:textId="77777777" w:rsidR="0066376E" w:rsidRPr="0062685E" w:rsidRDefault="0066376E" w:rsidP="0066376E">
            <w:pPr>
              <w:pStyle w:val="BHNormal"/>
              <w:spacing w:before="0"/>
              <w:ind w:firstLine="0"/>
              <w:rPr>
                <w:rFonts w:ascii="Arial" w:hAnsi="Arial" w:cs="Arial"/>
                <w:sz w:val="20"/>
                <w:szCs w:val="20"/>
              </w:rPr>
            </w:pPr>
            <w:r w:rsidRPr="0062685E">
              <w:rPr>
                <w:rFonts w:ascii="Arial" w:hAnsi="Arial" w:cs="Arial"/>
                <w:sz w:val="20"/>
                <w:szCs w:val="20"/>
              </w:rPr>
              <w:t>Measure</w:t>
            </w:r>
          </w:p>
        </w:tc>
        <w:tc>
          <w:tcPr>
            <w:tcW w:w="1890" w:type="pct"/>
            <w:shd w:val="clear" w:color="auto" w:fill="BFBFBF" w:themeFill="background1" w:themeFillShade="BF"/>
          </w:tcPr>
          <w:p w14:paraId="524B0F83" w14:textId="77777777" w:rsidR="0066376E" w:rsidRPr="0062685E" w:rsidRDefault="0066376E" w:rsidP="0066376E">
            <w:pPr>
              <w:pStyle w:val="BHNormal"/>
              <w:spacing w:before="0"/>
              <w:ind w:firstLine="0"/>
              <w:rPr>
                <w:rFonts w:ascii="Arial" w:hAnsi="Arial" w:cs="Arial"/>
                <w:sz w:val="20"/>
                <w:szCs w:val="20"/>
              </w:rPr>
            </w:pPr>
            <w:r w:rsidRPr="0062685E">
              <w:rPr>
                <w:rFonts w:ascii="Arial" w:hAnsi="Arial" w:cs="Arial"/>
                <w:sz w:val="20"/>
                <w:szCs w:val="20"/>
              </w:rPr>
              <w:t>How it is measured</w:t>
            </w:r>
          </w:p>
        </w:tc>
        <w:tc>
          <w:tcPr>
            <w:tcW w:w="2171" w:type="pct"/>
            <w:shd w:val="clear" w:color="auto" w:fill="BFBFBF" w:themeFill="background1" w:themeFillShade="BF"/>
          </w:tcPr>
          <w:p w14:paraId="524B0F84" w14:textId="77777777" w:rsidR="0066376E" w:rsidRPr="0062685E" w:rsidRDefault="0066376E" w:rsidP="0066376E">
            <w:pPr>
              <w:pStyle w:val="BHNormal"/>
              <w:spacing w:before="0"/>
              <w:ind w:firstLine="0"/>
              <w:rPr>
                <w:rFonts w:ascii="Arial" w:hAnsi="Arial" w:cs="Arial"/>
                <w:sz w:val="20"/>
                <w:szCs w:val="20"/>
              </w:rPr>
            </w:pPr>
            <w:r w:rsidRPr="0062685E">
              <w:rPr>
                <w:rFonts w:ascii="Arial" w:hAnsi="Arial" w:cs="Arial"/>
                <w:sz w:val="20"/>
                <w:szCs w:val="20"/>
              </w:rPr>
              <w:t>Rationale</w:t>
            </w:r>
          </w:p>
        </w:tc>
      </w:tr>
      <w:tr w:rsidR="0066376E" w:rsidRPr="00A5525E" w14:paraId="524B0F89" w14:textId="77777777" w:rsidTr="007243C7">
        <w:tc>
          <w:tcPr>
            <w:tcW w:w="939" w:type="pct"/>
          </w:tcPr>
          <w:p w14:paraId="524B0F86" w14:textId="77777777" w:rsidR="0066376E" w:rsidRPr="0062685E" w:rsidRDefault="0066376E" w:rsidP="0066376E">
            <w:pPr>
              <w:rPr>
                <w:rFonts w:ascii="Arial" w:eastAsia="Times New Roman" w:hAnsi="Arial" w:cs="Arial"/>
                <w:color w:val="000000"/>
                <w:sz w:val="20"/>
                <w:szCs w:val="20"/>
              </w:rPr>
            </w:pPr>
            <w:r w:rsidRPr="0062685E">
              <w:rPr>
                <w:rFonts w:ascii="Arial" w:eastAsia="Times New Roman" w:hAnsi="Arial" w:cs="Arial"/>
                <w:color w:val="000000"/>
                <w:sz w:val="20"/>
                <w:szCs w:val="20"/>
              </w:rPr>
              <w:t>Ln(Volume)</w:t>
            </w:r>
          </w:p>
        </w:tc>
        <w:tc>
          <w:tcPr>
            <w:tcW w:w="1890" w:type="pct"/>
          </w:tcPr>
          <w:p w14:paraId="524B0F87" w14:textId="77777777" w:rsidR="0066376E" w:rsidRPr="0062685E" w:rsidRDefault="0066376E" w:rsidP="0066376E">
            <w:pPr>
              <w:pStyle w:val="BHNormal"/>
              <w:spacing w:before="0"/>
              <w:ind w:firstLine="0"/>
              <w:rPr>
                <w:rFonts w:ascii="Arial" w:hAnsi="Arial" w:cs="Arial"/>
                <w:sz w:val="20"/>
                <w:szCs w:val="20"/>
              </w:rPr>
            </w:pPr>
            <w:r w:rsidRPr="0062685E">
              <w:rPr>
                <w:rFonts w:ascii="Arial" w:hAnsi="Arial" w:cs="Arial"/>
                <w:sz w:val="20"/>
                <w:szCs w:val="20"/>
              </w:rPr>
              <w:t>Natural log of the denominator</w:t>
            </w:r>
          </w:p>
        </w:tc>
        <w:tc>
          <w:tcPr>
            <w:tcW w:w="2171" w:type="pct"/>
          </w:tcPr>
          <w:p w14:paraId="524B0F88" w14:textId="77777777" w:rsidR="0066376E" w:rsidRPr="0062685E" w:rsidRDefault="0066376E" w:rsidP="0066376E">
            <w:pPr>
              <w:pStyle w:val="BHNormal"/>
              <w:spacing w:before="0"/>
              <w:ind w:firstLine="0"/>
              <w:rPr>
                <w:rFonts w:ascii="Arial" w:hAnsi="Arial" w:cs="Arial"/>
                <w:sz w:val="20"/>
                <w:szCs w:val="20"/>
              </w:rPr>
            </w:pPr>
            <w:r w:rsidRPr="0062685E">
              <w:rPr>
                <w:rFonts w:ascii="Arial" w:hAnsi="Arial" w:cs="Arial"/>
                <w:sz w:val="20"/>
                <w:szCs w:val="20"/>
              </w:rPr>
              <w:t>Practice makes perfect or referral</w:t>
            </w:r>
          </w:p>
        </w:tc>
      </w:tr>
      <w:tr w:rsidR="0066376E" w:rsidRPr="00A5525E" w14:paraId="524B0F8D" w14:textId="77777777" w:rsidTr="007243C7">
        <w:tc>
          <w:tcPr>
            <w:tcW w:w="939" w:type="pct"/>
          </w:tcPr>
          <w:p w14:paraId="524B0F8A" w14:textId="77777777" w:rsidR="0066376E" w:rsidRPr="0062685E" w:rsidRDefault="0066376E" w:rsidP="0066376E">
            <w:pPr>
              <w:rPr>
                <w:rFonts w:ascii="Arial" w:eastAsia="Times New Roman" w:hAnsi="Arial" w:cs="Arial"/>
                <w:color w:val="000000"/>
                <w:sz w:val="20"/>
                <w:szCs w:val="20"/>
              </w:rPr>
            </w:pPr>
            <w:r w:rsidRPr="0062685E">
              <w:rPr>
                <w:rFonts w:ascii="Arial" w:eastAsia="Times New Roman" w:hAnsi="Arial" w:cs="Arial"/>
                <w:color w:val="000000"/>
                <w:sz w:val="20"/>
                <w:szCs w:val="20"/>
              </w:rPr>
              <w:t>Reservation  Quality</w:t>
            </w:r>
          </w:p>
        </w:tc>
        <w:tc>
          <w:tcPr>
            <w:tcW w:w="1890" w:type="pct"/>
          </w:tcPr>
          <w:p w14:paraId="524B0F8B" w14:textId="77777777" w:rsidR="0066376E" w:rsidRPr="0062685E" w:rsidRDefault="0066376E" w:rsidP="0066376E">
            <w:pPr>
              <w:pStyle w:val="BHNormal"/>
              <w:spacing w:before="0"/>
              <w:ind w:firstLine="0"/>
              <w:rPr>
                <w:rFonts w:ascii="Arial" w:hAnsi="Arial" w:cs="Arial"/>
                <w:sz w:val="20"/>
                <w:szCs w:val="20"/>
              </w:rPr>
            </w:pPr>
            <w:r w:rsidRPr="0062685E">
              <w:rPr>
                <w:rFonts w:ascii="Arial" w:hAnsi="Arial" w:cs="Arial"/>
                <w:sz w:val="20"/>
                <w:szCs w:val="20"/>
              </w:rPr>
              <w:t>Inverse of average daily census (ADC)</w:t>
            </w:r>
          </w:p>
        </w:tc>
        <w:tc>
          <w:tcPr>
            <w:tcW w:w="2171" w:type="pct"/>
          </w:tcPr>
          <w:p w14:paraId="524B0F8C" w14:textId="77777777" w:rsidR="0066376E" w:rsidRPr="0062685E" w:rsidRDefault="0066376E" w:rsidP="0066376E">
            <w:pPr>
              <w:pStyle w:val="BHNormal"/>
              <w:spacing w:before="0"/>
              <w:ind w:firstLine="0"/>
              <w:rPr>
                <w:rFonts w:ascii="Arial" w:hAnsi="Arial" w:cs="Arial"/>
                <w:sz w:val="20"/>
                <w:szCs w:val="20"/>
              </w:rPr>
            </w:pPr>
            <w:r w:rsidRPr="0062685E">
              <w:rPr>
                <w:rFonts w:ascii="Arial" w:hAnsi="Arial" w:cs="Arial"/>
                <w:sz w:val="20"/>
                <w:szCs w:val="20"/>
              </w:rPr>
              <w:t>Reflect</w:t>
            </w:r>
            <w:r w:rsidR="007243C7">
              <w:rPr>
                <w:rFonts w:ascii="Arial" w:hAnsi="Arial" w:cs="Arial"/>
                <w:sz w:val="20"/>
                <w:szCs w:val="20"/>
              </w:rPr>
              <w:t>s</w:t>
            </w:r>
            <w:r w:rsidRPr="0062685E">
              <w:rPr>
                <w:rFonts w:ascii="Arial" w:hAnsi="Arial" w:cs="Arial"/>
                <w:sz w:val="20"/>
                <w:szCs w:val="20"/>
              </w:rPr>
              <w:t xml:space="preserve"> the excess capacity in the inputs of production (e.g. nurse staffing)</w:t>
            </w:r>
          </w:p>
        </w:tc>
      </w:tr>
      <w:tr w:rsidR="0066376E" w:rsidRPr="00A5525E" w14:paraId="524B0F91" w14:textId="77777777" w:rsidTr="007243C7">
        <w:tc>
          <w:tcPr>
            <w:tcW w:w="939" w:type="pct"/>
          </w:tcPr>
          <w:p w14:paraId="524B0F8E" w14:textId="77777777" w:rsidR="0066376E" w:rsidRPr="0062685E" w:rsidRDefault="0066376E" w:rsidP="0066376E">
            <w:pPr>
              <w:rPr>
                <w:rFonts w:ascii="Arial" w:eastAsia="Times New Roman" w:hAnsi="Arial" w:cs="Arial"/>
                <w:color w:val="000000"/>
                <w:sz w:val="20"/>
                <w:szCs w:val="20"/>
              </w:rPr>
            </w:pPr>
            <w:r w:rsidRPr="0062685E">
              <w:rPr>
                <w:rFonts w:ascii="Arial" w:eastAsia="Times New Roman" w:hAnsi="Arial" w:cs="Arial"/>
                <w:color w:val="000000"/>
                <w:sz w:val="20"/>
                <w:szCs w:val="20"/>
              </w:rPr>
              <w:t>Transfer Out</w:t>
            </w:r>
          </w:p>
        </w:tc>
        <w:tc>
          <w:tcPr>
            <w:tcW w:w="1890" w:type="pct"/>
          </w:tcPr>
          <w:p w14:paraId="524B0F8F" w14:textId="77777777" w:rsidR="0066376E" w:rsidRPr="0062685E" w:rsidRDefault="0066376E" w:rsidP="0066376E">
            <w:pPr>
              <w:pStyle w:val="BHNormal"/>
              <w:spacing w:before="0"/>
              <w:ind w:firstLine="0"/>
              <w:rPr>
                <w:rFonts w:ascii="Arial" w:hAnsi="Arial" w:cs="Arial"/>
                <w:sz w:val="20"/>
                <w:szCs w:val="20"/>
              </w:rPr>
            </w:pPr>
            <w:r w:rsidRPr="0062685E">
              <w:rPr>
                <w:rFonts w:ascii="Arial" w:hAnsi="Arial" w:cs="Arial"/>
                <w:sz w:val="20"/>
                <w:szCs w:val="20"/>
              </w:rPr>
              <w:t>Overall percent transfer out</w:t>
            </w:r>
          </w:p>
        </w:tc>
        <w:tc>
          <w:tcPr>
            <w:tcW w:w="2171" w:type="pct"/>
          </w:tcPr>
          <w:p w14:paraId="524B0F90" w14:textId="77777777" w:rsidR="0066376E" w:rsidRPr="0062685E" w:rsidRDefault="0066376E" w:rsidP="0066376E">
            <w:pPr>
              <w:pStyle w:val="BHNormal"/>
              <w:spacing w:before="0"/>
              <w:ind w:firstLine="0"/>
              <w:rPr>
                <w:rFonts w:ascii="Arial" w:hAnsi="Arial" w:cs="Arial"/>
                <w:sz w:val="20"/>
                <w:szCs w:val="20"/>
              </w:rPr>
            </w:pPr>
            <w:r w:rsidRPr="0062685E">
              <w:rPr>
                <w:rFonts w:ascii="Arial" w:hAnsi="Arial" w:cs="Arial"/>
                <w:sz w:val="20"/>
                <w:szCs w:val="20"/>
              </w:rPr>
              <w:t>Routine transferring of particular categories of patients</w:t>
            </w:r>
          </w:p>
        </w:tc>
      </w:tr>
      <w:tr w:rsidR="0066376E" w:rsidRPr="00A5525E" w14:paraId="524B0F95" w14:textId="77777777" w:rsidTr="007243C7">
        <w:tc>
          <w:tcPr>
            <w:tcW w:w="939" w:type="pct"/>
          </w:tcPr>
          <w:p w14:paraId="524B0F92" w14:textId="77777777" w:rsidR="0066376E" w:rsidRPr="0062685E" w:rsidRDefault="0066376E" w:rsidP="0066376E">
            <w:pPr>
              <w:rPr>
                <w:rFonts w:ascii="Arial" w:eastAsia="Times New Roman" w:hAnsi="Arial" w:cs="Arial"/>
                <w:color w:val="000000"/>
                <w:sz w:val="20"/>
                <w:szCs w:val="20"/>
              </w:rPr>
            </w:pPr>
            <w:r w:rsidRPr="0062685E">
              <w:rPr>
                <w:rFonts w:ascii="Arial" w:eastAsia="Times New Roman" w:hAnsi="Arial" w:cs="Arial"/>
                <w:color w:val="000000"/>
                <w:sz w:val="20"/>
                <w:szCs w:val="20"/>
              </w:rPr>
              <w:t>Maximum DX</w:t>
            </w:r>
          </w:p>
        </w:tc>
        <w:tc>
          <w:tcPr>
            <w:tcW w:w="1890" w:type="pct"/>
          </w:tcPr>
          <w:p w14:paraId="524B0F93" w14:textId="77777777" w:rsidR="0066376E" w:rsidRPr="0062685E" w:rsidRDefault="0066376E" w:rsidP="0066376E">
            <w:pPr>
              <w:pStyle w:val="BHNormal"/>
              <w:spacing w:before="0"/>
              <w:ind w:firstLine="0"/>
              <w:rPr>
                <w:rFonts w:ascii="Arial" w:hAnsi="Arial" w:cs="Arial"/>
                <w:sz w:val="20"/>
                <w:szCs w:val="20"/>
              </w:rPr>
            </w:pPr>
            <w:r w:rsidRPr="0062685E">
              <w:rPr>
                <w:rFonts w:ascii="Arial" w:hAnsi="Arial" w:cs="Arial"/>
                <w:sz w:val="20"/>
                <w:szCs w:val="20"/>
              </w:rPr>
              <w:t>Maximum reported diagnosis codes</w:t>
            </w:r>
          </w:p>
        </w:tc>
        <w:tc>
          <w:tcPr>
            <w:tcW w:w="2171" w:type="pct"/>
          </w:tcPr>
          <w:p w14:paraId="524B0F94" w14:textId="77777777" w:rsidR="0066376E" w:rsidRPr="0062685E" w:rsidRDefault="0066376E" w:rsidP="0066376E">
            <w:pPr>
              <w:pStyle w:val="BHNormal"/>
              <w:spacing w:before="0"/>
              <w:ind w:firstLine="0"/>
              <w:rPr>
                <w:rFonts w:ascii="Arial" w:hAnsi="Arial" w:cs="Arial"/>
                <w:sz w:val="20"/>
                <w:szCs w:val="20"/>
              </w:rPr>
            </w:pPr>
            <w:r w:rsidRPr="0062685E">
              <w:rPr>
                <w:rFonts w:ascii="Arial" w:hAnsi="Arial" w:cs="Arial"/>
                <w:sz w:val="20"/>
                <w:szCs w:val="20"/>
              </w:rPr>
              <w:t>Higher prevalence and  co</w:t>
            </w:r>
            <w:r w:rsidR="0062685E">
              <w:rPr>
                <w:rFonts w:ascii="Arial" w:hAnsi="Arial" w:cs="Arial"/>
                <w:sz w:val="20"/>
                <w:szCs w:val="20"/>
              </w:rPr>
              <w:t>-</w:t>
            </w:r>
            <w:r w:rsidRPr="0062685E">
              <w:rPr>
                <w:rFonts w:ascii="Arial" w:hAnsi="Arial" w:cs="Arial"/>
                <w:sz w:val="20"/>
                <w:szCs w:val="20"/>
              </w:rPr>
              <w:t>morbidities</w:t>
            </w:r>
          </w:p>
        </w:tc>
      </w:tr>
      <w:tr w:rsidR="0066376E" w:rsidRPr="00A5525E" w14:paraId="524B0F99" w14:textId="77777777" w:rsidTr="007243C7">
        <w:tc>
          <w:tcPr>
            <w:tcW w:w="939" w:type="pct"/>
          </w:tcPr>
          <w:p w14:paraId="524B0F96" w14:textId="77777777" w:rsidR="0066376E" w:rsidRPr="0062685E" w:rsidRDefault="0066376E" w:rsidP="0066376E">
            <w:pPr>
              <w:rPr>
                <w:rFonts w:ascii="Arial" w:eastAsia="Times New Roman" w:hAnsi="Arial" w:cs="Arial"/>
                <w:color w:val="000000"/>
                <w:sz w:val="20"/>
                <w:szCs w:val="20"/>
              </w:rPr>
            </w:pPr>
            <w:r w:rsidRPr="0062685E">
              <w:rPr>
                <w:rFonts w:ascii="Arial" w:eastAsia="Times New Roman" w:hAnsi="Arial" w:cs="Arial"/>
                <w:color w:val="000000"/>
                <w:sz w:val="20"/>
                <w:szCs w:val="20"/>
              </w:rPr>
              <w:t xml:space="preserve">Prior </w:t>
            </w:r>
            <w:r w:rsidR="00B7403D" w:rsidRPr="0062685E">
              <w:rPr>
                <w:rFonts w:ascii="Arial" w:eastAsia="Times New Roman" w:hAnsi="Arial" w:cs="Arial"/>
                <w:color w:val="000000"/>
                <w:sz w:val="20"/>
                <w:szCs w:val="20"/>
              </w:rPr>
              <w:t>Performance</w:t>
            </w:r>
          </w:p>
        </w:tc>
        <w:tc>
          <w:tcPr>
            <w:tcW w:w="1890" w:type="pct"/>
          </w:tcPr>
          <w:p w14:paraId="524B0F97" w14:textId="77777777" w:rsidR="0066376E" w:rsidRPr="0062685E" w:rsidRDefault="0066376E" w:rsidP="0066376E">
            <w:pPr>
              <w:pStyle w:val="BHNormal"/>
              <w:spacing w:before="0"/>
              <w:ind w:firstLine="0"/>
              <w:rPr>
                <w:rFonts w:ascii="Arial" w:hAnsi="Arial" w:cs="Arial"/>
                <w:sz w:val="20"/>
                <w:szCs w:val="20"/>
              </w:rPr>
            </w:pPr>
            <w:r w:rsidRPr="0062685E">
              <w:rPr>
                <w:rFonts w:ascii="Arial" w:hAnsi="Arial" w:cs="Arial"/>
                <w:sz w:val="20"/>
                <w:szCs w:val="20"/>
              </w:rPr>
              <w:t>Prior year smoothed  rate</w:t>
            </w:r>
          </w:p>
        </w:tc>
        <w:tc>
          <w:tcPr>
            <w:tcW w:w="2171" w:type="pct"/>
          </w:tcPr>
          <w:p w14:paraId="524B0F98" w14:textId="77777777" w:rsidR="0066376E" w:rsidRPr="0062685E" w:rsidRDefault="0066376E" w:rsidP="0066376E">
            <w:pPr>
              <w:pStyle w:val="BHNormal"/>
              <w:spacing w:before="0"/>
              <w:ind w:firstLine="0"/>
              <w:rPr>
                <w:rFonts w:ascii="Arial" w:hAnsi="Arial" w:cs="Arial"/>
                <w:sz w:val="20"/>
                <w:szCs w:val="20"/>
              </w:rPr>
            </w:pPr>
            <w:r w:rsidRPr="0062685E">
              <w:rPr>
                <w:rFonts w:ascii="Arial" w:hAnsi="Arial" w:cs="Arial"/>
                <w:sz w:val="20"/>
                <w:szCs w:val="20"/>
              </w:rPr>
              <w:t>Share of performance likely to persist</w:t>
            </w:r>
          </w:p>
        </w:tc>
      </w:tr>
    </w:tbl>
    <w:p w14:paraId="524B0F9A" w14:textId="77777777" w:rsidR="0066376E" w:rsidRDefault="0066376E" w:rsidP="0066376E">
      <w:pPr>
        <w:pStyle w:val="BHNormal"/>
        <w:spacing w:before="0"/>
        <w:ind w:firstLine="0"/>
      </w:pPr>
    </w:p>
    <w:p w14:paraId="524B0F9B" w14:textId="77777777" w:rsidR="0066376E" w:rsidRPr="007243C7" w:rsidRDefault="00674AAA" w:rsidP="00092566">
      <w:pPr>
        <w:autoSpaceDE w:val="0"/>
        <w:autoSpaceDN w:val="0"/>
        <w:adjustRightInd w:val="0"/>
        <w:spacing w:after="0" w:line="240" w:lineRule="auto"/>
        <w:rPr>
          <w:rFonts w:ascii="Arial" w:hAnsi="Arial" w:cs="Arial"/>
          <w:bCs/>
          <w:sz w:val="20"/>
          <w:szCs w:val="20"/>
        </w:rPr>
      </w:pPr>
      <w:r w:rsidRPr="007243C7">
        <w:rPr>
          <w:rFonts w:ascii="Arial" w:hAnsi="Arial" w:cs="Arial"/>
          <w:bCs/>
          <w:sz w:val="20"/>
          <w:szCs w:val="20"/>
        </w:rPr>
        <w:t xml:space="preserve">Table 2. Hospital Level Regression without Prior </w:t>
      </w:r>
      <w:r w:rsidR="00B7403D" w:rsidRPr="007243C7">
        <w:rPr>
          <w:rFonts w:ascii="Arial" w:hAnsi="Arial" w:cs="Arial"/>
          <w:bCs/>
          <w:sz w:val="20"/>
          <w:szCs w:val="20"/>
        </w:rPr>
        <w:t>Performance</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9"/>
        <w:gridCol w:w="2241"/>
        <w:gridCol w:w="994"/>
        <w:gridCol w:w="967"/>
        <w:gridCol w:w="1042"/>
        <w:gridCol w:w="919"/>
        <w:gridCol w:w="1314"/>
        <w:gridCol w:w="1130"/>
      </w:tblGrid>
      <w:tr w:rsidR="0062685E" w:rsidRPr="00674AAA" w14:paraId="524B0FA4" w14:textId="77777777" w:rsidTr="0062685E">
        <w:trPr>
          <w:trHeight w:val="300"/>
        </w:trPr>
        <w:tc>
          <w:tcPr>
            <w:tcW w:w="506" w:type="pct"/>
            <w:tcBorders>
              <w:top w:val="single" w:sz="4" w:space="0" w:color="auto"/>
              <w:bottom w:val="single" w:sz="4" w:space="0" w:color="auto"/>
            </w:tcBorders>
            <w:shd w:val="clear" w:color="auto" w:fill="BFBFBF" w:themeFill="background1" w:themeFillShade="BF"/>
            <w:noWrap/>
            <w:vAlign w:val="bottom"/>
            <w:hideMark/>
          </w:tcPr>
          <w:p w14:paraId="524B0F9C" w14:textId="77777777" w:rsidR="0066376E" w:rsidRPr="0062685E" w:rsidRDefault="00554BB3"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Variable</w:t>
            </w:r>
          </w:p>
        </w:tc>
        <w:tc>
          <w:tcPr>
            <w:tcW w:w="1170" w:type="pct"/>
            <w:tcBorders>
              <w:top w:val="single" w:sz="4" w:space="0" w:color="auto"/>
              <w:bottom w:val="single" w:sz="4" w:space="0" w:color="auto"/>
            </w:tcBorders>
            <w:shd w:val="clear" w:color="auto" w:fill="BFBFBF" w:themeFill="background1" w:themeFillShade="BF"/>
            <w:noWrap/>
            <w:vAlign w:val="bottom"/>
            <w:hideMark/>
          </w:tcPr>
          <w:p w14:paraId="524B0F9D" w14:textId="77777777" w:rsidR="0066376E" w:rsidRPr="0062685E" w:rsidRDefault="00554BB3"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Label</w:t>
            </w:r>
          </w:p>
        </w:tc>
        <w:tc>
          <w:tcPr>
            <w:tcW w:w="519" w:type="pct"/>
            <w:tcBorders>
              <w:top w:val="single" w:sz="4" w:space="0" w:color="auto"/>
              <w:bottom w:val="single" w:sz="4" w:space="0" w:color="auto"/>
            </w:tcBorders>
            <w:shd w:val="clear" w:color="auto" w:fill="BFBFBF" w:themeFill="background1" w:themeFillShade="BF"/>
            <w:noWrap/>
            <w:vAlign w:val="bottom"/>
            <w:hideMark/>
          </w:tcPr>
          <w:p w14:paraId="524B0F9E" w14:textId="77777777" w:rsidR="0066376E" w:rsidRPr="0062685E" w:rsidRDefault="0066376E"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Coef.</w:t>
            </w:r>
          </w:p>
        </w:tc>
        <w:tc>
          <w:tcPr>
            <w:tcW w:w="505" w:type="pct"/>
            <w:tcBorders>
              <w:top w:val="single" w:sz="4" w:space="0" w:color="auto"/>
              <w:bottom w:val="single" w:sz="4" w:space="0" w:color="auto"/>
            </w:tcBorders>
            <w:shd w:val="clear" w:color="auto" w:fill="BFBFBF" w:themeFill="background1" w:themeFillShade="BF"/>
            <w:noWrap/>
            <w:vAlign w:val="bottom"/>
            <w:hideMark/>
          </w:tcPr>
          <w:p w14:paraId="524B0F9F" w14:textId="77777777" w:rsidR="0066376E" w:rsidRPr="0062685E" w:rsidRDefault="0066376E"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Std. Err</w:t>
            </w:r>
          </w:p>
        </w:tc>
        <w:tc>
          <w:tcPr>
            <w:tcW w:w="544" w:type="pct"/>
            <w:tcBorders>
              <w:top w:val="single" w:sz="4" w:space="0" w:color="auto"/>
              <w:bottom w:val="single" w:sz="4" w:space="0" w:color="auto"/>
            </w:tcBorders>
            <w:shd w:val="clear" w:color="auto" w:fill="BFBFBF" w:themeFill="background1" w:themeFillShade="BF"/>
            <w:noWrap/>
            <w:vAlign w:val="bottom"/>
            <w:hideMark/>
          </w:tcPr>
          <w:p w14:paraId="524B0FA0" w14:textId="77777777" w:rsidR="0066376E" w:rsidRPr="0062685E" w:rsidRDefault="0066376E"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      t</w:t>
            </w:r>
          </w:p>
        </w:tc>
        <w:tc>
          <w:tcPr>
            <w:tcW w:w="480" w:type="pct"/>
            <w:tcBorders>
              <w:top w:val="single" w:sz="4" w:space="0" w:color="auto"/>
              <w:bottom w:val="single" w:sz="4" w:space="0" w:color="auto"/>
            </w:tcBorders>
            <w:shd w:val="clear" w:color="auto" w:fill="BFBFBF" w:themeFill="background1" w:themeFillShade="BF"/>
            <w:noWrap/>
            <w:vAlign w:val="bottom"/>
            <w:hideMark/>
          </w:tcPr>
          <w:p w14:paraId="524B0FA1" w14:textId="77777777" w:rsidR="0066376E" w:rsidRPr="0062685E" w:rsidRDefault="0066376E"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P&gt;|t|</w:t>
            </w:r>
          </w:p>
        </w:tc>
        <w:tc>
          <w:tcPr>
            <w:tcW w:w="686" w:type="pct"/>
            <w:tcBorders>
              <w:top w:val="single" w:sz="4" w:space="0" w:color="auto"/>
              <w:bottom w:val="single" w:sz="4" w:space="0" w:color="auto"/>
            </w:tcBorders>
            <w:shd w:val="clear" w:color="auto" w:fill="BFBFBF" w:themeFill="background1" w:themeFillShade="BF"/>
            <w:noWrap/>
            <w:vAlign w:val="bottom"/>
            <w:hideMark/>
          </w:tcPr>
          <w:p w14:paraId="524B0FA2" w14:textId="77777777" w:rsidR="0066376E" w:rsidRPr="0062685E" w:rsidRDefault="0066376E"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[95% Conf.</w:t>
            </w:r>
          </w:p>
        </w:tc>
        <w:tc>
          <w:tcPr>
            <w:tcW w:w="590" w:type="pct"/>
            <w:tcBorders>
              <w:top w:val="single" w:sz="4" w:space="0" w:color="auto"/>
              <w:bottom w:val="single" w:sz="4" w:space="0" w:color="auto"/>
            </w:tcBorders>
            <w:shd w:val="clear" w:color="auto" w:fill="BFBFBF" w:themeFill="background1" w:themeFillShade="BF"/>
            <w:noWrap/>
            <w:vAlign w:val="bottom"/>
            <w:hideMark/>
          </w:tcPr>
          <w:p w14:paraId="524B0FA3" w14:textId="77777777" w:rsidR="0066376E" w:rsidRPr="0062685E" w:rsidRDefault="0066376E"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 xml:space="preserve"> Interval]</w:t>
            </w:r>
          </w:p>
        </w:tc>
      </w:tr>
      <w:tr w:rsidR="0062685E" w:rsidRPr="00674AAA" w14:paraId="524B0FAD" w14:textId="77777777" w:rsidTr="0062685E">
        <w:trPr>
          <w:trHeight w:val="300"/>
        </w:trPr>
        <w:tc>
          <w:tcPr>
            <w:tcW w:w="506" w:type="pct"/>
            <w:tcBorders>
              <w:top w:val="single" w:sz="4" w:space="0" w:color="auto"/>
            </w:tcBorders>
            <w:shd w:val="clear" w:color="auto" w:fill="auto"/>
            <w:noWrap/>
            <w:vAlign w:val="bottom"/>
            <w:hideMark/>
          </w:tcPr>
          <w:p w14:paraId="524B0FA5" w14:textId="77777777" w:rsidR="0066376E" w:rsidRPr="0062685E" w:rsidRDefault="0066376E"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lnvol</w:t>
            </w:r>
          </w:p>
        </w:tc>
        <w:tc>
          <w:tcPr>
            <w:tcW w:w="1170" w:type="pct"/>
            <w:tcBorders>
              <w:top w:val="single" w:sz="4" w:space="0" w:color="auto"/>
            </w:tcBorders>
            <w:shd w:val="clear" w:color="auto" w:fill="auto"/>
            <w:noWrap/>
            <w:vAlign w:val="bottom"/>
            <w:hideMark/>
          </w:tcPr>
          <w:p w14:paraId="524B0FA6" w14:textId="77777777" w:rsidR="0066376E" w:rsidRPr="0062685E" w:rsidRDefault="0066376E"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Ln(Volume)</w:t>
            </w:r>
          </w:p>
        </w:tc>
        <w:tc>
          <w:tcPr>
            <w:tcW w:w="519" w:type="pct"/>
            <w:tcBorders>
              <w:top w:val="single" w:sz="4" w:space="0" w:color="auto"/>
            </w:tcBorders>
            <w:shd w:val="clear" w:color="auto" w:fill="auto"/>
            <w:noWrap/>
            <w:vAlign w:val="bottom"/>
            <w:hideMark/>
          </w:tcPr>
          <w:p w14:paraId="524B0FA7"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-0.0022</w:t>
            </w:r>
          </w:p>
        </w:tc>
        <w:tc>
          <w:tcPr>
            <w:tcW w:w="505" w:type="pct"/>
            <w:tcBorders>
              <w:top w:val="single" w:sz="4" w:space="0" w:color="auto"/>
            </w:tcBorders>
            <w:shd w:val="clear" w:color="auto" w:fill="auto"/>
            <w:noWrap/>
            <w:vAlign w:val="bottom"/>
            <w:hideMark/>
          </w:tcPr>
          <w:p w14:paraId="524B0FA8"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0.0005</w:t>
            </w:r>
          </w:p>
        </w:tc>
        <w:tc>
          <w:tcPr>
            <w:tcW w:w="544" w:type="pct"/>
            <w:tcBorders>
              <w:top w:val="single" w:sz="4" w:space="0" w:color="auto"/>
            </w:tcBorders>
            <w:shd w:val="clear" w:color="auto" w:fill="auto"/>
            <w:noWrap/>
            <w:vAlign w:val="bottom"/>
            <w:hideMark/>
          </w:tcPr>
          <w:p w14:paraId="524B0FA9"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-4.1500</w:t>
            </w:r>
          </w:p>
        </w:tc>
        <w:tc>
          <w:tcPr>
            <w:tcW w:w="480" w:type="pct"/>
            <w:tcBorders>
              <w:top w:val="single" w:sz="4" w:space="0" w:color="auto"/>
            </w:tcBorders>
            <w:shd w:val="clear" w:color="auto" w:fill="auto"/>
            <w:noWrap/>
            <w:vAlign w:val="bottom"/>
            <w:hideMark/>
          </w:tcPr>
          <w:p w14:paraId="524B0FAA"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0.0000</w:t>
            </w:r>
          </w:p>
        </w:tc>
        <w:tc>
          <w:tcPr>
            <w:tcW w:w="686" w:type="pct"/>
            <w:tcBorders>
              <w:top w:val="single" w:sz="4" w:space="0" w:color="auto"/>
            </w:tcBorders>
            <w:shd w:val="clear" w:color="auto" w:fill="auto"/>
            <w:noWrap/>
            <w:vAlign w:val="bottom"/>
            <w:hideMark/>
          </w:tcPr>
          <w:p w14:paraId="524B0FAB"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-0.0032</w:t>
            </w:r>
          </w:p>
        </w:tc>
        <w:tc>
          <w:tcPr>
            <w:tcW w:w="590" w:type="pct"/>
            <w:tcBorders>
              <w:top w:val="single" w:sz="4" w:space="0" w:color="auto"/>
            </w:tcBorders>
            <w:shd w:val="clear" w:color="auto" w:fill="auto"/>
            <w:noWrap/>
            <w:vAlign w:val="bottom"/>
            <w:hideMark/>
          </w:tcPr>
          <w:p w14:paraId="524B0FAC"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-0.0012</w:t>
            </w:r>
          </w:p>
        </w:tc>
      </w:tr>
      <w:tr w:rsidR="0062685E" w:rsidRPr="00674AAA" w14:paraId="524B0FB6" w14:textId="77777777" w:rsidTr="0062685E">
        <w:trPr>
          <w:trHeight w:val="300"/>
        </w:trPr>
        <w:tc>
          <w:tcPr>
            <w:tcW w:w="506" w:type="pct"/>
            <w:shd w:val="clear" w:color="auto" w:fill="auto"/>
            <w:noWrap/>
            <w:vAlign w:val="bottom"/>
            <w:hideMark/>
          </w:tcPr>
          <w:p w14:paraId="524B0FAE" w14:textId="77777777" w:rsidR="0066376E" w:rsidRPr="0062685E" w:rsidRDefault="0066376E"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adcinv</w:t>
            </w:r>
          </w:p>
        </w:tc>
        <w:tc>
          <w:tcPr>
            <w:tcW w:w="1170" w:type="pct"/>
            <w:shd w:val="clear" w:color="auto" w:fill="auto"/>
            <w:noWrap/>
            <w:vAlign w:val="bottom"/>
            <w:hideMark/>
          </w:tcPr>
          <w:p w14:paraId="524B0FAF" w14:textId="77777777" w:rsidR="0066376E" w:rsidRPr="0062685E" w:rsidRDefault="0066376E"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Reservation  Quality</w:t>
            </w:r>
          </w:p>
        </w:tc>
        <w:tc>
          <w:tcPr>
            <w:tcW w:w="519" w:type="pct"/>
            <w:shd w:val="clear" w:color="auto" w:fill="auto"/>
            <w:noWrap/>
            <w:vAlign w:val="bottom"/>
            <w:hideMark/>
          </w:tcPr>
          <w:p w14:paraId="524B0FB0"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0.0025</w:t>
            </w:r>
          </w:p>
        </w:tc>
        <w:tc>
          <w:tcPr>
            <w:tcW w:w="505" w:type="pct"/>
            <w:shd w:val="clear" w:color="auto" w:fill="auto"/>
            <w:noWrap/>
            <w:vAlign w:val="bottom"/>
            <w:hideMark/>
          </w:tcPr>
          <w:p w14:paraId="524B0FB1"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0.0112</w:t>
            </w:r>
          </w:p>
        </w:tc>
        <w:tc>
          <w:tcPr>
            <w:tcW w:w="544" w:type="pct"/>
            <w:shd w:val="clear" w:color="auto" w:fill="auto"/>
            <w:noWrap/>
            <w:vAlign w:val="bottom"/>
            <w:hideMark/>
          </w:tcPr>
          <w:p w14:paraId="524B0FB2"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0.2200</w:t>
            </w:r>
          </w:p>
        </w:tc>
        <w:tc>
          <w:tcPr>
            <w:tcW w:w="480" w:type="pct"/>
            <w:shd w:val="clear" w:color="auto" w:fill="auto"/>
            <w:noWrap/>
            <w:vAlign w:val="bottom"/>
            <w:hideMark/>
          </w:tcPr>
          <w:p w14:paraId="524B0FB3"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0.8230</w:t>
            </w:r>
          </w:p>
        </w:tc>
        <w:tc>
          <w:tcPr>
            <w:tcW w:w="686" w:type="pct"/>
            <w:shd w:val="clear" w:color="auto" w:fill="auto"/>
            <w:noWrap/>
            <w:vAlign w:val="bottom"/>
            <w:hideMark/>
          </w:tcPr>
          <w:p w14:paraId="524B0FB4"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-0.0195</w:t>
            </w:r>
          </w:p>
        </w:tc>
        <w:tc>
          <w:tcPr>
            <w:tcW w:w="590" w:type="pct"/>
            <w:shd w:val="clear" w:color="auto" w:fill="auto"/>
            <w:noWrap/>
            <w:vAlign w:val="bottom"/>
            <w:hideMark/>
          </w:tcPr>
          <w:p w14:paraId="524B0FB5"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0.0245</w:t>
            </w:r>
          </w:p>
        </w:tc>
      </w:tr>
      <w:tr w:rsidR="0062685E" w:rsidRPr="00674AAA" w14:paraId="524B0FBF" w14:textId="77777777" w:rsidTr="0062685E">
        <w:trPr>
          <w:trHeight w:val="300"/>
        </w:trPr>
        <w:tc>
          <w:tcPr>
            <w:tcW w:w="506" w:type="pct"/>
            <w:shd w:val="clear" w:color="auto" w:fill="auto"/>
            <w:noWrap/>
            <w:vAlign w:val="bottom"/>
            <w:hideMark/>
          </w:tcPr>
          <w:p w14:paraId="524B0FB7" w14:textId="77777777" w:rsidR="0066376E" w:rsidRPr="0062685E" w:rsidRDefault="0066376E"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trnsout</w:t>
            </w:r>
          </w:p>
        </w:tc>
        <w:tc>
          <w:tcPr>
            <w:tcW w:w="1170" w:type="pct"/>
            <w:shd w:val="clear" w:color="auto" w:fill="auto"/>
            <w:noWrap/>
            <w:vAlign w:val="bottom"/>
            <w:hideMark/>
          </w:tcPr>
          <w:p w14:paraId="524B0FB8" w14:textId="77777777" w:rsidR="0066376E" w:rsidRPr="0062685E" w:rsidRDefault="0066376E"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Transfer Out</w:t>
            </w:r>
          </w:p>
        </w:tc>
        <w:tc>
          <w:tcPr>
            <w:tcW w:w="519" w:type="pct"/>
            <w:shd w:val="clear" w:color="auto" w:fill="auto"/>
            <w:noWrap/>
            <w:vAlign w:val="bottom"/>
            <w:hideMark/>
          </w:tcPr>
          <w:p w14:paraId="524B0FB9"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0.0338</w:t>
            </w:r>
          </w:p>
        </w:tc>
        <w:tc>
          <w:tcPr>
            <w:tcW w:w="505" w:type="pct"/>
            <w:shd w:val="clear" w:color="auto" w:fill="auto"/>
            <w:noWrap/>
            <w:vAlign w:val="bottom"/>
            <w:hideMark/>
          </w:tcPr>
          <w:p w14:paraId="524B0FBA"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0.0151</w:t>
            </w:r>
          </w:p>
        </w:tc>
        <w:tc>
          <w:tcPr>
            <w:tcW w:w="544" w:type="pct"/>
            <w:shd w:val="clear" w:color="auto" w:fill="auto"/>
            <w:noWrap/>
            <w:vAlign w:val="bottom"/>
            <w:hideMark/>
          </w:tcPr>
          <w:p w14:paraId="524B0FBB"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2.2400</w:t>
            </w:r>
          </w:p>
        </w:tc>
        <w:tc>
          <w:tcPr>
            <w:tcW w:w="480" w:type="pct"/>
            <w:shd w:val="clear" w:color="auto" w:fill="auto"/>
            <w:noWrap/>
            <w:vAlign w:val="bottom"/>
            <w:hideMark/>
          </w:tcPr>
          <w:p w14:paraId="524B0FBC"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0.0250</w:t>
            </w:r>
          </w:p>
        </w:tc>
        <w:tc>
          <w:tcPr>
            <w:tcW w:w="686" w:type="pct"/>
            <w:shd w:val="clear" w:color="auto" w:fill="auto"/>
            <w:noWrap/>
            <w:vAlign w:val="bottom"/>
            <w:hideMark/>
          </w:tcPr>
          <w:p w14:paraId="524B0FBD"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0.0042</w:t>
            </w:r>
          </w:p>
        </w:tc>
        <w:tc>
          <w:tcPr>
            <w:tcW w:w="590" w:type="pct"/>
            <w:shd w:val="clear" w:color="auto" w:fill="auto"/>
            <w:noWrap/>
            <w:vAlign w:val="bottom"/>
            <w:hideMark/>
          </w:tcPr>
          <w:p w14:paraId="524B0FBE"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0.0633</w:t>
            </w:r>
          </w:p>
        </w:tc>
      </w:tr>
      <w:tr w:rsidR="0062685E" w:rsidRPr="00674AAA" w14:paraId="524B0FC8" w14:textId="77777777" w:rsidTr="0062685E">
        <w:trPr>
          <w:trHeight w:val="300"/>
        </w:trPr>
        <w:tc>
          <w:tcPr>
            <w:tcW w:w="506" w:type="pct"/>
            <w:shd w:val="clear" w:color="auto" w:fill="auto"/>
            <w:noWrap/>
            <w:vAlign w:val="bottom"/>
            <w:hideMark/>
          </w:tcPr>
          <w:p w14:paraId="524B0FC0" w14:textId="77777777" w:rsidR="0066376E" w:rsidRPr="0062685E" w:rsidRDefault="0066376E"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maxdx</w:t>
            </w:r>
          </w:p>
        </w:tc>
        <w:tc>
          <w:tcPr>
            <w:tcW w:w="1170" w:type="pct"/>
            <w:shd w:val="clear" w:color="auto" w:fill="auto"/>
            <w:noWrap/>
            <w:vAlign w:val="bottom"/>
            <w:hideMark/>
          </w:tcPr>
          <w:p w14:paraId="524B0FC1" w14:textId="77777777" w:rsidR="0066376E" w:rsidRPr="0062685E" w:rsidRDefault="0066376E"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Maximum DX</w:t>
            </w:r>
          </w:p>
        </w:tc>
        <w:tc>
          <w:tcPr>
            <w:tcW w:w="519" w:type="pct"/>
            <w:shd w:val="clear" w:color="auto" w:fill="auto"/>
            <w:noWrap/>
            <w:vAlign w:val="bottom"/>
            <w:hideMark/>
          </w:tcPr>
          <w:p w14:paraId="524B0FC2"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-0.0001</w:t>
            </w:r>
          </w:p>
        </w:tc>
        <w:tc>
          <w:tcPr>
            <w:tcW w:w="505" w:type="pct"/>
            <w:shd w:val="clear" w:color="auto" w:fill="auto"/>
            <w:noWrap/>
            <w:vAlign w:val="bottom"/>
            <w:hideMark/>
          </w:tcPr>
          <w:p w14:paraId="524B0FC3"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0.0000</w:t>
            </w:r>
          </w:p>
        </w:tc>
        <w:tc>
          <w:tcPr>
            <w:tcW w:w="544" w:type="pct"/>
            <w:shd w:val="clear" w:color="auto" w:fill="auto"/>
            <w:noWrap/>
            <w:vAlign w:val="bottom"/>
            <w:hideMark/>
          </w:tcPr>
          <w:p w14:paraId="524B0FC4"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-2.5100</w:t>
            </w:r>
          </w:p>
        </w:tc>
        <w:tc>
          <w:tcPr>
            <w:tcW w:w="480" w:type="pct"/>
            <w:shd w:val="clear" w:color="auto" w:fill="auto"/>
            <w:noWrap/>
            <w:vAlign w:val="bottom"/>
            <w:hideMark/>
          </w:tcPr>
          <w:p w14:paraId="524B0FC5"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0.0120</w:t>
            </w:r>
          </w:p>
        </w:tc>
        <w:tc>
          <w:tcPr>
            <w:tcW w:w="686" w:type="pct"/>
            <w:shd w:val="clear" w:color="auto" w:fill="auto"/>
            <w:noWrap/>
            <w:vAlign w:val="bottom"/>
            <w:hideMark/>
          </w:tcPr>
          <w:p w14:paraId="524B0FC6"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-0.0001</w:t>
            </w:r>
          </w:p>
        </w:tc>
        <w:tc>
          <w:tcPr>
            <w:tcW w:w="590" w:type="pct"/>
            <w:shd w:val="clear" w:color="auto" w:fill="auto"/>
            <w:noWrap/>
            <w:vAlign w:val="bottom"/>
            <w:hideMark/>
          </w:tcPr>
          <w:p w14:paraId="524B0FC7"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0.0000</w:t>
            </w:r>
          </w:p>
        </w:tc>
      </w:tr>
      <w:tr w:rsidR="0062685E" w:rsidRPr="00674AAA" w14:paraId="524B0FD1" w14:textId="77777777" w:rsidTr="0062685E">
        <w:trPr>
          <w:trHeight w:val="300"/>
        </w:trPr>
        <w:tc>
          <w:tcPr>
            <w:tcW w:w="506" w:type="pct"/>
            <w:shd w:val="clear" w:color="auto" w:fill="auto"/>
            <w:noWrap/>
            <w:vAlign w:val="bottom"/>
            <w:hideMark/>
          </w:tcPr>
          <w:p w14:paraId="524B0FC9" w14:textId="77777777" w:rsidR="0066376E" w:rsidRPr="0062685E" w:rsidRDefault="0066376E"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_cons</w:t>
            </w:r>
          </w:p>
        </w:tc>
        <w:tc>
          <w:tcPr>
            <w:tcW w:w="1170" w:type="pct"/>
            <w:shd w:val="clear" w:color="auto" w:fill="auto"/>
            <w:noWrap/>
            <w:vAlign w:val="bottom"/>
            <w:hideMark/>
          </w:tcPr>
          <w:p w14:paraId="524B0FCA" w14:textId="77777777" w:rsidR="0066376E" w:rsidRPr="0062685E" w:rsidRDefault="00674AAA"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Constant</w:t>
            </w:r>
          </w:p>
        </w:tc>
        <w:tc>
          <w:tcPr>
            <w:tcW w:w="519" w:type="pct"/>
            <w:shd w:val="clear" w:color="auto" w:fill="auto"/>
            <w:noWrap/>
            <w:vAlign w:val="bottom"/>
            <w:hideMark/>
          </w:tcPr>
          <w:p w14:paraId="524B0FCB"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0.0370</w:t>
            </w:r>
          </w:p>
        </w:tc>
        <w:tc>
          <w:tcPr>
            <w:tcW w:w="505" w:type="pct"/>
            <w:shd w:val="clear" w:color="auto" w:fill="auto"/>
            <w:noWrap/>
            <w:vAlign w:val="bottom"/>
            <w:hideMark/>
          </w:tcPr>
          <w:p w14:paraId="524B0FCC"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0.0032</w:t>
            </w:r>
          </w:p>
        </w:tc>
        <w:tc>
          <w:tcPr>
            <w:tcW w:w="544" w:type="pct"/>
            <w:shd w:val="clear" w:color="auto" w:fill="auto"/>
            <w:noWrap/>
            <w:vAlign w:val="bottom"/>
            <w:hideMark/>
          </w:tcPr>
          <w:p w14:paraId="524B0FCD"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11.6500</w:t>
            </w:r>
          </w:p>
        </w:tc>
        <w:tc>
          <w:tcPr>
            <w:tcW w:w="480" w:type="pct"/>
            <w:shd w:val="clear" w:color="auto" w:fill="auto"/>
            <w:noWrap/>
            <w:vAlign w:val="bottom"/>
            <w:hideMark/>
          </w:tcPr>
          <w:p w14:paraId="524B0FCE"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0.0000</w:t>
            </w:r>
          </w:p>
        </w:tc>
        <w:tc>
          <w:tcPr>
            <w:tcW w:w="686" w:type="pct"/>
            <w:shd w:val="clear" w:color="auto" w:fill="auto"/>
            <w:noWrap/>
            <w:vAlign w:val="bottom"/>
            <w:hideMark/>
          </w:tcPr>
          <w:p w14:paraId="524B0FCF"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0.0308</w:t>
            </w:r>
          </w:p>
        </w:tc>
        <w:tc>
          <w:tcPr>
            <w:tcW w:w="590" w:type="pct"/>
            <w:shd w:val="clear" w:color="auto" w:fill="auto"/>
            <w:noWrap/>
            <w:vAlign w:val="bottom"/>
            <w:hideMark/>
          </w:tcPr>
          <w:p w14:paraId="524B0FD0" w14:textId="77777777" w:rsidR="0066376E" w:rsidRPr="0062685E" w:rsidRDefault="0066376E"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0.0432</w:t>
            </w:r>
          </w:p>
        </w:tc>
      </w:tr>
    </w:tbl>
    <w:p w14:paraId="524B0FD2" w14:textId="77777777" w:rsidR="00674AAA" w:rsidRPr="0036585B" w:rsidRDefault="0036585B" w:rsidP="00674AAA">
      <w:pPr>
        <w:autoSpaceDE w:val="0"/>
        <w:autoSpaceDN w:val="0"/>
        <w:adjustRightInd w:val="0"/>
        <w:spacing w:after="0" w:line="240" w:lineRule="auto"/>
        <w:rPr>
          <w:rFonts w:ascii="Arial" w:hAnsi="Arial" w:cs="Arial"/>
          <w:bCs/>
          <w:sz w:val="20"/>
          <w:szCs w:val="20"/>
        </w:rPr>
      </w:pPr>
      <w:r w:rsidRPr="0036585B">
        <w:rPr>
          <w:rFonts w:ascii="Arial" w:hAnsi="Arial" w:cs="Arial"/>
          <w:bCs/>
          <w:sz w:val="20"/>
          <w:szCs w:val="20"/>
        </w:rPr>
        <w:lastRenderedPageBreak/>
        <w:t>Note: the dependent variable in the regression is a rate/proportion</w:t>
      </w:r>
    </w:p>
    <w:p w14:paraId="524B0FD3" w14:textId="77777777" w:rsidR="0036585B" w:rsidRPr="00674AAA" w:rsidRDefault="0036585B" w:rsidP="00674AAA">
      <w:pPr>
        <w:autoSpaceDE w:val="0"/>
        <w:autoSpaceDN w:val="0"/>
        <w:adjustRightInd w:val="0"/>
        <w:spacing w:after="0" w:line="240" w:lineRule="auto"/>
        <w:rPr>
          <w:rFonts w:ascii="Times New Roman" w:hAnsi="Times New Roman" w:cs="Times New Roman"/>
          <w:bCs/>
        </w:rPr>
      </w:pPr>
    </w:p>
    <w:p w14:paraId="524B0FD4" w14:textId="77777777" w:rsidR="00674AAA" w:rsidRPr="007243C7" w:rsidRDefault="00674AAA" w:rsidP="00674AAA">
      <w:pPr>
        <w:autoSpaceDE w:val="0"/>
        <w:autoSpaceDN w:val="0"/>
        <w:adjustRightInd w:val="0"/>
        <w:spacing w:after="0" w:line="240" w:lineRule="auto"/>
        <w:rPr>
          <w:rFonts w:ascii="Arial" w:hAnsi="Arial" w:cs="Arial"/>
          <w:sz w:val="20"/>
          <w:szCs w:val="20"/>
        </w:rPr>
      </w:pPr>
      <w:r w:rsidRPr="007243C7">
        <w:rPr>
          <w:rFonts w:ascii="Arial" w:hAnsi="Arial" w:cs="Arial"/>
          <w:bCs/>
          <w:sz w:val="20"/>
          <w:szCs w:val="20"/>
        </w:rPr>
        <w:t xml:space="preserve">Table 3. Hospital Level Regression with Prior </w:t>
      </w:r>
      <w:r w:rsidR="00B7403D" w:rsidRPr="007243C7">
        <w:rPr>
          <w:rFonts w:ascii="Arial" w:hAnsi="Arial" w:cs="Arial"/>
          <w:bCs/>
          <w:sz w:val="20"/>
          <w:szCs w:val="20"/>
        </w:rPr>
        <w:t>Performance</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5"/>
        <w:gridCol w:w="2241"/>
        <w:gridCol w:w="994"/>
        <w:gridCol w:w="967"/>
        <w:gridCol w:w="1042"/>
        <w:gridCol w:w="919"/>
        <w:gridCol w:w="1314"/>
        <w:gridCol w:w="1124"/>
      </w:tblGrid>
      <w:tr w:rsidR="00554BB3" w:rsidRPr="00674AAA" w14:paraId="524B0FDD" w14:textId="77777777" w:rsidTr="0036585B">
        <w:trPr>
          <w:trHeight w:val="300"/>
        </w:trPr>
        <w:tc>
          <w:tcPr>
            <w:tcW w:w="509" w:type="pct"/>
            <w:tcBorders>
              <w:top w:val="single" w:sz="4" w:space="0" w:color="auto"/>
              <w:bottom w:val="single" w:sz="4" w:space="0" w:color="auto"/>
            </w:tcBorders>
            <w:shd w:val="clear" w:color="auto" w:fill="BFBFBF" w:themeFill="background1" w:themeFillShade="BF"/>
            <w:noWrap/>
            <w:vAlign w:val="bottom"/>
            <w:hideMark/>
          </w:tcPr>
          <w:p w14:paraId="524B0FD5" w14:textId="77777777" w:rsidR="00554BB3" w:rsidRPr="0062685E" w:rsidRDefault="00554BB3" w:rsidP="00E34E1B">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Variable</w:t>
            </w:r>
          </w:p>
        </w:tc>
        <w:tc>
          <w:tcPr>
            <w:tcW w:w="1170" w:type="pct"/>
            <w:tcBorders>
              <w:top w:val="single" w:sz="4" w:space="0" w:color="auto"/>
              <w:bottom w:val="single" w:sz="4" w:space="0" w:color="auto"/>
            </w:tcBorders>
            <w:shd w:val="clear" w:color="auto" w:fill="BFBFBF" w:themeFill="background1" w:themeFillShade="BF"/>
            <w:noWrap/>
            <w:vAlign w:val="bottom"/>
            <w:hideMark/>
          </w:tcPr>
          <w:p w14:paraId="524B0FD6" w14:textId="77777777" w:rsidR="00554BB3" w:rsidRPr="0062685E" w:rsidRDefault="00554BB3" w:rsidP="00E34E1B">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Label</w:t>
            </w:r>
          </w:p>
        </w:tc>
        <w:tc>
          <w:tcPr>
            <w:tcW w:w="519" w:type="pct"/>
            <w:tcBorders>
              <w:top w:val="single" w:sz="4" w:space="0" w:color="auto"/>
              <w:bottom w:val="single" w:sz="4" w:space="0" w:color="auto"/>
            </w:tcBorders>
            <w:shd w:val="clear" w:color="auto" w:fill="BFBFBF" w:themeFill="background1" w:themeFillShade="BF"/>
            <w:noWrap/>
            <w:vAlign w:val="bottom"/>
            <w:hideMark/>
          </w:tcPr>
          <w:p w14:paraId="524B0FD7" w14:textId="77777777" w:rsidR="00554BB3" w:rsidRPr="0062685E" w:rsidRDefault="00554BB3" w:rsidP="00E34E1B">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Coef.</w:t>
            </w:r>
          </w:p>
        </w:tc>
        <w:tc>
          <w:tcPr>
            <w:tcW w:w="505" w:type="pct"/>
            <w:tcBorders>
              <w:top w:val="single" w:sz="4" w:space="0" w:color="auto"/>
              <w:bottom w:val="single" w:sz="4" w:space="0" w:color="auto"/>
            </w:tcBorders>
            <w:shd w:val="clear" w:color="auto" w:fill="BFBFBF" w:themeFill="background1" w:themeFillShade="BF"/>
            <w:noWrap/>
            <w:vAlign w:val="bottom"/>
            <w:hideMark/>
          </w:tcPr>
          <w:p w14:paraId="524B0FD8" w14:textId="77777777" w:rsidR="00554BB3" w:rsidRPr="0062685E" w:rsidRDefault="00554BB3" w:rsidP="00E34E1B">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Std. Err</w:t>
            </w:r>
          </w:p>
        </w:tc>
        <w:tc>
          <w:tcPr>
            <w:tcW w:w="544" w:type="pct"/>
            <w:tcBorders>
              <w:top w:val="single" w:sz="4" w:space="0" w:color="auto"/>
              <w:bottom w:val="single" w:sz="4" w:space="0" w:color="auto"/>
            </w:tcBorders>
            <w:shd w:val="clear" w:color="auto" w:fill="BFBFBF" w:themeFill="background1" w:themeFillShade="BF"/>
            <w:noWrap/>
            <w:vAlign w:val="bottom"/>
            <w:hideMark/>
          </w:tcPr>
          <w:p w14:paraId="524B0FD9" w14:textId="77777777" w:rsidR="00554BB3" w:rsidRPr="0062685E" w:rsidRDefault="00554BB3" w:rsidP="00E34E1B">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      t</w:t>
            </w:r>
          </w:p>
        </w:tc>
        <w:tc>
          <w:tcPr>
            <w:tcW w:w="480" w:type="pct"/>
            <w:tcBorders>
              <w:top w:val="single" w:sz="4" w:space="0" w:color="auto"/>
              <w:bottom w:val="single" w:sz="4" w:space="0" w:color="auto"/>
            </w:tcBorders>
            <w:shd w:val="clear" w:color="auto" w:fill="BFBFBF" w:themeFill="background1" w:themeFillShade="BF"/>
            <w:noWrap/>
            <w:vAlign w:val="bottom"/>
            <w:hideMark/>
          </w:tcPr>
          <w:p w14:paraId="524B0FDA" w14:textId="77777777" w:rsidR="00554BB3" w:rsidRPr="0062685E" w:rsidRDefault="00554BB3" w:rsidP="00E34E1B">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P&gt;|t|</w:t>
            </w:r>
          </w:p>
        </w:tc>
        <w:tc>
          <w:tcPr>
            <w:tcW w:w="686" w:type="pct"/>
            <w:tcBorders>
              <w:top w:val="single" w:sz="4" w:space="0" w:color="auto"/>
              <w:bottom w:val="single" w:sz="4" w:space="0" w:color="auto"/>
            </w:tcBorders>
            <w:shd w:val="clear" w:color="auto" w:fill="BFBFBF" w:themeFill="background1" w:themeFillShade="BF"/>
            <w:noWrap/>
            <w:vAlign w:val="bottom"/>
            <w:hideMark/>
          </w:tcPr>
          <w:p w14:paraId="524B0FDB" w14:textId="77777777" w:rsidR="00554BB3" w:rsidRPr="0062685E" w:rsidRDefault="00554BB3" w:rsidP="00E34E1B">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[95% Conf.</w:t>
            </w:r>
          </w:p>
        </w:tc>
        <w:tc>
          <w:tcPr>
            <w:tcW w:w="587" w:type="pct"/>
            <w:tcBorders>
              <w:top w:val="single" w:sz="4" w:space="0" w:color="auto"/>
              <w:bottom w:val="single" w:sz="4" w:space="0" w:color="auto"/>
            </w:tcBorders>
            <w:shd w:val="clear" w:color="auto" w:fill="BFBFBF" w:themeFill="background1" w:themeFillShade="BF"/>
            <w:noWrap/>
            <w:vAlign w:val="bottom"/>
            <w:hideMark/>
          </w:tcPr>
          <w:p w14:paraId="524B0FDC" w14:textId="77777777" w:rsidR="00554BB3" w:rsidRPr="0062685E" w:rsidRDefault="00554BB3" w:rsidP="00E34E1B">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 xml:space="preserve"> Interval]</w:t>
            </w:r>
          </w:p>
        </w:tc>
      </w:tr>
      <w:tr w:rsidR="00674AAA" w:rsidRPr="00674AAA" w14:paraId="524B0FE6" w14:textId="77777777" w:rsidTr="0036585B">
        <w:trPr>
          <w:trHeight w:val="300"/>
        </w:trPr>
        <w:tc>
          <w:tcPr>
            <w:tcW w:w="509" w:type="pct"/>
            <w:tcBorders>
              <w:top w:val="single" w:sz="4" w:space="0" w:color="auto"/>
            </w:tcBorders>
            <w:shd w:val="clear" w:color="auto" w:fill="auto"/>
            <w:noWrap/>
            <w:vAlign w:val="bottom"/>
            <w:hideMark/>
          </w:tcPr>
          <w:p w14:paraId="524B0FDE" w14:textId="77777777" w:rsidR="00674AAA" w:rsidRPr="0062685E" w:rsidRDefault="00674AAA"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lnvol</w:t>
            </w:r>
          </w:p>
        </w:tc>
        <w:tc>
          <w:tcPr>
            <w:tcW w:w="1170" w:type="pct"/>
            <w:tcBorders>
              <w:top w:val="single" w:sz="4" w:space="0" w:color="auto"/>
            </w:tcBorders>
            <w:shd w:val="clear" w:color="auto" w:fill="auto"/>
            <w:noWrap/>
            <w:vAlign w:val="bottom"/>
            <w:hideMark/>
          </w:tcPr>
          <w:p w14:paraId="524B0FDF" w14:textId="77777777" w:rsidR="00674AAA" w:rsidRPr="0062685E" w:rsidRDefault="00674AAA" w:rsidP="00B7403D">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Ln(Volume)</w:t>
            </w:r>
          </w:p>
        </w:tc>
        <w:tc>
          <w:tcPr>
            <w:tcW w:w="519" w:type="pct"/>
            <w:tcBorders>
              <w:top w:val="single" w:sz="4" w:space="0" w:color="auto"/>
            </w:tcBorders>
            <w:shd w:val="clear" w:color="auto" w:fill="auto"/>
            <w:noWrap/>
            <w:vAlign w:val="bottom"/>
            <w:hideMark/>
          </w:tcPr>
          <w:p w14:paraId="524B0FE0"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-0.0007</w:t>
            </w:r>
          </w:p>
        </w:tc>
        <w:tc>
          <w:tcPr>
            <w:tcW w:w="505" w:type="pct"/>
            <w:tcBorders>
              <w:top w:val="single" w:sz="4" w:space="0" w:color="auto"/>
            </w:tcBorders>
            <w:shd w:val="clear" w:color="auto" w:fill="auto"/>
            <w:noWrap/>
            <w:vAlign w:val="bottom"/>
            <w:hideMark/>
          </w:tcPr>
          <w:p w14:paraId="524B0FE1"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0.0005</w:t>
            </w:r>
          </w:p>
        </w:tc>
        <w:tc>
          <w:tcPr>
            <w:tcW w:w="544" w:type="pct"/>
            <w:tcBorders>
              <w:top w:val="single" w:sz="4" w:space="0" w:color="auto"/>
            </w:tcBorders>
            <w:shd w:val="clear" w:color="auto" w:fill="auto"/>
            <w:noWrap/>
            <w:vAlign w:val="bottom"/>
            <w:hideMark/>
          </w:tcPr>
          <w:p w14:paraId="524B0FE2"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-1.4200</w:t>
            </w:r>
          </w:p>
        </w:tc>
        <w:tc>
          <w:tcPr>
            <w:tcW w:w="480" w:type="pct"/>
            <w:tcBorders>
              <w:top w:val="single" w:sz="4" w:space="0" w:color="auto"/>
            </w:tcBorders>
            <w:shd w:val="clear" w:color="auto" w:fill="auto"/>
            <w:noWrap/>
            <w:vAlign w:val="bottom"/>
            <w:hideMark/>
          </w:tcPr>
          <w:p w14:paraId="524B0FE3"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0.1550</w:t>
            </w:r>
          </w:p>
        </w:tc>
        <w:tc>
          <w:tcPr>
            <w:tcW w:w="686" w:type="pct"/>
            <w:tcBorders>
              <w:top w:val="single" w:sz="4" w:space="0" w:color="auto"/>
            </w:tcBorders>
            <w:shd w:val="clear" w:color="auto" w:fill="auto"/>
            <w:noWrap/>
            <w:vAlign w:val="bottom"/>
            <w:hideMark/>
          </w:tcPr>
          <w:p w14:paraId="524B0FE4"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-0.0018</w:t>
            </w:r>
          </w:p>
        </w:tc>
        <w:tc>
          <w:tcPr>
            <w:tcW w:w="587" w:type="pct"/>
            <w:tcBorders>
              <w:top w:val="single" w:sz="4" w:space="0" w:color="auto"/>
            </w:tcBorders>
            <w:shd w:val="clear" w:color="auto" w:fill="auto"/>
            <w:noWrap/>
            <w:vAlign w:val="bottom"/>
            <w:hideMark/>
          </w:tcPr>
          <w:p w14:paraId="524B0FE5"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0.0003</w:t>
            </w:r>
          </w:p>
        </w:tc>
      </w:tr>
      <w:tr w:rsidR="00674AAA" w:rsidRPr="00674AAA" w14:paraId="524B0FEF" w14:textId="77777777" w:rsidTr="0036585B">
        <w:trPr>
          <w:trHeight w:val="300"/>
        </w:trPr>
        <w:tc>
          <w:tcPr>
            <w:tcW w:w="509" w:type="pct"/>
            <w:shd w:val="clear" w:color="auto" w:fill="auto"/>
            <w:noWrap/>
            <w:vAlign w:val="bottom"/>
            <w:hideMark/>
          </w:tcPr>
          <w:p w14:paraId="524B0FE7" w14:textId="77777777" w:rsidR="00674AAA" w:rsidRPr="0062685E" w:rsidRDefault="00674AAA"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adcinv</w:t>
            </w:r>
          </w:p>
        </w:tc>
        <w:tc>
          <w:tcPr>
            <w:tcW w:w="1170" w:type="pct"/>
            <w:shd w:val="clear" w:color="auto" w:fill="auto"/>
            <w:noWrap/>
            <w:vAlign w:val="bottom"/>
            <w:hideMark/>
          </w:tcPr>
          <w:p w14:paraId="524B0FE8" w14:textId="77777777" w:rsidR="00674AAA" w:rsidRPr="0062685E" w:rsidRDefault="00674AAA" w:rsidP="00B7403D">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Reservation  Quality</w:t>
            </w:r>
          </w:p>
        </w:tc>
        <w:tc>
          <w:tcPr>
            <w:tcW w:w="519" w:type="pct"/>
            <w:shd w:val="clear" w:color="auto" w:fill="auto"/>
            <w:noWrap/>
            <w:vAlign w:val="bottom"/>
            <w:hideMark/>
          </w:tcPr>
          <w:p w14:paraId="524B0FE9"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0.0118</w:t>
            </w:r>
          </w:p>
        </w:tc>
        <w:tc>
          <w:tcPr>
            <w:tcW w:w="505" w:type="pct"/>
            <w:shd w:val="clear" w:color="auto" w:fill="auto"/>
            <w:noWrap/>
            <w:vAlign w:val="bottom"/>
            <w:hideMark/>
          </w:tcPr>
          <w:p w14:paraId="524B0FEA"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0.0112</w:t>
            </w:r>
          </w:p>
        </w:tc>
        <w:tc>
          <w:tcPr>
            <w:tcW w:w="544" w:type="pct"/>
            <w:shd w:val="clear" w:color="auto" w:fill="auto"/>
            <w:noWrap/>
            <w:vAlign w:val="bottom"/>
            <w:hideMark/>
          </w:tcPr>
          <w:p w14:paraId="524B0FEB"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1.0500</w:t>
            </w:r>
          </w:p>
        </w:tc>
        <w:tc>
          <w:tcPr>
            <w:tcW w:w="480" w:type="pct"/>
            <w:shd w:val="clear" w:color="auto" w:fill="auto"/>
            <w:noWrap/>
            <w:vAlign w:val="bottom"/>
            <w:hideMark/>
          </w:tcPr>
          <w:p w14:paraId="524B0FEC"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0.2920</w:t>
            </w:r>
          </w:p>
        </w:tc>
        <w:tc>
          <w:tcPr>
            <w:tcW w:w="686" w:type="pct"/>
            <w:shd w:val="clear" w:color="auto" w:fill="auto"/>
            <w:noWrap/>
            <w:vAlign w:val="bottom"/>
            <w:hideMark/>
          </w:tcPr>
          <w:p w14:paraId="524B0FED"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-0.0101</w:t>
            </w:r>
          </w:p>
        </w:tc>
        <w:tc>
          <w:tcPr>
            <w:tcW w:w="587" w:type="pct"/>
            <w:shd w:val="clear" w:color="auto" w:fill="auto"/>
            <w:noWrap/>
            <w:vAlign w:val="bottom"/>
            <w:hideMark/>
          </w:tcPr>
          <w:p w14:paraId="524B0FEE"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0.0337</w:t>
            </w:r>
          </w:p>
        </w:tc>
      </w:tr>
      <w:tr w:rsidR="00674AAA" w:rsidRPr="00674AAA" w14:paraId="524B0FF8" w14:textId="77777777" w:rsidTr="0036585B">
        <w:trPr>
          <w:trHeight w:val="300"/>
        </w:trPr>
        <w:tc>
          <w:tcPr>
            <w:tcW w:w="509" w:type="pct"/>
            <w:shd w:val="clear" w:color="auto" w:fill="auto"/>
            <w:noWrap/>
            <w:vAlign w:val="bottom"/>
            <w:hideMark/>
          </w:tcPr>
          <w:p w14:paraId="524B0FF0" w14:textId="77777777" w:rsidR="00674AAA" w:rsidRPr="0062685E" w:rsidRDefault="00674AAA"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trnsout</w:t>
            </w:r>
          </w:p>
        </w:tc>
        <w:tc>
          <w:tcPr>
            <w:tcW w:w="1170" w:type="pct"/>
            <w:shd w:val="clear" w:color="auto" w:fill="auto"/>
            <w:noWrap/>
            <w:vAlign w:val="bottom"/>
            <w:hideMark/>
          </w:tcPr>
          <w:p w14:paraId="524B0FF1" w14:textId="77777777" w:rsidR="00674AAA" w:rsidRPr="0062685E" w:rsidRDefault="00674AAA" w:rsidP="00B7403D">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Transfer Out</w:t>
            </w:r>
          </w:p>
        </w:tc>
        <w:tc>
          <w:tcPr>
            <w:tcW w:w="519" w:type="pct"/>
            <w:shd w:val="clear" w:color="auto" w:fill="auto"/>
            <w:noWrap/>
            <w:vAlign w:val="bottom"/>
            <w:hideMark/>
          </w:tcPr>
          <w:p w14:paraId="524B0FF2"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0.0163</w:t>
            </w:r>
          </w:p>
        </w:tc>
        <w:tc>
          <w:tcPr>
            <w:tcW w:w="505" w:type="pct"/>
            <w:shd w:val="clear" w:color="auto" w:fill="auto"/>
            <w:noWrap/>
            <w:vAlign w:val="bottom"/>
            <w:hideMark/>
          </w:tcPr>
          <w:p w14:paraId="524B0FF3"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0.0149</w:t>
            </w:r>
          </w:p>
        </w:tc>
        <w:tc>
          <w:tcPr>
            <w:tcW w:w="544" w:type="pct"/>
            <w:shd w:val="clear" w:color="auto" w:fill="auto"/>
            <w:noWrap/>
            <w:vAlign w:val="bottom"/>
            <w:hideMark/>
          </w:tcPr>
          <w:p w14:paraId="524B0FF4"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1.0900</w:t>
            </w:r>
          </w:p>
        </w:tc>
        <w:tc>
          <w:tcPr>
            <w:tcW w:w="480" w:type="pct"/>
            <w:shd w:val="clear" w:color="auto" w:fill="auto"/>
            <w:noWrap/>
            <w:vAlign w:val="bottom"/>
            <w:hideMark/>
          </w:tcPr>
          <w:p w14:paraId="524B0FF5"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0.2750</w:t>
            </w:r>
          </w:p>
        </w:tc>
        <w:tc>
          <w:tcPr>
            <w:tcW w:w="686" w:type="pct"/>
            <w:shd w:val="clear" w:color="auto" w:fill="auto"/>
            <w:noWrap/>
            <w:vAlign w:val="bottom"/>
            <w:hideMark/>
          </w:tcPr>
          <w:p w14:paraId="524B0FF6"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-0.0130</w:t>
            </w:r>
          </w:p>
        </w:tc>
        <w:tc>
          <w:tcPr>
            <w:tcW w:w="587" w:type="pct"/>
            <w:shd w:val="clear" w:color="auto" w:fill="auto"/>
            <w:noWrap/>
            <w:vAlign w:val="bottom"/>
            <w:hideMark/>
          </w:tcPr>
          <w:p w14:paraId="524B0FF7"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0.0455</w:t>
            </w:r>
          </w:p>
        </w:tc>
      </w:tr>
      <w:tr w:rsidR="00674AAA" w:rsidRPr="00674AAA" w14:paraId="524B1001" w14:textId="77777777" w:rsidTr="0036585B">
        <w:trPr>
          <w:trHeight w:val="300"/>
        </w:trPr>
        <w:tc>
          <w:tcPr>
            <w:tcW w:w="509" w:type="pct"/>
            <w:shd w:val="clear" w:color="auto" w:fill="auto"/>
            <w:noWrap/>
            <w:vAlign w:val="bottom"/>
            <w:hideMark/>
          </w:tcPr>
          <w:p w14:paraId="524B0FF9" w14:textId="77777777" w:rsidR="00674AAA" w:rsidRPr="0062685E" w:rsidRDefault="00674AAA"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maxdx</w:t>
            </w:r>
          </w:p>
        </w:tc>
        <w:tc>
          <w:tcPr>
            <w:tcW w:w="1170" w:type="pct"/>
            <w:shd w:val="clear" w:color="auto" w:fill="auto"/>
            <w:noWrap/>
            <w:vAlign w:val="bottom"/>
            <w:hideMark/>
          </w:tcPr>
          <w:p w14:paraId="524B0FFA" w14:textId="77777777" w:rsidR="00674AAA" w:rsidRPr="0062685E" w:rsidRDefault="00674AAA" w:rsidP="00B7403D">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Maximum DX</w:t>
            </w:r>
          </w:p>
        </w:tc>
        <w:tc>
          <w:tcPr>
            <w:tcW w:w="519" w:type="pct"/>
            <w:shd w:val="clear" w:color="auto" w:fill="auto"/>
            <w:noWrap/>
            <w:vAlign w:val="bottom"/>
            <w:hideMark/>
          </w:tcPr>
          <w:p w14:paraId="524B0FFB"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-0.0001</w:t>
            </w:r>
          </w:p>
        </w:tc>
        <w:tc>
          <w:tcPr>
            <w:tcW w:w="505" w:type="pct"/>
            <w:shd w:val="clear" w:color="auto" w:fill="auto"/>
            <w:noWrap/>
            <w:vAlign w:val="bottom"/>
            <w:hideMark/>
          </w:tcPr>
          <w:p w14:paraId="524B0FFC"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0.0000</w:t>
            </w:r>
          </w:p>
        </w:tc>
        <w:tc>
          <w:tcPr>
            <w:tcW w:w="544" w:type="pct"/>
            <w:shd w:val="clear" w:color="auto" w:fill="auto"/>
            <w:noWrap/>
            <w:vAlign w:val="bottom"/>
            <w:hideMark/>
          </w:tcPr>
          <w:p w14:paraId="524B0FFD"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-2.0500</w:t>
            </w:r>
          </w:p>
        </w:tc>
        <w:tc>
          <w:tcPr>
            <w:tcW w:w="480" w:type="pct"/>
            <w:shd w:val="clear" w:color="auto" w:fill="auto"/>
            <w:noWrap/>
            <w:vAlign w:val="bottom"/>
            <w:hideMark/>
          </w:tcPr>
          <w:p w14:paraId="524B0FFE"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0.0410</w:t>
            </w:r>
          </w:p>
        </w:tc>
        <w:tc>
          <w:tcPr>
            <w:tcW w:w="686" w:type="pct"/>
            <w:shd w:val="clear" w:color="auto" w:fill="auto"/>
            <w:noWrap/>
            <w:vAlign w:val="bottom"/>
            <w:hideMark/>
          </w:tcPr>
          <w:p w14:paraId="524B0FFF"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-0.0001</w:t>
            </w:r>
          </w:p>
        </w:tc>
        <w:tc>
          <w:tcPr>
            <w:tcW w:w="587" w:type="pct"/>
            <w:shd w:val="clear" w:color="auto" w:fill="auto"/>
            <w:noWrap/>
            <w:vAlign w:val="bottom"/>
            <w:hideMark/>
          </w:tcPr>
          <w:p w14:paraId="524B1000"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0.0000</w:t>
            </w:r>
          </w:p>
        </w:tc>
      </w:tr>
      <w:tr w:rsidR="00674AAA" w:rsidRPr="00674AAA" w14:paraId="524B100A" w14:textId="77777777" w:rsidTr="0036585B">
        <w:trPr>
          <w:trHeight w:val="300"/>
        </w:trPr>
        <w:tc>
          <w:tcPr>
            <w:tcW w:w="509" w:type="pct"/>
            <w:shd w:val="clear" w:color="auto" w:fill="auto"/>
            <w:noWrap/>
            <w:vAlign w:val="bottom"/>
            <w:hideMark/>
          </w:tcPr>
          <w:p w14:paraId="524B1002" w14:textId="77777777" w:rsidR="00674AAA" w:rsidRPr="0062685E" w:rsidRDefault="00674AAA"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prior2</w:t>
            </w:r>
          </w:p>
        </w:tc>
        <w:tc>
          <w:tcPr>
            <w:tcW w:w="1170" w:type="pct"/>
            <w:shd w:val="clear" w:color="auto" w:fill="auto"/>
            <w:noWrap/>
            <w:vAlign w:val="bottom"/>
            <w:hideMark/>
          </w:tcPr>
          <w:p w14:paraId="524B1003" w14:textId="77777777" w:rsidR="00674AAA" w:rsidRPr="0062685E" w:rsidRDefault="00674AAA" w:rsidP="00B7403D">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 xml:space="preserve">Prior </w:t>
            </w:r>
            <w:r w:rsidR="00B7403D" w:rsidRPr="0062685E">
              <w:rPr>
                <w:rFonts w:ascii="Arial" w:eastAsia="Times New Roman" w:hAnsi="Arial" w:cs="Arial"/>
                <w:color w:val="000000"/>
                <w:sz w:val="20"/>
                <w:szCs w:val="20"/>
              </w:rPr>
              <w:t>Performance</w:t>
            </w:r>
          </w:p>
        </w:tc>
        <w:tc>
          <w:tcPr>
            <w:tcW w:w="519" w:type="pct"/>
            <w:shd w:val="clear" w:color="auto" w:fill="auto"/>
            <w:noWrap/>
            <w:vAlign w:val="bottom"/>
            <w:hideMark/>
          </w:tcPr>
          <w:p w14:paraId="524B1004"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0.6576</w:t>
            </w:r>
          </w:p>
        </w:tc>
        <w:tc>
          <w:tcPr>
            <w:tcW w:w="505" w:type="pct"/>
            <w:shd w:val="clear" w:color="auto" w:fill="auto"/>
            <w:noWrap/>
            <w:vAlign w:val="bottom"/>
            <w:hideMark/>
          </w:tcPr>
          <w:p w14:paraId="524B1005"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0.0516</w:t>
            </w:r>
          </w:p>
        </w:tc>
        <w:tc>
          <w:tcPr>
            <w:tcW w:w="544" w:type="pct"/>
            <w:shd w:val="clear" w:color="auto" w:fill="auto"/>
            <w:noWrap/>
            <w:vAlign w:val="bottom"/>
            <w:hideMark/>
          </w:tcPr>
          <w:p w14:paraId="524B1006"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12.7500</w:t>
            </w:r>
          </w:p>
        </w:tc>
        <w:tc>
          <w:tcPr>
            <w:tcW w:w="480" w:type="pct"/>
            <w:shd w:val="clear" w:color="auto" w:fill="auto"/>
            <w:noWrap/>
            <w:vAlign w:val="bottom"/>
            <w:hideMark/>
          </w:tcPr>
          <w:p w14:paraId="524B1007"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0.0000</w:t>
            </w:r>
          </w:p>
        </w:tc>
        <w:tc>
          <w:tcPr>
            <w:tcW w:w="686" w:type="pct"/>
            <w:shd w:val="clear" w:color="auto" w:fill="auto"/>
            <w:noWrap/>
            <w:vAlign w:val="bottom"/>
            <w:hideMark/>
          </w:tcPr>
          <w:p w14:paraId="524B1008"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0.5565</w:t>
            </w:r>
          </w:p>
        </w:tc>
        <w:tc>
          <w:tcPr>
            <w:tcW w:w="587" w:type="pct"/>
            <w:shd w:val="clear" w:color="auto" w:fill="auto"/>
            <w:noWrap/>
            <w:vAlign w:val="bottom"/>
            <w:hideMark/>
          </w:tcPr>
          <w:p w14:paraId="524B1009"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0.7587</w:t>
            </w:r>
          </w:p>
        </w:tc>
      </w:tr>
      <w:tr w:rsidR="00674AAA" w:rsidRPr="00674AAA" w14:paraId="524B1013" w14:textId="77777777" w:rsidTr="0036585B">
        <w:trPr>
          <w:trHeight w:val="300"/>
        </w:trPr>
        <w:tc>
          <w:tcPr>
            <w:tcW w:w="509" w:type="pct"/>
            <w:shd w:val="clear" w:color="auto" w:fill="auto"/>
            <w:noWrap/>
            <w:vAlign w:val="bottom"/>
            <w:hideMark/>
          </w:tcPr>
          <w:p w14:paraId="524B100B" w14:textId="77777777" w:rsidR="00674AAA" w:rsidRPr="0062685E" w:rsidRDefault="00674AAA" w:rsidP="0066376E">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_cons</w:t>
            </w:r>
          </w:p>
        </w:tc>
        <w:tc>
          <w:tcPr>
            <w:tcW w:w="1170" w:type="pct"/>
            <w:shd w:val="clear" w:color="auto" w:fill="auto"/>
            <w:noWrap/>
            <w:vAlign w:val="bottom"/>
            <w:hideMark/>
          </w:tcPr>
          <w:p w14:paraId="524B100C" w14:textId="77777777" w:rsidR="00674AAA" w:rsidRPr="0062685E" w:rsidRDefault="00674AAA" w:rsidP="00B7403D">
            <w:pPr>
              <w:spacing w:after="0" w:line="240" w:lineRule="auto"/>
              <w:rPr>
                <w:rFonts w:ascii="Arial" w:eastAsia="Times New Roman" w:hAnsi="Arial" w:cs="Arial"/>
                <w:color w:val="000000"/>
                <w:sz w:val="20"/>
                <w:szCs w:val="20"/>
              </w:rPr>
            </w:pPr>
            <w:r w:rsidRPr="0062685E">
              <w:rPr>
                <w:rFonts w:ascii="Arial" w:eastAsia="Times New Roman" w:hAnsi="Arial" w:cs="Arial"/>
                <w:color w:val="000000"/>
                <w:sz w:val="20"/>
                <w:szCs w:val="20"/>
              </w:rPr>
              <w:t>Constant</w:t>
            </w:r>
          </w:p>
        </w:tc>
        <w:tc>
          <w:tcPr>
            <w:tcW w:w="519" w:type="pct"/>
            <w:shd w:val="clear" w:color="auto" w:fill="auto"/>
            <w:noWrap/>
            <w:vAlign w:val="bottom"/>
            <w:hideMark/>
          </w:tcPr>
          <w:p w14:paraId="524B100D"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0.0134</w:t>
            </w:r>
          </w:p>
        </w:tc>
        <w:tc>
          <w:tcPr>
            <w:tcW w:w="505" w:type="pct"/>
            <w:shd w:val="clear" w:color="auto" w:fill="auto"/>
            <w:noWrap/>
            <w:vAlign w:val="bottom"/>
            <w:hideMark/>
          </w:tcPr>
          <w:p w14:paraId="524B100E"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0.0034</w:t>
            </w:r>
          </w:p>
        </w:tc>
        <w:tc>
          <w:tcPr>
            <w:tcW w:w="544" w:type="pct"/>
            <w:shd w:val="clear" w:color="auto" w:fill="auto"/>
            <w:noWrap/>
            <w:vAlign w:val="bottom"/>
            <w:hideMark/>
          </w:tcPr>
          <w:p w14:paraId="524B100F"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3.9200</w:t>
            </w:r>
          </w:p>
        </w:tc>
        <w:tc>
          <w:tcPr>
            <w:tcW w:w="480" w:type="pct"/>
            <w:shd w:val="clear" w:color="auto" w:fill="auto"/>
            <w:noWrap/>
            <w:vAlign w:val="bottom"/>
            <w:hideMark/>
          </w:tcPr>
          <w:p w14:paraId="524B1010"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0.0000</w:t>
            </w:r>
          </w:p>
        </w:tc>
        <w:tc>
          <w:tcPr>
            <w:tcW w:w="686" w:type="pct"/>
            <w:shd w:val="clear" w:color="auto" w:fill="auto"/>
            <w:noWrap/>
            <w:vAlign w:val="bottom"/>
            <w:hideMark/>
          </w:tcPr>
          <w:p w14:paraId="524B1011"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0.0067</w:t>
            </w:r>
          </w:p>
        </w:tc>
        <w:tc>
          <w:tcPr>
            <w:tcW w:w="587" w:type="pct"/>
            <w:shd w:val="clear" w:color="auto" w:fill="auto"/>
            <w:noWrap/>
            <w:vAlign w:val="bottom"/>
            <w:hideMark/>
          </w:tcPr>
          <w:p w14:paraId="524B1012" w14:textId="77777777" w:rsidR="00674AAA" w:rsidRPr="0062685E" w:rsidRDefault="00674AAA" w:rsidP="0066376E">
            <w:pPr>
              <w:spacing w:after="0" w:line="240" w:lineRule="auto"/>
              <w:jc w:val="right"/>
              <w:rPr>
                <w:rFonts w:ascii="Arial" w:eastAsia="Times New Roman" w:hAnsi="Arial" w:cs="Arial"/>
                <w:color w:val="000000"/>
                <w:sz w:val="20"/>
                <w:szCs w:val="20"/>
              </w:rPr>
            </w:pPr>
            <w:r w:rsidRPr="0062685E">
              <w:rPr>
                <w:rFonts w:ascii="Arial" w:eastAsia="Times New Roman" w:hAnsi="Arial" w:cs="Arial"/>
                <w:color w:val="000000"/>
                <w:sz w:val="20"/>
                <w:szCs w:val="20"/>
              </w:rPr>
              <w:t>0.0201</w:t>
            </w:r>
          </w:p>
        </w:tc>
      </w:tr>
    </w:tbl>
    <w:p w14:paraId="524B1014" w14:textId="77777777" w:rsidR="0036585B" w:rsidRPr="0036585B" w:rsidRDefault="0036585B" w:rsidP="0036585B">
      <w:pPr>
        <w:autoSpaceDE w:val="0"/>
        <w:autoSpaceDN w:val="0"/>
        <w:adjustRightInd w:val="0"/>
        <w:spacing w:after="0" w:line="240" w:lineRule="auto"/>
        <w:rPr>
          <w:rFonts w:ascii="Arial" w:hAnsi="Arial" w:cs="Arial"/>
          <w:bCs/>
          <w:sz w:val="20"/>
          <w:szCs w:val="20"/>
        </w:rPr>
      </w:pPr>
      <w:r w:rsidRPr="0036585B">
        <w:rPr>
          <w:rFonts w:ascii="Arial" w:hAnsi="Arial" w:cs="Arial"/>
          <w:bCs/>
          <w:sz w:val="20"/>
          <w:szCs w:val="20"/>
        </w:rPr>
        <w:t>Note: the dependent variable in the regression is a rate/proportion</w:t>
      </w:r>
    </w:p>
    <w:p w14:paraId="524B1015" w14:textId="77777777" w:rsidR="0066376E" w:rsidRPr="00092566" w:rsidRDefault="0066376E" w:rsidP="00092566">
      <w:pPr>
        <w:autoSpaceDE w:val="0"/>
        <w:autoSpaceDN w:val="0"/>
        <w:adjustRightInd w:val="0"/>
        <w:spacing w:after="0" w:line="240" w:lineRule="auto"/>
        <w:rPr>
          <w:rFonts w:cstheme="minorHAnsi"/>
          <w:bCs/>
        </w:rPr>
      </w:pPr>
    </w:p>
    <w:p w14:paraId="524B1016" w14:textId="77777777" w:rsidR="007422FD"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524B1017" w14:textId="77777777" w:rsidR="00674AAA" w:rsidRDefault="00674AAA" w:rsidP="00DB3627">
      <w:pPr>
        <w:autoSpaceDE w:val="0"/>
        <w:autoSpaceDN w:val="0"/>
        <w:adjustRightInd w:val="0"/>
        <w:spacing w:after="0" w:line="240" w:lineRule="auto"/>
        <w:rPr>
          <w:rFonts w:cstheme="minorHAnsi"/>
          <w:bCs/>
        </w:rPr>
      </w:pPr>
      <w:r>
        <w:rPr>
          <w:rFonts w:cstheme="minorHAnsi"/>
          <w:bCs/>
        </w:rPr>
        <w:t xml:space="preserve">There is a significant (negative) association between the hospital risk-adjusted mortality rate and the hospital volume, indicative of a volume-outcome relationship.  </w:t>
      </w:r>
      <w:r w:rsidR="00B7403D">
        <w:rPr>
          <w:rFonts w:cstheme="minorHAnsi"/>
          <w:bCs/>
        </w:rPr>
        <w:t xml:space="preserve">The direction of causality is unknown.  </w:t>
      </w:r>
      <w:r>
        <w:rPr>
          <w:rFonts w:cstheme="minorHAnsi"/>
          <w:bCs/>
        </w:rPr>
        <w:t xml:space="preserve">There is also a (positive) association between </w:t>
      </w:r>
      <w:r w:rsidR="00AF24E3">
        <w:rPr>
          <w:rFonts w:cstheme="minorHAnsi"/>
          <w:bCs/>
        </w:rPr>
        <w:t xml:space="preserve">the hospital risk-adjusted mortality rate and </w:t>
      </w:r>
      <w:r>
        <w:rPr>
          <w:rFonts w:cstheme="minorHAnsi"/>
          <w:bCs/>
        </w:rPr>
        <w:t>the hospital transfer</w:t>
      </w:r>
      <w:r w:rsidR="00AF24E3">
        <w:rPr>
          <w:rFonts w:cstheme="minorHAnsi"/>
          <w:bCs/>
        </w:rPr>
        <w:t>-</w:t>
      </w:r>
      <w:r>
        <w:rPr>
          <w:rFonts w:cstheme="minorHAnsi"/>
          <w:bCs/>
        </w:rPr>
        <w:t xml:space="preserve">out rate (overall) </w:t>
      </w:r>
      <w:r w:rsidR="00B7403D">
        <w:rPr>
          <w:rFonts w:cstheme="minorHAnsi"/>
          <w:bCs/>
        </w:rPr>
        <w:t>meaning that hospitals that transfer-out a higher proportion of their patients overall have worse quality of care</w:t>
      </w:r>
      <w:r w:rsidR="00AF24E3">
        <w:rPr>
          <w:rFonts w:cstheme="minorHAnsi"/>
          <w:bCs/>
        </w:rPr>
        <w:t>.  Finally, there is a (negative) association between the hospital risk-adjusted mortality rate and the number of diagnosis codes report</w:t>
      </w:r>
      <w:r w:rsidR="007243C7">
        <w:rPr>
          <w:rFonts w:cstheme="minorHAnsi"/>
          <w:bCs/>
        </w:rPr>
        <w:t>ed</w:t>
      </w:r>
      <w:r w:rsidR="00B7403D">
        <w:rPr>
          <w:rFonts w:cstheme="minorHAnsi"/>
          <w:bCs/>
        </w:rPr>
        <w:t xml:space="preserve"> meaning potentially that hospitals that report more</w:t>
      </w:r>
      <w:r w:rsidR="00AF24E3">
        <w:rPr>
          <w:rFonts w:cstheme="minorHAnsi"/>
          <w:bCs/>
        </w:rPr>
        <w:t xml:space="preserve"> </w:t>
      </w:r>
      <w:r w:rsidR="00B7403D">
        <w:rPr>
          <w:rFonts w:cstheme="minorHAnsi"/>
          <w:bCs/>
        </w:rPr>
        <w:t xml:space="preserve">codes have more </w:t>
      </w:r>
      <w:r w:rsidR="007243C7">
        <w:rPr>
          <w:rFonts w:cstheme="minorHAnsi"/>
          <w:bCs/>
        </w:rPr>
        <w:t xml:space="preserve">reported </w:t>
      </w:r>
      <w:r w:rsidR="00B7403D">
        <w:rPr>
          <w:rFonts w:cstheme="minorHAnsi"/>
          <w:bCs/>
        </w:rPr>
        <w:t>co-</w:t>
      </w:r>
      <w:r w:rsidR="002B6E54">
        <w:rPr>
          <w:rFonts w:cstheme="minorHAnsi"/>
          <w:bCs/>
        </w:rPr>
        <w:t>morbidities</w:t>
      </w:r>
      <w:r w:rsidR="00B7403D">
        <w:rPr>
          <w:rFonts w:cstheme="minorHAnsi"/>
          <w:bCs/>
        </w:rPr>
        <w:t xml:space="preserve"> (and therefore have a higher expected rate and a lower risk adjusted rate).</w:t>
      </w:r>
    </w:p>
    <w:p w14:paraId="524B1018" w14:textId="77777777" w:rsidR="00B7403D" w:rsidRDefault="00B7403D" w:rsidP="00DB3627">
      <w:pPr>
        <w:autoSpaceDE w:val="0"/>
        <w:autoSpaceDN w:val="0"/>
        <w:adjustRightInd w:val="0"/>
        <w:spacing w:after="0" w:line="240" w:lineRule="auto"/>
        <w:rPr>
          <w:rFonts w:cstheme="minorHAnsi"/>
          <w:bCs/>
        </w:rPr>
      </w:pPr>
    </w:p>
    <w:p w14:paraId="524B1019" w14:textId="77777777" w:rsidR="00B7403D" w:rsidRDefault="00B7403D" w:rsidP="00DB3627">
      <w:pPr>
        <w:autoSpaceDE w:val="0"/>
        <w:autoSpaceDN w:val="0"/>
        <w:adjustRightInd w:val="0"/>
        <w:spacing w:after="0" w:line="240" w:lineRule="auto"/>
        <w:rPr>
          <w:rFonts w:cstheme="minorHAnsi"/>
          <w:bCs/>
        </w:rPr>
      </w:pPr>
      <w:r>
        <w:rPr>
          <w:rFonts w:cstheme="minorHAnsi"/>
          <w:bCs/>
        </w:rPr>
        <w:t xml:space="preserve">With the exception of the results for the number of </w:t>
      </w:r>
      <w:r w:rsidR="007243C7">
        <w:rPr>
          <w:rFonts w:cstheme="minorHAnsi"/>
          <w:bCs/>
        </w:rPr>
        <w:t xml:space="preserve">reported </w:t>
      </w:r>
      <w:r>
        <w:rPr>
          <w:rFonts w:cstheme="minorHAnsi"/>
          <w:bCs/>
        </w:rPr>
        <w:t>diagnosis codes, the volume effect and the transfer out effect</w:t>
      </w:r>
      <w:r w:rsidR="002B6E54">
        <w:rPr>
          <w:rFonts w:cstheme="minorHAnsi"/>
          <w:bCs/>
        </w:rPr>
        <w:t xml:space="preserve"> are not statistically significant once prior performance is taken into account.  This means that </w:t>
      </w:r>
      <w:r w:rsidR="007243C7">
        <w:rPr>
          <w:rFonts w:cstheme="minorHAnsi"/>
          <w:bCs/>
        </w:rPr>
        <w:t>structural characteristics and the associated relationship with mortality are highly persistent, although the mortality rate itself is not that persistent.</w:t>
      </w:r>
    </w:p>
    <w:p w14:paraId="524B101A" w14:textId="77777777" w:rsidR="0036585B" w:rsidRDefault="0036585B" w:rsidP="00DB3627">
      <w:pPr>
        <w:autoSpaceDE w:val="0"/>
        <w:autoSpaceDN w:val="0"/>
        <w:adjustRightInd w:val="0"/>
        <w:spacing w:after="0" w:line="240" w:lineRule="auto"/>
        <w:rPr>
          <w:rFonts w:cstheme="minorHAnsi"/>
          <w:bCs/>
        </w:rPr>
      </w:pPr>
    </w:p>
    <w:p w14:paraId="524B101B" w14:textId="77777777" w:rsidR="0036585B" w:rsidRPr="00A25024" w:rsidRDefault="0036585B" w:rsidP="00DB3627">
      <w:pPr>
        <w:autoSpaceDE w:val="0"/>
        <w:autoSpaceDN w:val="0"/>
        <w:adjustRightInd w:val="0"/>
        <w:spacing w:after="0" w:line="240" w:lineRule="auto"/>
        <w:rPr>
          <w:rFonts w:cstheme="minorHAnsi"/>
          <w:bCs/>
        </w:rPr>
      </w:pPr>
      <w:r>
        <w:rPr>
          <w:rFonts w:eastAsia="Times New Roman" w:cs="Times New Roman"/>
          <w:color w:val="000000"/>
        </w:rPr>
        <w:t>The volume-outcome relationship supports the validity of the measure; as does the persistence of performance over time.</w:t>
      </w:r>
    </w:p>
    <w:p w14:paraId="524B101C"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524B101D"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524B101E"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eastAsia="MS Gothic" w:cstheme="minorHAnsi"/>
            <w:b/>
            <w:bCs/>
            <w:color w:val="0000FF"/>
          </w:rPr>
          <w:id w:val="-834140660"/>
        </w:sdtPr>
        <w:sdtEndPr/>
        <w:sdtContent>
          <w:r w:rsidRPr="00A25024">
            <w:rPr>
              <w:rFonts w:ascii="MS Gothic" w:eastAsia="MS Gothic" w:hAnsi="MS Gothic" w:cs="MS Gothic" w:hint="eastAsia"/>
              <w:b/>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Pr="00A25024">
        <w:rPr>
          <w:rFonts w:cstheme="minorHAnsi"/>
          <w:b/>
          <w:bCs/>
          <w:i/>
          <w:highlight w:val="green"/>
        </w:rPr>
        <w:t>#</w:t>
      </w:r>
      <w:r w:rsidR="00483E94">
        <w:rPr>
          <w:rFonts w:cstheme="minorHAnsi"/>
          <w:b/>
          <w:bCs/>
          <w:i/>
          <w:highlight w:val="green"/>
        </w:rPr>
        <w:t>2b</w:t>
      </w:r>
      <w:r w:rsidR="00483E94" w:rsidRPr="00483E94">
        <w:rPr>
          <w:rFonts w:cstheme="minorHAnsi"/>
          <w:b/>
          <w:bCs/>
          <w:i/>
          <w:highlight w:val="green"/>
        </w:rPr>
        <w:t>5</w:t>
      </w:r>
    </w:p>
    <w:p w14:paraId="524B101F" w14:textId="77777777" w:rsidR="00001D73" w:rsidRDefault="00001D73" w:rsidP="00DB3627">
      <w:pPr>
        <w:autoSpaceDE w:val="0"/>
        <w:autoSpaceDN w:val="0"/>
        <w:adjustRightInd w:val="0"/>
        <w:spacing w:after="0" w:line="240" w:lineRule="auto"/>
        <w:rPr>
          <w:rFonts w:cstheme="minorHAnsi"/>
          <w:b/>
          <w:bCs/>
        </w:rPr>
      </w:pPr>
    </w:p>
    <w:p w14:paraId="524B1020" w14:textId="77777777" w:rsidR="00833325"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524B1021" w14:textId="77777777" w:rsidR="00833325" w:rsidRDefault="002B6E54" w:rsidP="00DB3627">
      <w:pPr>
        <w:autoSpaceDE w:val="0"/>
        <w:autoSpaceDN w:val="0"/>
        <w:adjustRightInd w:val="0"/>
        <w:spacing w:after="0" w:line="240" w:lineRule="auto"/>
        <w:rPr>
          <w:rFonts w:cstheme="minorHAnsi"/>
          <w:bCs/>
        </w:rPr>
      </w:pPr>
      <w:r>
        <w:rPr>
          <w:rFonts w:cstheme="minorHAnsi"/>
          <w:bCs/>
        </w:rPr>
        <w:t>The only exclusion is for cases transf</w:t>
      </w:r>
      <w:r w:rsidR="00DA6C59">
        <w:rPr>
          <w:rFonts w:cstheme="minorHAnsi"/>
          <w:bCs/>
        </w:rPr>
        <w:t>erred to an acute care hospital (there are other listed exclusions for MDC 14 and missing data but these exclusions impact a non material number of cases).</w:t>
      </w:r>
      <w:r>
        <w:rPr>
          <w:rFonts w:cstheme="minorHAnsi"/>
          <w:bCs/>
        </w:rPr>
        <w:t xml:space="preserve">  The rational for this exclusion is that we do not observe the outcome of interest (i.e. in-hospital death).  However, we do observe the outcome of interest for cases transferred from an acute care hospital.  We conducted a regression analysis to determine whether cases transferred from an acute care hospital have higher in-hospital mortality rates than cases not transferred.</w:t>
      </w:r>
    </w:p>
    <w:p w14:paraId="524B1022" w14:textId="77777777" w:rsidR="002B6E54" w:rsidRPr="00A25024" w:rsidRDefault="002B6E54" w:rsidP="00DB3627">
      <w:pPr>
        <w:autoSpaceDE w:val="0"/>
        <w:autoSpaceDN w:val="0"/>
        <w:adjustRightInd w:val="0"/>
        <w:spacing w:after="0" w:line="240" w:lineRule="auto"/>
        <w:rPr>
          <w:rFonts w:cstheme="minorHAnsi"/>
          <w:bCs/>
        </w:rPr>
      </w:pPr>
    </w:p>
    <w:p w14:paraId="524B1023" w14:textId="77777777" w:rsidR="007422FD" w:rsidRDefault="00092566" w:rsidP="00092566">
      <w:pPr>
        <w:autoSpaceDE w:val="0"/>
        <w:autoSpaceDN w:val="0"/>
        <w:adjustRightInd w:val="0"/>
        <w:spacing w:after="0" w:line="240" w:lineRule="auto"/>
        <w:rPr>
          <w:rFonts w:cstheme="minorHAnsi"/>
          <w:bCs/>
        </w:rPr>
      </w:pPr>
      <w:r>
        <w:rPr>
          <w:rFonts w:cstheme="minorHAnsi"/>
          <w:b/>
          <w:bCs/>
        </w:rPr>
        <w:lastRenderedPageBreak/>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tbl>
      <w:tblPr>
        <w:tblW w:w="9609" w:type="dxa"/>
        <w:tblInd w:w="93" w:type="dxa"/>
        <w:tblBorders>
          <w:top w:val="single" w:sz="4" w:space="0" w:color="auto"/>
          <w:bottom w:val="single" w:sz="4" w:space="0" w:color="auto"/>
        </w:tblBorders>
        <w:tblLook w:val="04A0" w:firstRow="1" w:lastRow="0" w:firstColumn="1" w:lastColumn="0" w:noHBand="0" w:noVBand="1"/>
      </w:tblPr>
      <w:tblGrid>
        <w:gridCol w:w="1195"/>
        <w:gridCol w:w="1642"/>
        <w:gridCol w:w="483"/>
        <w:gridCol w:w="1050"/>
        <w:gridCol w:w="1666"/>
        <w:gridCol w:w="1849"/>
        <w:gridCol w:w="1724"/>
      </w:tblGrid>
      <w:tr w:rsidR="002B6E54" w:rsidRPr="00D60750" w14:paraId="524B102B" w14:textId="77777777" w:rsidTr="001D6A73">
        <w:trPr>
          <w:trHeight w:val="300"/>
        </w:trPr>
        <w:tc>
          <w:tcPr>
            <w:tcW w:w="1195" w:type="dxa"/>
            <w:tcBorders>
              <w:top w:val="single" w:sz="4" w:space="0" w:color="auto"/>
              <w:left w:val="single" w:sz="4" w:space="0" w:color="auto"/>
              <w:bottom w:val="single" w:sz="4" w:space="0" w:color="auto"/>
            </w:tcBorders>
            <w:shd w:val="pct15" w:color="auto" w:fill="auto"/>
            <w:noWrap/>
            <w:vAlign w:val="center"/>
            <w:hideMark/>
          </w:tcPr>
          <w:p w14:paraId="524B1024" w14:textId="77777777" w:rsidR="002B6E54" w:rsidRPr="00D60750" w:rsidRDefault="002B6E54" w:rsidP="001D6A73">
            <w:pPr>
              <w:spacing w:after="0" w:line="240" w:lineRule="auto"/>
              <w:rPr>
                <w:rFonts w:ascii="Arial" w:eastAsia="Times New Roman" w:hAnsi="Arial" w:cs="Arial"/>
                <w:b/>
                <w:bCs/>
                <w:color w:val="000000"/>
                <w:sz w:val="20"/>
                <w:szCs w:val="20"/>
              </w:rPr>
            </w:pPr>
            <w:r w:rsidRPr="00D60750">
              <w:rPr>
                <w:rFonts w:ascii="Arial" w:eastAsia="Times New Roman" w:hAnsi="Arial" w:cs="Arial"/>
                <w:b/>
                <w:bCs/>
                <w:color w:val="000000"/>
                <w:sz w:val="20"/>
                <w:szCs w:val="20"/>
              </w:rPr>
              <w:t>Parameter</w:t>
            </w:r>
          </w:p>
        </w:tc>
        <w:tc>
          <w:tcPr>
            <w:tcW w:w="1642" w:type="dxa"/>
            <w:tcBorders>
              <w:top w:val="single" w:sz="4" w:space="0" w:color="auto"/>
              <w:bottom w:val="single" w:sz="4" w:space="0" w:color="auto"/>
            </w:tcBorders>
            <w:shd w:val="pct15" w:color="auto" w:fill="auto"/>
            <w:vAlign w:val="center"/>
          </w:tcPr>
          <w:p w14:paraId="524B1025" w14:textId="77777777" w:rsidR="002B6E54" w:rsidRPr="00D60750" w:rsidRDefault="002B6E54" w:rsidP="001D6A73">
            <w:pPr>
              <w:spacing w:after="0" w:line="240" w:lineRule="auto"/>
              <w:rPr>
                <w:rFonts w:ascii="Arial" w:eastAsia="Times New Roman" w:hAnsi="Arial" w:cs="Arial"/>
                <w:b/>
                <w:bCs/>
                <w:color w:val="000000"/>
                <w:sz w:val="20"/>
                <w:szCs w:val="20"/>
              </w:rPr>
            </w:pPr>
            <w:r w:rsidRPr="00D60750">
              <w:rPr>
                <w:rFonts w:ascii="Arial" w:eastAsia="Times New Roman" w:hAnsi="Arial" w:cs="Arial"/>
                <w:b/>
                <w:bCs/>
                <w:color w:val="000000"/>
                <w:sz w:val="20"/>
                <w:szCs w:val="20"/>
              </w:rPr>
              <w:t>Label</w:t>
            </w:r>
          </w:p>
        </w:tc>
        <w:tc>
          <w:tcPr>
            <w:tcW w:w="483" w:type="dxa"/>
            <w:tcBorders>
              <w:top w:val="single" w:sz="4" w:space="0" w:color="auto"/>
              <w:bottom w:val="single" w:sz="4" w:space="0" w:color="auto"/>
            </w:tcBorders>
            <w:shd w:val="pct15" w:color="auto" w:fill="auto"/>
            <w:noWrap/>
            <w:vAlign w:val="center"/>
            <w:hideMark/>
          </w:tcPr>
          <w:p w14:paraId="524B1026" w14:textId="77777777" w:rsidR="002B6E54" w:rsidRPr="00D60750" w:rsidRDefault="002B6E54" w:rsidP="001D6A73">
            <w:pPr>
              <w:spacing w:after="0" w:line="240" w:lineRule="auto"/>
              <w:jc w:val="right"/>
              <w:rPr>
                <w:rFonts w:ascii="Arial" w:eastAsia="Times New Roman" w:hAnsi="Arial" w:cs="Arial"/>
                <w:b/>
                <w:bCs/>
                <w:color w:val="000000"/>
                <w:sz w:val="20"/>
                <w:szCs w:val="20"/>
              </w:rPr>
            </w:pPr>
            <w:r w:rsidRPr="00D60750">
              <w:rPr>
                <w:rFonts w:ascii="Arial" w:eastAsia="Times New Roman" w:hAnsi="Arial" w:cs="Arial"/>
                <w:b/>
                <w:bCs/>
                <w:color w:val="000000"/>
                <w:sz w:val="20"/>
                <w:szCs w:val="20"/>
              </w:rPr>
              <w:t>DF</w:t>
            </w:r>
          </w:p>
        </w:tc>
        <w:tc>
          <w:tcPr>
            <w:tcW w:w="1050" w:type="dxa"/>
            <w:tcBorders>
              <w:top w:val="single" w:sz="4" w:space="0" w:color="auto"/>
              <w:bottom w:val="single" w:sz="4" w:space="0" w:color="auto"/>
            </w:tcBorders>
            <w:shd w:val="pct15" w:color="auto" w:fill="auto"/>
            <w:noWrap/>
            <w:vAlign w:val="center"/>
            <w:hideMark/>
          </w:tcPr>
          <w:p w14:paraId="524B1027" w14:textId="77777777" w:rsidR="002B6E54" w:rsidRPr="00D60750" w:rsidRDefault="002B6E54" w:rsidP="001D6A73">
            <w:pPr>
              <w:spacing w:after="0" w:line="240" w:lineRule="auto"/>
              <w:jc w:val="right"/>
              <w:rPr>
                <w:rFonts w:ascii="Arial" w:eastAsia="Times New Roman" w:hAnsi="Arial" w:cs="Arial"/>
                <w:b/>
                <w:bCs/>
                <w:color w:val="000000"/>
                <w:sz w:val="20"/>
                <w:szCs w:val="20"/>
              </w:rPr>
            </w:pPr>
            <w:r w:rsidRPr="00D60750">
              <w:rPr>
                <w:rFonts w:ascii="Arial" w:eastAsia="Times New Roman" w:hAnsi="Arial" w:cs="Arial"/>
                <w:b/>
                <w:bCs/>
                <w:color w:val="000000"/>
                <w:sz w:val="20"/>
                <w:szCs w:val="20"/>
              </w:rPr>
              <w:t>Estimate</w:t>
            </w:r>
          </w:p>
        </w:tc>
        <w:tc>
          <w:tcPr>
            <w:tcW w:w="1666" w:type="dxa"/>
            <w:tcBorders>
              <w:top w:val="single" w:sz="4" w:space="0" w:color="auto"/>
              <w:bottom w:val="single" w:sz="4" w:space="0" w:color="auto"/>
            </w:tcBorders>
            <w:shd w:val="pct15" w:color="auto" w:fill="auto"/>
            <w:noWrap/>
            <w:vAlign w:val="center"/>
            <w:hideMark/>
          </w:tcPr>
          <w:p w14:paraId="524B1028" w14:textId="77777777" w:rsidR="002B6E54" w:rsidRPr="00D60750" w:rsidRDefault="002B6E54" w:rsidP="001D6A73">
            <w:pPr>
              <w:spacing w:after="0" w:line="240" w:lineRule="auto"/>
              <w:jc w:val="right"/>
              <w:rPr>
                <w:rFonts w:ascii="Arial" w:eastAsia="Times New Roman" w:hAnsi="Arial" w:cs="Arial"/>
                <w:b/>
                <w:bCs/>
                <w:color w:val="000000"/>
                <w:sz w:val="20"/>
                <w:szCs w:val="20"/>
              </w:rPr>
            </w:pPr>
            <w:r w:rsidRPr="00D60750">
              <w:rPr>
                <w:rFonts w:ascii="Arial" w:eastAsia="Times New Roman" w:hAnsi="Arial" w:cs="Arial"/>
                <w:b/>
                <w:bCs/>
                <w:color w:val="000000"/>
                <w:sz w:val="20"/>
                <w:szCs w:val="20"/>
              </w:rPr>
              <w:t>Standard Error</w:t>
            </w:r>
          </w:p>
        </w:tc>
        <w:tc>
          <w:tcPr>
            <w:tcW w:w="1849" w:type="dxa"/>
            <w:tcBorders>
              <w:top w:val="single" w:sz="4" w:space="0" w:color="auto"/>
              <w:bottom w:val="single" w:sz="4" w:space="0" w:color="auto"/>
            </w:tcBorders>
            <w:shd w:val="pct15" w:color="auto" w:fill="auto"/>
            <w:noWrap/>
            <w:vAlign w:val="center"/>
            <w:hideMark/>
          </w:tcPr>
          <w:p w14:paraId="524B1029" w14:textId="77777777" w:rsidR="002B6E54" w:rsidRPr="00D60750" w:rsidRDefault="002B6E54" w:rsidP="001D6A73">
            <w:pPr>
              <w:spacing w:after="0" w:line="240" w:lineRule="auto"/>
              <w:jc w:val="right"/>
              <w:rPr>
                <w:rFonts w:ascii="Arial" w:eastAsia="Times New Roman" w:hAnsi="Arial" w:cs="Arial"/>
                <w:b/>
                <w:bCs/>
                <w:color w:val="000000"/>
                <w:sz w:val="20"/>
                <w:szCs w:val="20"/>
              </w:rPr>
            </w:pPr>
            <w:r w:rsidRPr="00D60750">
              <w:rPr>
                <w:rFonts w:ascii="Arial" w:eastAsia="Times New Roman" w:hAnsi="Arial" w:cs="Arial"/>
                <w:b/>
                <w:bCs/>
                <w:color w:val="000000"/>
                <w:sz w:val="20"/>
                <w:szCs w:val="20"/>
              </w:rPr>
              <w:t>Wald Chi-Square</w:t>
            </w:r>
          </w:p>
        </w:tc>
        <w:tc>
          <w:tcPr>
            <w:tcW w:w="1724" w:type="dxa"/>
            <w:tcBorders>
              <w:top w:val="single" w:sz="4" w:space="0" w:color="auto"/>
              <w:bottom w:val="single" w:sz="4" w:space="0" w:color="auto"/>
              <w:right w:val="single" w:sz="4" w:space="0" w:color="auto"/>
            </w:tcBorders>
            <w:shd w:val="pct15" w:color="auto" w:fill="auto"/>
            <w:noWrap/>
            <w:vAlign w:val="center"/>
            <w:hideMark/>
          </w:tcPr>
          <w:p w14:paraId="524B102A" w14:textId="77777777" w:rsidR="002B6E54" w:rsidRPr="00D60750" w:rsidRDefault="002B6E54" w:rsidP="001D6A73">
            <w:pPr>
              <w:spacing w:after="0" w:line="240" w:lineRule="auto"/>
              <w:jc w:val="right"/>
              <w:rPr>
                <w:rFonts w:ascii="Arial" w:eastAsia="Times New Roman" w:hAnsi="Arial" w:cs="Arial"/>
                <w:b/>
                <w:bCs/>
                <w:color w:val="000000"/>
                <w:sz w:val="20"/>
                <w:szCs w:val="20"/>
              </w:rPr>
            </w:pPr>
            <w:r w:rsidRPr="00D60750">
              <w:rPr>
                <w:rFonts w:ascii="Arial" w:eastAsia="Times New Roman" w:hAnsi="Arial" w:cs="Arial"/>
                <w:b/>
                <w:bCs/>
                <w:color w:val="000000"/>
                <w:sz w:val="20"/>
                <w:szCs w:val="20"/>
              </w:rPr>
              <w:t>Pr &gt; Chi-Square</w:t>
            </w:r>
          </w:p>
        </w:tc>
      </w:tr>
      <w:tr w:rsidR="002B6E54" w14:paraId="524B1033" w14:textId="77777777" w:rsidTr="001D6A73">
        <w:trPr>
          <w:trHeight w:val="300"/>
        </w:trPr>
        <w:tc>
          <w:tcPr>
            <w:tcW w:w="1195" w:type="dxa"/>
            <w:tcBorders>
              <w:left w:val="single" w:sz="4" w:space="0" w:color="auto"/>
              <w:bottom w:val="single" w:sz="4" w:space="0" w:color="auto"/>
            </w:tcBorders>
            <w:shd w:val="clear" w:color="auto" w:fill="auto"/>
            <w:noWrap/>
            <w:vAlign w:val="bottom"/>
            <w:hideMark/>
          </w:tcPr>
          <w:p w14:paraId="524B102C" w14:textId="77777777" w:rsidR="002B6E54" w:rsidRPr="00D60750" w:rsidRDefault="002B6E54" w:rsidP="001D6A73">
            <w:pPr>
              <w:spacing w:after="0" w:line="240" w:lineRule="auto"/>
              <w:rPr>
                <w:rFonts w:ascii="Arial" w:eastAsia="Times New Roman" w:hAnsi="Arial" w:cs="Arial"/>
                <w:color w:val="000000"/>
                <w:sz w:val="20"/>
                <w:szCs w:val="20"/>
              </w:rPr>
            </w:pPr>
            <w:r w:rsidRPr="00D60750">
              <w:rPr>
                <w:rFonts w:ascii="Arial" w:eastAsia="Times New Roman" w:hAnsi="Arial" w:cs="Arial"/>
                <w:color w:val="000000"/>
                <w:sz w:val="20"/>
                <w:szCs w:val="20"/>
              </w:rPr>
              <w:t>TRNSFER</w:t>
            </w:r>
          </w:p>
        </w:tc>
        <w:tc>
          <w:tcPr>
            <w:tcW w:w="1642" w:type="dxa"/>
            <w:tcBorders>
              <w:bottom w:val="single" w:sz="4" w:space="0" w:color="auto"/>
            </w:tcBorders>
            <w:vAlign w:val="center"/>
          </w:tcPr>
          <w:p w14:paraId="524B102D" w14:textId="77777777" w:rsidR="002B6E54" w:rsidRPr="00D60750" w:rsidRDefault="002B6E54" w:rsidP="001D6A73">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Transfer-in</w:t>
            </w:r>
          </w:p>
        </w:tc>
        <w:tc>
          <w:tcPr>
            <w:tcW w:w="483" w:type="dxa"/>
            <w:tcBorders>
              <w:bottom w:val="single" w:sz="4" w:space="0" w:color="auto"/>
            </w:tcBorders>
            <w:shd w:val="clear" w:color="auto" w:fill="auto"/>
            <w:noWrap/>
            <w:vAlign w:val="bottom"/>
            <w:hideMark/>
          </w:tcPr>
          <w:p w14:paraId="524B102E" w14:textId="77777777" w:rsidR="002B6E54" w:rsidRDefault="002B6E54" w:rsidP="001D6A73">
            <w:pPr>
              <w:spacing w:after="0" w:line="240" w:lineRule="auto"/>
              <w:jc w:val="right"/>
              <w:rPr>
                <w:rFonts w:ascii="Arial" w:hAnsi="Arial" w:cs="Arial"/>
                <w:color w:val="000000"/>
                <w:sz w:val="20"/>
                <w:szCs w:val="20"/>
              </w:rPr>
            </w:pPr>
            <w:r>
              <w:rPr>
                <w:rFonts w:ascii="Arial" w:hAnsi="Arial" w:cs="Arial"/>
                <w:color w:val="000000"/>
                <w:sz w:val="20"/>
                <w:szCs w:val="20"/>
              </w:rPr>
              <w:t>1</w:t>
            </w:r>
          </w:p>
        </w:tc>
        <w:tc>
          <w:tcPr>
            <w:tcW w:w="1050" w:type="dxa"/>
            <w:tcBorders>
              <w:bottom w:val="single" w:sz="4" w:space="0" w:color="auto"/>
            </w:tcBorders>
            <w:shd w:val="clear" w:color="auto" w:fill="auto"/>
            <w:noWrap/>
            <w:vAlign w:val="bottom"/>
            <w:hideMark/>
          </w:tcPr>
          <w:p w14:paraId="524B102F" w14:textId="77777777" w:rsidR="002B6E54" w:rsidRDefault="002B6E54" w:rsidP="001D6A73">
            <w:pPr>
              <w:spacing w:after="0" w:line="240" w:lineRule="auto"/>
              <w:jc w:val="right"/>
              <w:rPr>
                <w:rFonts w:ascii="Arial" w:hAnsi="Arial" w:cs="Arial"/>
                <w:color w:val="000000"/>
                <w:sz w:val="20"/>
                <w:szCs w:val="20"/>
              </w:rPr>
            </w:pPr>
            <w:r>
              <w:rPr>
                <w:rFonts w:ascii="Arial" w:hAnsi="Arial" w:cs="Arial"/>
                <w:color w:val="000000"/>
                <w:sz w:val="20"/>
                <w:szCs w:val="20"/>
              </w:rPr>
              <w:t>0.6387</w:t>
            </w:r>
          </w:p>
        </w:tc>
        <w:tc>
          <w:tcPr>
            <w:tcW w:w="1666" w:type="dxa"/>
            <w:tcBorders>
              <w:bottom w:val="single" w:sz="4" w:space="0" w:color="auto"/>
            </w:tcBorders>
            <w:shd w:val="clear" w:color="auto" w:fill="auto"/>
            <w:noWrap/>
            <w:vAlign w:val="bottom"/>
            <w:hideMark/>
          </w:tcPr>
          <w:p w14:paraId="524B1030" w14:textId="77777777" w:rsidR="002B6E54" w:rsidRDefault="002B6E54" w:rsidP="001D6A73">
            <w:pPr>
              <w:spacing w:after="0" w:line="240" w:lineRule="auto"/>
              <w:jc w:val="right"/>
              <w:rPr>
                <w:rFonts w:ascii="Arial" w:hAnsi="Arial" w:cs="Arial"/>
                <w:color w:val="000000"/>
                <w:sz w:val="20"/>
                <w:szCs w:val="20"/>
              </w:rPr>
            </w:pPr>
            <w:r>
              <w:rPr>
                <w:rFonts w:ascii="Arial" w:hAnsi="Arial" w:cs="Arial"/>
                <w:color w:val="000000"/>
                <w:sz w:val="20"/>
                <w:szCs w:val="20"/>
              </w:rPr>
              <w:t>0.0633</w:t>
            </w:r>
          </w:p>
        </w:tc>
        <w:tc>
          <w:tcPr>
            <w:tcW w:w="1849" w:type="dxa"/>
            <w:tcBorders>
              <w:bottom w:val="single" w:sz="4" w:space="0" w:color="auto"/>
            </w:tcBorders>
            <w:shd w:val="clear" w:color="auto" w:fill="auto"/>
            <w:noWrap/>
            <w:vAlign w:val="bottom"/>
            <w:hideMark/>
          </w:tcPr>
          <w:p w14:paraId="524B1031" w14:textId="77777777" w:rsidR="002B6E54" w:rsidRDefault="002B6E54" w:rsidP="001D6A73">
            <w:pPr>
              <w:spacing w:after="0" w:line="240" w:lineRule="auto"/>
              <w:jc w:val="right"/>
              <w:rPr>
                <w:rFonts w:ascii="Arial" w:hAnsi="Arial" w:cs="Arial"/>
                <w:color w:val="000000"/>
                <w:sz w:val="20"/>
                <w:szCs w:val="20"/>
              </w:rPr>
            </w:pPr>
            <w:r>
              <w:rPr>
                <w:rFonts w:ascii="Arial" w:hAnsi="Arial" w:cs="Arial"/>
                <w:color w:val="000000"/>
                <w:sz w:val="20"/>
                <w:szCs w:val="20"/>
              </w:rPr>
              <w:t>101.67</w:t>
            </w:r>
          </w:p>
        </w:tc>
        <w:tc>
          <w:tcPr>
            <w:tcW w:w="1724" w:type="dxa"/>
            <w:tcBorders>
              <w:bottom w:val="single" w:sz="4" w:space="0" w:color="auto"/>
              <w:right w:val="single" w:sz="4" w:space="0" w:color="auto"/>
            </w:tcBorders>
            <w:shd w:val="clear" w:color="auto" w:fill="auto"/>
            <w:noWrap/>
            <w:vAlign w:val="bottom"/>
            <w:hideMark/>
          </w:tcPr>
          <w:p w14:paraId="524B1032" w14:textId="77777777" w:rsidR="002B6E54" w:rsidRDefault="002B6E54" w:rsidP="001D6A73">
            <w:pPr>
              <w:spacing w:after="0" w:line="240" w:lineRule="auto"/>
              <w:jc w:val="right"/>
              <w:rPr>
                <w:rFonts w:ascii="Arial" w:hAnsi="Arial" w:cs="Arial"/>
                <w:color w:val="000000"/>
                <w:sz w:val="20"/>
                <w:szCs w:val="20"/>
              </w:rPr>
            </w:pPr>
            <w:r>
              <w:rPr>
                <w:rFonts w:ascii="Arial" w:hAnsi="Arial" w:cs="Arial"/>
                <w:color w:val="000000"/>
                <w:sz w:val="20"/>
                <w:szCs w:val="20"/>
              </w:rPr>
              <w:t>0.0000</w:t>
            </w:r>
          </w:p>
        </w:tc>
      </w:tr>
    </w:tbl>
    <w:p w14:paraId="524B1034" w14:textId="77777777" w:rsidR="00092566" w:rsidRPr="00092566" w:rsidRDefault="00092566" w:rsidP="00092566">
      <w:pPr>
        <w:autoSpaceDE w:val="0"/>
        <w:autoSpaceDN w:val="0"/>
        <w:adjustRightInd w:val="0"/>
        <w:spacing w:after="0" w:line="240" w:lineRule="auto"/>
        <w:rPr>
          <w:rFonts w:cstheme="minorHAnsi"/>
          <w:bCs/>
        </w:rPr>
      </w:pPr>
    </w:p>
    <w:p w14:paraId="524B1035" w14:textId="77777777" w:rsidR="007422FD"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524B1036" w14:textId="77777777" w:rsidR="00097012" w:rsidRPr="00A25024" w:rsidRDefault="002B6E54" w:rsidP="00DB3627">
      <w:pPr>
        <w:autoSpaceDE w:val="0"/>
        <w:autoSpaceDN w:val="0"/>
        <w:adjustRightInd w:val="0"/>
        <w:spacing w:after="0" w:line="240" w:lineRule="auto"/>
        <w:rPr>
          <w:rFonts w:cstheme="minorHAnsi"/>
          <w:bCs/>
        </w:rPr>
      </w:pPr>
      <w:r>
        <w:rPr>
          <w:rFonts w:cstheme="minorHAnsi"/>
          <w:bCs/>
        </w:rPr>
        <w:t>Even after accounting for demographics, severity and co-</w:t>
      </w:r>
      <w:r w:rsidR="00DA6C59">
        <w:rPr>
          <w:rFonts w:cstheme="minorHAnsi"/>
          <w:bCs/>
        </w:rPr>
        <w:t>morbidities</w:t>
      </w:r>
      <w:r>
        <w:rPr>
          <w:rFonts w:cstheme="minorHAnsi"/>
          <w:bCs/>
        </w:rPr>
        <w:t xml:space="preserve"> the cases transferred in have significantly higher </w:t>
      </w:r>
      <w:r w:rsidR="00DA6C59">
        <w:rPr>
          <w:rFonts w:cstheme="minorHAnsi"/>
          <w:bCs/>
        </w:rPr>
        <w:t>risk-adjusted in-hospital</w:t>
      </w:r>
      <w:r>
        <w:rPr>
          <w:rFonts w:cstheme="minorHAnsi"/>
          <w:bCs/>
        </w:rPr>
        <w:t xml:space="preserve"> mortality rates (OR=</w:t>
      </w:r>
      <w:r w:rsidRPr="002B6E54">
        <w:rPr>
          <w:rFonts w:cstheme="minorHAnsi"/>
          <w:bCs/>
        </w:rPr>
        <w:t>1.894</w:t>
      </w:r>
      <w:r>
        <w:rPr>
          <w:rFonts w:cstheme="minorHAnsi"/>
          <w:bCs/>
        </w:rPr>
        <w:t>).  Therefore the transfer-in status is included in our risk-adjustment model.</w:t>
      </w:r>
    </w:p>
    <w:p w14:paraId="524B1037" w14:textId="77777777" w:rsidR="00097012"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524B1038"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5. IDENTIFICATION OF </w:t>
      </w:r>
      <w:r w:rsidR="004B1BA0" w:rsidRPr="00A25024">
        <w:rPr>
          <w:rFonts w:cstheme="minorHAnsi"/>
          <w:b/>
          <w:bCs/>
        </w:rPr>
        <w:t xml:space="preserve">STATISTICALLY SIGNIFICANT &amp; </w:t>
      </w:r>
      <w:r w:rsidRPr="00A25024">
        <w:rPr>
          <w:rFonts w:cstheme="minorHAnsi"/>
          <w:b/>
          <w:bCs/>
        </w:rPr>
        <w:t>MEANINGFUL DIFFERENCES IN PERFORMANCE</w:t>
      </w:r>
    </w:p>
    <w:p w14:paraId="524B1039" w14:textId="77777777" w:rsidR="005333CC" w:rsidRPr="00A25024" w:rsidRDefault="00092566" w:rsidP="00DB3627">
      <w:pPr>
        <w:autoSpaceDE w:val="0"/>
        <w:autoSpaceDN w:val="0"/>
        <w:adjustRightInd w:val="0"/>
        <w:spacing w:after="0" w:line="240" w:lineRule="auto"/>
        <w:rPr>
          <w:rFonts w:cstheme="minorHAnsi"/>
          <w:bCs/>
        </w:rPr>
      </w:pPr>
      <w:r>
        <w:rPr>
          <w:rFonts w:cstheme="minorHAnsi"/>
          <w:b/>
          <w:bCs/>
        </w:rPr>
        <w:t xml:space="preserve">2b5.1. </w:t>
      </w:r>
      <w:r w:rsidR="00927027">
        <w:rPr>
          <w:rFonts w:cstheme="minorHAnsi"/>
          <w:b/>
          <w:bCs/>
        </w:rPr>
        <w:t>Describe the method for</w:t>
      </w:r>
      <w:r w:rsidR="00B8015A" w:rsidRPr="00A25024">
        <w:rPr>
          <w:rFonts w:cstheme="minorHAnsi"/>
          <w:b/>
          <w:bCs/>
        </w:rPr>
        <w:t xml:space="preserve"> det</w:t>
      </w:r>
      <w:r w:rsidR="00927027">
        <w:rPr>
          <w:rFonts w:cstheme="minorHAnsi"/>
          <w:b/>
          <w:bCs/>
        </w:rPr>
        <w:t>ermining</w:t>
      </w:r>
      <w:r w:rsidR="00B8015A" w:rsidRPr="00A25024">
        <w:rPr>
          <w:rFonts w:cstheme="minorHAnsi"/>
          <w:b/>
          <w:bCs/>
        </w:rPr>
        <w:t xml:space="preserve"> if </w:t>
      </w:r>
      <w:r w:rsidR="004B1BA0" w:rsidRPr="00A25024">
        <w:rPr>
          <w:rFonts w:cstheme="minorHAnsi"/>
          <w:b/>
          <w:bCs/>
        </w:rPr>
        <w:t xml:space="preserve">statistically significant and clinically/practically </w:t>
      </w:r>
      <w:r w:rsidR="00B8015A" w:rsidRPr="00A25024">
        <w:rPr>
          <w:rFonts w:cstheme="minorHAnsi"/>
          <w:b/>
          <w:bCs/>
        </w:rPr>
        <w:t xml:space="preserve">meaningful differences in performance </w:t>
      </w:r>
      <w:r w:rsidR="004B1BA0" w:rsidRPr="00A25024">
        <w:rPr>
          <w:rFonts w:cstheme="minorHAnsi"/>
          <w:b/>
          <w:bCs/>
        </w:rPr>
        <w:t xml:space="preserve">measure scores </w:t>
      </w:r>
      <w:r w:rsidR="00B8015A" w:rsidRPr="00A25024">
        <w:rPr>
          <w:rFonts w:cstheme="minorHAnsi"/>
          <w:b/>
          <w:bCs/>
        </w:rPr>
        <w:t xml:space="preserve">among the measured entities </w:t>
      </w:r>
      <w:r w:rsidR="00927027">
        <w:rPr>
          <w:rFonts w:cstheme="minorHAnsi"/>
          <w:b/>
          <w:bCs/>
        </w:rPr>
        <w:t>can</w:t>
      </w:r>
      <w:r w:rsidR="00B8015A" w:rsidRPr="00A25024">
        <w:rPr>
          <w:rFonts w:cstheme="minorHAnsi"/>
          <w:b/>
          <w:bCs/>
        </w:rPr>
        <w:t xml:space="preserve"> be identified</w:t>
      </w:r>
      <w:r w:rsidR="00B8015A" w:rsidRPr="00A25024">
        <w:rPr>
          <w:rFonts w:cstheme="minorHAnsi"/>
          <w:bCs/>
        </w:rPr>
        <w:t xml:space="preserve"> </w:t>
      </w:r>
      <w:r w:rsidR="005333CC" w:rsidRPr="00A25024">
        <w:rPr>
          <w:rFonts w:cstheme="minorHAnsi"/>
          <w:bCs/>
        </w:rPr>
        <w:t>(</w:t>
      </w:r>
      <w:r w:rsidR="00001D73" w:rsidRPr="00A25024">
        <w:rPr>
          <w:rFonts w:cstheme="minorHAnsi"/>
          <w:bCs/>
          <w:i/>
        </w:rPr>
        <w:t>describe the steps―do not just name a method</w:t>
      </w:r>
      <w:r w:rsidR="006C3A4F">
        <w:rPr>
          <w:rFonts w:cstheme="minorHAnsi"/>
          <w:bCs/>
          <w:i/>
        </w:rPr>
        <w:t>; what statistical analysis was used</w:t>
      </w:r>
      <w:r w:rsidR="00E672D6" w:rsidRPr="00A25024">
        <w:rPr>
          <w:rFonts w:cstheme="minorHAnsi"/>
          <w:bCs/>
          <w:i/>
        </w:rPr>
        <w:t>)</w:t>
      </w:r>
      <w:r w:rsidR="005333CC" w:rsidRPr="00A25024">
        <w:rPr>
          <w:rFonts w:cstheme="minorHAnsi"/>
          <w:bCs/>
          <w:i/>
        </w:rPr>
        <w:t xml:space="preserve"> </w:t>
      </w:r>
      <w:r w:rsidR="005333CC" w:rsidRPr="00A25024">
        <w:rPr>
          <w:rFonts w:cstheme="minorHAnsi"/>
          <w:bCs/>
        </w:rPr>
        <w:br/>
        <w:t xml:space="preserve"> </w:t>
      </w:r>
    </w:p>
    <w:p w14:paraId="524B103A" w14:textId="77777777" w:rsidR="00E27240" w:rsidRDefault="002B6E54" w:rsidP="00DB3627">
      <w:pPr>
        <w:autoSpaceDE w:val="0"/>
        <w:autoSpaceDN w:val="0"/>
        <w:adjustRightInd w:val="0"/>
        <w:spacing w:after="0" w:line="240" w:lineRule="auto"/>
        <w:rPr>
          <w:rFonts w:cstheme="minorHAnsi"/>
          <w:bCs/>
        </w:rPr>
      </w:pPr>
      <w:r>
        <w:rPr>
          <w:rFonts w:cstheme="minorHAnsi"/>
          <w:bCs/>
        </w:rPr>
        <w:t>We calculate the p</w:t>
      </w:r>
      <w:r w:rsidRPr="002B6E54">
        <w:rPr>
          <w:rFonts w:cstheme="minorHAnsi"/>
          <w:bCs/>
        </w:rPr>
        <w:t xml:space="preserve">osterior probability distribution </w:t>
      </w:r>
      <w:r>
        <w:rPr>
          <w:rFonts w:cstheme="minorHAnsi"/>
          <w:bCs/>
        </w:rPr>
        <w:t xml:space="preserve">for each hospital </w:t>
      </w:r>
      <w:r w:rsidRPr="002B6E54">
        <w:rPr>
          <w:rFonts w:cstheme="minorHAnsi"/>
          <w:bCs/>
        </w:rPr>
        <w:t>parameterized using the Gamma distribution</w:t>
      </w:r>
      <w:r>
        <w:rPr>
          <w:rFonts w:cstheme="minorHAnsi"/>
          <w:bCs/>
        </w:rPr>
        <w:t>.  We then calculate the probability that the hospital is better</w:t>
      </w:r>
      <w:r w:rsidR="00A37625">
        <w:rPr>
          <w:rFonts w:cstheme="minorHAnsi"/>
          <w:bCs/>
        </w:rPr>
        <w:t xml:space="preserve"> or worse</w:t>
      </w:r>
      <w:r>
        <w:rPr>
          <w:rFonts w:cstheme="minorHAnsi"/>
          <w:bCs/>
        </w:rPr>
        <w:t xml:space="preserve"> than the reference population rate at a 95 percent probability overall and by hospital size decile.</w:t>
      </w:r>
    </w:p>
    <w:p w14:paraId="524B103B" w14:textId="77777777" w:rsidR="0036585B" w:rsidRDefault="0036585B" w:rsidP="00DB3627">
      <w:pPr>
        <w:autoSpaceDE w:val="0"/>
        <w:autoSpaceDN w:val="0"/>
        <w:adjustRightInd w:val="0"/>
        <w:spacing w:after="0" w:line="240" w:lineRule="auto"/>
        <w:rPr>
          <w:rFonts w:cstheme="minorHAnsi"/>
          <w:bCs/>
        </w:rPr>
      </w:pPr>
    </w:p>
    <w:p w14:paraId="524B103C" w14:textId="77777777" w:rsidR="0036585B" w:rsidRDefault="0036585B" w:rsidP="00DB3627">
      <w:pPr>
        <w:autoSpaceDE w:val="0"/>
        <w:autoSpaceDN w:val="0"/>
        <w:adjustRightInd w:val="0"/>
        <w:spacing w:after="0" w:line="240" w:lineRule="auto"/>
        <w:rPr>
          <w:rFonts w:cstheme="minorHAnsi"/>
          <w:bCs/>
        </w:rPr>
      </w:pPr>
      <w:r>
        <w:rPr>
          <w:rFonts w:eastAsia="Times New Roman" w:cs="Times New Roman"/>
          <w:noProof/>
          <w:color w:val="000000"/>
        </w:rPr>
        <w:t>T</w:t>
      </w:r>
      <w:r w:rsidRPr="00491E5B">
        <w:rPr>
          <w:rFonts w:eastAsia="Times New Roman" w:cs="Times New Roman"/>
          <w:noProof/>
          <w:color w:val="000000"/>
        </w:rPr>
        <w:t xml:space="preserve">he analysis </w:t>
      </w:r>
      <w:r>
        <w:rPr>
          <w:rFonts w:eastAsia="Times New Roman" w:cs="Times New Roman"/>
          <w:noProof/>
          <w:color w:val="000000"/>
        </w:rPr>
        <w:t xml:space="preserve">is </w:t>
      </w:r>
      <w:r w:rsidRPr="00491E5B">
        <w:rPr>
          <w:rFonts w:eastAsia="Times New Roman" w:cs="Times New Roman"/>
          <w:noProof/>
          <w:color w:val="000000"/>
        </w:rPr>
        <w:t>with the computed performance scores for the measure as specified (including shrinkage estimator)</w:t>
      </w:r>
      <w:r>
        <w:rPr>
          <w:rFonts w:eastAsia="Times New Roman" w:cs="Times New Roman"/>
          <w:noProof/>
          <w:color w:val="000000"/>
        </w:rPr>
        <w:t>.</w:t>
      </w:r>
    </w:p>
    <w:p w14:paraId="524B103D" w14:textId="77777777" w:rsidR="002B6E54" w:rsidRPr="00A25024" w:rsidRDefault="002B6E54" w:rsidP="00DB3627">
      <w:pPr>
        <w:autoSpaceDE w:val="0"/>
        <w:autoSpaceDN w:val="0"/>
        <w:adjustRightInd w:val="0"/>
        <w:spacing w:after="0" w:line="240" w:lineRule="auto"/>
        <w:rPr>
          <w:rFonts w:cstheme="minorHAnsi"/>
          <w:bCs/>
        </w:rPr>
      </w:pPr>
    </w:p>
    <w:p w14:paraId="524B103E" w14:textId="77777777" w:rsidR="00A35F8F" w:rsidRDefault="00092566" w:rsidP="00927027">
      <w:pPr>
        <w:autoSpaceDE w:val="0"/>
        <w:autoSpaceDN w:val="0"/>
        <w:adjustRightInd w:val="0"/>
        <w:spacing w:after="0" w:line="240" w:lineRule="auto"/>
        <w:rPr>
          <w:rFonts w:cstheme="minorHAnsi"/>
          <w:bCs/>
        </w:rPr>
      </w:pPr>
      <w:r>
        <w:rPr>
          <w:rFonts w:cstheme="minorHAnsi"/>
          <w:b/>
          <w:bCs/>
        </w:rPr>
        <w:t xml:space="preserve">2b5.2. </w:t>
      </w:r>
      <w:r w:rsidR="005333CC" w:rsidRPr="00A25024">
        <w:rPr>
          <w:rFonts w:cstheme="minorHAnsi"/>
          <w:b/>
          <w:bCs/>
        </w:rPr>
        <w:t xml:space="preserve">What were the statistical results </w:t>
      </w:r>
      <w:r w:rsidR="00A35F8F" w:rsidRPr="00A25024">
        <w:rPr>
          <w:rFonts w:cstheme="minorHAnsi"/>
          <w:b/>
          <w:bCs/>
        </w:rPr>
        <w:t>from testing the</w:t>
      </w:r>
      <w:r w:rsidR="005333CC" w:rsidRPr="00A25024">
        <w:rPr>
          <w:rFonts w:cstheme="minorHAnsi"/>
          <w:b/>
          <w:bCs/>
        </w:rPr>
        <w:t xml:space="preserve"> </w:t>
      </w:r>
      <w:r w:rsidR="003116AC" w:rsidRPr="00A25024">
        <w:rPr>
          <w:rFonts w:cstheme="minorHAnsi"/>
          <w:b/>
          <w:bCs/>
        </w:rPr>
        <w:t>ability to identify differences in performance</w:t>
      </w:r>
      <w:r w:rsidR="00E672D6" w:rsidRPr="00A25024">
        <w:rPr>
          <w:rFonts w:cstheme="minorHAnsi"/>
          <w:b/>
          <w:bCs/>
        </w:rPr>
        <w:t xml:space="preserve"> </w:t>
      </w:r>
      <w:r w:rsidR="004B1BA0" w:rsidRPr="00A25024">
        <w:rPr>
          <w:rFonts w:cstheme="minorHAnsi"/>
          <w:b/>
          <w:bCs/>
        </w:rPr>
        <w:t xml:space="preserve">measure scores </w:t>
      </w:r>
      <w:r w:rsidR="00E672D6" w:rsidRPr="00A25024">
        <w:rPr>
          <w:rFonts w:cstheme="minorHAnsi"/>
          <w:b/>
          <w:bCs/>
        </w:rPr>
        <w:t>across measured entities</w:t>
      </w:r>
      <w:r w:rsidR="005333CC" w:rsidRPr="00A25024">
        <w:rPr>
          <w:rFonts w:cstheme="minorHAnsi"/>
          <w:b/>
          <w:bCs/>
        </w:rPr>
        <w:t>?</w:t>
      </w:r>
      <w:r w:rsidR="005333CC" w:rsidRPr="00A25024">
        <w:rPr>
          <w:rFonts w:cstheme="minorHAnsi"/>
          <w:bCs/>
        </w:rPr>
        <w:t xml:space="preserve"> </w:t>
      </w:r>
      <w:r w:rsidR="00287649" w:rsidRPr="00A25024">
        <w:rPr>
          <w:rFonts w:cstheme="minorHAnsi"/>
          <w:bCs/>
        </w:rPr>
        <w:t>(</w:t>
      </w:r>
      <w:r w:rsidR="00287649" w:rsidRPr="00A25024">
        <w:rPr>
          <w:rFonts w:cstheme="minorHAnsi"/>
          <w:bCs/>
          <w:i/>
        </w:rPr>
        <w:t>at a minimum, the distribution of performance measure scores for the measured entities by decile</w:t>
      </w:r>
      <w:r w:rsidR="007A4828" w:rsidRPr="00A25024">
        <w:rPr>
          <w:rFonts w:cstheme="minorHAnsi"/>
          <w:bCs/>
          <w:i/>
        </w:rPr>
        <w:t>/quartile</w:t>
      </w:r>
      <w:r w:rsidR="00287649" w:rsidRPr="00A25024">
        <w:rPr>
          <w:rFonts w:cstheme="minorHAnsi"/>
          <w:bCs/>
          <w:i/>
        </w:rPr>
        <w:t>, mean, std dev; preferably also number and percentage statistically different from mean or some benchmark, different form expected, etc</w:t>
      </w:r>
      <w:r w:rsidR="00287649" w:rsidRPr="00A25024">
        <w:rPr>
          <w:rFonts w:cstheme="minorHAnsi"/>
          <w:bCs/>
        </w:rPr>
        <w:t>.)</w:t>
      </w:r>
      <w:r w:rsidR="005333CC" w:rsidRPr="00A25024">
        <w:rPr>
          <w:rFonts w:cstheme="minorHAnsi"/>
          <w:bCs/>
        </w:rPr>
        <w:br/>
      </w:r>
    </w:p>
    <w:tbl>
      <w:tblPr>
        <w:tblW w:w="5000" w:type="pct"/>
        <w:tblLook w:val="04A0" w:firstRow="1" w:lastRow="0" w:firstColumn="1" w:lastColumn="0" w:noHBand="0" w:noVBand="1"/>
      </w:tblPr>
      <w:tblGrid>
        <w:gridCol w:w="2169"/>
        <w:gridCol w:w="1934"/>
        <w:gridCol w:w="1965"/>
        <w:gridCol w:w="1754"/>
        <w:gridCol w:w="1754"/>
      </w:tblGrid>
      <w:tr w:rsidR="00A37625" w:rsidRPr="002B6E54" w14:paraId="524B1046" w14:textId="77777777" w:rsidTr="00BE20C9">
        <w:trPr>
          <w:trHeight w:val="300"/>
          <w:tblHeader/>
        </w:trPr>
        <w:tc>
          <w:tcPr>
            <w:tcW w:w="1132" w:type="pct"/>
            <w:tcBorders>
              <w:top w:val="single" w:sz="4" w:space="0" w:color="auto"/>
              <w:left w:val="nil"/>
              <w:bottom w:val="single" w:sz="4" w:space="0" w:color="auto"/>
              <w:right w:val="nil"/>
            </w:tcBorders>
            <w:shd w:val="clear" w:color="auto" w:fill="BFBFBF" w:themeFill="background1" w:themeFillShade="BF"/>
            <w:noWrap/>
            <w:vAlign w:val="bottom"/>
            <w:hideMark/>
          </w:tcPr>
          <w:p w14:paraId="524B103F" w14:textId="77777777" w:rsidR="00A37625" w:rsidRPr="002B6E54" w:rsidRDefault="00A37625" w:rsidP="00A37625">
            <w:pPr>
              <w:spacing w:after="0" w:line="240" w:lineRule="auto"/>
              <w:rPr>
                <w:rFonts w:ascii="Calibri" w:eastAsia="Times New Roman" w:hAnsi="Calibri" w:cs="Times New Roman"/>
                <w:b/>
                <w:color w:val="000000"/>
              </w:rPr>
            </w:pPr>
            <w:r w:rsidRPr="00A37625">
              <w:rPr>
                <w:rFonts w:ascii="Calibri" w:eastAsia="Times New Roman" w:hAnsi="Calibri" w:cs="Times New Roman"/>
                <w:b/>
                <w:color w:val="000000"/>
              </w:rPr>
              <w:t>Size Decile</w:t>
            </w:r>
          </w:p>
        </w:tc>
        <w:tc>
          <w:tcPr>
            <w:tcW w:w="1010" w:type="pct"/>
            <w:tcBorders>
              <w:top w:val="single" w:sz="4" w:space="0" w:color="auto"/>
              <w:left w:val="nil"/>
              <w:bottom w:val="single" w:sz="4" w:space="0" w:color="auto"/>
              <w:right w:val="nil"/>
            </w:tcBorders>
            <w:shd w:val="clear" w:color="auto" w:fill="BFBFBF" w:themeFill="background1" w:themeFillShade="BF"/>
            <w:noWrap/>
            <w:vAlign w:val="bottom"/>
            <w:hideMark/>
          </w:tcPr>
          <w:p w14:paraId="524B1040" w14:textId="77777777" w:rsidR="00A37625" w:rsidRPr="002B6E54" w:rsidRDefault="00A37625" w:rsidP="00A37625">
            <w:pPr>
              <w:spacing w:after="0" w:line="240" w:lineRule="auto"/>
              <w:jc w:val="right"/>
              <w:rPr>
                <w:rFonts w:ascii="Calibri" w:eastAsia="Times New Roman" w:hAnsi="Calibri" w:cs="Times New Roman"/>
                <w:b/>
                <w:color w:val="000000"/>
              </w:rPr>
            </w:pPr>
            <w:r w:rsidRPr="00A37625">
              <w:rPr>
                <w:rFonts w:ascii="Calibri" w:eastAsia="Times New Roman" w:hAnsi="Calibri" w:cs="Times New Roman"/>
                <w:b/>
                <w:color w:val="000000"/>
              </w:rPr>
              <w:t>Hospitals</w:t>
            </w:r>
          </w:p>
        </w:tc>
        <w:tc>
          <w:tcPr>
            <w:tcW w:w="1026" w:type="pct"/>
            <w:tcBorders>
              <w:top w:val="single" w:sz="4" w:space="0" w:color="auto"/>
              <w:left w:val="nil"/>
              <w:bottom w:val="single" w:sz="4" w:space="0" w:color="auto"/>
              <w:right w:val="nil"/>
            </w:tcBorders>
            <w:shd w:val="clear" w:color="auto" w:fill="BFBFBF" w:themeFill="background1" w:themeFillShade="BF"/>
            <w:noWrap/>
            <w:vAlign w:val="bottom"/>
            <w:hideMark/>
          </w:tcPr>
          <w:p w14:paraId="524B1041" w14:textId="77777777" w:rsidR="00A37625" w:rsidRPr="002B6E54" w:rsidRDefault="00A37625" w:rsidP="00A37625">
            <w:pPr>
              <w:spacing w:after="0" w:line="240" w:lineRule="auto"/>
              <w:jc w:val="right"/>
              <w:rPr>
                <w:rFonts w:ascii="Calibri" w:eastAsia="Times New Roman" w:hAnsi="Calibri" w:cs="Times New Roman"/>
                <w:b/>
                <w:color w:val="000000"/>
              </w:rPr>
            </w:pPr>
            <w:r>
              <w:rPr>
                <w:rFonts w:ascii="Calibri" w:eastAsia="Times New Roman" w:hAnsi="Calibri" w:cs="Times New Roman"/>
                <w:b/>
                <w:color w:val="000000"/>
              </w:rPr>
              <w:t>Ave. Patients</w:t>
            </w:r>
          </w:p>
        </w:tc>
        <w:tc>
          <w:tcPr>
            <w:tcW w:w="916" w:type="pct"/>
            <w:tcBorders>
              <w:top w:val="single" w:sz="4" w:space="0" w:color="auto"/>
              <w:left w:val="nil"/>
              <w:bottom w:val="single" w:sz="4" w:space="0" w:color="auto"/>
              <w:right w:val="nil"/>
            </w:tcBorders>
            <w:shd w:val="clear" w:color="auto" w:fill="BFBFBF" w:themeFill="background1" w:themeFillShade="BF"/>
            <w:noWrap/>
            <w:vAlign w:val="bottom"/>
            <w:hideMark/>
          </w:tcPr>
          <w:p w14:paraId="524B1042" w14:textId="77777777" w:rsidR="00A37625" w:rsidRDefault="00A37625" w:rsidP="00A37625">
            <w:pPr>
              <w:spacing w:after="0" w:line="240" w:lineRule="auto"/>
              <w:jc w:val="right"/>
              <w:rPr>
                <w:rFonts w:ascii="Calibri" w:eastAsia="Times New Roman" w:hAnsi="Calibri" w:cs="Times New Roman"/>
                <w:b/>
                <w:color w:val="000000"/>
              </w:rPr>
            </w:pPr>
            <w:r>
              <w:rPr>
                <w:rFonts w:ascii="Calibri" w:eastAsia="Times New Roman" w:hAnsi="Calibri" w:cs="Times New Roman"/>
                <w:b/>
                <w:color w:val="000000"/>
              </w:rPr>
              <w:t>Percent</w:t>
            </w:r>
          </w:p>
          <w:p w14:paraId="524B1043" w14:textId="77777777" w:rsidR="00A37625" w:rsidRPr="002B6E54" w:rsidRDefault="00A37625" w:rsidP="00A37625">
            <w:pPr>
              <w:spacing w:after="0" w:line="240" w:lineRule="auto"/>
              <w:jc w:val="right"/>
              <w:rPr>
                <w:rFonts w:ascii="Calibri" w:eastAsia="Times New Roman" w:hAnsi="Calibri" w:cs="Times New Roman"/>
                <w:b/>
                <w:color w:val="000000"/>
              </w:rPr>
            </w:pPr>
            <w:r w:rsidRPr="00A37625">
              <w:rPr>
                <w:rFonts w:ascii="Calibri" w:eastAsia="Times New Roman" w:hAnsi="Calibri" w:cs="Times New Roman"/>
                <w:b/>
                <w:color w:val="000000"/>
              </w:rPr>
              <w:t>Better</w:t>
            </w:r>
          </w:p>
        </w:tc>
        <w:tc>
          <w:tcPr>
            <w:tcW w:w="916" w:type="pct"/>
            <w:tcBorders>
              <w:top w:val="single" w:sz="4" w:space="0" w:color="auto"/>
              <w:left w:val="nil"/>
              <w:bottom w:val="single" w:sz="4" w:space="0" w:color="auto"/>
              <w:right w:val="nil"/>
            </w:tcBorders>
            <w:shd w:val="clear" w:color="auto" w:fill="BFBFBF" w:themeFill="background1" w:themeFillShade="BF"/>
            <w:noWrap/>
            <w:vAlign w:val="bottom"/>
            <w:hideMark/>
          </w:tcPr>
          <w:p w14:paraId="524B1044" w14:textId="77777777" w:rsidR="00A37625" w:rsidRDefault="00A37625" w:rsidP="00A37625">
            <w:pPr>
              <w:spacing w:after="0" w:line="240" w:lineRule="auto"/>
              <w:jc w:val="right"/>
              <w:rPr>
                <w:rFonts w:ascii="Calibri" w:eastAsia="Times New Roman" w:hAnsi="Calibri" w:cs="Times New Roman"/>
                <w:b/>
                <w:color w:val="000000"/>
              </w:rPr>
            </w:pPr>
            <w:r>
              <w:rPr>
                <w:rFonts w:ascii="Calibri" w:eastAsia="Times New Roman" w:hAnsi="Calibri" w:cs="Times New Roman"/>
                <w:b/>
                <w:color w:val="000000"/>
              </w:rPr>
              <w:t>Percent</w:t>
            </w:r>
          </w:p>
          <w:p w14:paraId="524B1045" w14:textId="77777777" w:rsidR="00A37625" w:rsidRPr="002B6E54" w:rsidRDefault="00A37625" w:rsidP="00A37625">
            <w:pPr>
              <w:spacing w:after="0" w:line="240" w:lineRule="auto"/>
              <w:jc w:val="right"/>
              <w:rPr>
                <w:rFonts w:ascii="Calibri" w:eastAsia="Times New Roman" w:hAnsi="Calibri" w:cs="Times New Roman"/>
                <w:b/>
                <w:color w:val="000000"/>
              </w:rPr>
            </w:pPr>
            <w:r w:rsidRPr="00A37625">
              <w:rPr>
                <w:rFonts w:ascii="Calibri" w:eastAsia="Times New Roman" w:hAnsi="Calibri" w:cs="Times New Roman"/>
                <w:b/>
                <w:color w:val="000000"/>
              </w:rPr>
              <w:t>Worse</w:t>
            </w:r>
          </w:p>
        </w:tc>
      </w:tr>
      <w:tr w:rsidR="00A37625" w:rsidRPr="002B6E54" w14:paraId="524B104C" w14:textId="77777777" w:rsidTr="00A37625">
        <w:trPr>
          <w:trHeight w:val="300"/>
        </w:trPr>
        <w:tc>
          <w:tcPr>
            <w:tcW w:w="1132" w:type="pct"/>
            <w:tcBorders>
              <w:top w:val="single" w:sz="4" w:space="0" w:color="auto"/>
              <w:left w:val="nil"/>
              <w:bottom w:val="nil"/>
              <w:right w:val="nil"/>
            </w:tcBorders>
            <w:shd w:val="clear" w:color="auto" w:fill="auto"/>
            <w:noWrap/>
            <w:vAlign w:val="bottom"/>
            <w:hideMark/>
          </w:tcPr>
          <w:p w14:paraId="524B1047" w14:textId="77777777" w:rsidR="00A37625" w:rsidRPr="002B6E54" w:rsidRDefault="00A37625" w:rsidP="00A37625">
            <w:pPr>
              <w:spacing w:after="0" w:line="240" w:lineRule="auto"/>
              <w:rPr>
                <w:rFonts w:ascii="Calibri" w:eastAsia="Times New Roman" w:hAnsi="Calibri" w:cs="Times New Roman"/>
                <w:color w:val="000000"/>
              </w:rPr>
            </w:pPr>
            <w:r w:rsidRPr="002B6E54">
              <w:rPr>
                <w:rFonts w:ascii="Calibri" w:eastAsia="Times New Roman" w:hAnsi="Calibri" w:cs="Times New Roman"/>
                <w:color w:val="000000"/>
              </w:rPr>
              <w:t>1</w:t>
            </w:r>
          </w:p>
        </w:tc>
        <w:tc>
          <w:tcPr>
            <w:tcW w:w="1010" w:type="pct"/>
            <w:tcBorders>
              <w:top w:val="single" w:sz="4" w:space="0" w:color="auto"/>
              <w:left w:val="nil"/>
              <w:bottom w:val="nil"/>
              <w:right w:val="nil"/>
            </w:tcBorders>
            <w:shd w:val="clear" w:color="auto" w:fill="auto"/>
            <w:noWrap/>
            <w:vAlign w:val="bottom"/>
            <w:hideMark/>
          </w:tcPr>
          <w:p w14:paraId="524B1048"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404</w:t>
            </w:r>
          </w:p>
        </w:tc>
        <w:tc>
          <w:tcPr>
            <w:tcW w:w="1026" w:type="pct"/>
            <w:tcBorders>
              <w:top w:val="single" w:sz="4" w:space="0" w:color="auto"/>
              <w:left w:val="nil"/>
              <w:bottom w:val="nil"/>
              <w:right w:val="nil"/>
            </w:tcBorders>
            <w:shd w:val="clear" w:color="auto" w:fill="auto"/>
            <w:noWrap/>
            <w:vAlign w:val="bottom"/>
            <w:hideMark/>
          </w:tcPr>
          <w:p w14:paraId="524B1049"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2.2</w:t>
            </w:r>
          </w:p>
        </w:tc>
        <w:tc>
          <w:tcPr>
            <w:tcW w:w="916" w:type="pct"/>
            <w:tcBorders>
              <w:top w:val="single" w:sz="4" w:space="0" w:color="auto"/>
              <w:left w:val="nil"/>
              <w:bottom w:val="nil"/>
              <w:right w:val="nil"/>
            </w:tcBorders>
            <w:shd w:val="clear" w:color="auto" w:fill="auto"/>
            <w:noWrap/>
            <w:vAlign w:val="bottom"/>
            <w:hideMark/>
          </w:tcPr>
          <w:p w14:paraId="524B104A"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0.00000</w:t>
            </w:r>
          </w:p>
        </w:tc>
        <w:tc>
          <w:tcPr>
            <w:tcW w:w="916" w:type="pct"/>
            <w:tcBorders>
              <w:top w:val="single" w:sz="4" w:space="0" w:color="auto"/>
              <w:left w:val="nil"/>
              <w:bottom w:val="nil"/>
              <w:right w:val="nil"/>
            </w:tcBorders>
            <w:shd w:val="clear" w:color="auto" w:fill="auto"/>
            <w:noWrap/>
            <w:vAlign w:val="bottom"/>
            <w:hideMark/>
          </w:tcPr>
          <w:p w14:paraId="524B104B"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0.56188</w:t>
            </w:r>
          </w:p>
        </w:tc>
      </w:tr>
      <w:tr w:rsidR="00A37625" w:rsidRPr="002B6E54" w14:paraId="524B1052" w14:textId="77777777" w:rsidTr="00A37625">
        <w:trPr>
          <w:trHeight w:val="300"/>
        </w:trPr>
        <w:tc>
          <w:tcPr>
            <w:tcW w:w="1132" w:type="pct"/>
            <w:tcBorders>
              <w:top w:val="nil"/>
              <w:left w:val="nil"/>
              <w:bottom w:val="nil"/>
              <w:right w:val="nil"/>
            </w:tcBorders>
            <w:shd w:val="clear" w:color="auto" w:fill="auto"/>
            <w:noWrap/>
            <w:vAlign w:val="bottom"/>
            <w:hideMark/>
          </w:tcPr>
          <w:p w14:paraId="524B104D" w14:textId="77777777" w:rsidR="00A37625" w:rsidRPr="002B6E54" w:rsidRDefault="00A37625" w:rsidP="00A37625">
            <w:pPr>
              <w:spacing w:after="0" w:line="240" w:lineRule="auto"/>
              <w:rPr>
                <w:rFonts w:ascii="Calibri" w:eastAsia="Times New Roman" w:hAnsi="Calibri" w:cs="Times New Roman"/>
                <w:color w:val="000000"/>
              </w:rPr>
            </w:pPr>
            <w:r w:rsidRPr="002B6E54">
              <w:rPr>
                <w:rFonts w:ascii="Calibri" w:eastAsia="Times New Roman" w:hAnsi="Calibri" w:cs="Times New Roman"/>
                <w:color w:val="000000"/>
              </w:rPr>
              <w:t>2</w:t>
            </w:r>
          </w:p>
        </w:tc>
        <w:tc>
          <w:tcPr>
            <w:tcW w:w="1010" w:type="pct"/>
            <w:tcBorders>
              <w:top w:val="nil"/>
              <w:left w:val="nil"/>
              <w:bottom w:val="nil"/>
              <w:right w:val="nil"/>
            </w:tcBorders>
            <w:shd w:val="clear" w:color="auto" w:fill="auto"/>
            <w:noWrap/>
            <w:vAlign w:val="bottom"/>
            <w:hideMark/>
          </w:tcPr>
          <w:p w14:paraId="524B104E"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403</w:t>
            </w:r>
          </w:p>
        </w:tc>
        <w:tc>
          <w:tcPr>
            <w:tcW w:w="1026" w:type="pct"/>
            <w:tcBorders>
              <w:top w:val="nil"/>
              <w:left w:val="nil"/>
              <w:bottom w:val="nil"/>
              <w:right w:val="nil"/>
            </w:tcBorders>
            <w:shd w:val="clear" w:color="auto" w:fill="auto"/>
            <w:noWrap/>
            <w:vAlign w:val="bottom"/>
            <w:hideMark/>
          </w:tcPr>
          <w:p w14:paraId="524B104F"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7.9</w:t>
            </w:r>
          </w:p>
        </w:tc>
        <w:tc>
          <w:tcPr>
            <w:tcW w:w="916" w:type="pct"/>
            <w:tcBorders>
              <w:top w:val="nil"/>
              <w:left w:val="nil"/>
              <w:bottom w:val="nil"/>
              <w:right w:val="nil"/>
            </w:tcBorders>
            <w:shd w:val="clear" w:color="auto" w:fill="auto"/>
            <w:noWrap/>
            <w:vAlign w:val="bottom"/>
            <w:hideMark/>
          </w:tcPr>
          <w:p w14:paraId="524B1050"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0.00000</w:t>
            </w:r>
          </w:p>
        </w:tc>
        <w:tc>
          <w:tcPr>
            <w:tcW w:w="916" w:type="pct"/>
            <w:tcBorders>
              <w:top w:val="nil"/>
              <w:left w:val="nil"/>
              <w:bottom w:val="nil"/>
              <w:right w:val="nil"/>
            </w:tcBorders>
            <w:shd w:val="clear" w:color="auto" w:fill="auto"/>
            <w:noWrap/>
            <w:vAlign w:val="bottom"/>
            <w:hideMark/>
          </w:tcPr>
          <w:p w14:paraId="524B1051"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0.49380</w:t>
            </w:r>
          </w:p>
        </w:tc>
      </w:tr>
      <w:tr w:rsidR="00A37625" w:rsidRPr="002B6E54" w14:paraId="524B1058" w14:textId="77777777" w:rsidTr="00A37625">
        <w:trPr>
          <w:trHeight w:val="300"/>
        </w:trPr>
        <w:tc>
          <w:tcPr>
            <w:tcW w:w="1132" w:type="pct"/>
            <w:tcBorders>
              <w:top w:val="nil"/>
              <w:left w:val="nil"/>
              <w:bottom w:val="nil"/>
              <w:right w:val="nil"/>
            </w:tcBorders>
            <w:shd w:val="clear" w:color="auto" w:fill="auto"/>
            <w:noWrap/>
            <w:vAlign w:val="bottom"/>
            <w:hideMark/>
          </w:tcPr>
          <w:p w14:paraId="524B1053" w14:textId="77777777" w:rsidR="00A37625" w:rsidRPr="002B6E54" w:rsidRDefault="00A37625" w:rsidP="00A37625">
            <w:pPr>
              <w:spacing w:after="0" w:line="240" w:lineRule="auto"/>
              <w:rPr>
                <w:rFonts w:ascii="Calibri" w:eastAsia="Times New Roman" w:hAnsi="Calibri" w:cs="Times New Roman"/>
                <w:color w:val="000000"/>
              </w:rPr>
            </w:pPr>
            <w:r w:rsidRPr="002B6E54">
              <w:rPr>
                <w:rFonts w:ascii="Calibri" w:eastAsia="Times New Roman" w:hAnsi="Calibri" w:cs="Times New Roman"/>
                <w:color w:val="000000"/>
              </w:rPr>
              <w:t>3</w:t>
            </w:r>
          </w:p>
        </w:tc>
        <w:tc>
          <w:tcPr>
            <w:tcW w:w="1010" w:type="pct"/>
            <w:tcBorders>
              <w:top w:val="nil"/>
              <w:left w:val="nil"/>
              <w:bottom w:val="nil"/>
              <w:right w:val="nil"/>
            </w:tcBorders>
            <w:shd w:val="clear" w:color="auto" w:fill="auto"/>
            <w:noWrap/>
            <w:vAlign w:val="bottom"/>
            <w:hideMark/>
          </w:tcPr>
          <w:p w14:paraId="524B1054"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403</w:t>
            </w:r>
          </w:p>
        </w:tc>
        <w:tc>
          <w:tcPr>
            <w:tcW w:w="1026" w:type="pct"/>
            <w:tcBorders>
              <w:top w:val="nil"/>
              <w:left w:val="nil"/>
              <w:bottom w:val="nil"/>
              <w:right w:val="nil"/>
            </w:tcBorders>
            <w:shd w:val="clear" w:color="auto" w:fill="auto"/>
            <w:noWrap/>
            <w:vAlign w:val="bottom"/>
            <w:hideMark/>
          </w:tcPr>
          <w:p w14:paraId="524B1055"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17.4</w:t>
            </w:r>
          </w:p>
        </w:tc>
        <w:tc>
          <w:tcPr>
            <w:tcW w:w="916" w:type="pct"/>
            <w:tcBorders>
              <w:top w:val="nil"/>
              <w:left w:val="nil"/>
              <w:bottom w:val="nil"/>
              <w:right w:val="nil"/>
            </w:tcBorders>
            <w:shd w:val="clear" w:color="auto" w:fill="auto"/>
            <w:noWrap/>
            <w:vAlign w:val="bottom"/>
            <w:hideMark/>
          </w:tcPr>
          <w:p w14:paraId="524B1056"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0.00000</w:t>
            </w:r>
          </w:p>
        </w:tc>
        <w:tc>
          <w:tcPr>
            <w:tcW w:w="916" w:type="pct"/>
            <w:tcBorders>
              <w:top w:val="nil"/>
              <w:left w:val="nil"/>
              <w:bottom w:val="nil"/>
              <w:right w:val="nil"/>
            </w:tcBorders>
            <w:shd w:val="clear" w:color="auto" w:fill="auto"/>
            <w:noWrap/>
            <w:vAlign w:val="bottom"/>
            <w:hideMark/>
          </w:tcPr>
          <w:p w14:paraId="524B1057"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0.20099</w:t>
            </w:r>
          </w:p>
        </w:tc>
      </w:tr>
      <w:tr w:rsidR="00A37625" w:rsidRPr="002B6E54" w14:paraId="524B105E" w14:textId="77777777" w:rsidTr="00A37625">
        <w:trPr>
          <w:trHeight w:val="300"/>
        </w:trPr>
        <w:tc>
          <w:tcPr>
            <w:tcW w:w="1132" w:type="pct"/>
            <w:tcBorders>
              <w:top w:val="nil"/>
              <w:left w:val="nil"/>
              <w:bottom w:val="nil"/>
              <w:right w:val="nil"/>
            </w:tcBorders>
            <w:shd w:val="clear" w:color="auto" w:fill="auto"/>
            <w:noWrap/>
            <w:vAlign w:val="bottom"/>
            <w:hideMark/>
          </w:tcPr>
          <w:p w14:paraId="524B1059" w14:textId="77777777" w:rsidR="00A37625" w:rsidRPr="002B6E54" w:rsidRDefault="00A37625" w:rsidP="00A37625">
            <w:pPr>
              <w:spacing w:after="0" w:line="240" w:lineRule="auto"/>
              <w:rPr>
                <w:rFonts w:ascii="Calibri" w:eastAsia="Times New Roman" w:hAnsi="Calibri" w:cs="Times New Roman"/>
                <w:color w:val="000000"/>
              </w:rPr>
            </w:pPr>
            <w:r w:rsidRPr="002B6E54">
              <w:rPr>
                <w:rFonts w:ascii="Calibri" w:eastAsia="Times New Roman" w:hAnsi="Calibri" w:cs="Times New Roman"/>
                <w:color w:val="000000"/>
              </w:rPr>
              <w:t>4</w:t>
            </w:r>
          </w:p>
        </w:tc>
        <w:tc>
          <w:tcPr>
            <w:tcW w:w="1010" w:type="pct"/>
            <w:tcBorders>
              <w:top w:val="nil"/>
              <w:left w:val="nil"/>
              <w:bottom w:val="nil"/>
              <w:right w:val="nil"/>
            </w:tcBorders>
            <w:shd w:val="clear" w:color="auto" w:fill="auto"/>
            <w:noWrap/>
            <w:vAlign w:val="bottom"/>
            <w:hideMark/>
          </w:tcPr>
          <w:p w14:paraId="524B105A"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404</w:t>
            </w:r>
          </w:p>
        </w:tc>
        <w:tc>
          <w:tcPr>
            <w:tcW w:w="1026" w:type="pct"/>
            <w:tcBorders>
              <w:top w:val="nil"/>
              <w:left w:val="nil"/>
              <w:bottom w:val="nil"/>
              <w:right w:val="nil"/>
            </w:tcBorders>
            <w:shd w:val="clear" w:color="auto" w:fill="auto"/>
            <w:noWrap/>
            <w:vAlign w:val="bottom"/>
            <w:hideMark/>
          </w:tcPr>
          <w:p w14:paraId="524B105B"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32.3</w:t>
            </w:r>
          </w:p>
        </w:tc>
        <w:tc>
          <w:tcPr>
            <w:tcW w:w="916" w:type="pct"/>
            <w:tcBorders>
              <w:top w:val="nil"/>
              <w:left w:val="nil"/>
              <w:bottom w:val="nil"/>
              <w:right w:val="nil"/>
            </w:tcBorders>
            <w:shd w:val="clear" w:color="auto" w:fill="auto"/>
            <w:noWrap/>
            <w:vAlign w:val="bottom"/>
            <w:hideMark/>
          </w:tcPr>
          <w:p w14:paraId="524B105C"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0.00000</w:t>
            </w:r>
          </w:p>
        </w:tc>
        <w:tc>
          <w:tcPr>
            <w:tcW w:w="916" w:type="pct"/>
            <w:tcBorders>
              <w:top w:val="nil"/>
              <w:left w:val="nil"/>
              <w:bottom w:val="nil"/>
              <w:right w:val="nil"/>
            </w:tcBorders>
            <w:shd w:val="clear" w:color="auto" w:fill="auto"/>
            <w:noWrap/>
            <w:vAlign w:val="bottom"/>
            <w:hideMark/>
          </w:tcPr>
          <w:p w14:paraId="524B105D"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0.10396</w:t>
            </w:r>
          </w:p>
        </w:tc>
      </w:tr>
      <w:tr w:rsidR="00A37625" w:rsidRPr="002B6E54" w14:paraId="524B1064" w14:textId="77777777" w:rsidTr="00A37625">
        <w:trPr>
          <w:trHeight w:val="300"/>
        </w:trPr>
        <w:tc>
          <w:tcPr>
            <w:tcW w:w="1132" w:type="pct"/>
            <w:tcBorders>
              <w:top w:val="nil"/>
              <w:left w:val="nil"/>
              <w:bottom w:val="nil"/>
              <w:right w:val="nil"/>
            </w:tcBorders>
            <w:shd w:val="clear" w:color="auto" w:fill="auto"/>
            <w:noWrap/>
            <w:vAlign w:val="bottom"/>
            <w:hideMark/>
          </w:tcPr>
          <w:p w14:paraId="524B105F" w14:textId="77777777" w:rsidR="00A37625" w:rsidRPr="002B6E54" w:rsidRDefault="00A37625" w:rsidP="00A37625">
            <w:pPr>
              <w:spacing w:after="0" w:line="240" w:lineRule="auto"/>
              <w:rPr>
                <w:rFonts w:ascii="Calibri" w:eastAsia="Times New Roman" w:hAnsi="Calibri" w:cs="Times New Roman"/>
                <w:color w:val="000000"/>
              </w:rPr>
            </w:pPr>
            <w:r w:rsidRPr="002B6E54">
              <w:rPr>
                <w:rFonts w:ascii="Calibri" w:eastAsia="Times New Roman" w:hAnsi="Calibri" w:cs="Times New Roman"/>
                <w:color w:val="000000"/>
              </w:rPr>
              <w:t>5</w:t>
            </w:r>
          </w:p>
        </w:tc>
        <w:tc>
          <w:tcPr>
            <w:tcW w:w="1010" w:type="pct"/>
            <w:tcBorders>
              <w:top w:val="nil"/>
              <w:left w:val="nil"/>
              <w:bottom w:val="nil"/>
              <w:right w:val="nil"/>
            </w:tcBorders>
            <w:shd w:val="clear" w:color="auto" w:fill="auto"/>
            <w:noWrap/>
            <w:vAlign w:val="bottom"/>
            <w:hideMark/>
          </w:tcPr>
          <w:p w14:paraId="524B1060"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403</w:t>
            </w:r>
          </w:p>
        </w:tc>
        <w:tc>
          <w:tcPr>
            <w:tcW w:w="1026" w:type="pct"/>
            <w:tcBorders>
              <w:top w:val="nil"/>
              <w:left w:val="nil"/>
              <w:bottom w:val="nil"/>
              <w:right w:val="nil"/>
            </w:tcBorders>
            <w:shd w:val="clear" w:color="auto" w:fill="auto"/>
            <w:noWrap/>
            <w:vAlign w:val="bottom"/>
            <w:hideMark/>
          </w:tcPr>
          <w:p w14:paraId="524B1061"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55.3</w:t>
            </w:r>
          </w:p>
        </w:tc>
        <w:tc>
          <w:tcPr>
            <w:tcW w:w="916" w:type="pct"/>
            <w:tcBorders>
              <w:top w:val="nil"/>
              <w:left w:val="nil"/>
              <w:bottom w:val="nil"/>
              <w:right w:val="nil"/>
            </w:tcBorders>
            <w:shd w:val="clear" w:color="auto" w:fill="auto"/>
            <w:noWrap/>
            <w:vAlign w:val="bottom"/>
            <w:hideMark/>
          </w:tcPr>
          <w:p w14:paraId="524B1062"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0.00000</w:t>
            </w:r>
          </w:p>
        </w:tc>
        <w:tc>
          <w:tcPr>
            <w:tcW w:w="916" w:type="pct"/>
            <w:tcBorders>
              <w:top w:val="nil"/>
              <w:left w:val="nil"/>
              <w:bottom w:val="nil"/>
              <w:right w:val="nil"/>
            </w:tcBorders>
            <w:shd w:val="clear" w:color="auto" w:fill="auto"/>
            <w:noWrap/>
            <w:vAlign w:val="bottom"/>
            <w:hideMark/>
          </w:tcPr>
          <w:p w14:paraId="524B1063"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0.09429</w:t>
            </w:r>
          </w:p>
        </w:tc>
      </w:tr>
      <w:tr w:rsidR="00A37625" w:rsidRPr="002B6E54" w14:paraId="524B106A" w14:textId="77777777" w:rsidTr="00A37625">
        <w:trPr>
          <w:trHeight w:val="300"/>
        </w:trPr>
        <w:tc>
          <w:tcPr>
            <w:tcW w:w="1132" w:type="pct"/>
            <w:tcBorders>
              <w:top w:val="nil"/>
              <w:left w:val="nil"/>
              <w:bottom w:val="nil"/>
              <w:right w:val="nil"/>
            </w:tcBorders>
            <w:shd w:val="clear" w:color="auto" w:fill="auto"/>
            <w:noWrap/>
            <w:vAlign w:val="bottom"/>
            <w:hideMark/>
          </w:tcPr>
          <w:p w14:paraId="524B1065" w14:textId="77777777" w:rsidR="00A37625" w:rsidRPr="002B6E54" w:rsidRDefault="00A37625" w:rsidP="00A37625">
            <w:pPr>
              <w:spacing w:after="0" w:line="240" w:lineRule="auto"/>
              <w:rPr>
                <w:rFonts w:ascii="Calibri" w:eastAsia="Times New Roman" w:hAnsi="Calibri" w:cs="Times New Roman"/>
                <w:color w:val="000000"/>
              </w:rPr>
            </w:pPr>
            <w:r w:rsidRPr="002B6E54">
              <w:rPr>
                <w:rFonts w:ascii="Calibri" w:eastAsia="Times New Roman" w:hAnsi="Calibri" w:cs="Times New Roman"/>
                <w:color w:val="000000"/>
              </w:rPr>
              <w:t>6</w:t>
            </w:r>
          </w:p>
        </w:tc>
        <w:tc>
          <w:tcPr>
            <w:tcW w:w="1010" w:type="pct"/>
            <w:tcBorders>
              <w:top w:val="nil"/>
              <w:left w:val="nil"/>
              <w:bottom w:val="nil"/>
              <w:right w:val="nil"/>
            </w:tcBorders>
            <w:shd w:val="clear" w:color="auto" w:fill="auto"/>
            <w:noWrap/>
            <w:vAlign w:val="bottom"/>
            <w:hideMark/>
          </w:tcPr>
          <w:p w14:paraId="524B1066"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403</w:t>
            </w:r>
          </w:p>
        </w:tc>
        <w:tc>
          <w:tcPr>
            <w:tcW w:w="1026" w:type="pct"/>
            <w:tcBorders>
              <w:top w:val="nil"/>
              <w:left w:val="nil"/>
              <w:bottom w:val="nil"/>
              <w:right w:val="nil"/>
            </w:tcBorders>
            <w:shd w:val="clear" w:color="auto" w:fill="auto"/>
            <w:noWrap/>
            <w:vAlign w:val="bottom"/>
            <w:hideMark/>
          </w:tcPr>
          <w:p w14:paraId="524B1067"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86.1</w:t>
            </w:r>
          </w:p>
        </w:tc>
        <w:tc>
          <w:tcPr>
            <w:tcW w:w="916" w:type="pct"/>
            <w:tcBorders>
              <w:top w:val="nil"/>
              <w:left w:val="nil"/>
              <w:bottom w:val="nil"/>
              <w:right w:val="nil"/>
            </w:tcBorders>
            <w:shd w:val="clear" w:color="auto" w:fill="auto"/>
            <w:noWrap/>
            <w:vAlign w:val="bottom"/>
            <w:hideMark/>
          </w:tcPr>
          <w:p w14:paraId="524B1068"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0.00000</w:t>
            </w:r>
          </w:p>
        </w:tc>
        <w:tc>
          <w:tcPr>
            <w:tcW w:w="916" w:type="pct"/>
            <w:tcBorders>
              <w:top w:val="nil"/>
              <w:left w:val="nil"/>
              <w:bottom w:val="nil"/>
              <w:right w:val="nil"/>
            </w:tcBorders>
            <w:shd w:val="clear" w:color="auto" w:fill="auto"/>
            <w:noWrap/>
            <w:vAlign w:val="bottom"/>
            <w:hideMark/>
          </w:tcPr>
          <w:p w14:paraId="524B1069"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0.07692</w:t>
            </w:r>
          </w:p>
        </w:tc>
      </w:tr>
      <w:tr w:rsidR="00A37625" w:rsidRPr="002B6E54" w14:paraId="524B1070" w14:textId="77777777" w:rsidTr="00A37625">
        <w:trPr>
          <w:trHeight w:val="300"/>
        </w:trPr>
        <w:tc>
          <w:tcPr>
            <w:tcW w:w="1132" w:type="pct"/>
            <w:tcBorders>
              <w:top w:val="nil"/>
              <w:left w:val="nil"/>
              <w:bottom w:val="nil"/>
              <w:right w:val="nil"/>
            </w:tcBorders>
            <w:shd w:val="clear" w:color="auto" w:fill="auto"/>
            <w:noWrap/>
            <w:vAlign w:val="bottom"/>
            <w:hideMark/>
          </w:tcPr>
          <w:p w14:paraId="524B106B" w14:textId="77777777" w:rsidR="00A37625" w:rsidRPr="002B6E54" w:rsidRDefault="00A37625" w:rsidP="00A37625">
            <w:pPr>
              <w:spacing w:after="0" w:line="240" w:lineRule="auto"/>
              <w:rPr>
                <w:rFonts w:ascii="Calibri" w:eastAsia="Times New Roman" w:hAnsi="Calibri" w:cs="Times New Roman"/>
                <w:color w:val="000000"/>
              </w:rPr>
            </w:pPr>
            <w:r w:rsidRPr="002B6E54">
              <w:rPr>
                <w:rFonts w:ascii="Calibri" w:eastAsia="Times New Roman" w:hAnsi="Calibri" w:cs="Times New Roman"/>
                <w:color w:val="000000"/>
              </w:rPr>
              <w:t>7</w:t>
            </w:r>
          </w:p>
        </w:tc>
        <w:tc>
          <w:tcPr>
            <w:tcW w:w="1010" w:type="pct"/>
            <w:tcBorders>
              <w:top w:val="nil"/>
              <w:left w:val="nil"/>
              <w:bottom w:val="nil"/>
              <w:right w:val="nil"/>
            </w:tcBorders>
            <w:shd w:val="clear" w:color="auto" w:fill="auto"/>
            <w:noWrap/>
            <w:vAlign w:val="bottom"/>
            <w:hideMark/>
          </w:tcPr>
          <w:p w14:paraId="524B106C"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404</w:t>
            </w:r>
          </w:p>
        </w:tc>
        <w:tc>
          <w:tcPr>
            <w:tcW w:w="1026" w:type="pct"/>
            <w:tcBorders>
              <w:top w:val="nil"/>
              <w:left w:val="nil"/>
              <w:bottom w:val="nil"/>
              <w:right w:val="nil"/>
            </w:tcBorders>
            <w:shd w:val="clear" w:color="auto" w:fill="auto"/>
            <w:noWrap/>
            <w:vAlign w:val="bottom"/>
            <w:hideMark/>
          </w:tcPr>
          <w:p w14:paraId="524B106D"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126.0</w:t>
            </w:r>
          </w:p>
        </w:tc>
        <w:tc>
          <w:tcPr>
            <w:tcW w:w="916" w:type="pct"/>
            <w:tcBorders>
              <w:top w:val="nil"/>
              <w:left w:val="nil"/>
              <w:bottom w:val="nil"/>
              <w:right w:val="nil"/>
            </w:tcBorders>
            <w:shd w:val="clear" w:color="auto" w:fill="auto"/>
            <w:noWrap/>
            <w:vAlign w:val="bottom"/>
            <w:hideMark/>
          </w:tcPr>
          <w:p w14:paraId="524B106E"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0.00248</w:t>
            </w:r>
          </w:p>
        </w:tc>
        <w:tc>
          <w:tcPr>
            <w:tcW w:w="916" w:type="pct"/>
            <w:tcBorders>
              <w:top w:val="nil"/>
              <w:left w:val="nil"/>
              <w:bottom w:val="nil"/>
              <w:right w:val="nil"/>
            </w:tcBorders>
            <w:shd w:val="clear" w:color="auto" w:fill="auto"/>
            <w:noWrap/>
            <w:vAlign w:val="bottom"/>
            <w:hideMark/>
          </w:tcPr>
          <w:p w14:paraId="524B106F"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0.07673</w:t>
            </w:r>
          </w:p>
        </w:tc>
      </w:tr>
      <w:tr w:rsidR="00A37625" w:rsidRPr="002B6E54" w14:paraId="524B1076" w14:textId="77777777" w:rsidTr="00A37625">
        <w:trPr>
          <w:trHeight w:val="300"/>
        </w:trPr>
        <w:tc>
          <w:tcPr>
            <w:tcW w:w="1132" w:type="pct"/>
            <w:tcBorders>
              <w:top w:val="nil"/>
              <w:left w:val="nil"/>
              <w:bottom w:val="nil"/>
              <w:right w:val="nil"/>
            </w:tcBorders>
            <w:shd w:val="clear" w:color="auto" w:fill="auto"/>
            <w:noWrap/>
            <w:vAlign w:val="bottom"/>
            <w:hideMark/>
          </w:tcPr>
          <w:p w14:paraId="524B1071" w14:textId="77777777" w:rsidR="00A37625" w:rsidRPr="002B6E54" w:rsidRDefault="00A37625" w:rsidP="00A37625">
            <w:pPr>
              <w:spacing w:after="0" w:line="240" w:lineRule="auto"/>
              <w:rPr>
                <w:rFonts w:ascii="Calibri" w:eastAsia="Times New Roman" w:hAnsi="Calibri" w:cs="Times New Roman"/>
                <w:color w:val="000000"/>
              </w:rPr>
            </w:pPr>
            <w:r w:rsidRPr="002B6E54">
              <w:rPr>
                <w:rFonts w:ascii="Calibri" w:eastAsia="Times New Roman" w:hAnsi="Calibri" w:cs="Times New Roman"/>
                <w:color w:val="000000"/>
              </w:rPr>
              <w:t>8</w:t>
            </w:r>
          </w:p>
        </w:tc>
        <w:tc>
          <w:tcPr>
            <w:tcW w:w="1010" w:type="pct"/>
            <w:tcBorders>
              <w:top w:val="nil"/>
              <w:left w:val="nil"/>
              <w:bottom w:val="nil"/>
              <w:right w:val="nil"/>
            </w:tcBorders>
            <w:shd w:val="clear" w:color="auto" w:fill="auto"/>
            <w:noWrap/>
            <w:vAlign w:val="bottom"/>
            <w:hideMark/>
          </w:tcPr>
          <w:p w14:paraId="524B1072"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403</w:t>
            </w:r>
          </w:p>
        </w:tc>
        <w:tc>
          <w:tcPr>
            <w:tcW w:w="1026" w:type="pct"/>
            <w:tcBorders>
              <w:top w:val="nil"/>
              <w:left w:val="nil"/>
              <w:bottom w:val="nil"/>
              <w:right w:val="nil"/>
            </w:tcBorders>
            <w:shd w:val="clear" w:color="auto" w:fill="auto"/>
            <w:noWrap/>
            <w:vAlign w:val="bottom"/>
            <w:hideMark/>
          </w:tcPr>
          <w:p w14:paraId="524B1073"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176.6</w:t>
            </w:r>
          </w:p>
        </w:tc>
        <w:tc>
          <w:tcPr>
            <w:tcW w:w="916" w:type="pct"/>
            <w:tcBorders>
              <w:top w:val="nil"/>
              <w:left w:val="nil"/>
              <w:bottom w:val="nil"/>
              <w:right w:val="nil"/>
            </w:tcBorders>
            <w:shd w:val="clear" w:color="auto" w:fill="auto"/>
            <w:noWrap/>
            <w:vAlign w:val="bottom"/>
            <w:hideMark/>
          </w:tcPr>
          <w:p w14:paraId="524B1074"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0.01489</w:t>
            </w:r>
          </w:p>
        </w:tc>
        <w:tc>
          <w:tcPr>
            <w:tcW w:w="916" w:type="pct"/>
            <w:tcBorders>
              <w:top w:val="nil"/>
              <w:left w:val="nil"/>
              <w:bottom w:val="nil"/>
              <w:right w:val="nil"/>
            </w:tcBorders>
            <w:shd w:val="clear" w:color="auto" w:fill="auto"/>
            <w:noWrap/>
            <w:vAlign w:val="bottom"/>
            <w:hideMark/>
          </w:tcPr>
          <w:p w14:paraId="524B1075"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0.06203</w:t>
            </w:r>
          </w:p>
        </w:tc>
      </w:tr>
      <w:tr w:rsidR="00A37625" w:rsidRPr="002B6E54" w14:paraId="524B107C" w14:textId="77777777" w:rsidTr="00A37625">
        <w:trPr>
          <w:trHeight w:val="300"/>
        </w:trPr>
        <w:tc>
          <w:tcPr>
            <w:tcW w:w="1132" w:type="pct"/>
            <w:tcBorders>
              <w:top w:val="nil"/>
              <w:left w:val="nil"/>
              <w:bottom w:val="nil"/>
              <w:right w:val="nil"/>
            </w:tcBorders>
            <w:shd w:val="clear" w:color="auto" w:fill="auto"/>
            <w:noWrap/>
            <w:vAlign w:val="bottom"/>
            <w:hideMark/>
          </w:tcPr>
          <w:p w14:paraId="524B1077" w14:textId="77777777" w:rsidR="00A37625" w:rsidRPr="002B6E54" w:rsidRDefault="00A37625" w:rsidP="00A37625">
            <w:pPr>
              <w:spacing w:after="0" w:line="240" w:lineRule="auto"/>
              <w:rPr>
                <w:rFonts w:ascii="Calibri" w:eastAsia="Times New Roman" w:hAnsi="Calibri" w:cs="Times New Roman"/>
                <w:color w:val="000000"/>
              </w:rPr>
            </w:pPr>
            <w:r w:rsidRPr="002B6E54">
              <w:rPr>
                <w:rFonts w:ascii="Calibri" w:eastAsia="Times New Roman" w:hAnsi="Calibri" w:cs="Times New Roman"/>
                <w:color w:val="000000"/>
              </w:rPr>
              <w:t>9</w:t>
            </w:r>
          </w:p>
        </w:tc>
        <w:tc>
          <w:tcPr>
            <w:tcW w:w="1010" w:type="pct"/>
            <w:tcBorders>
              <w:top w:val="nil"/>
              <w:left w:val="nil"/>
              <w:bottom w:val="nil"/>
              <w:right w:val="nil"/>
            </w:tcBorders>
            <w:shd w:val="clear" w:color="auto" w:fill="auto"/>
            <w:noWrap/>
            <w:vAlign w:val="bottom"/>
            <w:hideMark/>
          </w:tcPr>
          <w:p w14:paraId="524B1078"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403</w:t>
            </w:r>
          </w:p>
        </w:tc>
        <w:tc>
          <w:tcPr>
            <w:tcW w:w="1026" w:type="pct"/>
            <w:tcBorders>
              <w:top w:val="nil"/>
              <w:left w:val="nil"/>
              <w:bottom w:val="nil"/>
              <w:right w:val="nil"/>
            </w:tcBorders>
            <w:shd w:val="clear" w:color="auto" w:fill="auto"/>
            <w:noWrap/>
            <w:vAlign w:val="bottom"/>
            <w:hideMark/>
          </w:tcPr>
          <w:p w14:paraId="524B1079"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241.0</w:t>
            </w:r>
          </w:p>
        </w:tc>
        <w:tc>
          <w:tcPr>
            <w:tcW w:w="916" w:type="pct"/>
            <w:tcBorders>
              <w:top w:val="nil"/>
              <w:left w:val="nil"/>
              <w:bottom w:val="nil"/>
              <w:right w:val="nil"/>
            </w:tcBorders>
            <w:shd w:val="clear" w:color="auto" w:fill="auto"/>
            <w:noWrap/>
            <w:vAlign w:val="bottom"/>
            <w:hideMark/>
          </w:tcPr>
          <w:p w14:paraId="524B107A"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0.03722</w:t>
            </w:r>
          </w:p>
        </w:tc>
        <w:tc>
          <w:tcPr>
            <w:tcW w:w="916" w:type="pct"/>
            <w:tcBorders>
              <w:top w:val="nil"/>
              <w:left w:val="nil"/>
              <w:bottom w:val="nil"/>
              <w:right w:val="nil"/>
            </w:tcBorders>
            <w:shd w:val="clear" w:color="auto" w:fill="auto"/>
            <w:noWrap/>
            <w:vAlign w:val="bottom"/>
            <w:hideMark/>
          </w:tcPr>
          <w:p w14:paraId="524B107B"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0.05955</w:t>
            </w:r>
          </w:p>
        </w:tc>
      </w:tr>
      <w:tr w:rsidR="00A37625" w:rsidRPr="002B6E54" w14:paraId="524B1082" w14:textId="77777777" w:rsidTr="00A37625">
        <w:trPr>
          <w:trHeight w:val="300"/>
        </w:trPr>
        <w:tc>
          <w:tcPr>
            <w:tcW w:w="1132" w:type="pct"/>
            <w:tcBorders>
              <w:top w:val="nil"/>
              <w:left w:val="nil"/>
              <w:bottom w:val="single" w:sz="4" w:space="0" w:color="auto"/>
              <w:right w:val="nil"/>
            </w:tcBorders>
            <w:shd w:val="clear" w:color="auto" w:fill="auto"/>
            <w:noWrap/>
            <w:vAlign w:val="bottom"/>
            <w:hideMark/>
          </w:tcPr>
          <w:p w14:paraId="524B107D" w14:textId="77777777" w:rsidR="00A37625" w:rsidRPr="002B6E54" w:rsidRDefault="00A37625" w:rsidP="00A37625">
            <w:pPr>
              <w:spacing w:after="0" w:line="240" w:lineRule="auto"/>
              <w:rPr>
                <w:rFonts w:ascii="Calibri" w:eastAsia="Times New Roman" w:hAnsi="Calibri" w:cs="Times New Roman"/>
                <w:color w:val="000000"/>
              </w:rPr>
            </w:pPr>
            <w:r w:rsidRPr="002B6E54">
              <w:rPr>
                <w:rFonts w:ascii="Calibri" w:eastAsia="Times New Roman" w:hAnsi="Calibri" w:cs="Times New Roman"/>
                <w:color w:val="000000"/>
              </w:rPr>
              <w:t>10</w:t>
            </w:r>
          </w:p>
        </w:tc>
        <w:tc>
          <w:tcPr>
            <w:tcW w:w="1010" w:type="pct"/>
            <w:tcBorders>
              <w:top w:val="nil"/>
              <w:left w:val="nil"/>
              <w:bottom w:val="single" w:sz="4" w:space="0" w:color="auto"/>
              <w:right w:val="nil"/>
            </w:tcBorders>
            <w:shd w:val="clear" w:color="auto" w:fill="auto"/>
            <w:noWrap/>
            <w:vAlign w:val="bottom"/>
            <w:hideMark/>
          </w:tcPr>
          <w:p w14:paraId="524B107E"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403</w:t>
            </w:r>
          </w:p>
        </w:tc>
        <w:tc>
          <w:tcPr>
            <w:tcW w:w="1026" w:type="pct"/>
            <w:tcBorders>
              <w:top w:val="nil"/>
              <w:left w:val="nil"/>
              <w:bottom w:val="single" w:sz="4" w:space="0" w:color="auto"/>
              <w:right w:val="nil"/>
            </w:tcBorders>
            <w:shd w:val="clear" w:color="auto" w:fill="auto"/>
            <w:noWrap/>
            <w:vAlign w:val="bottom"/>
            <w:hideMark/>
          </w:tcPr>
          <w:p w14:paraId="524B107F"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391.9</w:t>
            </w:r>
          </w:p>
        </w:tc>
        <w:tc>
          <w:tcPr>
            <w:tcW w:w="916" w:type="pct"/>
            <w:tcBorders>
              <w:top w:val="nil"/>
              <w:left w:val="nil"/>
              <w:bottom w:val="single" w:sz="4" w:space="0" w:color="auto"/>
              <w:right w:val="nil"/>
            </w:tcBorders>
            <w:shd w:val="clear" w:color="auto" w:fill="auto"/>
            <w:noWrap/>
            <w:vAlign w:val="bottom"/>
            <w:hideMark/>
          </w:tcPr>
          <w:p w14:paraId="524B1080"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0.10670</w:t>
            </w:r>
          </w:p>
        </w:tc>
        <w:tc>
          <w:tcPr>
            <w:tcW w:w="916" w:type="pct"/>
            <w:tcBorders>
              <w:top w:val="nil"/>
              <w:left w:val="nil"/>
              <w:bottom w:val="single" w:sz="4" w:space="0" w:color="auto"/>
              <w:right w:val="nil"/>
            </w:tcBorders>
            <w:shd w:val="clear" w:color="auto" w:fill="auto"/>
            <w:noWrap/>
            <w:vAlign w:val="bottom"/>
            <w:hideMark/>
          </w:tcPr>
          <w:p w14:paraId="524B1081"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0.07692</w:t>
            </w:r>
          </w:p>
        </w:tc>
      </w:tr>
      <w:tr w:rsidR="00A37625" w:rsidRPr="002B6E54" w14:paraId="524B1088" w14:textId="77777777" w:rsidTr="00A37625">
        <w:trPr>
          <w:trHeight w:val="300"/>
        </w:trPr>
        <w:tc>
          <w:tcPr>
            <w:tcW w:w="1132" w:type="pct"/>
            <w:tcBorders>
              <w:top w:val="single" w:sz="4" w:space="0" w:color="auto"/>
              <w:left w:val="nil"/>
              <w:bottom w:val="single" w:sz="4" w:space="0" w:color="auto"/>
              <w:right w:val="nil"/>
            </w:tcBorders>
            <w:shd w:val="clear" w:color="auto" w:fill="auto"/>
            <w:noWrap/>
            <w:vAlign w:val="bottom"/>
            <w:hideMark/>
          </w:tcPr>
          <w:p w14:paraId="524B1083" w14:textId="77777777" w:rsidR="00A37625" w:rsidRPr="002B6E54" w:rsidRDefault="00A37625" w:rsidP="00A37625">
            <w:pPr>
              <w:spacing w:after="0" w:line="240" w:lineRule="auto"/>
              <w:rPr>
                <w:rFonts w:ascii="Calibri" w:eastAsia="Times New Roman" w:hAnsi="Calibri" w:cs="Times New Roman"/>
                <w:color w:val="000000"/>
              </w:rPr>
            </w:pPr>
          </w:p>
        </w:tc>
        <w:tc>
          <w:tcPr>
            <w:tcW w:w="1010" w:type="pct"/>
            <w:tcBorders>
              <w:top w:val="single" w:sz="4" w:space="0" w:color="auto"/>
              <w:left w:val="nil"/>
              <w:bottom w:val="single" w:sz="4" w:space="0" w:color="auto"/>
              <w:right w:val="nil"/>
            </w:tcBorders>
            <w:shd w:val="clear" w:color="auto" w:fill="auto"/>
            <w:noWrap/>
            <w:vAlign w:val="bottom"/>
            <w:hideMark/>
          </w:tcPr>
          <w:p w14:paraId="524B1084"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4</w:t>
            </w:r>
            <w:r>
              <w:rPr>
                <w:rFonts w:ascii="Calibri" w:eastAsia="Times New Roman" w:hAnsi="Calibri" w:cs="Times New Roman"/>
                <w:color w:val="000000"/>
              </w:rPr>
              <w:t>,</w:t>
            </w:r>
            <w:r w:rsidRPr="002B6E54">
              <w:rPr>
                <w:rFonts w:ascii="Calibri" w:eastAsia="Times New Roman" w:hAnsi="Calibri" w:cs="Times New Roman"/>
                <w:color w:val="000000"/>
              </w:rPr>
              <w:t>033</w:t>
            </w:r>
          </w:p>
        </w:tc>
        <w:tc>
          <w:tcPr>
            <w:tcW w:w="1026" w:type="pct"/>
            <w:tcBorders>
              <w:top w:val="single" w:sz="4" w:space="0" w:color="auto"/>
              <w:left w:val="nil"/>
              <w:bottom w:val="single" w:sz="4" w:space="0" w:color="auto"/>
              <w:right w:val="nil"/>
            </w:tcBorders>
            <w:shd w:val="clear" w:color="auto" w:fill="auto"/>
            <w:noWrap/>
            <w:vAlign w:val="bottom"/>
            <w:hideMark/>
          </w:tcPr>
          <w:p w14:paraId="524B1085" w14:textId="77777777" w:rsidR="00A37625" w:rsidRPr="002B6E54" w:rsidRDefault="00A37625" w:rsidP="00A37625">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458</w:t>
            </w:r>
            <w:r>
              <w:rPr>
                <w:rFonts w:ascii="Calibri" w:eastAsia="Times New Roman" w:hAnsi="Calibri" w:cs="Times New Roman"/>
                <w:color w:val="000000"/>
              </w:rPr>
              <w:t>,</w:t>
            </w:r>
            <w:r w:rsidRPr="002B6E54">
              <w:rPr>
                <w:rFonts w:ascii="Calibri" w:eastAsia="Times New Roman" w:hAnsi="Calibri" w:cs="Times New Roman"/>
                <w:color w:val="000000"/>
              </w:rPr>
              <w:t>30</w:t>
            </w:r>
            <w:r>
              <w:rPr>
                <w:rFonts w:ascii="Calibri" w:eastAsia="Times New Roman" w:hAnsi="Calibri" w:cs="Times New Roman"/>
                <w:color w:val="000000"/>
              </w:rPr>
              <w:t>7</w:t>
            </w:r>
          </w:p>
        </w:tc>
        <w:tc>
          <w:tcPr>
            <w:tcW w:w="916" w:type="pct"/>
            <w:tcBorders>
              <w:top w:val="single" w:sz="4" w:space="0" w:color="auto"/>
              <w:left w:val="nil"/>
              <w:bottom w:val="single" w:sz="4" w:space="0" w:color="auto"/>
              <w:right w:val="nil"/>
            </w:tcBorders>
            <w:shd w:val="clear" w:color="auto" w:fill="auto"/>
            <w:noWrap/>
            <w:vAlign w:val="bottom"/>
            <w:hideMark/>
          </w:tcPr>
          <w:p w14:paraId="524B1086"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0.01612</w:t>
            </w:r>
          </w:p>
        </w:tc>
        <w:tc>
          <w:tcPr>
            <w:tcW w:w="916" w:type="pct"/>
            <w:tcBorders>
              <w:top w:val="single" w:sz="4" w:space="0" w:color="auto"/>
              <w:left w:val="nil"/>
              <w:bottom w:val="single" w:sz="4" w:space="0" w:color="auto"/>
              <w:right w:val="nil"/>
            </w:tcBorders>
            <w:shd w:val="clear" w:color="auto" w:fill="auto"/>
            <w:noWrap/>
            <w:vAlign w:val="bottom"/>
            <w:hideMark/>
          </w:tcPr>
          <w:p w14:paraId="524B1087"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0.18076</w:t>
            </w:r>
          </w:p>
        </w:tc>
      </w:tr>
      <w:tr w:rsidR="00A37625" w:rsidRPr="002B6E54" w14:paraId="524B108E" w14:textId="77777777" w:rsidTr="00A37625">
        <w:trPr>
          <w:trHeight w:val="300"/>
        </w:trPr>
        <w:tc>
          <w:tcPr>
            <w:tcW w:w="1132" w:type="pct"/>
            <w:tcBorders>
              <w:top w:val="single" w:sz="4" w:space="0" w:color="auto"/>
              <w:left w:val="nil"/>
              <w:bottom w:val="nil"/>
              <w:right w:val="nil"/>
            </w:tcBorders>
            <w:shd w:val="clear" w:color="auto" w:fill="auto"/>
            <w:noWrap/>
            <w:vAlign w:val="bottom"/>
            <w:hideMark/>
          </w:tcPr>
          <w:p w14:paraId="524B1089" w14:textId="77777777" w:rsidR="00A37625" w:rsidRPr="002B6E54" w:rsidRDefault="00A37625" w:rsidP="00A37625">
            <w:pPr>
              <w:spacing w:after="0" w:line="240" w:lineRule="auto"/>
              <w:rPr>
                <w:rFonts w:ascii="Calibri" w:eastAsia="Times New Roman" w:hAnsi="Calibri" w:cs="Times New Roman"/>
                <w:color w:val="000000"/>
              </w:rPr>
            </w:pPr>
            <w:r>
              <w:rPr>
                <w:rFonts w:ascii="Calibri" w:eastAsia="Times New Roman" w:hAnsi="Calibri" w:cs="Times New Roman"/>
                <w:color w:val="000000"/>
              </w:rPr>
              <w:lastRenderedPageBreak/>
              <w:t>Patient weighted</w:t>
            </w:r>
          </w:p>
        </w:tc>
        <w:tc>
          <w:tcPr>
            <w:tcW w:w="1010" w:type="pct"/>
            <w:tcBorders>
              <w:top w:val="single" w:sz="4" w:space="0" w:color="auto"/>
              <w:left w:val="nil"/>
              <w:bottom w:val="nil"/>
              <w:right w:val="nil"/>
            </w:tcBorders>
            <w:shd w:val="clear" w:color="auto" w:fill="auto"/>
            <w:noWrap/>
            <w:vAlign w:val="bottom"/>
            <w:hideMark/>
          </w:tcPr>
          <w:p w14:paraId="524B108A" w14:textId="77777777" w:rsidR="00A37625" w:rsidRPr="002B6E54" w:rsidRDefault="00A37625" w:rsidP="002B6E54">
            <w:pPr>
              <w:spacing w:after="0" w:line="240" w:lineRule="auto"/>
              <w:rPr>
                <w:rFonts w:ascii="Calibri" w:eastAsia="Times New Roman" w:hAnsi="Calibri" w:cs="Times New Roman"/>
                <w:color w:val="000000"/>
              </w:rPr>
            </w:pPr>
          </w:p>
        </w:tc>
        <w:tc>
          <w:tcPr>
            <w:tcW w:w="1026" w:type="pct"/>
            <w:tcBorders>
              <w:top w:val="single" w:sz="4" w:space="0" w:color="auto"/>
              <w:left w:val="nil"/>
              <w:bottom w:val="nil"/>
              <w:right w:val="nil"/>
            </w:tcBorders>
            <w:shd w:val="clear" w:color="auto" w:fill="auto"/>
            <w:noWrap/>
            <w:vAlign w:val="bottom"/>
            <w:hideMark/>
          </w:tcPr>
          <w:p w14:paraId="524B108B" w14:textId="77777777" w:rsidR="00A37625" w:rsidRPr="002B6E54" w:rsidRDefault="00A37625" w:rsidP="002B6E54">
            <w:pPr>
              <w:spacing w:after="0" w:line="240" w:lineRule="auto"/>
              <w:rPr>
                <w:rFonts w:ascii="Calibri" w:eastAsia="Times New Roman" w:hAnsi="Calibri" w:cs="Times New Roman"/>
                <w:color w:val="000000"/>
              </w:rPr>
            </w:pPr>
          </w:p>
        </w:tc>
        <w:tc>
          <w:tcPr>
            <w:tcW w:w="916" w:type="pct"/>
            <w:tcBorders>
              <w:top w:val="single" w:sz="4" w:space="0" w:color="auto"/>
              <w:left w:val="nil"/>
              <w:bottom w:val="nil"/>
              <w:right w:val="nil"/>
            </w:tcBorders>
            <w:shd w:val="clear" w:color="auto" w:fill="auto"/>
            <w:noWrap/>
            <w:vAlign w:val="bottom"/>
            <w:hideMark/>
          </w:tcPr>
          <w:p w14:paraId="524B108C"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0.05083</w:t>
            </w:r>
          </w:p>
        </w:tc>
        <w:tc>
          <w:tcPr>
            <w:tcW w:w="916" w:type="pct"/>
            <w:tcBorders>
              <w:top w:val="single" w:sz="4" w:space="0" w:color="auto"/>
              <w:left w:val="nil"/>
              <w:bottom w:val="nil"/>
              <w:right w:val="nil"/>
            </w:tcBorders>
            <w:shd w:val="clear" w:color="auto" w:fill="auto"/>
            <w:noWrap/>
            <w:vAlign w:val="bottom"/>
            <w:hideMark/>
          </w:tcPr>
          <w:p w14:paraId="524B108D" w14:textId="77777777" w:rsidR="00A37625" w:rsidRPr="002B6E54" w:rsidRDefault="00A37625" w:rsidP="002B6E54">
            <w:pPr>
              <w:spacing w:after="0" w:line="240" w:lineRule="auto"/>
              <w:jc w:val="right"/>
              <w:rPr>
                <w:rFonts w:ascii="Calibri" w:eastAsia="Times New Roman" w:hAnsi="Calibri" w:cs="Times New Roman"/>
                <w:color w:val="000000"/>
              </w:rPr>
            </w:pPr>
            <w:r w:rsidRPr="002B6E54">
              <w:rPr>
                <w:rFonts w:ascii="Calibri" w:eastAsia="Times New Roman" w:hAnsi="Calibri" w:cs="Times New Roman"/>
                <w:color w:val="000000"/>
              </w:rPr>
              <w:t>0.07969</w:t>
            </w:r>
          </w:p>
        </w:tc>
      </w:tr>
    </w:tbl>
    <w:p w14:paraId="524B108F" w14:textId="77777777" w:rsidR="00927027" w:rsidRPr="00927027" w:rsidRDefault="00927027" w:rsidP="00927027">
      <w:pPr>
        <w:autoSpaceDE w:val="0"/>
        <w:autoSpaceDN w:val="0"/>
        <w:adjustRightInd w:val="0"/>
        <w:spacing w:after="0" w:line="240" w:lineRule="auto"/>
        <w:rPr>
          <w:rFonts w:cstheme="minorHAnsi"/>
          <w:bCs/>
        </w:rPr>
      </w:pPr>
    </w:p>
    <w:p w14:paraId="524B1090" w14:textId="77777777" w:rsidR="00A35F8F" w:rsidRDefault="00927027" w:rsidP="00DB3627">
      <w:pPr>
        <w:autoSpaceDE w:val="0"/>
        <w:autoSpaceDN w:val="0"/>
        <w:adjustRightInd w:val="0"/>
        <w:spacing w:after="0" w:line="240" w:lineRule="auto"/>
        <w:rPr>
          <w:rFonts w:cstheme="minorHAnsi"/>
          <w:bCs/>
        </w:rPr>
      </w:pPr>
      <w:r>
        <w:rPr>
          <w:rFonts w:cstheme="minorHAnsi"/>
          <w:b/>
          <w:bCs/>
        </w:rPr>
        <w:t xml:space="preserve">2b5.3.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4B1BA0" w:rsidRPr="00A25024">
        <w:rPr>
          <w:rFonts w:cstheme="minorHAnsi"/>
          <w:b/>
          <w:bCs/>
        </w:rPr>
        <w:t xml:space="preserve">the </w:t>
      </w:r>
      <w:r w:rsidR="00A35F8F" w:rsidRPr="00A25024">
        <w:rPr>
          <w:rFonts w:cstheme="minorHAnsi"/>
          <w:b/>
          <w:bCs/>
        </w:rPr>
        <w:t xml:space="preserve">ability to identify </w:t>
      </w:r>
      <w:r w:rsidR="004B1BA0" w:rsidRPr="00A25024">
        <w:rPr>
          <w:rFonts w:cstheme="minorHAnsi"/>
          <w:b/>
          <w:bCs/>
        </w:rPr>
        <w:t xml:space="preserve">statistically significant and clinically/practically </w:t>
      </w:r>
      <w:r w:rsidR="00A35F8F" w:rsidRPr="00A25024">
        <w:rPr>
          <w:rFonts w:cstheme="minorHAnsi"/>
          <w:b/>
          <w:bCs/>
        </w:rPr>
        <w:t>meaningful differences in performance across measured entities?</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Pr>
          <w:rFonts w:cstheme="minorHAnsi"/>
          <w:bCs/>
          <w:i/>
        </w:rPr>
        <w:t>?</w:t>
      </w:r>
      <w:r w:rsidR="002B0C3A" w:rsidRPr="00A25024">
        <w:rPr>
          <w:rFonts w:cstheme="minorHAnsi"/>
          <w:bCs/>
        </w:rPr>
        <w:t>)</w:t>
      </w:r>
      <w:r w:rsidR="00A35F8F" w:rsidRPr="00A25024">
        <w:rPr>
          <w:rFonts w:cstheme="minorHAnsi"/>
          <w:bCs/>
        </w:rPr>
        <w:br/>
      </w:r>
    </w:p>
    <w:p w14:paraId="524B1091" w14:textId="77777777" w:rsidR="00A37625" w:rsidRPr="00A25024" w:rsidRDefault="001D6A73" w:rsidP="00DB3627">
      <w:pPr>
        <w:autoSpaceDE w:val="0"/>
        <w:autoSpaceDN w:val="0"/>
        <w:adjustRightInd w:val="0"/>
        <w:spacing w:after="0" w:line="240" w:lineRule="auto"/>
        <w:rPr>
          <w:rFonts w:cstheme="minorHAnsi"/>
          <w:bCs/>
        </w:rPr>
      </w:pPr>
      <w:r>
        <w:rPr>
          <w:rFonts w:cstheme="minorHAnsi"/>
          <w:bCs/>
        </w:rPr>
        <w:t xml:space="preserve">Low volume hospitals are more likely to be identified as performing worse than the reference population rate primarily because of the volume / persistence effect.  Although </w:t>
      </w:r>
      <w:r w:rsidR="00DA6C59">
        <w:rPr>
          <w:rFonts w:cstheme="minorHAnsi"/>
          <w:bCs/>
        </w:rPr>
        <w:t xml:space="preserve">more </w:t>
      </w:r>
      <w:r>
        <w:rPr>
          <w:rFonts w:cstheme="minorHAnsi"/>
          <w:bCs/>
        </w:rPr>
        <w:t>hospitals are likely to be identified as performing worse than performing better, because patients are concentrated in high volume hospitals, about 5.1% of patients are in better performing hospitals, and 8.0% of patients are in worse performing hospitals.  Therefore the measure provides useful information on hospital performance</w:t>
      </w:r>
      <w:r w:rsidR="00DA6C59">
        <w:rPr>
          <w:rFonts w:cstheme="minorHAnsi"/>
          <w:bCs/>
        </w:rPr>
        <w:t xml:space="preserve"> for selection and change</w:t>
      </w:r>
      <w:r>
        <w:rPr>
          <w:rFonts w:cstheme="minorHAnsi"/>
          <w:bCs/>
        </w:rPr>
        <w:t>.</w:t>
      </w:r>
    </w:p>
    <w:p w14:paraId="524B1092"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_______________________________</w:t>
      </w:r>
    </w:p>
    <w:p w14:paraId="524B1093" w14:textId="77777777" w:rsidR="0086464B" w:rsidRPr="0086464B" w:rsidRDefault="0086464B" w:rsidP="00092566">
      <w:pPr>
        <w:autoSpaceDE w:val="0"/>
        <w:autoSpaceDN w:val="0"/>
        <w:adjustRightInd w:val="0"/>
        <w:spacing w:after="0" w:line="240" w:lineRule="auto"/>
        <w:rPr>
          <w:rFonts w:cstheme="minorHAnsi"/>
          <w:b/>
          <w:bCs/>
          <w:i/>
        </w:rPr>
      </w:pPr>
      <w:r w:rsidRPr="0086464B">
        <w:rPr>
          <w:rFonts w:cstheme="minorHAnsi"/>
          <w:b/>
          <w:bCs/>
          <w:i/>
          <w:highlight w:val="green"/>
        </w:rPr>
        <w:t>If not an intermediate or health outcome or resource use measure, this section can be deleted</w:t>
      </w:r>
    </w:p>
    <w:p w14:paraId="524B1094" w14:textId="77777777" w:rsidR="008871A9" w:rsidRDefault="00092566" w:rsidP="00092566">
      <w:pPr>
        <w:autoSpaceDE w:val="0"/>
        <w:autoSpaceDN w:val="0"/>
        <w:adjustRightInd w:val="0"/>
        <w:spacing w:after="0" w:line="240" w:lineRule="auto"/>
        <w:rPr>
          <w:rFonts w:cstheme="minorHAnsi"/>
          <w:b/>
          <w:bCs/>
        </w:rPr>
      </w:pPr>
      <w:r w:rsidRPr="00A25024">
        <w:rPr>
          <w:rFonts w:cstheme="minorHAnsi"/>
          <w:b/>
          <w:bCs/>
        </w:rPr>
        <w:t>2b4. RISK ADJUSTMENT/STRATIFICATION FOR OUTCOME OR RESOURCE USE MEASURES</w:t>
      </w:r>
      <w:r w:rsidRPr="00A25024">
        <w:rPr>
          <w:rFonts w:cstheme="minorHAnsi"/>
          <w:bCs/>
        </w:rPr>
        <w:br/>
      </w:r>
    </w:p>
    <w:p w14:paraId="524B1095" w14:textId="77777777" w:rsidR="00743E46" w:rsidRPr="005232D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524B1096" w14:textId="77777777" w:rsidR="00743E46" w:rsidRPr="005232D6" w:rsidRDefault="007E3559" w:rsidP="00092566">
      <w:pPr>
        <w:autoSpaceDE w:val="0"/>
        <w:autoSpaceDN w:val="0"/>
        <w:adjustRightInd w:val="0"/>
        <w:spacing w:after="0" w:line="240" w:lineRule="auto"/>
        <w:rPr>
          <w:rFonts w:cstheme="minorHAnsi"/>
          <w:b/>
          <w:bCs/>
        </w:rPr>
      </w:pPr>
      <w:sdt>
        <w:sdtPr>
          <w:rPr>
            <w:rFonts w:eastAsia="MS Gothic" w:cstheme="minorHAnsi"/>
            <w:b/>
            <w:bCs/>
            <w:color w:val="0000FF"/>
          </w:rPr>
          <w:id w:val="261192192"/>
        </w:sdtPr>
        <w:sdtEndPr/>
        <w:sdtContent>
          <w:r w:rsidR="005232D6" w:rsidRPr="00A25024">
            <w:rPr>
              <w:rFonts w:ascii="MS Gothic" w:eastAsia="MS Gothic" w:hAnsi="MS Gothic" w:cs="MS Gothic" w:hint="eastAsia"/>
              <w:b/>
              <w:bCs/>
              <w:color w:val="0000FF"/>
            </w:rPr>
            <w:t>☐</w:t>
          </w:r>
        </w:sdtContent>
      </w:sdt>
      <w:r w:rsidR="005232D6" w:rsidRPr="00A25024">
        <w:rPr>
          <w:rFonts w:eastAsia="MS Gothic" w:cstheme="minorHAnsi"/>
          <w:b/>
          <w:bCs/>
          <w:color w:val="0000FF"/>
        </w:rPr>
        <w:t xml:space="preserve"> </w:t>
      </w:r>
      <w:r w:rsidR="00743E46" w:rsidRPr="003B3CEC">
        <w:rPr>
          <w:rFonts w:cstheme="minorHAnsi"/>
          <w:b/>
          <w:bCs/>
          <w:highlight w:val="yellow"/>
        </w:rPr>
        <w:t>Statistical risk model with</w:t>
      </w:r>
      <w:r w:rsidR="00743E46" w:rsidRPr="00050A3E">
        <w:rPr>
          <w:rFonts w:cstheme="minorHAnsi"/>
          <w:b/>
          <w:bCs/>
        </w:rPr>
        <w:t xml:space="preserve"> </w:t>
      </w:r>
      <w:sdt>
        <w:sdtPr>
          <w:rPr>
            <w:rStyle w:val="Style4"/>
            <w:u w:val="none"/>
          </w:rPr>
          <w:id w:val="309760327"/>
          <w:text/>
        </w:sdtPr>
        <w:sdtEndPr>
          <w:rPr>
            <w:rStyle w:val="DefaultParagraphFont"/>
            <w:rFonts w:asciiTheme="minorHAnsi" w:hAnsiTheme="minorHAnsi" w:cstheme="minorHAnsi"/>
            <w:b w:val="0"/>
            <w:bCs/>
            <w:color w:val="auto"/>
          </w:rPr>
        </w:sdtEndPr>
        <w:sdtContent>
          <w:r w:rsidR="003B3CEC">
            <w:rPr>
              <w:rStyle w:val="Style4"/>
              <w:u w:val="none"/>
            </w:rPr>
            <w:t>25</w:t>
          </w:r>
        </w:sdtContent>
      </w:sdt>
      <w:r w:rsidR="00E562C0" w:rsidRPr="006F22A5">
        <w:rPr>
          <w:rStyle w:val="Style4"/>
          <w:u w:val="none"/>
        </w:rPr>
        <w:t xml:space="preserve"> </w:t>
      </w:r>
      <w:r w:rsidR="00743E46" w:rsidRPr="005232D6">
        <w:rPr>
          <w:rFonts w:cstheme="minorHAnsi"/>
          <w:b/>
          <w:bCs/>
        </w:rPr>
        <w:t>risk factors</w:t>
      </w:r>
    </w:p>
    <w:p w14:paraId="524B1097" w14:textId="77777777" w:rsidR="00743E46" w:rsidRPr="005232D6" w:rsidRDefault="007E3559" w:rsidP="00092566">
      <w:pPr>
        <w:autoSpaceDE w:val="0"/>
        <w:autoSpaceDN w:val="0"/>
        <w:adjustRightInd w:val="0"/>
        <w:spacing w:after="0" w:line="240" w:lineRule="auto"/>
        <w:rPr>
          <w:rFonts w:cstheme="minorHAnsi"/>
          <w:b/>
          <w:bCs/>
        </w:rPr>
      </w:pPr>
      <w:sdt>
        <w:sdtPr>
          <w:rPr>
            <w:rFonts w:eastAsia="MS Gothic" w:cstheme="minorHAnsi"/>
            <w:b/>
            <w:bCs/>
            <w:color w:val="0000FF"/>
          </w:rPr>
          <w:id w:val="1712852012"/>
        </w:sdtPr>
        <w:sdtEndPr/>
        <w:sdtContent>
          <w:r w:rsidR="005232D6" w:rsidRPr="00A25024">
            <w:rPr>
              <w:rFonts w:ascii="MS Gothic" w:eastAsia="MS Gothic" w:hAnsi="MS Gothic" w:cs="MS Gothic" w:hint="eastAsia"/>
              <w:b/>
              <w:bCs/>
              <w:color w:val="0000FF"/>
            </w:rPr>
            <w:t>☐</w:t>
          </w:r>
        </w:sdtContent>
      </w:sdt>
      <w:r w:rsidR="005232D6" w:rsidRPr="00A25024">
        <w:rPr>
          <w:rFonts w:eastAsia="MS Gothic"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524B1098" w14:textId="77777777" w:rsidR="00743E46" w:rsidRPr="005232D6" w:rsidRDefault="007E3559" w:rsidP="00092566">
      <w:pPr>
        <w:autoSpaceDE w:val="0"/>
        <w:autoSpaceDN w:val="0"/>
        <w:adjustRightInd w:val="0"/>
        <w:spacing w:after="0" w:line="240" w:lineRule="auto"/>
        <w:rPr>
          <w:rFonts w:cstheme="minorHAnsi"/>
          <w:b/>
          <w:bCs/>
        </w:rPr>
      </w:pPr>
      <w:sdt>
        <w:sdtPr>
          <w:rPr>
            <w:rFonts w:eastAsia="MS Gothic" w:cstheme="minorHAnsi"/>
            <w:b/>
            <w:bCs/>
            <w:color w:val="0000FF"/>
          </w:rPr>
          <w:id w:val="-1279799086"/>
        </w:sdtPr>
        <w:sdtEndPr/>
        <w:sdtContent>
          <w:r w:rsidR="005232D6" w:rsidRPr="00A25024">
            <w:rPr>
              <w:rFonts w:ascii="MS Gothic" w:eastAsia="MS Gothic" w:hAnsi="MS Gothic" w:cs="MS Gothic" w:hint="eastAsia"/>
              <w:b/>
              <w:bCs/>
              <w:color w:val="0000FF"/>
            </w:rPr>
            <w:t>☐</w:t>
          </w:r>
        </w:sdtContent>
      </w:sdt>
      <w:r w:rsidR="005232D6" w:rsidRPr="00A25024">
        <w:rPr>
          <w:rFonts w:eastAsia="MS Gothic" w:cstheme="minorHAnsi"/>
          <w:b/>
          <w:bCs/>
          <w:color w:val="0000FF"/>
        </w:rPr>
        <w:t xml:space="preserve"> </w:t>
      </w:r>
      <w:r w:rsidR="00743E46" w:rsidRPr="005232D6">
        <w:rPr>
          <w:rFonts w:cstheme="minorHAnsi"/>
          <w:b/>
          <w:bCs/>
        </w:rPr>
        <w:t>No risk adjustment or stratification</w:t>
      </w:r>
    </w:p>
    <w:p w14:paraId="524B1099" w14:textId="77777777" w:rsidR="00743E46" w:rsidRPr="005232D6" w:rsidRDefault="007E3559" w:rsidP="00092566">
      <w:pPr>
        <w:autoSpaceDE w:val="0"/>
        <w:autoSpaceDN w:val="0"/>
        <w:adjustRightInd w:val="0"/>
        <w:spacing w:after="0" w:line="240" w:lineRule="auto"/>
        <w:rPr>
          <w:rFonts w:cstheme="minorHAnsi"/>
          <w:b/>
          <w:bCs/>
        </w:rPr>
      </w:pPr>
      <w:sdt>
        <w:sdtPr>
          <w:rPr>
            <w:rFonts w:eastAsia="MS Gothic" w:cstheme="minorHAnsi"/>
            <w:b/>
            <w:bCs/>
            <w:color w:val="0000FF"/>
          </w:rPr>
          <w:id w:val="-1199393094"/>
        </w:sdtPr>
        <w:sdtEndPr/>
        <w:sdtContent>
          <w:r w:rsidR="005232D6" w:rsidRPr="00A25024">
            <w:rPr>
              <w:rFonts w:ascii="MS Gothic" w:eastAsia="MS Gothic" w:hAnsi="MS Gothic" w:cs="MS Gothic" w:hint="eastAsia"/>
              <w:b/>
              <w:bCs/>
              <w:color w:val="0000FF"/>
            </w:rPr>
            <w:t>☐</w:t>
          </w:r>
        </w:sdtContent>
      </w:sdt>
      <w:r w:rsidR="005232D6" w:rsidRPr="00A25024">
        <w:rPr>
          <w:rFonts w:eastAsia="MS Gothic"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524B109A" w14:textId="77777777" w:rsidR="00743E46" w:rsidRDefault="00743E46" w:rsidP="00092566">
      <w:pPr>
        <w:autoSpaceDE w:val="0"/>
        <w:autoSpaceDN w:val="0"/>
        <w:adjustRightInd w:val="0"/>
        <w:spacing w:after="0" w:line="240" w:lineRule="auto"/>
        <w:rPr>
          <w:rFonts w:cstheme="minorHAnsi"/>
          <w:b/>
          <w:bCs/>
        </w:rPr>
      </w:pPr>
    </w:p>
    <w:p w14:paraId="524B109B" w14:textId="77777777" w:rsidR="00092566"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14:paraId="524B109C" w14:textId="77777777" w:rsidR="003B3CEC" w:rsidRPr="00A25024" w:rsidRDefault="003B3CEC" w:rsidP="00092566">
      <w:pPr>
        <w:autoSpaceDE w:val="0"/>
        <w:autoSpaceDN w:val="0"/>
        <w:adjustRightInd w:val="0"/>
        <w:spacing w:after="0" w:line="240" w:lineRule="auto"/>
        <w:rPr>
          <w:rFonts w:cstheme="minorHAnsi"/>
          <w:bCs/>
        </w:rPr>
      </w:pPr>
      <w:r>
        <w:rPr>
          <w:rFonts w:cstheme="minorHAnsi"/>
          <w:bCs/>
        </w:rPr>
        <w:t>Not applicable</w:t>
      </w:r>
    </w:p>
    <w:p w14:paraId="524B109D"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524B109E" w14:textId="77777777" w:rsidR="0009256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e.g., potential factors identified in literature and/or expert panel; regression analysis; statistical significance of p&lt;0.10; correlation of x or higher</w:t>
      </w:r>
      <w:r w:rsidRPr="00A25024">
        <w:rPr>
          <w:rFonts w:cstheme="minorHAnsi"/>
          <w:bCs/>
        </w:rPr>
        <w:t>)</w:t>
      </w:r>
      <w:r w:rsidRPr="00A25024">
        <w:rPr>
          <w:rFonts w:cstheme="minorHAnsi"/>
          <w:bCs/>
        </w:rPr>
        <w:br/>
      </w:r>
    </w:p>
    <w:p w14:paraId="524B109F" w14:textId="77777777" w:rsidR="001D6A73" w:rsidRDefault="001D6A73" w:rsidP="00001D73">
      <w:pPr>
        <w:autoSpaceDE w:val="0"/>
        <w:autoSpaceDN w:val="0"/>
        <w:adjustRightInd w:val="0"/>
        <w:spacing w:after="0" w:line="240" w:lineRule="auto"/>
        <w:rPr>
          <w:rFonts w:cstheme="minorHAnsi"/>
          <w:bCs/>
        </w:rPr>
      </w:pPr>
      <w:r>
        <w:rPr>
          <w:rFonts w:cstheme="minorHAnsi"/>
          <w:bCs/>
        </w:rPr>
        <w:t xml:space="preserve">The Inpatient Quality Indicators (IQI) use a standard set of risk factors based on gender, age in 5-year age groups, severity as defined by APR-DRG and comorbidity as defined by the APR-DRG risk-of-mortality subclass.  There are additional covariates tested such as transfer-in status and the availability of data elements such as point of origin or procedure days.   </w:t>
      </w:r>
    </w:p>
    <w:p w14:paraId="524B10A0" w14:textId="77777777" w:rsidR="001D6A73" w:rsidRDefault="001D6A73" w:rsidP="00001D73">
      <w:pPr>
        <w:autoSpaceDE w:val="0"/>
        <w:autoSpaceDN w:val="0"/>
        <w:adjustRightInd w:val="0"/>
        <w:spacing w:after="0" w:line="240" w:lineRule="auto"/>
        <w:rPr>
          <w:rFonts w:cstheme="minorHAnsi"/>
          <w:bCs/>
        </w:rPr>
      </w:pPr>
    </w:p>
    <w:p w14:paraId="524B10A1" w14:textId="77777777" w:rsidR="001D6A73" w:rsidRDefault="001D6A73" w:rsidP="00001D73">
      <w:pPr>
        <w:autoSpaceDE w:val="0"/>
        <w:autoSpaceDN w:val="0"/>
        <w:adjustRightInd w:val="0"/>
        <w:spacing w:after="0" w:line="240" w:lineRule="auto"/>
        <w:rPr>
          <w:rFonts w:cstheme="minorHAnsi"/>
          <w:bCs/>
        </w:rPr>
      </w:pPr>
      <w:r>
        <w:rPr>
          <w:rFonts w:cstheme="minorHAnsi"/>
          <w:bCs/>
        </w:rPr>
        <w:t xml:space="preserve">The selection criteria are whether there are at least 30 cases in the numerator for the covariate, and then whether the coefficient on the covariate is statistically significant (p&lt;.05).  If not statistically significant, then covariates are pooled along the risk gradient (e.g. proximate age categories or risk-of-mortality subclass).  If there is no gradient (e.g. APR-DRG) then covariates are pooled in a hierarchy.  For example, APR-DRG are pooled into Major Diagnosis Category (MDC). </w:t>
      </w:r>
    </w:p>
    <w:p w14:paraId="524B10A2" w14:textId="77777777" w:rsidR="0036585B" w:rsidRDefault="0036585B" w:rsidP="00001D73">
      <w:pPr>
        <w:autoSpaceDE w:val="0"/>
        <w:autoSpaceDN w:val="0"/>
        <w:adjustRightInd w:val="0"/>
        <w:spacing w:after="0" w:line="240" w:lineRule="auto"/>
        <w:rPr>
          <w:rFonts w:cstheme="minorHAnsi"/>
          <w:bCs/>
        </w:rPr>
      </w:pPr>
    </w:p>
    <w:p w14:paraId="524B10A3" w14:textId="77777777" w:rsidR="0036585B" w:rsidRDefault="0036585B" w:rsidP="00001D73">
      <w:pPr>
        <w:autoSpaceDE w:val="0"/>
        <w:autoSpaceDN w:val="0"/>
        <w:adjustRightInd w:val="0"/>
        <w:spacing w:after="0" w:line="240" w:lineRule="auto"/>
        <w:rPr>
          <w:rFonts w:cstheme="minorHAnsi"/>
          <w:bCs/>
        </w:rPr>
      </w:pPr>
      <w:r>
        <w:rPr>
          <w:rFonts w:eastAsia="Times New Roman" w:cs="Times New Roman"/>
          <w:noProof/>
          <w:color w:val="000000"/>
        </w:rPr>
        <w:t xml:space="preserve">Variables are eliminated if not statisically significant (p&lt;.05).    If the covariate has a risk gradient (e.g. the risk increases with age) then cojoining age categories (e.g. 60-64, 65-69) that are not significant are </w:t>
      </w:r>
      <w:r>
        <w:rPr>
          <w:rFonts w:eastAsia="Times New Roman" w:cs="Times New Roman"/>
          <w:noProof/>
          <w:color w:val="000000"/>
        </w:rPr>
        <w:lastRenderedPageBreak/>
        <w:t>combined with age categoires that are significant (or with the omitted category).  If the category is hiearhical (e.g. risk-of-mortality subclass are grouped within APR-DRG, APR-DRG are grouped within MDC) then covariates that are not significant are pooled “up” the hierachy</w:t>
      </w:r>
    </w:p>
    <w:p w14:paraId="524B10A4" w14:textId="77777777" w:rsidR="00001D73" w:rsidRPr="00001D73" w:rsidRDefault="00001D73" w:rsidP="00001D73">
      <w:pPr>
        <w:autoSpaceDE w:val="0"/>
        <w:autoSpaceDN w:val="0"/>
        <w:adjustRightInd w:val="0"/>
        <w:spacing w:after="0" w:line="240" w:lineRule="auto"/>
        <w:rPr>
          <w:rFonts w:cstheme="minorHAnsi"/>
          <w:bCs/>
        </w:rPr>
      </w:pPr>
    </w:p>
    <w:p w14:paraId="524B10A5" w14:textId="77777777" w:rsidR="00092566" w:rsidRDefault="00092566" w:rsidP="00001D73">
      <w:pPr>
        <w:autoSpaceDE w:val="0"/>
        <w:autoSpaceDN w:val="0"/>
        <w:adjustRightInd w:val="0"/>
        <w:spacing w:after="0" w:line="240" w:lineRule="auto"/>
        <w:rPr>
          <w:rFonts w:cstheme="minorHAnsi"/>
          <w:b/>
          <w:bCs/>
        </w:rPr>
      </w:pPr>
      <w:r>
        <w:rPr>
          <w:rFonts w:cstheme="minorHAnsi"/>
          <w:b/>
          <w:bCs/>
        </w:rPr>
        <w:t xml:space="preserve">2b4.4. </w:t>
      </w:r>
      <w:r w:rsidRPr="00A25024">
        <w:rPr>
          <w:rFonts w:cstheme="minorHAnsi"/>
          <w:b/>
          <w:bCs/>
        </w:rPr>
        <w:t>What were the statistical results of the analyses used to select risk factors?</w:t>
      </w:r>
      <w:r w:rsidR="00001D73">
        <w:rPr>
          <w:rFonts w:cstheme="minorHAnsi"/>
          <w:b/>
          <w:bCs/>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376"/>
        <w:gridCol w:w="462"/>
        <w:gridCol w:w="946"/>
        <w:gridCol w:w="1444"/>
        <w:gridCol w:w="1605"/>
        <w:gridCol w:w="1524"/>
        <w:gridCol w:w="1147"/>
      </w:tblGrid>
      <w:tr w:rsidR="00F000EB" w:rsidRPr="00F000EB" w14:paraId="524B10AE" w14:textId="77777777" w:rsidTr="003F4E0C">
        <w:trPr>
          <w:trHeight w:val="315"/>
          <w:tblHeader/>
        </w:trPr>
        <w:tc>
          <w:tcPr>
            <w:tcW w:w="559" w:type="pct"/>
            <w:tcBorders>
              <w:bottom w:val="single" w:sz="4" w:space="0" w:color="auto"/>
              <w:right w:val="nil"/>
            </w:tcBorders>
            <w:shd w:val="clear" w:color="auto" w:fill="BFBFBF" w:themeFill="background1" w:themeFillShade="BF"/>
            <w:noWrap/>
            <w:vAlign w:val="bottom"/>
            <w:hideMark/>
          </w:tcPr>
          <w:p w14:paraId="524B10A6" w14:textId="77777777" w:rsidR="001D6A73" w:rsidRPr="00F000EB" w:rsidRDefault="001D6A73" w:rsidP="001D6A73">
            <w:pPr>
              <w:spacing w:after="0" w:line="240" w:lineRule="auto"/>
              <w:rPr>
                <w:rFonts w:ascii="Arial" w:eastAsia="Times New Roman" w:hAnsi="Arial" w:cs="Arial"/>
                <w:b/>
                <w:bCs/>
                <w:color w:val="000000"/>
                <w:sz w:val="16"/>
                <w:szCs w:val="16"/>
              </w:rPr>
            </w:pPr>
            <w:r w:rsidRPr="00F000EB">
              <w:rPr>
                <w:rFonts w:ascii="Arial" w:eastAsia="Times New Roman" w:hAnsi="Arial" w:cs="Arial"/>
                <w:b/>
                <w:bCs/>
                <w:color w:val="000000"/>
                <w:sz w:val="16"/>
                <w:szCs w:val="16"/>
              </w:rPr>
              <w:t>Parameter</w:t>
            </w:r>
          </w:p>
        </w:tc>
        <w:tc>
          <w:tcPr>
            <w:tcW w:w="718" w:type="pct"/>
            <w:tcBorders>
              <w:left w:val="nil"/>
              <w:bottom w:val="single" w:sz="4" w:space="0" w:color="auto"/>
              <w:right w:val="nil"/>
            </w:tcBorders>
            <w:shd w:val="clear" w:color="auto" w:fill="BFBFBF" w:themeFill="background1" w:themeFillShade="BF"/>
            <w:vAlign w:val="bottom"/>
            <w:hideMark/>
          </w:tcPr>
          <w:p w14:paraId="524B10A7" w14:textId="77777777" w:rsidR="001D6A73" w:rsidRPr="00F000EB" w:rsidRDefault="001D6A73" w:rsidP="001D6A73">
            <w:pPr>
              <w:spacing w:after="0" w:line="240" w:lineRule="auto"/>
              <w:rPr>
                <w:rFonts w:ascii="Arial" w:eastAsia="Times New Roman" w:hAnsi="Arial" w:cs="Arial"/>
                <w:b/>
                <w:bCs/>
                <w:color w:val="000000"/>
                <w:sz w:val="16"/>
                <w:szCs w:val="16"/>
              </w:rPr>
            </w:pPr>
            <w:r w:rsidRPr="00F000EB">
              <w:rPr>
                <w:rFonts w:ascii="Arial" w:eastAsia="Times New Roman" w:hAnsi="Arial" w:cs="Arial"/>
                <w:b/>
                <w:bCs/>
                <w:color w:val="000000"/>
                <w:sz w:val="16"/>
                <w:szCs w:val="16"/>
              </w:rPr>
              <w:t>Label</w:t>
            </w:r>
          </w:p>
        </w:tc>
        <w:tc>
          <w:tcPr>
            <w:tcW w:w="241" w:type="pct"/>
            <w:tcBorders>
              <w:left w:val="nil"/>
              <w:bottom w:val="single" w:sz="4" w:space="0" w:color="auto"/>
              <w:right w:val="nil"/>
            </w:tcBorders>
            <w:shd w:val="clear" w:color="auto" w:fill="BFBFBF" w:themeFill="background1" w:themeFillShade="BF"/>
            <w:noWrap/>
            <w:vAlign w:val="bottom"/>
            <w:hideMark/>
          </w:tcPr>
          <w:p w14:paraId="524B10A8" w14:textId="77777777" w:rsidR="001D6A73" w:rsidRPr="00F000EB" w:rsidRDefault="001D6A73" w:rsidP="001D6A73">
            <w:pPr>
              <w:spacing w:after="0" w:line="240" w:lineRule="auto"/>
              <w:jc w:val="right"/>
              <w:rPr>
                <w:rFonts w:ascii="Arial" w:eastAsia="Times New Roman" w:hAnsi="Arial" w:cs="Arial"/>
                <w:b/>
                <w:bCs/>
                <w:color w:val="000000"/>
                <w:sz w:val="16"/>
                <w:szCs w:val="16"/>
              </w:rPr>
            </w:pPr>
            <w:r w:rsidRPr="00F000EB">
              <w:rPr>
                <w:rFonts w:ascii="Arial" w:eastAsia="Times New Roman" w:hAnsi="Arial" w:cs="Arial"/>
                <w:b/>
                <w:bCs/>
                <w:color w:val="000000"/>
                <w:sz w:val="16"/>
                <w:szCs w:val="16"/>
              </w:rPr>
              <w:t>DF</w:t>
            </w:r>
          </w:p>
        </w:tc>
        <w:tc>
          <w:tcPr>
            <w:tcW w:w="494" w:type="pct"/>
            <w:tcBorders>
              <w:left w:val="nil"/>
              <w:bottom w:val="single" w:sz="4" w:space="0" w:color="auto"/>
              <w:right w:val="nil"/>
            </w:tcBorders>
            <w:shd w:val="clear" w:color="auto" w:fill="BFBFBF" w:themeFill="background1" w:themeFillShade="BF"/>
            <w:noWrap/>
            <w:vAlign w:val="bottom"/>
            <w:hideMark/>
          </w:tcPr>
          <w:p w14:paraId="524B10A9" w14:textId="77777777" w:rsidR="001D6A73" w:rsidRPr="00F000EB" w:rsidRDefault="001D6A73" w:rsidP="001D6A73">
            <w:pPr>
              <w:spacing w:after="0" w:line="240" w:lineRule="auto"/>
              <w:jc w:val="right"/>
              <w:rPr>
                <w:rFonts w:ascii="Arial" w:eastAsia="Times New Roman" w:hAnsi="Arial" w:cs="Arial"/>
                <w:b/>
                <w:bCs/>
                <w:color w:val="000000"/>
                <w:sz w:val="16"/>
                <w:szCs w:val="16"/>
              </w:rPr>
            </w:pPr>
            <w:r w:rsidRPr="00F000EB">
              <w:rPr>
                <w:rFonts w:ascii="Arial" w:eastAsia="Times New Roman" w:hAnsi="Arial" w:cs="Arial"/>
                <w:b/>
                <w:bCs/>
                <w:color w:val="000000"/>
                <w:sz w:val="16"/>
                <w:szCs w:val="16"/>
              </w:rPr>
              <w:t>Estimate</w:t>
            </w:r>
          </w:p>
        </w:tc>
        <w:tc>
          <w:tcPr>
            <w:tcW w:w="754" w:type="pct"/>
            <w:tcBorders>
              <w:left w:val="nil"/>
              <w:bottom w:val="single" w:sz="4" w:space="0" w:color="auto"/>
              <w:right w:val="nil"/>
            </w:tcBorders>
            <w:shd w:val="clear" w:color="auto" w:fill="BFBFBF" w:themeFill="background1" w:themeFillShade="BF"/>
            <w:noWrap/>
            <w:vAlign w:val="bottom"/>
            <w:hideMark/>
          </w:tcPr>
          <w:p w14:paraId="524B10AA" w14:textId="77777777" w:rsidR="001D6A73" w:rsidRPr="00F000EB" w:rsidRDefault="001D6A73" w:rsidP="001D6A73">
            <w:pPr>
              <w:spacing w:after="0" w:line="240" w:lineRule="auto"/>
              <w:jc w:val="right"/>
              <w:rPr>
                <w:rFonts w:ascii="Arial" w:eastAsia="Times New Roman" w:hAnsi="Arial" w:cs="Arial"/>
                <w:b/>
                <w:bCs/>
                <w:color w:val="000000"/>
                <w:sz w:val="16"/>
                <w:szCs w:val="16"/>
              </w:rPr>
            </w:pPr>
            <w:r w:rsidRPr="00F000EB">
              <w:rPr>
                <w:rFonts w:ascii="Arial" w:eastAsia="Times New Roman" w:hAnsi="Arial" w:cs="Arial"/>
                <w:b/>
                <w:bCs/>
                <w:color w:val="000000"/>
                <w:sz w:val="16"/>
                <w:szCs w:val="16"/>
              </w:rPr>
              <w:t>Standard Error</w:t>
            </w:r>
          </w:p>
        </w:tc>
        <w:tc>
          <w:tcPr>
            <w:tcW w:w="838" w:type="pct"/>
            <w:tcBorders>
              <w:left w:val="nil"/>
              <w:bottom w:val="single" w:sz="4" w:space="0" w:color="auto"/>
              <w:right w:val="nil"/>
            </w:tcBorders>
            <w:shd w:val="clear" w:color="auto" w:fill="BFBFBF" w:themeFill="background1" w:themeFillShade="BF"/>
            <w:noWrap/>
            <w:vAlign w:val="bottom"/>
            <w:hideMark/>
          </w:tcPr>
          <w:p w14:paraId="524B10AB" w14:textId="77777777" w:rsidR="001D6A73" w:rsidRPr="00F000EB" w:rsidRDefault="001D6A73" w:rsidP="001D6A73">
            <w:pPr>
              <w:spacing w:after="0" w:line="240" w:lineRule="auto"/>
              <w:jc w:val="right"/>
              <w:rPr>
                <w:rFonts w:ascii="Arial" w:eastAsia="Times New Roman" w:hAnsi="Arial" w:cs="Arial"/>
                <w:b/>
                <w:bCs/>
                <w:color w:val="000000"/>
                <w:sz w:val="16"/>
                <w:szCs w:val="16"/>
              </w:rPr>
            </w:pPr>
            <w:r w:rsidRPr="00F000EB">
              <w:rPr>
                <w:rFonts w:ascii="Arial" w:eastAsia="Times New Roman" w:hAnsi="Arial" w:cs="Arial"/>
                <w:b/>
                <w:bCs/>
                <w:color w:val="000000"/>
                <w:sz w:val="16"/>
                <w:szCs w:val="16"/>
              </w:rPr>
              <w:t>Wald Chi-Square</w:t>
            </w:r>
          </w:p>
        </w:tc>
        <w:tc>
          <w:tcPr>
            <w:tcW w:w="796" w:type="pct"/>
            <w:tcBorders>
              <w:left w:val="nil"/>
              <w:bottom w:val="single" w:sz="4" w:space="0" w:color="auto"/>
              <w:right w:val="nil"/>
            </w:tcBorders>
            <w:shd w:val="clear" w:color="auto" w:fill="BFBFBF" w:themeFill="background1" w:themeFillShade="BF"/>
            <w:noWrap/>
            <w:vAlign w:val="bottom"/>
            <w:hideMark/>
          </w:tcPr>
          <w:p w14:paraId="524B10AC" w14:textId="77777777" w:rsidR="001D6A73" w:rsidRPr="00F000EB" w:rsidRDefault="001D6A73" w:rsidP="001D6A73">
            <w:pPr>
              <w:spacing w:after="0" w:line="240" w:lineRule="auto"/>
              <w:jc w:val="right"/>
              <w:rPr>
                <w:rFonts w:ascii="Arial" w:eastAsia="Times New Roman" w:hAnsi="Arial" w:cs="Arial"/>
                <w:b/>
                <w:bCs/>
                <w:color w:val="000000"/>
                <w:sz w:val="16"/>
                <w:szCs w:val="16"/>
              </w:rPr>
            </w:pPr>
            <w:r w:rsidRPr="00F000EB">
              <w:rPr>
                <w:rFonts w:ascii="Arial" w:eastAsia="Times New Roman" w:hAnsi="Arial" w:cs="Arial"/>
                <w:b/>
                <w:bCs/>
                <w:color w:val="000000"/>
                <w:sz w:val="16"/>
                <w:szCs w:val="16"/>
              </w:rPr>
              <w:t>Pr &gt; Chi-Square</w:t>
            </w:r>
          </w:p>
        </w:tc>
        <w:tc>
          <w:tcPr>
            <w:tcW w:w="599" w:type="pct"/>
            <w:tcBorders>
              <w:left w:val="nil"/>
              <w:bottom w:val="single" w:sz="4" w:space="0" w:color="auto"/>
            </w:tcBorders>
            <w:shd w:val="clear" w:color="auto" w:fill="BFBFBF" w:themeFill="background1" w:themeFillShade="BF"/>
            <w:noWrap/>
            <w:vAlign w:val="bottom"/>
            <w:hideMark/>
          </w:tcPr>
          <w:p w14:paraId="524B10AD" w14:textId="77777777" w:rsidR="001D6A73" w:rsidRPr="00F000EB" w:rsidRDefault="001D6A73" w:rsidP="001D6A73">
            <w:pPr>
              <w:spacing w:after="0" w:line="240" w:lineRule="auto"/>
              <w:jc w:val="right"/>
              <w:rPr>
                <w:rFonts w:ascii="Arial" w:eastAsia="Times New Roman" w:hAnsi="Arial" w:cs="Arial"/>
                <w:b/>
                <w:bCs/>
                <w:color w:val="000000"/>
                <w:sz w:val="16"/>
                <w:szCs w:val="16"/>
              </w:rPr>
            </w:pPr>
            <w:r w:rsidRPr="00F000EB">
              <w:rPr>
                <w:rFonts w:ascii="Arial" w:eastAsia="Times New Roman" w:hAnsi="Arial" w:cs="Arial"/>
                <w:b/>
                <w:bCs/>
                <w:color w:val="000000"/>
                <w:sz w:val="16"/>
                <w:szCs w:val="16"/>
              </w:rPr>
              <w:t>Odds Ratio</w:t>
            </w:r>
          </w:p>
        </w:tc>
      </w:tr>
      <w:tr w:rsidR="00F000EB" w:rsidRPr="00F000EB" w14:paraId="524B10B7" w14:textId="77777777" w:rsidTr="00F000EB">
        <w:trPr>
          <w:trHeight w:val="300"/>
        </w:trPr>
        <w:tc>
          <w:tcPr>
            <w:tcW w:w="559" w:type="pct"/>
            <w:tcBorders>
              <w:top w:val="single" w:sz="4" w:space="0" w:color="auto"/>
              <w:left w:val="single" w:sz="4" w:space="0" w:color="auto"/>
              <w:bottom w:val="nil"/>
              <w:right w:val="nil"/>
            </w:tcBorders>
            <w:shd w:val="clear" w:color="auto" w:fill="auto"/>
            <w:noWrap/>
            <w:vAlign w:val="bottom"/>
            <w:hideMark/>
          </w:tcPr>
          <w:p w14:paraId="524B10AF"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Intercept</w:t>
            </w:r>
          </w:p>
        </w:tc>
        <w:tc>
          <w:tcPr>
            <w:tcW w:w="718" w:type="pct"/>
            <w:tcBorders>
              <w:top w:val="single" w:sz="4" w:space="0" w:color="auto"/>
              <w:left w:val="nil"/>
              <w:bottom w:val="nil"/>
              <w:right w:val="nil"/>
            </w:tcBorders>
            <w:shd w:val="clear" w:color="auto" w:fill="auto"/>
            <w:vAlign w:val="bottom"/>
            <w:hideMark/>
          </w:tcPr>
          <w:p w14:paraId="524B10B0" w14:textId="77777777" w:rsidR="001D6A73" w:rsidRPr="00F000EB" w:rsidRDefault="001D6A73" w:rsidP="001D6A73">
            <w:pPr>
              <w:spacing w:after="0" w:line="240" w:lineRule="auto"/>
              <w:rPr>
                <w:rFonts w:ascii="Arial" w:eastAsia="Times New Roman" w:hAnsi="Arial" w:cs="Arial"/>
                <w:color w:val="000000"/>
                <w:sz w:val="16"/>
                <w:szCs w:val="16"/>
              </w:rPr>
            </w:pPr>
          </w:p>
        </w:tc>
        <w:tc>
          <w:tcPr>
            <w:tcW w:w="241" w:type="pct"/>
            <w:tcBorders>
              <w:top w:val="single" w:sz="4" w:space="0" w:color="auto"/>
              <w:left w:val="nil"/>
              <w:bottom w:val="nil"/>
              <w:right w:val="nil"/>
            </w:tcBorders>
            <w:shd w:val="clear" w:color="auto" w:fill="auto"/>
            <w:noWrap/>
            <w:vAlign w:val="bottom"/>
            <w:hideMark/>
          </w:tcPr>
          <w:p w14:paraId="524B10B1"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single" w:sz="4" w:space="0" w:color="auto"/>
              <w:left w:val="nil"/>
              <w:bottom w:val="nil"/>
              <w:right w:val="nil"/>
            </w:tcBorders>
            <w:shd w:val="clear" w:color="auto" w:fill="auto"/>
            <w:noWrap/>
            <w:vAlign w:val="bottom"/>
            <w:hideMark/>
          </w:tcPr>
          <w:p w14:paraId="524B10B2"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-5.2153</w:t>
            </w:r>
          </w:p>
        </w:tc>
        <w:tc>
          <w:tcPr>
            <w:tcW w:w="754" w:type="pct"/>
            <w:tcBorders>
              <w:top w:val="single" w:sz="4" w:space="0" w:color="auto"/>
              <w:left w:val="nil"/>
              <w:bottom w:val="nil"/>
              <w:right w:val="nil"/>
            </w:tcBorders>
            <w:shd w:val="clear" w:color="auto" w:fill="auto"/>
            <w:noWrap/>
            <w:vAlign w:val="bottom"/>
            <w:hideMark/>
          </w:tcPr>
          <w:p w14:paraId="524B10B3"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0.0697</w:t>
            </w:r>
          </w:p>
        </w:tc>
        <w:tc>
          <w:tcPr>
            <w:tcW w:w="838" w:type="pct"/>
            <w:tcBorders>
              <w:top w:val="single" w:sz="4" w:space="0" w:color="auto"/>
              <w:left w:val="nil"/>
              <w:bottom w:val="nil"/>
              <w:right w:val="nil"/>
            </w:tcBorders>
            <w:shd w:val="clear" w:color="auto" w:fill="auto"/>
            <w:noWrap/>
            <w:vAlign w:val="bottom"/>
            <w:hideMark/>
          </w:tcPr>
          <w:p w14:paraId="524B10B4"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5595.93</w:t>
            </w:r>
          </w:p>
        </w:tc>
        <w:tc>
          <w:tcPr>
            <w:tcW w:w="796" w:type="pct"/>
            <w:tcBorders>
              <w:top w:val="single" w:sz="4" w:space="0" w:color="auto"/>
              <w:left w:val="nil"/>
              <w:bottom w:val="nil"/>
              <w:right w:val="nil"/>
            </w:tcBorders>
            <w:shd w:val="clear" w:color="auto" w:fill="auto"/>
            <w:noWrap/>
            <w:vAlign w:val="bottom"/>
            <w:hideMark/>
          </w:tcPr>
          <w:p w14:paraId="524B10B5"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single" w:sz="4" w:space="0" w:color="auto"/>
              <w:left w:val="nil"/>
              <w:bottom w:val="nil"/>
              <w:right w:val="single" w:sz="4" w:space="0" w:color="auto"/>
            </w:tcBorders>
            <w:shd w:val="clear" w:color="auto" w:fill="auto"/>
            <w:noWrap/>
            <w:vAlign w:val="bottom"/>
            <w:hideMark/>
          </w:tcPr>
          <w:p w14:paraId="524B10B6"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0.005</w:t>
            </w:r>
          </w:p>
        </w:tc>
      </w:tr>
      <w:tr w:rsidR="00F000EB" w:rsidRPr="00F000EB" w14:paraId="524B10C0" w14:textId="77777777" w:rsidTr="00F000EB">
        <w:trPr>
          <w:trHeight w:val="300"/>
        </w:trPr>
        <w:tc>
          <w:tcPr>
            <w:tcW w:w="559" w:type="pct"/>
            <w:tcBorders>
              <w:top w:val="nil"/>
              <w:left w:val="single" w:sz="4" w:space="0" w:color="auto"/>
              <w:bottom w:val="nil"/>
              <w:right w:val="nil"/>
            </w:tcBorders>
            <w:shd w:val="clear" w:color="auto" w:fill="auto"/>
            <w:noWrap/>
            <w:vAlign w:val="bottom"/>
            <w:hideMark/>
          </w:tcPr>
          <w:p w14:paraId="524B10B8"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Age</w:t>
            </w:r>
          </w:p>
        </w:tc>
        <w:tc>
          <w:tcPr>
            <w:tcW w:w="718" w:type="pct"/>
            <w:tcBorders>
              <w:top w:val="nil"/>
              <w:left w:val="nil"/>
              <w:bottom w:val="nil"/>
              <w:right w:val="nil"/>
            </w:tcBorders>
            <w:shd w:val="clear" w:color="auto" w:fill="auto"/>
            <w:vAlign w:val="bottom"/>
            <w:hideMark/>
          </w:tcPr>
          <w:p w14:paraId="524B10B9"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18 to 59</w:t>
            </w:r>
          </w:p>
        </w:tc>
        <w:tc>
          <w:tcPr>
            <w:tcW w:w="241" w:type="pct"/>
            <w:tcBorders>
              <w:top w:val="nil"/>
              <w:left w:val="nil"/>
              <w:bottom w:val="nil"/>
              <w:right w:val="nil"/>
            </w:tcBorders>
            <w:shd w:val="clear" w:color="auto" w:fill="auto"/>
            <w:noWrap/>
            <w:vAlign w:val="bottom"/>
            <w:hideMark/>
          </w:tcPr>
          <w:p w14:paraId="524B10BA"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0BB"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-0.1733</w:t>
            </w:r>
          </w:p>
        </w:tc>
        <w:tc>
          <w:tcPr>
            <w:tcW w:w="754" w:type="pct"/>
            <w:tcBorders>
              <w:top w:val="nil"/>
              <w:left w:val="nil"/>
              <w:bottom w:val="nil"/>
              <w:right w:val="nil"/>
            </w:tcBorders>
            <w:shd w:val="clear" w:color="auto" w:fill="auto"/>
            <w:noWrap/>
            <w:vAlign w:val="bottom"/>
            <w:hideMark/>
          </w:tcPr>
          <w:p w14:paraId="524B10BC"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0.0494</w:t>
            </w:r>
          </w:p>
        </w:tc>
        <w:tc>
          <w:tcPr>
            <w:tcW w:w="838" w:type="pct"/>
            <w:tcBorders>
              <w:top w:val="nil"/>
              <w:left w:val="nil"/>
              <w:bottom w:val="nil"/>
              <w:right w:val="nil"/>
            </w:tcBorders>
            <w:shd w:val="clear" w:color="auto" w:fill="auto"/>
            <w:noWrap/>
            <w:vAlign w:val="bottom"/>
            <w:hideMark/>
          </w:tcPr>
          <w:p w14:paraId="524B10BD"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12.31</w:t>
            </w:r>
          </w:p>
        </w:tc>
        <w:tc>
          <w:tcPr>
            <w:tcW w:w="796" w:type="pct"/>
            <w:tcBorders>
              <w:top w:val="nil"/>
              <w:left w:val="nil"/>
              <w:bottom w:val="nil"/>
              <w:right w:val="nil"/>
            </w:tcBorders>
            <w:shd w:val="clear" w:color="auto" w:fill="auto"/>
            <w:noWrap/>
            <w:vAlign w:val="bottom"/>
            <w:hideMark/>
          </w:tcPr>
          <w:p w14:paraId="524B10BE"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0.0004</w:t>
            </w:r>
          </w:p>
        </w:tc>
        <w:tc>
          <w:tcPr>
            <w:tcW w:w="599" w:type="pct"/>
            <w:tcBorders>
              <w:top w:val="nil"/>
              <w:left w:val="nil"/>
              <w:bottom w:val="nil"/>
              <w:right w:val="single" w:sz="4" w:space="0" w:color="auto"/>
            </w:tcBorders>
            <w:shd w:val="clear" w:color="auto" w:fill="auto"/>
            <w:noWrap/>
            <w:vAlign w:val="bottom"/>
            <w:hideMark/>
          </w:tcPr>
          <w:p w14:paraId="524B10BF"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0.841</w:t>
            </w:r>
          </w:p>
        </w:tc>
      </w:tr>
      <w:tr w:rsidR="00F000EB" w:rsidRPr="00F000EB" w14:paraId="524B10C9" w14:textId="77777777" w:rsidTr="00F000EB">
        <w:trPr>
          <w:trHeight w:val="300"/>
        </w:trPr>
        <w:tc>
          <w:tcPr>
            <w:tcW w:w="559" w:type="pct"/>
            <w:tcBorders>
              <w:top w:val="nil"/>
              <w:left w:val="single" w:sz="4" w:space="0" w:color="auto"/>
              <w:bottom w:val="nil"/>
              <w:right w:val="nil"/>
            </w:tcBorders>
            <w:shd w:val="clear" w:color="auto" w:fill="auto"/>
            <w:noWrap/>
            <w:vAlign w:val="bottom"/>
            <w:hideMark/>
          </w:tcPr>
          <w:p w14:paraId="524B10C1"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Age</w:t>
            </w:r>
          </w:p>
        </w:tc>
        <w:tc>
          <w:tcPr>
            <w:tcW w:w="718" w:type="pct"/>
            <w:tcBorders>
              <w:top w:val="nil"/>
              <w:left w:val="nil"/>
              <w:bottom w:val="nil"/>
              <w:right w:val="nil"/>
            </w:tcBorders>
            <w:shd w:val="clear" w:color="auto" w:fill="auto"/>
            <w:vAlign w:val="bottom"/>
            <w:hideMark/>
          </w:tcPr>
          <w:p w14:paraId="524B10C2"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65 to 85+</w:t>
            </w:r>
          </w:p>
        </w:tc>
        <w:tc>
          <w:tcPr>
            <w:tcW w:w="241" w:type="pct"/>
            <w:tcBorders>
              <w:top w:val="nil"/>
              <w:left w:val="nil"/>
              <w:bottom w:val="nil"/>
              <w:right w:val="nil"/>
            </w:tcBorders>
            <w:shd w:val="clear" w:color="auto" w:fill="auto"/>
            <w:noWrap/>
            <w:vAlign w:val="bottom"/>
            <w:hideMark/>
          </w:tcPr>
          <w:p w14:paraId="524B10C3"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0C4"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0.1454</w:t>
            </w:r>
          </w:p>
        </w:tc>
        <w:tc>
          <w:tcPr>
            <w:tcW w:w="754" w:type="pct"/>
            <w:tcBorders>
              <w:top w:val="nil"/>
              <w:left w:val="nil"/>
              <w:bottom w:val="nil"/>
              <w:right w:val="nil"/>
            </w:tcBorders>
            <w:shd w:val="clear" w:color="auto" w:fill="auto"/>
            <w:noWrap/>
            <w:vAlign w:val="bottom"/>
            <w:hideMark/>
          </w:tcPr>
          <w:p w14:paraId="524B10C5"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0.047</w:t>
            </w:r>
          </w:p>
        </w:tc>
        <w:tc>
          <w:tcPr>
            <w:tcW w:w="838" w:type="pct"/>
            <w:tcBorders>
              <w:top w:val="nil"/>
              <w:left w:val="nil"/>
              <w:bottom w:val="nil"/>
              <w:right w:val="nil"/>
            </w:tcBorders>
            <w:shd w:val="clear" w:color="auto" w:fill="auto"/>
            <w:noWrap/>
            <w:vAlign w:val="bottom"/>
            <w:hideMark/>
          </w:tcPr>
          <w:p w14:paraId="524B10C6"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9.59</w:t>
            </w:r>
          </w:p>
        </w:tc>
        <w:tc>
          <w:tcPr>
            <w:tcW w:w="796" w:type="pct"/>
            <w:tcBorders>
              <w:top w:val="nil"/>
              <w:left w:val="nil"/>
              <w:bottom w:val="nil"/>
              <w:right w:val="nil"/>
            </w:tcBorders>
            <w:shd w:val="clear" w:color="auto" w:fill="auto"/>
            <w:noWrap/>
            <w:vAlign w:val="bottom"/>
            <w:hideMark/>
          </w:tcPr>
          <w:p w14:paraId="524B10C7"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0.002</w:t>
            </w:r>
          </w:p>
        </w:tc>
        <w:tc>
          <w:tcPr>
            <w:tcW w:w="599" w:type="pct"/>
            <w:tcBorders>
              <w:top w:val="nil"/>
              <w:left w:val="nil"/>
              <w:bottom w:val="nil"/>
              <w:right w:val="single" w:sz="4" w:space="0" w:color="auto"/>
            </w:tcBorders>
            <w:shd w:val="clear" w:color="auto" w:fill="auto"/>
            <w:noWrap/>
            <w:vAlign w:val="bottom"/>
            <w:hideMark/>
          </w:tcPr>
          <w:p w14:paraId="524B10C8"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1.157</w:t>
            </w:r>
          </w:p>
        </w:tc>
      </w:tr>
      <w:tr w:rsidR="00F000EB" w:rsidRPr="00F000EB" w14:paraId="524B10D2" w14:textId="77777777" w:rsidTr="00F000EB">
        <w:trPr>
          <w:trHeight w:val="300"/>
        </w:trPr>
        <w:tc>
          <w:tcPr>
            <w:tcW w:w="559" w:type="pct"/>
            <w:tcBorders>
              <w:top w:val="nil"/>
              <w:left w:val="single" w:sz="4" w:space="0" w:color="auto"/>
              <w:bottom w:val="nil"/>
              <w:right w:val="nil"/>
            </w:tcBorders>
            <w:shd w:val="clear" w:color="auto" w:fill="auto"/>
            <w:noWrap/>
            <w:vAlign w:val="bottom"/>
            <w:hideMark/>
          </w:tcPr>
          <w:p w14:paraId="524B10CA"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0CB"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'2201'</w:t>
            </w:r>
          </w:p>
        </w:tc>
        <w:tc>
          <w:tcPr>
            <w:tcW w:w="241" w:type="pct"/>
            <w:tcBorders>
              <w:top w:val="nil"/>
              <w:left w:val="nil"/>
              <w:bottom w:val="nil"/>
              <w:right w:val="nil"/>
            </w:tcBorders>
            <w:shd w:val="clear" w:color="auto" w:fill="auto"/>
            <w:noWrap/>
            <w:vAlign w:val="bottom"/>
            <w:hideMark/>
          </w:tcPr>
          <w:p w14:paraId="524B10CC"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0CD"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1.4052</w:t>
            </w:r>
          </w:p>
        </w:tc>
        <w:tc>
          <w:tcPr>
            <w:tcW w:w="754" w:type="pct"/>
            <w:tcBorders>
              <w:top w:val="nil"/>
              <w:left w:val="nil"/>
              <w:bottom w:val="nil"/>
              <w:right w:val="nil"/>
            </w:tcBorders>
            <w:shd w:val="clear" w:color="auto" w:fill="auto"/>
            <w:noWrap/>
            <w:vAlign w:val="bottom"/>
            <w:hideMark/>
          </w:tcPr>
          <w:p w14:paraId="524B10CE"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0.2493</w:t>
            </w:r>
          </w:p>
        </w:tc>
        <w:tc>
          <w:tcPr>
            <w:tcW w:w="838" w:type="pct"/>
            <w:tcBorders>
              <w:top w:val="nil"/>
              <w:left w:val="nil"/>
              <w:bottom w:val="nil"/>
              <w:right w:val="nil"/>
            </w:tcBorders>
            <w:shd w:val="clear" w:color="auto" w:fill="auto"/>
            <w:noWrap/>
            <w:vAlign w:val="bottom"/>
            <w:hideMark/>
          </w:tcPr>
          <w:p w14:paraId="524B10CF"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31.77</w:t>
            </w:r>
          </w:p>
        </w:tc>
        <w:tc>
          <w:tcPr>
            <w:tcW w:w="796" w:type="pct"/>
            <w:tcBorders>
              <w:top w:val="nil"/>
              <w:left w:val="nil"/>
              <w:bottom w:val="nil"/>
              <w:right w:val="nil"/>
            </w:tcBorders>
            <w:shd w:val="clear" w:color="auto" w:fill="auto"/>
            <w:noWrap/>
            <w:vAlign w:val="bottom"/>
            <w:hideMark/>
          </w:tcPr>
          <w:p w14:paraId="524B10D0"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0D1"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4.076</w:t>
            </w:r>
          </w:p>
        </w:tc>
      </w:tr>
      <w:tr w:rsidR="00F000EB" w:rsidRPr="00F000EB" w14:paraId="524B10DB" w14:textId="77777777" w:rsidTr="00F000EB">
        <w:trPr>
          <w:trHeight w:val="300"/>
        </w:trPr>
        <w:tc>
          <w:tcPr>
            <w:tcW w:w="559" w:type="pct"/>
            <w:tcBorders>
              <w:top w:val="nil"/>
              <w:left w:val="single" w:sz="4" w:space="0" w:color="auto"/>
              <w:bottom w:val="nil"/>
              <w:right w:val="nil"/>
            </w:tcBorders>
            <w:shd w:val="clear" w:color="auto" w:fill="auto"/>
            <w:noWrap/>
            <w:vAlign w:val="bottom"/>
            <w:hideMark/>
          </w:tcPr>
          <w:p w14:paraId="524B10D3"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0D4"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'2202'</w:t>
            </w:r>
          </w:p>
        </w:tc>
        <w:tc>
          <w:tcPr>
            <w:tcW w:w="241" w:type="pct"/>
            <w:tcBorders>
              <w:top w:val="nil"/>
              <w:left w:val="nil"/>
              <w:bottom w:val="nil"/>
              <w:right w:val="nil"/>
            </w:tcBorders>
            <w:shd w:val="clear" w:color="auto" w:fill="auto"/>
            <w:noWrap/>
            <w:vAlign w:val="bottom"/>
            <w:hideMark/>
          </w:tcPr>
          <w:p w14:paraId="524B10D5"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0D6"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2.5315</w:t>
            </w:r>
          </w:p>
        </w:tc>
        <w:tc>
          <w:tcPr>
            <w:tcW w:w="754" w:type="pct"/>
            <w:tcBorders>
              <w:top w:val="nil"/>
              <w:left w:val="nil"/>
              <w:bottom w:val="nil"/>
              <w:right w:val="nil"/>
            </w:tcBorders>
            <w:shd w:val="clear" w:color="auto" w:fill="auto"/>
            <w:noWrap/>
            <w:vAlign w:val="bottom"/>
            <w:hideMark/>
          </w:tcPr>
          <w:p w14:paraId="524B10D7"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0.1298</w:t>
            </w:r>
          </w:p>
        </w:tc>
        <w:tc>
          <w:tcPr>
            <w:tcW w:w="838" w:type="pct"/>
            <w:tcBorders>
              <w:top w:val="nil"/>
              <w:left w:val="nil"/>
              <w:bottom w:val="nil"/>
              <w:right w:val="nil"/>
            </w:tcBorders>
            <w:shd w:val="clear" w:color="auto" w:fill="auto"/>
            <w:noWrap/>
            <w:vAlign w:val="bottom"/>
            <w:hideMark/>
          </w:tcPr>
          <w:p w14:paraId="524B10D8"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380.17</w:t>
            </w:r>
          </w:p>
        </w:tc>
        <w:tc>
          <w:tcPr>
            <w:tcW w:w="796" w:type="pct"/>
            <w:tcBorders>
              <w:top w:val="nil"/>
              <w:left w:val="nil"/>
              <w:bottom w:val="nil"/>
              <w:right w:val="nil"/>
            </w:tcBorders>
            <w:shd w:val="clear" w:color="auto" w:fill="auto"/>
            <w:noWrap/>
            <w:vAlign w:val="bottom"/>
            <w:hideMark/>
          </w:tcPr>
          <w:p w14:paraId="524B10D9"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0DA"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12.572</w:t>
            </w:r>
          </w:p>
        </w:tc>
      </w:tr>
      <w:tr w:rsidR="00F000EB" w:rsidRPr="00F000EB" w14:paraId="524B10E4" w14:textId="77777777" w:rsidTr="00F000EB">
        <w:trPr>
          <w:trHeight w:val="300"/>
        </w:trPr>
        <w:tc>
          <w:tcPr>
            <w:tcW w:w="559" w:type="pct"/>
            <w:tcBorders>
              <w:top w:val="nil"/>
              <w:left w:val="single" w:sz="4" w:space="0" w:color="auto"/>
              <w:bottom w:val="nil"/>
              <w:right w:val="nil"/>
            </w:tcBorders>
            <w:shd w:val="clear" w:color="auto" w:fill="auto"/>
            <w:noWrap/>
            <w:vAlign w:val="bottom"/>
            <w:hideMark/>
          </w:tcPr>
          <w:p w14:paraId="524B10DC"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0DD"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'2203'</w:t>
            </w:r>
          </w:p>
        </w:tc>
        <w:tc>
          <w:tcPr>
            <w:tcW w:w="241" w:type="pct"/>
            <w:tcBorders>
              <w:top w:val="nil"/>
              <w:left w:val="nil"/>
              <w:bottom w:val="nil"/>
              <w:right w:val="nil"/>
            </w:tcBorders>
            <w:shd w:val="clear" w:color="auto" w:fill="auto"/>
            <w:noWrap/>
            <w:vAlign w:val="bottom"/>
            <w:hideMark/>
          </w:tcPr>
          <w:p w14:paraId="524B10DE"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0DF"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3.3609</w:t>
            </w:r>
          </w:p>
        </w:tc>
        <w:tc>
          <w:tcPr>
            <w:tcW w:w="754" w:type="pct"/>
            <w:tcBorders>
              <w:top w:val="nil"/>
              <w:left w:val="nil"/>
              <w:bottom w:val="nil"/>
              <w:right w:val="nil"/>
            </w:tcBorders>
            <w:shd w:val="clear" w:color="auto" w:fill="auto"/>
            <w:noWrap/>
            <w:vAlign w:val="bottom"/>
            <w:hideMark/>
          </w:tcPr>
          <w:p w14:paraId="524B10E0"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0.118</w:t>
            </w:r>
          </w:p>
        </w:tc>
        <w:tc>
          <w:tcPr>
            <w:tcW w:w="838" w:type="pct"/>
            <w:tcBorders>
              <w:top w:val="nil"/>
              <w:left w:val="nil"/>
              <w:bottom w:val="nil"/>
              <w:right w:val="nil"/>
            </w:tcBorders>
            <w:shd w:val="clear" w:color="auto" w:fill="auto"/>
            <w:noWrap/>
            <w:vAlign w:val="bottom"/>
            <w:hideMark/>
          </w:tcPr>
          <w:p w14:paraId="524B10E1"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811.71</w:t>
            </w:r>
          </w:p>
        </w:tc>
        <w:tc>
          <w:tcPr>
            <w:tcW w:w="796" w:type="pct"/>
            <w:tcBorders>
              <w:top w:val="nil"/>
              <w:left w:val="nil"/>
              <w:bottom w:val="nil"/>
              <w:right w:val="nil"/>
            </w:tcBorders>
            <w:shd w:val="clear" w:color="auto" w:fill="auto"/>
            <w:noWrap/>
            <w:vAlign w:val="bottom"/>
            <w:hideMark/>
          </w:tcPr>
          <w:p w14:paraId="524B10E2"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0E3"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28.815</w:t>
            </w:r>
          </w:p>
        </w:tc>
      </w:tr>
      <w:tr w:rsidR="00F000EB" w:rsidRPr="00F000EB" w14:paraId="524B10ED" w14:textId="77777777" w:rsidTr="00F000EB">
        <w:trPr>
          <w:trHeight w:val="300"/>
        </w:trPr>
        <w:tc>
          <w:tcPr>
            <w:tcW w:w="559" w:type="pct"/>
            <w:tcBorders>
              <w:top w:val="nil"/>
              <w:left w:val="single" w:sz="4" w:space="0" w:color="auto"/>
              <w:bottom w:val="nil"/>
              <w:right w:val="nil"/>
            </w:tcBorders>
            <w:shd w:val="clear" w:color="auto" w:fill="auto"/>
            <w:noWrap/>
            <w:vAlign w:val="bottom"/>
            <w:hideMark/>
          </w:tcPr>
          <w:p w14:paraId="524B10E5"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0E6"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'2204'</w:t>
            </w:r>
          </w:p>
        </w:tc>
        <w:tc>
          <w:tcPr>
            <w:tcW w:w="241" w:type="pct"/>
            <w:tcBorders>
              <w:top w:val="nil"/>
              <w:left w:val="nil"/>
              <w:bottom w:val="nil"/>
              <w:right w:val="nil"/>
            </w:tcBorders>
            <w:shd w:val="clear" w:color="auto" w:fill="auto"/>
            <w:noWrap/>
            <w:vAlign w:val="bottom"/>
            <w:hideMark/>
          </w:tcPr>
          <w:p w14:paraId="524B10E7"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0E8"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5.0554</w:t>
            </w:r>
          </w:p>
        </w:tc>
        <w:tc>
          <w:tcPr>
            <w:tcW w:w="754" w:type="pct"/>
            <w:tcBorders>
              <w:top w:val="nil"/>
              <w:left w:val="nil"/>
              <w:bottom w:val="nil"/>
              <w:right w:val="nil"/>
            </w:tcBorders>
            <w:shd w:val="clear" w:color="auto" w:fill="auto"/>
            <w:noWrap/>
            <w:vAlign w:val="bottom"/>
            <w:hideMark/>
          </w:tcPr>
          <w:p w14:paraId="524B10E9"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0.1156</w:t>
            </w:r>
          </w:p>
        </w:tc>
        <w:tc>
          <w:tcPr>
            <w:tcW w:w="838" w:type="pct"/>
            <w:tcBorders>
              <w:top w:val="nil"/>
              <w:left w:val="nil"/>
              <w:bottom w:val="nil"/>
              <w:right w:val="nil"/>
            </w:tcBorders>
            <w:shd w:val="clear" w:color="auto" w:fill="auto"/>
            <w:noWrap/>
            <w:vAlign w:val="bottom"/>
            <w:hideMark/>
          </w:tcPr>
          <w:p w14:paraId="524B10EA"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1911.36</w:t>
            </w:r>
          </w:p>
        </w:tc>
        <w:tc>
          <w:tcPr>
            <w:tcW w:w="796" w:type="pct"/>
            <w:tcBorders>
              <w:top w:val="nil"/>
              <w:left w:val="nil"/>
              <w:bottom w:val="nil"/>
              <w:right w:val="nil"/>
            </w:tcBorders>
            <w:shd w:val="clear" w:color="auto" w:fill="auto"/>
            <w:noWrap/>
            <w:vAlign w:val="bottom"/>
            <w:hideMark/>
          </w:tcPr>
          <w:p w14:paraId="524B10EB"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0EC"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156.867</w:t>
            </w:r>
          </w:p>
        </w:tc>
      </w:tr>
      <w:tr w:rsidR="00F000EB" w:rsidRPr="00F000EB" w14:paraId="524B10F6" w14:textId="77777777" w:rsidTr="00F000EB">
        <w:trPr>
          <w:trHeight w:val="300"/>
        </w:trPr>
        <w:tc>
          <w:tcPr>
            <w:tcW w:w="559" w:type="pct"/>
            <w:tcBorders>
              <w:top w:val="nil"/>
              <w:left w:val="single" w:sz="4" w:space="0" w:color="auto"/>
              <w:bottom w:val="nil"/>
              <w:right w:val="nil"/>
            </w:tcBorders>
            <w:shd w:val="clear" w:color="auto" w:fill="auto"/>
            <w:noWrap/>
            <w:vAlign w:val="bottom"/>
            <w:hideMark/>
          </w:tcPr>
          <w:p w14:paraId="524B10EE"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0EF"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'2211'</w:t>
            </w:r>
          </w:p>
        </w:tc>
        <w:tc>
          <w:tcPr>
            <w:tcW w:w="241" w:type="pct"/>
            <w:tcBorders>
              <w:top w:val="nil"/>
              <w:left w:val="nil"/>
              <w:bottom w:val="nil"/>
              <w:right w:val="nil"/>
            </w:tcBorders>
            <w:shd w:val="clear" w:color="auto" w:fill="auto"/>
            <w:noWrap/>
            <w:vAlign w:val="bottom"/>
            <w:hideMark/>
          </w:tcPr>
          <w:p w14:paraId="524B10F0"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0F1"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0.7506</w:t>
            </w:r>
          </w:p>
        </w:tc>
        <w:tc>
          <w:tcPr>
            <w:tcW w:w="754" w:type="pct"/>
            <w:tcBorders>
              <w:top w:val="nil"/>
              <w:left w:val="nil"/>
              <w:bottom w:val="nil"/>
              <w:right w:val="nil"/>
            </w:tcBorders>
            <w:shd w:val="clear" w:color="auto" w:fill="auto"/>
            <w:noWrap/>
            <w:vAlign w:val="bottom"/>
            <w:hideMark/>
          </w:tcPr>
          <w:p w14:paraId="524B10F2"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0.2236</w:t>
            </w:r>
          </w:p>
        </w:tc>
        <w:tc>
          <w:tcPr>
            <w:tcW w:w="838" w:type="pct"/>
            <w:tcBorders>
              <w:top w:val="nil"/>
              <w:left w:val="nil"/>
              <w:bottom w:val="nil"/>
              <w:right w:val="nil"/>
            </w:tcBorders>
            <w:shd w:val="clear" w:color="auto" w:fill="auto"/>
            <w:noWrap/>
            <w:vAlign w:val="bottom"/>
            <w:hideMark/>
          </w:tcPr>
          <w:p w14:paraId="524B10F3"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11.27</w:t>
            </w:r>
          </w:p>
        </w:tc>
        <w:tc>
          <w:tcPr>
            <w:tcW w:w="796" w:type="pct"/>
            <w:tcBorders>
              <w:top w:val="nil"/>
              <w:left w:val="nil"/>
              <w:bottom w:val="nil"/>
              <w:right w:val="nil"/>
            </w:tcBorders>
            <w:shd w:val="clear" w:color="auto" w:fill="auto"/>
            <w:noWrap/>
            <w:vAlign w:val="bottom"/>
            <w:hideMark/>
          </w:tcPr>
          <w:p w14:paraId="524B10F4"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0.0008</w:t>
            </w:r>
          </w:p>
        </w:tc>
        <w:tc>
          <w:tcPr>
            <w:tcW w:w="599" w:type="pct"/>
            <w:tcBorders>
              <w:top w:val="nil"/>
              <w:left w:val="nil"/>
              <w:bottom w:val="nil"/>
              <w:right w:val="single" w:sz="4" w:space="0" w:color="auto"/>
            </w:tcBorders>
            <w:shd w:val="clear" w:color="auto" w:fill="auto"/>
            <w:noWrap/>
            <w:vAlign w:val="bottom"/>
            <w:hideMark/>
          </w:tcPr>
          <w:p w14:paraId="524B10F5"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2.118</w:t>
            </w:r>
          </w:p>
        </w:tc>
      </w:tr>
      <w:tr w:rsidR="00F000EB" w:rsidRPr="00F000EB" w14:paraId="524B10FF" w14:textId="77777777" w:rsidTr="00F000EB">
        <w:trPr>
          <w:trHeight w:val="300"/>
        </w:trPr>
        <w:tc>
          <w:tcPr>
            <w:tcW w:w="559" w:type="pct"/>
            <w:tcBorders>
              <w:top w:val="nil"/>
              <w:left w:val="single" w:sz="4" w:space="0" w:color="auto"/>
              <w:bottom w:val="nil"/>
              <w:right w:val="nil"/>
            </w:tcBorders>
            <w:shd w:val="clear" w:color="auto" w:fill="auto"/>
            <w:noWrap/>
            <w:vAlign w:val="bottom"/>
            <w:hideMark/>
          </w:tcPr>
          <w:p w14:paraId="524B10F7"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0F8"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'2212'</w:t>
            </w:r>
          </w:p>
        </w:tc>
        <w:tc>
          <w:tcPr>
            <w:tcW w:w="241" w:type="pct"/>
            <w:tcBorders>
              <w:top w:val="nil"/>
              <w:left w:val="nil"/>
              <w:bottom w:val="nil"/>
              <w:right w:val="nil"/>
            </w:tcBorders>
            <w:shd w:val="clear" w:color="auto" w:fill="auto"/>
            <w:noWrap/>
            <w:vAlign w:val="bottom"/>
            <w:hideMark/>
          </w:tcPr>
          <w:p w14:paraId="524B10F9"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0FA"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2.0235</w:t>
            </w:r>
          </w:p>
        </w:tc>
        <w:tc>
          <w:tcPr>
            <w:tcW w:w="754" w:type="pct"/>
            <w:tcBorders>
              <w:top w:val="nil"/>
              <w:left w:val="nil"/>
              <w:bottom w:val="nil"/>
              <w:right w:val="nil"/>
            </w:tcBorders>
            <w:shd w:val="clear" w:color="auto" w:fill="auto"/>
            <w:noWrap/>
            <w:vAlign w:val="bottom"/>
            <w:hideMark/>
          </w:tcPr>
          <w:p w14:paraId="524B10FB"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0.1373</w:t>
            </w:r>
          </w:p>
        </w:tc>
        <w:tc>
          <w:tcPr>
            <w:tcW w:w="838" w:type="pct"/>
            <w:tcBorders>
              <w:top w:val="nil"/>
              <w:left w:val="nil"/>
              <w:bottom w:val="nil"/>
              <w:right w:val="nil"/>
            </w:tcBorders>
            <w:shd w:val="clear" w:color="auto" w:fill="auto"/>
            <w:noWrap/>
            <w:vAlign w:val="bottom"/>
            <w:hideMark/>
          </w:tcPr>
          <w:p w14:paraId="524B10FC"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217.22</w:t>
            </w:r>
          </w:p>
        </w:tc>
        <w:tc>
          <w:tcPr>
            <w:tcW w:w="796" w:type="pct"/>
            <w:tcBorders>
              <w:top w:val="nil"/>
              <w:left w:val="nil"/>
              <w:bottom w:val="nil"/>
              <w:right w:val="nil"/>
            </w:tcBorders>
            <w:shd w:val="clear" w:color="auto" w:fill="auto"/>
            <w:noWrap/>
            <w:vAlign w:val="bottom"/>
            <w:hideMark/>
          </w:tcPr>
          <w:p w14:paraId="524B10FD"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0FE"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7.565</w:t>
            </w:r>
          </w:p>
        </w:tc>
      </w:tr>
      <w:tr w:rsidR="00F000EB" w:rsidRPr="00F000EB" w14:paraId="524B1108" w14:textId="77777777" w:rsidTr="00F000EB">
        <w:trPr>
          <w:trHeight w:val="300"/>
        </w:trPr>
        <w:tc>
          <w:tcPr>
            <w:tcW w:w="559" w:type="pct"/>
            <w:tcBorders>
              <w:top w:val="nil"/>
              <w:left w:val="single" w:sz="4" w:space="0" w:color="auto"/>
              <w:bottom w:val="nil"/>
              <w:right w:val="nil"/>
            </w:tcBorders>
            <w:shd w:val="clear" w:color="auto" w:fill="auto"/>
            <w:noWrap/>
            <w:vAlign w:val="bottom"/>
            <w:hideMark/>
          </w:tcPr>
          <w:p w14:paraId="524B1100"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101"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'2213'</w:t>
            </w:r>
          </w:p>
        </w:tc>
        <w:tc>
          <w:tcPr>
            <w:tcW w:w="241" w:type="pct"/>
            <w:tcBorders>
              <w:top w:val="nil"/>
              <w:left w:val="nil"/>
              <w:bottom w:val="nil"/>
              <w:right w:val="nil"/>
            </w:tcBorders>
            <w:shd w:val="clear" w:color="auto" w:fill="auto"/>
            <w:noWrap/>
            <w:vAlign w:val="bottom"/>
            <w:hideMark/>
          </w:tcPr>
          <w:p w14:paraId="524B1102"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103"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3.0474</w:t>
            </w:r>
          </w:p>
        </w:tc>
        <w:tc>
          <w:tcPr>
            <w:tcW w:w="754" w:type="pct"/>
            <w:tcBorders>
              <w:top w:val="nil"/>
              <w:left w:val="nil"/>
              <w:bottom w:val="nil"/>
              <w:right w:val="nil"/>
            </w:tcBorders>
            <w:shd w:val="clear" w:color="auto" w:fill="auto"/>
            <w:noWrap/>
            <w:vAlign w:val="bottom"/>
            <w:hideMark/>
          </w:tcPr>
          <w:p w14:paraId="524B1104"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0.1224</w:t>
            </w:r>
          </w:p>
        </w:tc>
        <w:tc>
          <w:tcPr>
            <w:tcW w:w="838" w:type="pct"/>
            <w:tcBorders>
              <w:top w:val="nil"/>
              <w:left w:val="nil"/>
              <w:bottom w:val="nil"/>
              <w:right w:val="nil"/>
            </w:tcBorders>
            <w:shd w:val="clear" w:color="auto" w:fill="auto"/>
            <w:noWrap/>
            <w:vAlign w:val="bottom"/>
            <w:hideMark/>
          </w:tcPr>
          <w:p w14:paraId="524B1105"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619.54</w:t>
            </w:r>
          </w:p>
        </w:tc>
        <w:tc>
          <w:tcPr>
            <w:tcW w:w="796" w:type="pct"/>
            <w:tcBorders>
              <w:top w:val="nil"/>
              <w:left w:val="nil"/>
              <w:bottom w:val="nil"/>
              <w:right w:val="nil"/>
            </w:tcBorders>
            <w:shd w:val="clear" w:color="auto" w:fill="auto"/>
            <w:noWrap/>
            <w:vAlign w:val="bottom"/>
            <w:hideMark/>
          </w:tcPr>
          <w:p w14:paraId="524B1106"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107"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21.061</w:t>
            </w:r>
          </w:p>
        </w:tc>
      </w:tr>
      <w:tr w:rsidR="00F000EB" w:rsidRPr="00F000EB" w14:paraId="524B1111" w14:textId="77777777" w:rsidTr="00F000EB">
        <w:trPr>
          <w:trHeight w:val="300"/>
        </w:trPr>
        <w:tc>
          <w:tcPr>
            <w:tcW w:w="559" w:type="pct"/>
            <w:tcBorders>
              <w:top w:val="nil"/>
              <w:left w:val="single" w:sz="4" w:space="0" w:color="auto"/>
              <w:bottom w:val="nil"/>
              <w:right w:val="nil"/>
            </w:tcBorders>
            <w:shd w:val="clear" w:color="auto" w:fill="auto"/>
            <w:noWrap/>
            <w:vAlign w:val="bottom"/>
            <w:hideMark/>
          </w:tcPr>
          <w:p w14:paraId="524B1109"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10A"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'2214'</w:t>
            </w:r>
          </w:p>
        </w:tc>
        <w:tc>
          <w:tcPr>
            <w:tcW w:w="241" w:type="pct"/>
            <w:tcBorders>
              <w:top w:val="nil"/>
              <w:left w:val="nil"/>
              <w:bottom w:val="nil"/>
              <w:right w:val="nil"/>
            </w:tcBorders>
            <w:shd w:val="clear" w:color="auto" w:fill="auto"/>
            <w:noWrap/>
            <w:vAlign w:val="bottom"/>
            <w:hideMark/>
          </w:tcPr>
          <w:p w14:paraId="524B110B"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10C"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5.1812</w:t>
            </w:r>
          </w:p>
        </w:tc>
        <w:tc>
          <w:tcPr>
            <w:tcW w:w="754" w:type="pct"/>
            <w:tcBorders>
              <w:top w:val="nil"/>
              <w:left w:val="nil"/>
              <w:bottom w:val="nil"/>
              <w:right w:val="nil"/>
            </w:tcBorders>
            <w:shd w:val="clear" w:color="auto" w:fill="auto"/>
            <w:noWrap/>
            <w:vAlign w:val="bottom"/>
            <w:hideMark/>
          </w:tcPr>
          <w:p w14:paraId="524B110D"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0.1305</w:t>
            </w:r>
          </w:p>
        </w:tc>
        <w:tc>
          <w:tcPr>
            <w:tcW w:w="838" w:type="pct"/>
            <w:tcBorders>
              <w:top w:val="nil"/>
              <w:left w:val="nil"/>
              <w:bottom w:val="nil"/>
              <w:right w:val="nil"/>
            </w:tcBorders>
            <w:shd w:val="clear" w:color="auto" w:fill="auto"/>
            <w:noWrap/>
            <w:vAlign w:val="bottom"/>
            <w:hideMark/>
          </w:tcPr>
          <w:p w14:paraId="524B110E"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1576.83</w:t>
            </w:r>
          </w:p>
        </w:tc>
        <w:tc>
          <w:tcPr>
            <w:tcW w:w="796" w:type="pct"/>
            <w:tcBorders>
              <w:top w:val="nil"/>
              <w:left w:val="nil"/>
              <w:bottom w:val="nil"/>
              <w:right w:val="nil"/>
            </w:tcBorders>
            <w:shd w:val="clear" w:color="auto" w:fill="auto"/>
            <w:noWrap/>
            <w:vAlign w:val="bottom"/>
            <w:hideMark/>
          </w:tcPr>
          <w:p w14:paraId="524B110F"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110"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177.896</w:t>
            </w:r>
          </w:p>
        </w:tc>
      </w:tr>
      <w:tr w:rsidR="00F000EB" w:rsidRPr="00F000EB" w14:paraId="524B111A" w14:textId="77777777" w:rsidTr="00F000EB">
        <w:trPr>
          <w:trHeight w:val="162"/>
        </w:trPr>
        <w:tc>
          <w:tcPr>
            <w:tcW w:w="559" w:type="pct"/>
            <w:tcBorders>
              <w:top w:val="nil"/>
              <w:left w:val="single" w:sz="4" w:space="0" w:color="auto"/>
              <w:bottom w:val="nil"/>
              <w:right w:val="nil"/>
            </w:tcBorders>
            <w:shd w:val="clear" w:color="auto" w:fill="auto"/>
            <w:noWrap/>
            <w:vAlign w:val="bottom"/>
            <w:hideMark/>
          </w:tcPr>
          <w:p w14:paraId="524B1112"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113"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'2411' to ‘2413’</w:t>
            </w:r>
          </w:p>
        </w:tc>
        <w:tc>
          <w:tcPr>
            <w:tcW w:w="241" w:type="pct"/>
            <w:tcBorders>
              <w:top w:val="nil"/>
              <w:left w:val="nil"/>
              <w:bottom w:val="nil"/>
              <w:right w:val="nil"/>
            </w:tcBorders>
            <w:shd w:val="clear" w:color="auto" w:fill="auto"/>
            <w:noWrap/>
            <w:vAlign w:val="bottom"/>
            <w:hideMark/>
          </w:tcPr>
          <w:p w14:paraId="524B1114"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115"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0.3547</w:t>
            </w:r>
          </w:p>
        </w:tc>
        <w:tc>
          <w:tcPr>
            <w:tcW w:w="754" w:type="pct"/>
            <w:tcBorders>
              <w:top w:val="nil"/>
              <w:left w:val="nil"/>
              <w:bottom w:val="nil"/>
              <w:right w:val="nil"/>
            </w:tcBorders>
            <w:shd w:val="clear" w:color="auto" w:fill="auto"/>
            <w:noWrap/>
            <w:vAlign w:val="bottom"/>
            <w:hideMark/>
          </w:tcPr>
          <w:p w14:paraId="524B1116"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0.0618</w:t>
            </w:r>
          </w:p>
        </w:tc>
        <w:tc>
          <w:tcPr>
            <w:tcW w:w="838" w:type="pct"/>
            <w:tcBorders>
              <w:top w:val="nil"/>
              <w:left w:val="nil"/>
              <w:bottom w:val="nil"/>
              <w:right w:val="nil"/>
            </w:tcBorders>
            <w:shd w:val="clear" w:color="auto" w:fill="auto"/>
            <w:noWrap/>
            <w:vAlign w:val="bottom"/>
            <w:hideMark/>
          </w:tcPr>
          <w:p w14:paraId="524B1117"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32.92</w:t>
            </w:r>
          </w:p>
        </w:tc>
        <w:tc>
          <w:tcPr>
            <w:tcW w:w="796" w:type="pct"/>
            <w:tcBorders>
              <w:top w:val="nil"/>
              <w:left w:val="nil"/>
              <w:bottom w:val="nil"/>
              <w:right w:val="nil"/>
            </w:tcBorders>
            <w:shd w:val="clear" w:color="auto" w:fill="auto"/>
            <w:noWrap/>
            <w:vAlign w:val="bottom"/>
            <w:hideMark/>
          </w:tcPr>
          <w:p w14:paraId="524B1118"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119"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1.426</w:t>
            </w:r>
          </w:p>
        </w:tc>
      </w:tr>
      <w:tr w:rsidR="00F000EB" w:rsidRPr="00F000EB" w14:paraId="524B1123" w14:textId="77777777" w:rsidTr="00F000EB">
        <w:trPr>
          <w:trHeight w:val="300"/>
        </w:trPr>
        <w:tc>
          <w:tcPr>
            <w:tcW w:w="559" w:type="pct"/>
            <w:tcBorders>
              <w:top w:val="nil"/>
              <w:left w:val="single" w:sz="4" w:space="0" w:color="auto"/>
              <w:bottom w:val="nil"/>
              <w:right w:val="nil"/>
            </w:tcBorders>
            <w:shd w:val="clear" w:color="auto" w:fill="auto"/>
            <w:noWrap/>
            <w:vAlign w:val="bottom"/>
            <w:hideMark/>
          </w:tcPr>
          <w:p w14:paraId="524B111B"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11C"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'2414'</w:t>
            </w:r>
          </w:p>
        </w:tc>
        <w:tc>
          <w:tcPr>
            <w:tcW w:w="241" w:type="pct"/>
            <w:tcBorders>
              <w:top w:val="nil"/>
              <w:left w:val="nil"/>
              <w:bottom w:val="nil"/>
              <w:right w:val="nil"/>
            </w:tcBorders>
            <w:shd w:val="clear" w:color="auto" w:fill="auto"/>
            <w:noWrap/>
            <w:vAlign w:val="bottom"/>
            <w:hideMark/>
          </w:tcPr>
          <w:p w14:paraId="524B111D"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11E"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3.7847</w:t>
            </w:r>
          </w:p>
        </w:tc>
        <w:tc>
          <w:tcPr>
            <w:tcW w:w="754" w:type="pct"/>
            <w:tcBorders>
              <w:top w:val="nil"/>
              <w:left w:val="nil"/>
              <w:bottom w:val="nil"/>
              <w:right w:val="nil"/>
            </w:tcBorders>
            <w:shd w:val="clear" w:color="auto" w:fill="auto"/>
            <w:noWrap/>
            <w:vAlign w:val="bottom"/>
            <w:hideMark/>
          </w:tcPr>
          <w:p w14:paraId="524B111F"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0.0734</w:t>
            </w:r>
          </w:p>
        </w:tc>
        <w:tc>
          <w:tcPr>
            <w:tcW w:w="838" w:type="pct"/>
            <w:tcBorders>
              <w:top w:val="nil"/>
              <w:left w:val="nil"/>
              <w:bottom w:val="nil"/>
              <w:right w:val="nil"/>
            </w:tcBorders>
            <w:shd w:val="clear" w:color="auto" w:fill="auto"/>
            <w:noWrap/>
            <w:vAlign w:val="bottom"/>
            <w:hideMark/>
          </w:tcPr>
          <w:p w14:paraId="524B1120"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2662.12</w:t>
            </w:r>
          </w:p>
        </w:tc>
        <w:tc>
          <w:tcPr>
            <w:tcW w:w="796" w:type="pct"/>
            <w:tcBorders>
              <w:top w:val="nil"/>
              <w:left w:val="nil"/>
              <w:bottom w:val="nil"/>
              <w:right w:val="nil"/>
            </w:tcBorders>
            <w:shd w:val="clear" w:color="auto" w:fill="auto"/>
            <w:noWrap/>
            <w:vAlign w:val="bottom"/>
            <w:hideMark/>
          </w:tcPr>
          <w:p w14:paraId="524B1121"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122"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44.022</w:t>
            </w:r>
          </w:p>
        </w:tc>
      </w:tr>
      <w:tr w:rsidR="00F000EB" w:rsidRPr="00F000EB" w14:paraId="524B112C" w14:textId="77777777" w:rsidTr="00F000EB">
        <w:trPr>
          <w:trHeight w:val="117"/>
        </w:trPr>
        <w:tc>
          <w:tcPr>
            <w:tcW w:w="559" w:type="pct"/>
            <w:tcBorders>
              <w:top w:val="nil"/>
              <w:left w:val="single" w:sz="4" w:space="0" w:color="auto"/>
              <w:bottom w:val="nil"/>
              <w:right w:val="nil"/>
            </w:tcBorders>
            <w:shd w:val="clear" w:color="auto" w:fill="auto"/>
            <w:noWrap/>
            <w:vAlign w:val="bottom"/>
            <w:hideMark/>
          </w:tcPr>
          <w:p w14:paraId="524B1124"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125"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'2421' to ‘2423’</w:t>
            </w:r>
          </w:p>
        </w:tc>
        <w:tc>
          <w:tcPr>
            <w:tcW w:w="241" w:type="pct"/>
            <w:tcBorders>
              <w:top w:val="nil"/>
              <w:left w:val="nil"/>
              <w:bottom w:val="nil"/>
              <w:right w:val="nil"/>
            </w:tcBorders>
            <w:shd w:val="clear" w:color="auto" w:fill="auto"/>
            <w:noWrap/>
            <w:vAlign w:val="bottom"/>
            <w:hideMark/>
          </w:tcPr>
          <w:p w14:paraId="524B1126"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127"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0.6748</w:t>
            </w:r>
          </w:p>
        </w:tc>
        <w:tc>
          <w:tcPr>
            <w:tcW w:w="754" w:type="pct"/>
            <w:tcBorders>
              <w:top w:val="nil"/>
              <w:left w:val="nil"/>
              <w:bottom w:val="nil"/>
              <w:right w:val="nil"/>
            </w:tcBorders>
            <w:shd w:val="clear" w:color="auto" w:fill="auto"/>
            <w:noWrap/>
            <w:vAlign w:val="bottom"/>
            <w:hideMark/>
          </w:tcPr>
          <w:p w14:paraId="524B1128"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0.0884</w:t>
            </w:r>
          </w:p>
        </w:tc>
        <w:tc>
          <w:tcPr>
            <w:tcW w:w="838" w:type="pct"/>
            <w:tcBorders>
              <w:top w:val="nil"/>
              <w:left w:val="nil"/>
              <w:bottom w:val="nil"/>
              <w:right w:val="nil"/>
            </w:tcBorders>
            <w:shd w:val="clear" w:color="auto" w:fill="auto"/>
            <w:noWrap/>
            <w:vAlign w:val="bottom"/>
            <w:hideMark/>
          </w:tcPr>
          <w:p w14:paraId="524B1129"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58.22</w:t>
            </w:r>
          </w:p>
        </w:tc>
        <w:tc>
          <w:tcPr>
            <w:tcW w:w="796" w:type="pct"/>
            <w:tcBorders>
              <w:top w:val="nil"/>
              <w:left w:val="nil"/>
              <w:bottom w:val="nil"/>
              <w:right w:val="nil"/>
            </w:tcBorders>
            <w:shd w:val="clear" w:color="auto" w:fill="auto"/>
            <w:noWrap/>
            <w:vAlign w:val="bottom"/>
            <w:hideMark/>
          </w:tcPr>
          <w:p w14:paraId="524B112A"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12B"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1.964</w:t>
            </w:r>
          </w:p>
        </w:tc>
      </w:tr>
      <w:tr w:rsidR="00F000EB" w:rsidRPr="00F000EB" w14:paraId="524B1135" w14:textId="77777777" w:rsidTr="00F000EB">
        <w:trPr>
          <w:trHeight w:val="300"/>
        </w:trPr>
        <w:tc>
          <w:tcPr>
            <w:tcW w:w="559" w:type="pct"/>
            <w:tcBorders>
              <w:top w:val="nil"/>
              <w:left w:val="single" w:sz="4" w:space="0" w:color="auto"/>
              <w:bottom w:val="nil"/>
              <w:right w:val="nil"/>
            </w:tcBorders>
            <w:shd w:val="clear" w:color="auto" w:fill="auto"/>
            <w:noWrap/>
            <w:vAlign w:val="bottom"/>
            <w:hideMark/>
          </w:tcPr>
          <w:p w14:paraId="524B112D"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12E"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'2424'</w:t>
            </w:r>
          </w:p>
        </w:tc>
        <w:tc>
          <w:tcPr>
            <w:tcW w:w="241" w:type="pct"/>
            <w:tcBorders>
              <w:top w:val="nil"/>
              <w:left w:val="nil"/>
              <w:bottom w:val="nil"/>
              <w:right w:val="nil"/>
            </w:tcBorders>
            <w:shd w:val="clear" w:color="auto" w:fill="auto"/>
            <w:noWrap/>
            <w:vAlign w:val="bottom"/>
            <w:hideMark/>
          </w:tcPr>
          <w:p w14:paraId="524B112F"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130"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4.2938</w:t>
            </w:r>
          </w:p>
        </w:tc>
        <w:tc>
          <w:tcPr>
            <w:tcW w:w="754" w:type="pct"/>
            <w:tcBorders>
              <w:top w:val="nil"/>
              <w:left w:val="nil"/>
              <w:bottom w:val="nil"/>
              <w:right w:val="nil"/>
            </w:tcBorders>
            <w:shd w:val="clear" w:color="auto" w:fill="auto"/>
            <w:noWrap/>
            <w:vAlign w:val="bottom"/>
            <w:hideMark/>
          </w:tcPr>
          <w:p w14:paraId="524B1131"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0.1081</w:t>
            </w:r>
          </w:p>
        </w:tc>
        <w:tc>
          <w:tcPr>
            <w:tcW w:w="838" w:type="pct"/>
            <w:tcBorders>
              <w:top w:val="nil"/>
              <w:left w:val="nil"/>
              <w:bottom w:val="nil"/>
              <w:right w:val="nil"/>
            </w:tcBorders>
            <w:shd w:val="clear" w:color="auto" w:fill="auto"/>
            <w:noWrap/>
            <w:vAlign w:val="bottom"/>
            <w:hideMark/>
          </w:tcPr>
          <w:p w14:paraId="524B1132"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1577.52</w:t>
            </w:r>
          </w:p>
        </w:tc>
        <w:tc>
          <w:tcPr>
            <w:tcW w:w="796" w:type="pct"/>
            <w:tcBorders>
              <w:top w:val="nil"/>
              <w:left w:val="nil"/>
              <w:bottom w:val="nil"/>
              <w:right w:val="nil"/>
            </w:tcBorders>
            <w:shd w:val="clear" w:color="auto" w:fill="auto"/>
            <w:noWrap/>
            <w:vAlign w:val="bottom"/>
            <w:hideMark/>
          </w:tcPr>
          <w:p w14:paraId="524B1133"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134"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73.244</w:t>
            </w:r>
          </w:p>
        </w:tc>
      </w:tr>
      <w:tr w:rsidR="00F000EB" w:rsidRPr="00F000EB" w14:paraId="524B113E" w14:textId="77777777" w:rsidTr="00F000EB">
        <w:trPr>
          <w:trHeight w:val="80"/>
        </w:trPr>
        <w:tc>
          <w:tcPr>
            <w:tcW w:w="559" w:type="pct"/>
            <w:tcBorders>
              <w:top w:val="nil"/>
              <w:left w:val="single" w:sz="4" w:space="0" w:color="auto"/>
              <w:bottom w:val="nil"/>
              <w:right w:val="nil"/>
            </w:tcBorders>
            <w:shd w:val="clear" w:color="auto" w:fill="auto"/>
            <w:noWrap/>
            <w:vAlign w:val="bottom"/>
            <w:hideMark/>
          </w:tcPr>
          <w:p w14:paraId="524B1136"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137"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'2441' to ‘2442’</w:t>
            </w:r>
          </w:p>
        </w:tc>
        <w:tc>
          <w:tcPr>
            <w:tcW w:w="241" w:type="pct"/>
            <w:tcBorders>
              <w:top w:val="nil"/>
              <w:left w:val="nil"/>
              <w:bottom w:val="nil"/>
              <w:right w:val="nil"/>
            </w:tcBorders>
            <w:shd w:val="clear" w:color="auto" w:fill="auto"/>
            <w:noWrap/>
            <w:vAlign w:val="bottom"/>
            <w:hideMark/>
          </w:tcPr>
          <w:p w14:paraId="524B1138"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139"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-1.0253</w:t>
            </w:r>
          </w:p>
        </w:tc>
        <w:tc>
          <w:tcPr>
            <w:tcW w:w="754" w:type="pct"/>
            <w:tcBorders>
              <w:top w:val="nil"/>
              <w:left w:val="nil"/>
              <w:bottom w:val="nil"/>
              <w:right w:val="nil"/>
            </w:tcBorders>
            <w:shd w:val="clear" w:color="auto" w:fill="auto"/>
            <w:noWrap/>
            <w:vAlign w:val="bottom"/>
            <w:hideMark/>
          </w:tcPr>
          <w:p w14:paraId="524B113A"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0.1055</w:t>
            </w:r>
          </w:p>
        </w:tc>
        <w:tc>
          <w:tcPr>
            <w:tcW w:w="838" w:type="pct"/>
            <w:tcBorders>
              <w:top w:val="nil"/>
              <w:left w:val="nil"/>
              <w:bottom w:val="nil"/>
              <w:right w:val="nil"/>
            </w:tcBorders>
            <w:shd w:val="clear" w:color="auto" w:fill="auto"/>
            <w:noWrap/>
            <w:vAlign w:val="bottom"/>
            <w:hideMark/>
          </w:tcPr>
          <w:p w14:paraId="524B113B"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94.51</w:t>
            </w:r>
          </w:p>
        </w:tc>
        <w:tc>
          <w:tcPr>
            <w:tcW w:w="796" w:type="pct"/>
            <w:tcBorders>
              <w:top w:val="nil"/>
              <w:left w:val="nil"/>
              <w:bottom w:val="nil"/>
              <w:right w:val="nil"/>
            </w:tcBorders>
            <w:shd w:val="clear" w:color="auto" w:fill="auto"/>
            <w:noWrap/>
            <w:vAlign w:val="bottom"/>
            <w:hideMark/>
          </w:tcPr>
          <w:p w14:paraId="524B113C"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13D"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0.359</w:t>
            </w:r>
          </w:p>
        </w:tc>
      </w:tr>
      <w:tr w:rsidR="00F000EB" w:rsidRPr="00F000EB" w14:paraId="524B1147" w14:textId="77777777" w:rsidTr="00F000EB">
        <w:trPr>
          <w:trHeight w:val="300"/>
        </w:trPr>
        <w:tc>
          <w:tcPr>
            <w:tcW w:w="559" w:type="pct"/>
            <w:tcBorders>
              <w:top w:val="nil"/>
              <w:left w:val="single" w:sz="4" w:space="0" w:color="auto"/>
              <w:bottom w:val="nil"/>
              <w:right w:val="nil"/>
            </w:tcBorders>
            <w:shd w:val="clear" w:color="auto" w:fill="auto"/>
            <w:noWrap/>
            <w:vAlign w:val="bottom"/>
            <w:hideMark/>
          </w:tcPr>
          <w:p w14:paraId="524B113F"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140"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'2443'</w:t>
            </w:r>
          </w:p>
        </w:tc>
        <w:tc>
          <w:tcPr>
            <w:tcW w:w="241" w:type="pct"/>
            <w:tcBorders>
              <w:top w:val="nil"/>
              <w:left w:val="nil"/>
              <w:bottom w:val="nil"/>
              <w:right w:val="nil"/>
            </w:tcBorders>
            <w:shd w:val="clear" w:color="auto" w:fill="auto"/>
            <w:noWrap/>
            <w:vAlign w:val="bottom"/>
            <w:hideMark/>
          </w:tcPr>
          <w:p w14:paraId="524B1141"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142"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1.2019</w:t>
            </w:r>
          </w:p>
        </w:tc>
        <w:tc>
          <w:tcPr>
            <w:tcW w:w="754" w:type="pct"/>
            <w:tcBorders>
              <w:top w:val="nil"/>
              <w:left w:val="nil"/>
              <w:bottom w:val="nil"/>
              <w:right w:val="nil"/>
            </w:tcBorders>
            <w:shd w:val="clear" w:color="auto" w:fill="auto"/>
            <w:noWrap/>
            <w:vAlign w:val="bottom"/>
            <w:hideMark/>
          </w:tcPr>
          <w:p w14:paraId="524B1143"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0.1083</w:t>
            </w:r>
          </w:p>
        </w:tc>
        <w:tc>
          <w:tcPr>
            <w:tcW w:w="838" w:type="pct"/>
            <w:tcBorders>
              <w:top w:val="nil"/>
              <w:left w:val="nil"/>
              <w:bottom w:val="nil"/>
              <w:right w:val="nil"/>
            </w:tcBorders>
            <w:shd w:val="clear" w:color="auto" w:fill="auto"/>
            <w:noWrap/>
            <w:vAlign w:val="bottom"/>
            <w:hideMark/>
          </w:tcPr>
          <w:p w14:paraId="524B1144"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123.08</w:t>
            </w:r>
          </w:p>
        </w:tc>
        <w:tc>
          <w:tcPr>
            <w:tcW w:w="796" w:type="pct"/>
            <w:tcBorders>
              <w:top w:val="nil"/>
              <w:left w:val="nil"/>
              <w:bottom w:val="nil"/>
              <w:right w:val="nil"/>
            </w:tcBorders>
            <w:shd w:val="clear" w:color="auto" w:fill="auto"/>
            <w:noWrap/>
            <w:vAlign w:val="bottom"/>
            <w:hideMark/>
          </w:tcPr>
          <w:p w14:paraId="524B1145"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146"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3.326</w:t>
            </w:r>
          </w:p>
        </w:tc>
      </w:tr>
      <w:tr w:rsidR="00F000EB" w:rsidRPr="00F000EB" w14:paraId="524B1150" w14:textId="77777777" w:rsidTr="00F000EB">
        <w:trPr>
          <w:trHeight w:val="300"/>
        </w:trPr>
        <w:tc>
          <w:tcPr>
            <w:tcW w:w="559" w:type="pct"/>
            <w:tcBorders>
              <w:top w:val="nil"/>
              <w:left w:val="single" w:sz="4" w:space="0" w:color="auto"/>
              <w:bottom w:val="nil"/>
              <w:right w:val="nil"/>
            </w:tcBorders>
            <w:shd w:val="clear" w:color="auto" w:fill="auto"/>
            <w:noWrap/>
            <w:vAlign w:val="bottom"/>
            <w:hideMark/>
          </w:tcPr>
          <w:p w14:paraId="524B1148"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149"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'2444'</w:t>
            </w:r>
          </w:p>
        </w:tc>
        <w:tc>
          <w:tcPr>
            <w:tcW w:w="241" w:type="pct"/>
            <w:tcBorders>
              <w:top w:val="nil"/>
              <w:left w:val="nil"/>
              <w:bottom w:val="nil"/>
              <w:right w:val="nil"/>
            </w:tcBorders>
            <w:shd w:val="clear" w:color="auto" w:fill="auto"/>
            <w:noWrap/>
            <w:vAlign w:val="bottom"/>
            <w:hideMark/>
          </w:tcPr>
          <w:p w14:paraId="524B114A"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14B"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3.3347</w:t>
            </w:r>
          </w:p>
        </w:tc>
        <w:tc>
          <w:tcPr>
            <w:tcW w:w="754" w:type="pct"/>
            <w:tcBorders>
              <w:top w:val="nil"/>
              <w:left w:val="nil"/>
              <w:bottom w:val="nil"/>
              <w:right w:val="nil"/>
            </w:tcBorders>
            <w:shd w:val="clear" w:color="auto" w:fill="auto"/>
            <w:noWrap/>
            <w:vAlign w:val="bottom"/>
            <w:hideMark/>
          </w:tcPr>
          <w:p w14:paraId="524B114C"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0.12</w:t>
            </w:r>
          </w:p>
        </w:tc>
        <w:tc>
          <w:tcPr>
            <w:tcW w:w="838" w:type="pct"/>
            <w:tcBorders>
              <w:top w:val="nil"/>
              <w:left w:val="nil"/>
              <w:bottom w:val="nil"/>
              <w:right w:val="nil"/>
            </w:tcBorders>
            <w:shd w:val="clear" w:color="auto" w:fill="auto"/>
            <w:noWrap/>
            <w:vAlign w:val="bottom"/>
            <w:hideMark/>
          </w:tcPr>
          <w:p w14:paraId="524B114D"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772.1</w:t>
            </w:r>
          </w:p>
        </w:tc>
        <w:tc>
          <w:tcPr>
            <w:tcW w:w="796" w:type="pct"/>
            <w:tcBorders>
              <w:top w:val="nil"/>
              <w:left w:val="nil"/>
              <w:bottom w:val="nil"/>
              <w:right w:val="nil"/>
            </w:tcBorders>
            <w:shd w:val="clear" w:color="auto" w:fill="auto"/>
            <w:noWrap/>
            <w:vAlign w:val="bottom"/>
            <w:hideMark/>
          </w:tcPr>
          <w:p w14:paraId="524B114E"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14F"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28.070</w:t>
            </w:r>
          </w:p>
        </w:tc>
      </w:tr>
      <w:tr w:rsidR="00F000EB" w:rsidRPr="00F000EB" w14:paraId="524B1159" w14:textId="77777777" w:rsidTr="00F000EB">
        <w:trPr>
          <w:trHeight w:val="300"/>
        </w:trPr>
        <w:tc>
          <w:tcPr>
            <w:tcW w:w="559" w:type="pct"/>
            <w:tcBorders>
              <w:top w:val="nil"/>
              <w:left w:val="single" w:sz="4" w:space="0" w:color="auto"/>
              <w:bottom w:val="nil"/>
              <w:right w:val="nil"/>
            </w:tcBorders>
            <w:shd w:val="clear" w:color="auto" w:fill="auto"/>
            <w:noWrap/>
            <w:vAlign w:val="bottom"/>
            <w:hideMark/>
          </w:tcPr>
          <w:p w14:paraId="524B1151"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152"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'2532'</w:t>
            </w:r>
          </w:p>
        </w:tc>
        <w:tc>
          <w:tcPr>
            <w:tcW w:w="241" w:type="pct"/>
            <w:tcBorders>
              <w:top w:val="nil"/>
              <w:left w:val="nil"/>
              <w:bottom w:val="nil"/>
              <w:right w:val="nil"/>
            </w:tcBorders>
            <w:shd w:val="clear" w:color="auto" w:fill="auto"/>
            <w:noWrap/>
            <w:vAlign w:val="bottom"/>
            <w:hideMark/>
          </w:tcPr>
          <w:p w14:paraId="524B1153"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154"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0.9608</w:t>
            </w:r>
          </w:p>
        </w:tc>
        <w:tc>
          <w:tcPr>
            <w:tcW w:w="754" w:type="pct"/>
            <w:tcBorders>
              <w:top w:val="nil"/>
              <w:left w:val="nil"/>
              <w:bottom w:val="nil"/>
              <w:right w:val="nil"/>
            </w:tcBorders>
            <w:shd w:val="clear" w:color="auto" w:fill="auto"/>
            <w:noWrap/>
            <w:vAlign w:val="bottom"/>
            <w:hideMark/>
          </w:tcPr>
          <w:p w14:paraId="524B1155"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0.0621</w:t>
            </w:r>
          </w:p>
        </w:tc>
        <w:tc>
          <w:tcPr>
            <w:tcW w:w="838" w:type="pct"/>
            <w:tcBorders>
              <w:top w:val="nil"/>
              <w:left w:val="nil"/>
              <w:bottom w:val="nil"/>
              <w:right w:val="nil"/>
            </w:tcBorders>
            <w:shd w:val="clear" w:color="auto" w:fill="auto"/>
            <w:noWrap/>
            <w:vAlign w:val="bottom"/>
            <w:hideMark/>
          </w:tcPr>
          <w:p w14:paraId="524B1156"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239.43</w:t>
            </w:r>
          </w:p>
        </w:tc>
        <w:tc>
          <w:tcPr>
            <w:tcW w:w="796" w:type="pct"/>
            <w:tcBorders>
              <w:top w:val="nil"/>
              <w:left w:val="nil"/>
              <w:bottom w:val="nil"/>
              <w:right w:val="nil"/>
            </w:tcBorders>
            <w:shd w:val="clear" w:color="auto" w:fill="auto"/>
            <w:noWrap/>
            <w:vAlign w:val="bottom"/>
            <w:hideMark/>
          </w:tcPr>
          <w:p w14:paraId="524B1157"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158"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2.614</w:t>
            </w:r>
          </w:p>
        </w:tc>
      </w:tr>
      <w:tr w:rsidR="00F000EB" w:rsidRPr="00F000EB" w14:paraId="524B1162" w14:textId="77777777" w:rsidTr="00F000EB">
        <w:trPr>
          <w:trHeight w:val="300"/>
        </w:trPr>
        <w:tc>
          <w:tcPr>
            <w:tcW w:w="559" w:type="pct"/>
            <w:tcBorders>
              <w:top w:val="nil"/>
              <w:left w:val="single" w:sz="4" w:space="0" w:color="auto"/>
              <w:bottom w:val="nil"/>
              <w:right w:val="nil"/>
            </w:tcBorders>
            <w:shd w:val="clear" w:color="auto" w:fill="auto"/>
            <w:noWrap/>
            <w:vAlign w:val="bottom"/>
            <w:hideMark/>
          </w:tcPr>
          <w:p w14:paraId="524B115A"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15B"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'2533'</w:t>
            </w:r>
          </w:p>
        </w:tc>
        <w:tc>
          <w:tcPr>
            <w:tcW w:w="241" w:type="pct"/>
            <w:tcBorders>
              <w:top w:val="nil"/>
              <w:left w:val="nil"/>
              <w:bottom w:val="nil"/>
              <w:right w:val="nil"/>
            </w:tcBorders>
            <w:shd w:val="clear" w:color="auto" w:fill="auto"/>
            <w:noWrap/>
            <w:vAlign w:val="bottom"/>
            <w:hideMark/>
          </w:tcPr>
          <w:p w14:paraId="524B115C"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15D"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2.5538</w:t>
            </w:r>
          </w:p>
        </w:tc>
        <w:tc>
          <w:tcPr>
            <w:tcW w:w="754" w:type="pct"/>
            <w:tcBorders>
              <w:top w:val="nil"/>
              <w:left w:val="nil"/>
              <w:bottom w:val="nil"/>
              <w:right w:val="nil"/>
            </w:tcBorders>
            <w:shd w:val="clear" w:color="auto" w:fill="auto"/>
            <w:noWrap/>
            <w:vAlign w:val="bottom"/>
            <w:hideMark/>
          </w:tcPr>
          <w:p w14:paraId="524B115E"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0.0612</w:t>
            </w:r>
          </w:p>
        </w:tc>
        <w:tc>
          <w:tcPr>
            <w:tcW w:w="838" w:type="pct"/>
            <w:tcBorders>
              <w:top w:val="nil"/>
              <w:left w:val="nil"/>
              <w:bottom w:val="nil"/>
              <w:right w:val="nil"/>
            </w:tcBorders>
            <w:shd w:val="clear" w:color="auto" w:fill="auto"/>
            <w:noWrap/>
            <w:vAlign w:val="bottom"/>
            <w:hideMark/>
          </w:tcPr>
          <w:p w14:paraId="524B115F"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1742.2</w:t>
            </w:r>
          </w:p>
        </w:tc>
        <w:tc>
          <w:tcPr>
            <w:tcW w:w="796" w:type="pct"/>
            <w:tcBorders>
              <w:top w:val="nil"/>
              <w:left w:val="nil"/>
              <w:bottom w:val="nil"/>
              <w:right w:val="nil"/>
            </w:tcBorders>
            <w:shd w:val="clear" w:color="auto" w:fill="auto"/>
            <w:noWrap/>
            <w:vAlign w:val="bottom"/>
            <w:hideMark/>
          </w:tcPr>
          <w:p w14:paraId="524B1160"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161"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12.856</w:t>
            </w:r>
          </w:p>
        </w:tc>
      </w:tr>
      <w:tr w:rsidR="00F000EB" w:rsidRPr="00F000EB" w14:paraId="524B116B" w14:textId="77777777" w:rsidTr="00F000EB">
        <w:trPr>
          <w:trHeight w:val="300"/>
        </w:trPr>
        <w:tc>
          <w:tcPr>
            <w:tcW w:w="559" w:type="pct"/>
            <w:tcBorders>
              <w:top w:val="nil"/>
              <w:left w:val="single" w:sz="4" w:space="0" w:color="auto"/>
              <w:bottom w:val="nil"/>
              <w:right w:val="nil"/>
            </w:tcBorders>
            <w:shd w:val="clear" w:color="auto" w:fill="auto"/>
            <w:noWrap/>
            <w:vAlign w:val="bottom"/>
            <w:hideMark/>
          </w:tcPr>
          <w:p w14:paraId="524B1163"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164"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'2534'</w:t>
            </w:r>
          </w:p>
        </w:tc>
        <w:tc>
          <w:tcPr>
            <w:tcW w:w="241" w:type="pct"/>
            <w:tcBorders>
              <w:top w:val="nil"/>
              <w:left w:val="nil"/>
              <w:bottom w:val="nil"/>
              <w:right w:val="nil"/>
            </w:tcBorders>
            <w:shd w:val="clear" w:color="auto" w:fill="auto"/>
            <w:noWrap/>
            <w:vAlign w:val="bottom"/>
            <w:hideMark/>
          </w:tcPr>
          <w:p w14:paraId="524B1165"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166"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4.4473</w:t>
            </w:r>
          </w:p>
        </w:tc>
        <w:tc>
          <w:tcPr>
            <w:tcW w:w="754" w:type="pct"/>
            <w:tcBorders>
              <w:top w:val="nil"/>
              <w:left w:val="nil"/>
              <w:bottom w:val="nil"/>
              <w:right w:val="nil"/>
            </w:tcBorders>
            <w:shd w:val="clear" w:color="auto" w:fill="auto"/>
            <w:noWrap/>
            <w:vAlign w:val="bottom"/>
            <w:hideMark/>
          </w:tcPr>
          <w:p w14:paraId="524B1167"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0.0696</w:t>
            </w:r>
          </w:p>
        </w:tc>
        <w:tc>
          <w:tcPr>
            <w:tcW w:w="838" w:type="pct"/>
            <w:tcBorders>
              <w:top w:val="nil"/>
              <w:left w:val="nil"/>
              <w:bottom w:val="nil"/>
              <w:right w:val="nil"/>
            </w:tcBorders>
            <w:shd w:val="clear" w:color="auto" w:fill="auto"/>
            <w:noWrap/>
            <w:vAlign w:val="bottom"/>
            <w:hideMark/>
          </w:tcPr>
          <w:p w14:paraId="524B1168"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4085.73</w:t>
            </w:r>
          </w:p>
        </w:tc>
        <w:tc>
          <w:tcPr>
            <w:tcW w:w="796" w:type="pct"/>
            <w:tcBorders>
              <w:top w:val="nil"/>
              <w:left w:val="nil"/>
              <w:bottom w:val="nil"/>
              <w:right w:val="nil"/>
            </w:tcBorders>
            <w:shd w:val="clear" w:color="auto" w:fill="auto"/>
            <w:noWrap/>
            <w:vAlign w:val="bottom"/>
            <w:hideMark/>
          </w:tcPr>
          <w:p w14:paraId="524B1169"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16A"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85.396</w:t>
            </w:r>
          </w:p>
        </w:tc>
      </w:tr>
      <w:tr w:rsidR="00F000EB" w:rsidRPr="00F000EB" w14:paraId="524B1174" w14:textId="77777777" w:rsidTr="00F000EB">
        <w:trPr>
          <w:trHeight w:val="90"/>
        </w:trPr>
        <w:tc>
          <w:tcPr>
            <w:tcW w:w="559" w:type="pct"/>
            <w:tcBorders>
              <w:top w:val="nil"/>
              <w:left w:val="single" w:sz="4" w:space="0" w:color="auto"/>
              <w:bottom w:val="nil"/>
              <w:right w:val="nil"/>
            </w:tcBorders>
            <w:shd w:val="clear" w:color="auto" w:fill="auto"/>
            <w:noWrap/>
            <w:vAlign w:val="bottom"/>
            <w:hideMark/>
          </w:tcPr>
          <w:p w14:paraId="524B116C"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16D"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'2541' to ‘2534’</w:t>
            </w:r>
          </w:p>
        </w:tc>
        <w:tc>
          <w:tcPr>
            <w:tcW w:w="241" w:type="pct"/>
            <w:tcBorders>
              <w:top w:val="nil"/>
              <w:left w:val="nil"/>
              <w:bottom w:val="nil"/>
              <w:right w:val="nil"/>
            </w:tcBorders>
            <w:shd w:val="clear" w:color="auto" w:fill="auto"/>
            <w:noWrap/>
            <w:vAlign w:val="bottom"/>
            <w:hideMark/>
          </w:tcPr>
          <w:p w14:paraId="524B116E"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16F"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0.8521</w:t>
            </w:r>
          </w:p>
        </w:tc>
        <w:tc>
          <w:tcPr>
            <w:tcW w:w="754" w:type="pct"/>
            <w:tcBorders>
              <w:top w:val="nil"/>
              <w:left w:val="nil"/>
              <w:bottom w:val="nil"/>
              <w:right w:val="nil"/>
            </w:tcBorders>
            <w:shd w:val="clear" w:color="auto" w:fill="auto"/>
            <w:noWrap/>
            <w:vAlign w:val="bottom"/>
            <w:hideMark/>
          </w:tcPr>
          <w:p w14:paraId="524B1170"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0.0764</w:t>
            </w:r>
          </w:p>
        </w:tc>
        <w:tc>
          <w:tcPr>
            <w:tcW w:w="838" w:type="pct"/>
            <w:tcBorders>
              <w:top w:val="nil"/>
              <w:left w:val="nil"/>
              <w:bottom w:val="nil"/>
              <w:right w:val="nil"/>
            </w:tcBorders>
            <w:shd w:val="clear" w:color="auto" w:fill="auto"/>
            <w:noWrap/>
            <w:vAlign w:val="bottom"/>
            <w:hideMark/>
          </w:tcPr>
          <w:p w14:paraId="524B1171"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124.47</w:t>
            </w:r>
          </w:p>
        </w:tc>
        <w:tc>
          <w:tcPr>
            <w:tcW w:w="796" w:type="pct"/>
            <w:tcBorders>
              <w:top w:val="nil"/>
              <w:left w:val="nil"/>
              <w:bottom w:val="nil"/>
              <w:right w:val="nil"/>
            </w:tcBorders>
            <w:shd w:val="clear" w:color="auto" w:fill="auto"/>
            <w:noWrap/>
            <w:vAlign w:val="bottom"/>
            <w:hideMark/>
          </w:tcPr>
          <w:p w14:paraId="524B1172"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173"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2.345</w:t>
            </w:r>
          </w:p>
        </w:tc>
      </w:tr>
      <w:tr w:rsidR="00F000EB" w:rsidRPr="00F000EB" w14:paraId="524B117D" w14:textId="77777777" w:rsidTr="00F000EB">
        <w:trPr>
          <w:trHeight w:val="300"/>
        </w:trPr>
        <w:tc>
          <w:tcPr>
            <w:tcW w:w="559" w:type="pct"/>
            <w:tcBorders>
              <w:top w:val="nil"/>
              <w:left w:val="single" w:sz="4" w:space="0" w:color="auto"/>
              <w:bottom w:val="nil"/>
              <w:right w:val="nil"/>
            </w:tcBorders>
            <w:shd w:val="clear" w:color="auto" w:fill="auto"/>
            <w:noWrap/>
            <w:vAlign w:val="bottom"/>
            <w:hideMark/>
          </w:tcPr>
          <w:p w14:paraId="524B1175"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APR-DRG</w:t>
            </w:r>
          </w:p>
        </w:tc>
        <w:tc>
          <w:tcPr>
            <w:tcW w:w="718" w:type="pct"/>
            <w:tcBorders>
              <w:top w:val="nil"/>
              <w:left w:val="nil"/>
              <w:bottom w:val="nil"/>
              <w:right w:val="nil"/>
            </w:tcBorders>
            <w:shd w:val="clear" w:color="auto" w:fill="auto"/>
            <w:vAlign w:val="bottom"/>
            <w:hideMark/>
          </w:tcPr>
          <w:p w14:paraId="524B1176"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'2544'</w:t>
            </w:r>
          </w:p>
        </w:tc>
        <w:tc>
          <w:tcPr>
            <w:tcW w:w="241" w:type="pct"/>
            <w:tcBorders>
              <w:top w:val="nil"/>
              <w:left w:val="nil"/>
              <w:bottom w:val="nil"/>
              <w:right w:val="nil"/>
            </w:tcBorders>
            <w:shd w:val="clear" w:color="auto" w:fill="auto"/>
            <w:noWrap/>
            <w:vAlign w:val="bottom"/>
            <w:hideMark/>
          </w:tcPr>
          <w:p w14:paraId="524B1177"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178"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4.3364</w:t>
            </w:r>
          </w:p>
        </w:tc>
        <w:tc>
          <w:tcPr>
            <w:tcW w:w="754" w:type="pct"/>
            <w:tcBorders>
              <w:top w:val="nil"/>
              <w:left w:val="nil"/>
              <w:bottom w:val="nil"/>
              <w:right w:val="nil"/>
            </w:tcBorders>
            <w:shd w:val="clear" w:color="auto" w:fill="auto"/>
            <w:noWrap/>
            <w:vAlign w:val="bottom"/>
            <w:hideMark/>
          </w:tcPr>
          <w:p w14:paraId="524B1179"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0.1069</w:t>
            </w:r>
          </w:p>
        </w:tc>
        <w:tc>
          <w:tcPr>
            <w:tcW w:w="838" w:type="pct"/>
            <w:tcBorders>
              <w:top w:val="nil"/>
              <w:left w:val="nil"/>
              <w:bottom w:val="nil"/>
              <w:right w:val="nil"/>
            </w:tcBorders>
            <w:shd w:val="clear" w:color="auto" w:fill="auto"/>
            <w:noWrap/>
            <w:vAlign w:val="bottom"/>
            <w:hideMark/>
          </w:tcPr>
          <w:p w14:paraId="524B117A"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1645.74</w:t>
            </w:r>
          </w:p>
        </w:tc>
        <w:tc>
          <w:tcPr>
            <w:tcW w:w="796" w:type="pct"/>
            <w:tcBorders>
              <w:top w:val="nil"/>
              <w:left w:val="nil"/>
              <w:bottom w:val="nil"/>
              <w:right w:val="nil"/>
            </w:tcBorders>
            <w:shd w:val="clear" w:color="auto" w:fill="auto"/>
            <w:noWrap/>
            <w:vAlign w:val="bottom"/>
            <w:hideMark/>
          </w:tcPr>
          <w:p w14:paraId="524B117B"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17C"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76.432</w:t>
            </w:r>
          </w:p>
        </w:tc>
      </w:tr>
      <w:tr w:rsidR="00F000EB" w:rsidRPr="00F000EB" w14:paraId="524B1186" w14:textId="77777777" w:rsidTr="00F000EB">
        <w:trPr>
          <w:trHeight w:val="300"/>
        </w:trPr>
        <w:tc>
          <w:tcPr>
            <w:tcW w:w="559" w:type="pct"/>
            <w:tcBorders>
              <w:top w:val="nil"/>
              <w:left w:val="single" w:sz="4" w:space="0" w:color="auto"/>
              <w:bottom w:val="nil"/>
              <w:right w:val="nil"/>
            </w:tcBorders>
            <w:shd w:val="clear" w:color="auto" w:fill="auto"/>
            <w:noWrap/>
            <w:vAlign w:val="bottom"/>
            <w:hideMark/>
          </w:tcPr>
          <w:p w14:paraId="524B117E"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MDC</w:t>
            </w:r>
          </w:p>
        </w:tc>
        <w:tc>
          <w:tcPr>
            <w:tcW w:w="718" w:type="pct"/>
            <w:tcBorders>
              <w:top w:val="nil"/>
              <w:left w:val="nil"/>
              <w:bottom w:val="nil"/>
              <w:right w:val="nil"/>
            </w:tcBorders>
            <w:shd w:val="clear" w:color="auto" w:fill="auto"/>
            <w:vAlign w:val="bottom"/>
            <w:hideMark/>
          </w:tcPr>
          <w:p w14:paraId="524B117F"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OTHER</w:t>
            </w:r>
          </w:p>
        </w:tc>
        <w:tc>
          <w:tcPr>
            <w:tcW w:w="241" w:type="pct"/>
            <w:tcBorders>
              <w:top w:val="nil"/>
              <w:left w:val="nil"/>
              <w:bottom w:val="nil"/>
              <w:right w:val="nil"/>
            </w:tcBorders>
            <w:shd w:val="clear" w:color="auto" w:fill="auto"/>
            <w:noWrap/>
            <w:vAlign w:val="bottom"/>
            <w:hideMark/>
          </w:tcPr>
          <w:p w14:paraId="524B1180"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nil"/>
              <w:right w:val="nil"/>
            </w:tcBorders>
            <w:shd w:val="clear" w:color="auto" w:fill="auto"/>
            <w:noWrap/>
            <w:vAlign w:val="bottom"/>
            <w:hideMark/>
          </w:tcPr>
          <w:p w14:paraId="524B1181"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1.5317</w:t>
            </w:r>
          </w:p>
        </w:tc>
        <w:tc>
          <w:tcPr>
            <w:tcW w:w="754" w:type="pct"/>
            <w:tcBorders>
              <w:top w:val="nil"/>
              <w:left w:val="nil"/>
              <w:bottom w:val="nil"/>
              <w:right w:val="nil"/>
            </w:tcBorders>
            <w:shd w:val="clear" w:color="auto" w:fill="auto"/>
            <w:noWrap/>
            <w:vAlign w:val="bottom"/>
            <w:hideMark/>
          </w:tcPr>
          <w:p w14:paraId="524B1182"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0.0659</w:t>
            </w:r>
          </w:p>
        </w:tc>
        <w:tc>
          <w:tcPr>
            <w:tcW w:w="838" w:type="pct"/>
            <w:tcBorders>
              <w:top w:val="nil"/>
              <w:left w:val="nil"/>
              <w:bottom w:val="nil"/>
              <w:right w:val="nil"/>
            </w:tcBorders>
            <w:shd w:val="clear" w:color="auto" w:fill="auto"/>
            <w:noWrap/>
            <w:vAlign w:val="bottom"/>
            <w:hideMark/>
          </w:tcPr>
          <w:p w14:paraId="524B1183"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540.39</w:t>
            </w:r>
          </w:p>
        </w:tc>
        <w:tc>
          <w:tcPr>
            <w:tcW w:w="796" w:type="pct"/>
            <w:tcBorders>
              <w:top w:val="nil"/>
              <w:left w:val="nil"/>
              <w:bottom w:val="nil"/>
              <w:right w:val="nil"/>
            </w:tcBorders>
            <w:shd w:val="clear" w:color="auto" w:fill="auto"/>
            <w:noWrap/>
            <w:vAlign w:val="bottom"/>
            <w:hideMark/>
          </w:tcPr>
          <w:p w14:paraId="524B1184"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nil"/>
              <w:right w:val="single" w:sz="4" w:space="0" w:color="auto"/>
            </w:tcBorders>
            <w:shd w:val="clear" w:color="auto" w:fill="auto"/>
            <w:noWrap/>
            <w:vAlign w:val="bottom"/>
            <w:hideMark/>
          </w:tcPr>
          <w:p w14:paraId="524B1185"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4.626</w:t>
            </w:r>
          </w:p>
        </w:tc>
      </w:tr>
      <w:tr w:rsidR="00F000EB" w:rsidRPr="00F000EB" w14:paraId="524B118F" w14:textId="77777777" w:rsidTr="00F000EB">
        <w:trPr>
          <w:trHeight w:val="108"/>
        </w:trPr>
        <w:tc>
          <w:tcPr>
            <w:tcW w:w="559" w:type="pct"/>
            <w:tcBorders>
              <w:top w:val="nil"/>
              <w:left w:val="single" w:sz="4" w:space="0" w:color="auto"/>
              <w:bottom w:val="single" w:sz="4" w:space="0" w:color="auto"/>
              <w:right w:val="nil"/>
            </w:tcBorders>
            <w:shd w:val="clear" w:color="auto" w:fill="auto"/>
            <w:noWrap/>
            <w:vAlign w:val="bottom"/>
            <w:hideMark/>
          </w:tcPr>
          <w:p w14:paraId="524B1187"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TRNSFER</w:t>
            </w:r>
          </w:p>
        </w:tc>
        <w:tc>
          <w:tcPr>
            <w:tcW w:w="718" w:type="pct"/>
            <w:tcBorders>
              <w:top w:val="nil"/>
              <w:left w:val="nil"/>
              <w:bottom w:val="single" w:sz="4" w:space="0" w:color="auto"/>
              <w:right w:val="nil"/>
            </w:tcBorders>
            <w:shd w:val="clear" w:color="auto" w:fill="auto"/>
            <w:vAlign w:val="bottom"/>
            <w:hideMark/>
          </w:tcPr>
          <w:p w14:paraId="524B1188" w14:textId="77777777" w:rsidR="001D6A73" w:rsidRPr="00F000EB" w:rsidRDefault="001D6A73" w:rsidP="001D6A73">
            <w:pPr>
              <w:spacing w:after="0" w:line="240" w:lineRule="auto"/>
              <w:rPr>
                <w:rFonts w:ascii="Arial" w:eastAsia="Times New Roman" w:hAnsi="Arial" w:cs="Arial"/>
                <w:color w:val="000000"/>
                <w:sz w:val="16"/>
                <w:szCs w:val="16"/>
              </w:rPr>
            </w:pPr>
            <w:r w:rsidRPr="00F000EB">
              <w:rPr>
                <w:rFonts w:ascii="Arial" w:eastAsia="Times New Roman" w:hAnsi="Arial" w:cs="Arial"/>
                <w:color w:val="000000"/>
                <w:sz w:val="16"/>
                <w:szCs w:val="16"/>
              </w:rPr>
              <w:t>Transfer-in</w:t>
            </w:r>
          </w:p>
        </w:tc>
        <w:tc>
          <w:tcPr>
            <w:tcW w:w="241" w:type="pct"/>
            <w:tcBorders>
              <w:top w:val="nil"/>
              <w:left w:val="nil"/>
              <w:bottom w:val="single" w:sz="4" w:space="0" w:color="auto"/>
              <w:right w:val="nil"/>
            </w:tcBorders>
            <w:shd w:val="clear" w:color="auto" w:fill="auto"/>
            <w:noWrap/>
            <w:vAlign w:val="bottom"/>
            <w:hideMark/>
          </w:tcPr>
          <w:p w14:paraId="524B1189"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w:t>
            </w:r>
          </w:p>
        </w:tc>
        <w:tc>
          <w:tcPr>
            <w:tcW w:w="494" w:type="pct"/>
            <w:tcBorders>
              <w:top w:val="nil"/>
              <w:left w:val="nil"/>
              <w:bottom w:val="single" w:sz="4" w:space="0" w:color="auto"/>
              <w:right w:val="nil"/>
            </w:tcBorders>
            <w:shd w:val="clear" w:color="auto" w:fill="auto"/>
            <w:noWrap/>
            <w:vAlign w:val="bottom"/>
            <w:hideMark/>
          </w:tcPr>
          <w:p w14:paraId="524B118A"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0.6387</w:t>
            </w:r>
          </w:p>
        </w:tc>
        <w:tc>
          <w:tcPr>
            <w:tcW w:w="754" w:type="pct"/>
            <w:tcBorders>
              <w:top w:val="nil"/>
              <w:left w:val="nil"/>
              <w:bottom w:val="single" w:sz="4" w:space="0" w:color="auto"/>
              <w:right w:val="nil"/>
            </w:tcBorders>
            <w:shd w:val="clear" w:color="auto" w:fill="auto"/>
            <w:noWrap/>
            <w:vAlign w:val="bottom"/>
            <w:hideMark/>
          </w:tcPr>
          <w:p w14:paraId="524B118B"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0.0633</w:t>
            </w:r>
          </w:p>
        </w:tc>
        <w:tc>
          <w:tcPr>
            <w:tcW w:w="838" w:type="pct"/>
            <w:tcBorders>
              <w:top w:val="nil"/>
              <w:left w:val="nil"/>
              <w:bottom w:val="single" w:sz="4" w:space="0" w:color="auto"/>
              <w:right w:val="nil"/>
            </w:tcBorders>
            <w:shd w:val="clear" w:color="auto" w:fill="auto"/>
            <w:noWrap/>
            <w:vAlign w:val="bottom"/>
            <w:hideMark/>
          </w:tcPr>
          <w:p w14:paraId="524B118C"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101.67</w:t>
            </w:r>
          </w:p>
        </w:tc>
        <w:tc>
          <w:tcPr>
            <w:tcW w:w="796" w:type="pct"/>
            <w:tcBorders>
              <w:top w:val="nil"/>
              <w:left w:val="nil"/>
              <w:bottom w:val="single" w:sz="4" w:space="0" w:color="auto"/>
              <w:right w:val="nil"/>
            </w:tcBorders>
            <w:shd w:val="clear" w:color="auto" w:fill="auto"/>
            <w:noWrap/>
            <w:vAlign w:val="bottom"/>
            <w:hideMark/>
          </w:tcPr>
          <w:p w14:paraId="524B118D" w14:textId="77777777" w:rsidR="001D6A73" w:rsidRPr="00F000EB" w:rsidRDefault="001D6A73" w:rsidP="001D6A73">
            <w:pPr>
              <w:spacing w:after="0" w:line="240" w:lineRule="auto"/>
              <w:jc w:val="right"/>
              <w:rPr>
                <w:rFonts w:ascii="Arial" w:eastAsia="Times New Roman" w:hAnsi="Arial" w:cs="Arial"/>
                <w:color w:val="000000"/>
                <w:sz w:val="16"/>
                <w:szCs w:val="16"/>
              </w:rPr>
            </w:pPr>
            <w:r w:rsidRPr="00F000EB">
              <w:rPr>
                <w:rFonts w:ascii="Arial" w:eastAsia="Times New Roman" w:hAnsi="Arial" w:cs="Arial"/>
                <w:color w:val="000000"/>
                <w:sz w:val="16"/>
                <w:szCs w:val="16"/>
              </w:rPr>
              <w:t>0</w:t>
            </w:r>
          </w:p>
        </w:tc>
        <w:tc>
          <w:tcPr>
            <w:tcW w:w="599" w:type="pct"/>
            <w:tcBorders>
              <w:top w:val="nil"/>
              <w:left w:val="nil"/>
              <w:bottom w:val="single" w:sz="4" w:space="0" w:color="auto"/>
              <w:right w:val="single" w:sz="4" w:space="0" w:color="auto"/>
            </w:tcBorders>
            <w:shd w:val="clear" w:color="auto" w:fill="auto"/>
            <w:noWrap/>
            <w:vAlign w:val="bottom"/>
            <w:hideMark/>
          </w:tcPr>
          <w:p w14:paraId="524B118E" w14:textId="77777777" w:rsidR="001D6A73" w:rsidRPr="00F000EB" w:rsidRDefault="001D6A73" w:rsidP="001D6A73">
            <w:pPr>
              <w:spacing w:after="0" w:line="240" w:lineRule="auto"/>
              <w:jc w:val="right"/>
              <w:rPr>
                <w:rFonts w:ascii="Calibri" w:eastAsia="Times New Roman" w:hAnsi="Calibri" w:cs="Times New Roman"/>
                <w:color w:val="000000"/>
                <w:sz w:val="16"/>
                <w:szCs w:val="16"/>
              </w:rPr>
            </w:pPr>
            <w:r w:rsidRPr="00F000EB">
              <w:rPr>
                <w:rFonts w:ascii="Calibri" w:eastAsia="Times New Roman" w:hAnsi="Calibri" w:cs="Times New Roman"/>
                <w:color w:val="000000"/>
                <w:sz w:val="16"/>
                <w:szCs w:val="16"/>
              </w:rPr>
              <w:t>1.894</w:t>
            </w:r>
          </w:p>
        </w:tc>
      </w:tr>
    </w:tbl>
    <w:p w14:paraId="524B1190" w14:textId="77777777" w:rsidR="00BE20C9" w:rsidRDefault="00BE20C9" w:rsidP="00001D73">
      <w:pPr>
        <w:autoSpaceDE w:val="0"/>
        <w:autoSpaceDN w:val="0"/>
        <w:adjustRightInd w:val="0"/>
        <w:spacing w:after="0" w:line="240" w:lineRule="auto"/>
        <w:rPr>
          <w:rFonts w:cstheme="minorHAnsi"/>
          <w:b/>
          <w:bCs/>
        </w:rPr>
      </w:pPr>
    </w:p>
    <w:p w14:paraId="524B1191" w14:textId="77777777" w:rsidR="0036585B" w:rsidRDefault="0036585B" w:rsidP="0036585B">
      <w:pPr>
        <w:spacing w:after="0" w:line="240" w:lineRule="auto"/>
        <w:rPr>
          <w:rFonts w:eastAsia="Times New Roman" w:cs="Times New Roman"/>
          <w:noProof/>
          <w:color w:val="000000"/>
        </w:rPr>
      </w:pPr>
      <w:r>
        <w:rPr>
          <w:rFonts w:eastAsia="Times New Roman" w:cs="Times New Roman"/>
          <w:noProof/>
          <w:color w:val="000000"/>
        </w:rPr>
        <w:t>Descriptions of APR-DRG characteristics:</w:t>
      </w:r>
    </w:p>
    <w:p w14:paraId="524B1192" w14:textId="77777777" w:rsidR="0036585B" w:rsidRDefault="0036585B" w:rsidP="0036585B">
      <w:pPr>
        <w:spacing w:after="0" w:line="240" w:lineRule="auto"/>
        <w:rPr>
          <w:rFonts w:eastAsia="Times New Roman" w:cs="Times New Roman"/>
          <w:noProof/>
          <w:color w:val="000000"/>
        </w:rPr>
      </w:pPr>
      <w:r>
        <w:rPr>
          <w:rFonts w:eastAsia="Times New Roman" w:cs="Times New Roman"/>
          <w:noProof/>
          <w:color w:val="000000"/>
        </w:rPr>
        <w:t>220</w:t>
      </w:r>
      <w:r>
        <w:rPr>
          <w:rFonts w:eastAsia="Times New Roman" w:cs="Times New Roman"/>
          <w:noProof/>
          <w:color w:val="000000"/>
        </w:rPr>
        <w:tab/>
        <w:t>Major Stomach, Esophageal  &amp; Duodenal Procedures</w:t>
      </w:r>
    </w:p>
    <w:p w14:paraId="524B1193" w14:textId="77777777" w:rsidR="0036585B" w:rsidRDefault="0036585B" w:rsidP="0036585B">
      <w:pPr>
        <w:spacing w:after="0" w:line="240" w:lineRule="auto"/>
        <w:rPr>
          <w:rFonts w:eastAsia="Times New Roman" w:cs="Times New Roman"/>
          <w:noProof/>
          <w:color w:val="000000"/>
        </w:rPr>
      </w:pPr>
      <w:r>
        <w:rPr>
          <w:rFonts w:eastAsia="Times New Roman" w:cs="Times New Roman"/>
          <w:noProof/>
          <w:color w:val="000000"/>
        </w:rPr>
        <w:t>221</w:t>
      </w:r>
      <w:r>
        <w:rPr>
          <w:rFonts w:eastAsia="Times New Roman" w:cs="Times New Roman"/>
          <w:noProof/>
          <w:color w:val="000000"/>
        </w:rPr>
        <w:tab/>
        <w:t>Major Small &amp; Large Bowel Procedures</w:t>
      </w:r>
    </w:p>
    <w:p w14:paraId="524B1194" w14:textId="77777777" w:rsidR="0036585B" w:rsidRDefault="0036585B" w:rsidP="0036585B">
      <w:pPr>
        <w:spacing w:after="0" w:line="240" w:lineRule="auto"/>
        <w:rPr>
          <w:rFonts w:eastAsia="Times New Roman" w:cs="Times New Roman"/>
          <w:noProof/>
          <w:color w:val="000000"/>
        </w:rPr>
      </w:pPr>
      <w:r>
        <w:rPr>
          <w:rFonts w:eastAsia="Times New Roman" w:cs="Times New Roman"/>
          <w:noProof/>
          <w:color w:val="000000"/>
        </w:rPr>
        <w:t>241</w:t>
      </w:r>
      <w:r>
        <w:rPr>
          <w:rFonts w:eastAsia="Times New Roman" w:cs="Times New Roman"/>
          <w:noProof/>
          <w:color w:val="000000"/>
        </w:rPr>
        <w:tab/>
        <w:t>Peptic Ulcer &amp; Gastritis</w:t>
      </w:r>
    </w:p>
    <w:p w14:paraId="524B1195" w14:textId="77777777" w:rsidR="0036585B" w:rsidRDefault="0036585B" w:rsidP="0036585B">
      <w:pPr>
        <w:spacing w:after="0" w:line="240" w:lineRule="auto"/>
        <w:rPr>
          <w:rFonts w:eastAsia="Times New Roman" w:cs="Times New Roman"/>
          <w:noProof/>
          <w:color w:val="000000"/>
        </w:rPr>
      </w:pPr>
    </w:p>
    <w:p w14:paraId="524B1196" w14:textId="77777777" w:rsidR="0036585B" w:rsidRDefault="0036585B" w:rsidP="0036585B">
      <w:pPr>
        <w:spacing w:after="0" w:line="240" w:lineRule="auto"/>
        <w:rPr>
          <w:rFonts w:eastAsia="Times New Roman" w:cs="Times New Roman"/>
          <w:noProof/>
          <w:color w:val="000000"/>
        </w:rPr>
      </w:pPr>
      <w:r>
        <w:rPr>
          <w:rFonts w:eastAsia="Times New Roman" w:cs="Times New Roman"/>
          <w:noProof/>
          <w:color w:val="000000"/>
        </w:rPr>
        <w:t>Descriptions of Risk of Mortality Subclass:</w:t>
      </w:r>
    </w:p>
    <w:p w14:paraId="524B1197" w14:textId="77777777" w:rsidR="0036585B" w:rsidRDefault="0036585B" w:rsidP="0036585B">
      <w:pPr>
        <w:spacing w:after="0" w:line="240" w:lineRule="auto"/>
        <w:rPr>
          <w:rFonts w:eastAsia="Times New Roman" w:cs="Times New Roman"/>
          <w:noProof/>
          <w:color w:val="000000"/>
        </w:rPr>
      </w:pPr>
      <w:r>
        <w:rPr>
          <w:rFonts w:eastAsia="Times New Roman" w:cs="Times New Roman"/>
          <w:noProof/>
          <w:color w:val="000000"/>
        </w:rPr>
        <w:t>1</w:t>
      </w:r>
      <w:r>
        <w:rPr>
          <w:rFonts w:eastAsia="Times New Roman" w:cs="Times New Roman"/>
          <w:noProof/>
          <w:color w:val="000000"/>
        </w:rPr>
        <w:tab/>
        <w:t>Minor</w:t>
      </w:r>
    </w:p>
    <w:p w14:paraId="524B1198" w14:textId="77777777" w:rsidR="0036585B" w:rsidRDefault="0036585B" w:rsidP="0036585B">
      <w:pPr>
        <w:spacing w:after="0" w:line="240" w:lineRule="auto"/>
        <w:rPr>
          <w:rFonts w:eastAsia="Times New Roman" w:cs="Times New Roman"/>
          <w:noProof/>
          <w:color w:val="000000"/>
        </w:rPr>
      </w:pPr>
      <w:r>
        <w:rPr>
          <w:rFonts w:eastAsia="Times New Roman" w:cs="Times New Roman"/>
          <w:noProof/>
          <w:color w:val="000000"/>
        </w:rPr>
        <w:t>2</w:t>
      </w:r>
      <w:r>
        <w:rPr>
          <w:rFonts w:eastAsia="Times New Roman" w:cs="Times New Roman"/>
          <w:noProof/>
          <w:color w:val="000000"/>
        </w:rPr>
        <w:tab/>
        <w:t>Moderate</w:t>
      </w:r>
    </w:p>
    <w:p w14:paraId="524B1199" w14:textId="77777777" w:rsidR="0036585B" w:rsidRDefault="0036585B" w:rsidP="0036585B">
      <w:pPr>
        <w:spacing w:after="0" w:line="240" w:lineRule="auto"/>
        <w:rPr>
          <w:rFonts w:eastAsia="Times New Roman" w:cs="Times New Roman"/>
          <w:noProof/>
          <w:color w:val="000000"/>
        </w:rPr>
      </w:pPr>
      <w:r>
        <w:rPr>
          <w:rFonts w:eastAsia="Times New Roman" w:cs="Times New Roman"/>
          <w:noProof/>
          <w:color w:val="000000"/>
        </w:rPr>
        <w:t>3</w:t>
      </w:r>
      <w:r>
        <w:rPr>
          <w:rFonts w:eastAsia="Times New Roman" w:cs="Times New Roman"/>
          <w:noProof/>
          <w:color w:val="000000"/>
        </w:rPr>
        <w:tab/>
        <w:t>Major</w:t>
      </w:r>
    </w:p>
    <w:p w14:paraId="524B119A" w14:textId="77777777" w:rsidR="0036585B" w:rsidRDefault="0036585B" w:rsidP="0036585B">
      <w:pPr>
        <w:spacing w:after="0" w:line="240" w:lineRule="auto"/>
        <w:rPr>
          <w:rFonts w:eastAsia="Times New Roman" w:cs="Times New Roman"/>
          <w:noProof/>
          <w:color w:val="000000"/>
        </w:rPr>
      </w:pPr>
      <w:r>
        <w:rPr>
          <w:rFonts w:eastAsia="Times New Roman" w:cs="Times New Roman"/>
          <w:noProof/>
          <w:color w:val="000000"/>
        </w:rPr>
        <w:t>4</w:t>
      </w:r>
      <w:r>
        <w:rPr>
          <w:rFonts w:eastAsia="Times New Roman" w:cs="Times New Roman"/>
          <w:noProof/>
          <w:color w:val="000000"/>
        </w:rPr>
        <w:tab/>
        <w:t>Extreme</w:t>
      </w:r>
    </w:p>
    <w:p w14:paraId="524B119B" w14:textId="77777777" w:rsidR="0036585B" w:rsidRDefault="0036585B" w:rsidP="0036585B">
      <w:pPr>
        <w:spacing w:after="0" w:line="240" w:lineRule="auto"/>
        <w:rPr>
          <w:rFonts w:eastAsia="Times New Roman" w:cs="Times New Roman"/>
          <w:noProof/>
          <w:color w:val="000000"/>
        </w:rPr>
      </w:pPr>
    </w:p>
    <w:p w14:paraId="524B119C" w14:textId="77777777" w:rsidR="0036585B" w:rsidRDefault="0036585B" w:rsidP="0036585B">
      <w:pPr>
        <w:spacing w:after="0" w:line="240" w:lineRule="auto"/>
        <w:rPr>
          <w:rFonts w:eastAsia="Times New Roman" w:cs="Times New Roman"/>
          <w:noProof/>
          <w:color w:val="000000"/>
        </w:rPr>
      </w:pPr>
      <w:r>
        <w:rPr>
          <w:rFonts w:eastAsia="Times New Roman" w:cs="Times New Roman"/>
          <w:noProof/>
          <w:color w:val="000000"/>
        </w:rPr>
        <w:t>The full list of descriptors for the APR-DRG characteristics are listed here:</w:t>
      </w:r>
    </w:p>
    <w:p w14:paraId="524B119D" w14:textId="77777777" w:rsidR="0036585B" w:rsidRDefault="007E3559" w:rsidP="0036585B">
      <w:pPr>
        <w:autoSpaceDE w:val="0"/>
        <w:autoSpaceDN w:val="0"/>
        <w:adjustRightInd w:val="0"/>
        <w:spacing w:after="0" w:line="240" w:lineRule="auto"/>
        <w:rPr>
          <w:rFonts w:eastAsia="Times New Roman" w:cs="Times New Roman"/>
          <w:color w:val="000000"/>
        </w:rPr>
      </w:pPr>
      <w:hyperlink r:id="rId14" w:history="1">
        <w:r w:rsidR="0036585B" w:rsidRPr="00D41E32">
          <w:rPr>
            <w:rStyle w:val="Hyperlink"/>
            <w:rFonts w:eastAsia="Times New Roman" w:cs="Times New Roman"/>
          </w:rPr>
          <w:t>http://hcup-us.ahrq.gov/db/nation/nis/v261_aprdrg_meth_ovrview.pdf</w:t>
        </w:r>
      </w:hyperlink>
    </w:p>
    <w:p w14:paraId="524B119E" w14:textId="77777777" w:rsidR="00092566" w:rsidRPr="00A25024" w:rsidRDefault="00E1508F" w:rsidP="00092566">
      <w:pPr>
        <w:autoSpaceDE w:val="0"/>
        <w:autoSpaceDN w:val="0"/>
        <w:adjustRightInd w:val="0"/>
        <w:spacing w:after="0" w:line="240" w:lineRule="auto"/>
        <w:rPr>
          <w:rFonts w:cstheme="minorHAnsi"/>
          <w:bCs/>
        </w:rPr>
      </w:pPr>
      <w:r>
        <w:rPr>
          <w:rFonts w:cstheme="minorHAnsi"/>
          <w:b/>
          <w:bCs/>
        </w:rPr>
        <w:lastRenderedPageBreak/>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524B119F" w14:textId="77777777" w:rsidR="00092566" w:rsidRDefault="00F000EB" w:rsidP="00092566">
      <w:pPr>
        <w:autoSpaceDE w:val="0"/>
        <w:autoSpaceDN w:val="0"/>
        <w:adjustRightInd w:val="0"/>
        <w:spacing w:after="0" w:line="240" w:lineRule="auto"/>
        <w:rPr>
          <w:rFonts w:cstheme="minorHAnsi"/>
          <w:bCs/>
        </w:rPr>
      </w:pPr>
      <w:r>
        <w:rPr>
          <w:rFonts w:cstheme="minorHAnsi"/>
          <w:bCs/>
        </w:rPr>
        <w:t>When developing the model, we split the denominator into a development and validation sample.  We select the covariates on the development sample, and conduct the empirical testing for discrimination and calibration on the validation sample.</w:t>
      </w:r>
    </w:p>
    <w:p w14:paraId="524B11A0" w14:textId="77777777" w:rsidR="00F000EB" w:rsidRPr="00A25024" w:rsidRDefault="00F000EB" w:rsidP="00092566">
      <w:pPr>
        <w:autoSpaceDE w:val="0"/>
        <w:autoSpaceDN w:val="0"/>
        <w:adjustRightInd w:val="0"/>
        <w:spacing w:after="0" w:line="240" w:lineRule="auto"/>
        <w:rPr>
          <w:rFonts w:cstheme="minorHAnsi"/>
          <w:bCs/>
        </w:rPr>
      </w:pPr>
    </w:p>
    <w:p w14:paraId="524B11A1"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743E46" w:rsidRPr="00743E46">
        <w:rPr>
          <w:rFonts w:cstheme="minorHAnsi"/>
          <w:b/>
          <w:bCs/>
          <w:i/>
          <w:highlight w:val="green"/>
        </w:rPr>
        <w:t>if stratified, skip to 2b4.9</w:t>
      </w:r>
    </w:p>
    <w:p w14:paraId="524B11A2" w14:textId="77777777" w:rsidR="00743E46" w:rsidRDefault="00743E46" w:rsidP="00092566">
      <w:pPr>
        <w:autoSpaceDE w:val="0"/>
        <w:autoSpaceDN w:val="0"/>
        <w:adjustRightInd w:val="0"/>
        <w:spacing w:after="0" w:line="240" w:lineRule="auto"/>
        <w:rPr>
          <w:rFonts w:cstheme="minorHAnsi"/>
          <w:b/>
          <w:bCs/>
        </w:rPr>
      </w:pPr>
    </w:p>
    <w:p w14:paraId="524B11A3" w14:textId="77777777" w:rsidR="003B3CEC"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Pr>
          <w:rFonts w:cstheme="minorHAnsi"/>
          <w:b/>
          <w:bCs/>
        </w:rPr>
        <w:t>:</w:t>
      </w:r>
      <w:r w:rsidR="00092566" w:rsidRPr="00001D73">
        <w:rPr>
          <w:rFonts w:cstheme="minorHAnsi"/>
          <w:b/>
          <w:bCs/>
        </w:rPr>
        <w:t xml:space="preserve">  </w:t>
      </w:r>
      <w:r w:rsidR="00092566" w:rsidRPr="00001D73">
        <w:rPr>
          <w:rFonts w:cstheme="minorHAnsi"/>
          <w:b/>
        </w:rPr>
        <w:br/>
      </w:r>
    </w:p>
    <w:p w14:paraId="524B11A4" w14:textId="77777777" w:rsidR="00001D73" w:rsidRPr="00F000EB" w:rsidRDefault="003B3CEC" w:rsidP="00092566">
      <w:pPr>
        <w:autoSpaceDE w:val="0"/>
        <w:autoSpaceDN w:val="0"/>
        <w:adjustRightInd w:val="0"/>
        <w:spacing w:after="0" w:line="240" w:lineRule="auto"/>
        <w:rPr>
          <w:rFonts w:cstheme="minorHAnsi"/>
          <w:bCs/>
        </w:rPr>
      </w:pPr>
      <w:r w:rsidRPr="00F000EB">
        <w:rPr>
          <w:rFonts w:cstheme="minorHAnsi"/>
          <w:bCs/>
        </w:rPr>
        <w:t>c-statistic</w:t>
      </w:r>
      <w:r w:rsidRPr="00F000EB">
        <w:rPr>
          <w:rFonts w:cstheme="minorHAnsi"/>
          <w:bCs/>
        </w:rPr>
        <w:tab/>
        <w:t>0.831</w:t>
      </w:r>
    </w:p>
    <w:p w14:paraId="524B11A5" w14:textId="77777777" w:rsidR="003B3CEC" w:rsidRDefault="003B3CEC" w:rsidP="00092566">
      <w:pPr>
        <w:autoSpaceDE w:val="0"/>
        <w:autoSpaceDN w:val="0"/>
        <w:adjustRightInd w:val="0"/>
        <w:spacing w:after="0" w:line="240" w:lineRule="auto"/>
        <w:rPr>
          <w:rFonts w:cstheme="minorHAnsi"/>
          <w:b/>
          <w:bCs/>
        </w:rPr>
      </w:pPr>
    </w:p>
    <w:p w14:paraId="524B11A6" w14:textId="77777777" w:rsidR="0036585B" w:rsidRDefault="0036585B" w:rsidP="00092566">
      <w:pPr>
        <w:autoSpaceDE w:val="0"/>
        <w:autoSpaceDN w:val="0"/>
        <w:adjustRightInd w:val="0"/>
        <w:spacing w:after="0" w:line="240" w:lineRule="auto"/>
        <w:rPr>
          <w:rFonts w:cstheme="minorHAnsi"/>
          <w:bCs/>
        </w:rPr>
      </w:pPr>
      <w:r w:rsidRPr="0036585B">
        <w:rPr>
          <w:rFonts w:cstheme="minorHAnsi"/>
          <w:bCs/>
        </w:rPr>
        <w:t>One calculates the c-statistic by taking all possible pairs of subjects consisting of one subject who experienced the event of interest and one subject who did not experience the event of interest. The c-statistic is the proportion of such pairs in which the subject who experienced the event had a higher predicted probability of experiencing the event than the subject who did not experience the event</w:t>
      </w:r>
      <w:r w:rsidR="00FF77FC">
        <w:rPr>
          <w:rFonts w:cstheme="minorHAnsi"/>
          <w:bCs/>
        </w:rPr>
        <w:t>.</w:t>
      </w:r>
    </w:p>
    <w:p w14:paraId="524B11A7" w14:textId="77777777" w:rsidR="00FF77FC" w:rsidRDefault="00FF77FC" w:rsidP="00092566">
      <w:pPr>
        <w:autoSpaceDE w:val="0"/>
        <w:autoSpaceDN w:val="0"/>
        <w:adjustRightInd w:val="0"/>
        <w:spacing w:after="0" w:line="240" w:lineRule="auto"/>
        <w:rPr>
          <w:rFonts w:cstheme="minorHAnsi"/>
          <w:bCs/>
        </w:rPr>
      </w:pPr>
    </w:p>
    <w:p w14:paraId="524B11A8" w14:textId="77777777" w:rsidR="00FF77FC" w:rsidRPr="0036585B" w:rsidRDefault="00FF77FC" w:rsidP="00092566">
      <w:pPr>
        <w:autoSpaceDE w:val="0"/>
        <w:autoSpaceDN w:val="0"/>
        <w:adjustRightInd w:val="0"/>
        <w:spacing w:after="0" w:line="240" w:lineRule="auto"/>
        <w:rPr>
          <w:rFonts w:cstheme="minorHAnsi"/>
          <w:bCs/>
        </w:rPr>
      </w:pPr>
      <w:r>
        <w:rPr>
          <w:rFonts w:cstheme="minorHAnsi"/>
          <w:bCs/>
        </w:rPr>
        <w:t>A model with a c-statistic above 0.80 is generally considered to provide good discrimi</w:t>
      </w:r>
      <w:r w:rsidR="00C46B21">
        <w:rPr>
          <w:rFonts w:cstheme="minorHAnsi"/>
          <w:bCs/>
        </w:rPr>
        <w:t>n</w:t>
      </w:r>
      <w:r>
        <w:rPr>
          <w:rFonts w:cstheme="minorHAnsi"/>
          <w:bCs/>
        </w:rPr>
        <w:t>ation</w:t>
      </w:r>
    </w:p>
    <w:p w14:paraId="524B11A9" w14:textId="77777777" w:rsidR="0036585B" w:rsidRPr="00001D73" w:rsidRDefault="0036585B" w:rsidP="00092566">
      <w:pPr>
        <w:autoSpaceDE w:val="0"/>
        <w:autoSpaceDN w:val="0"/>
        <w:adjustRightInd w:val="0"/>
        <w:spacing w:after="0" w:line="240" w:lineRule="auto"/>
        <w:rPr>
          <w:rFonts w:cstheme="minorHAnsi"/>
          <w:b/>
          <w:bCs/>
        </w:rPr>
      </w:pPr>
    </w:p>
    <w:p w14:paraId="524B11AA" w14:textId="777777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092566" w:rsidRPr="00A25024">
        <w:rPr>
          <w:rFonts w:cstheme="minorHAnsi"/>
          <w:bCs/>
        </w:rPr>
        <w:t xml:space="preserve">:  </w:t>
      </w:r>
      <w:r w:rsidR="00092566" w:rsidRPr="00A25024">
        <w:rPr>
          <w:rFonts w:cstheme="minorHAnsi"/>
          <w:bCs/>
        </w:rPr>
        <w:br/>
      </w:r>
    </w:p>
    <w:tbl>
      <w:tblPr>
        <w:tblW w:w="5000" w:type="pct"/>
        <w:tblLook w:val="04A0" w:firstRow="1" w:lastRow="0" w:firstColumn="1" w:lastColumn="0" w:noHBand="0" w:noVBand="1"/>
      </w:tblPr>
      <w:tblGrid>
        <w:gridCol w:w="1900"/>
        <w:gridCol w:w="2344"/>
        <w:gridCol w:w="2666"/>
        <w:gridCol w:w="2666"/>
      </w:tblGrid>
      <w:tr w:rsidR="003B3CEC" w:rsidRPr="003B3CEC" w14:paraId="524B11AF" w14:textId="77777777" w:rsidTr="00554BB3">
        <w:trPr>
          <w:trHeight w:val="300"/>
        </w:trPr>
        <w:tc>
          <w:tcPr>
            <w:tcW w:w="992" w:type="pct"/>
            <w:tcBorders>
              <w:top w:val="single" w:sz="4" w:space="0" w:color="auto"/>
              <w:left w:val="nil"/>
              <w:bottom w:val="single" w:sz="4" w:space="0" w:color="auto"/>
              <w:right w:val="nil"/>
            </w:tcBorders>
            <w:shd w:val="clear" w:color="auto" w:fill="BFBFBF" w:themeFill="background1" w:themeFillShade="BF"/>
            <w:noWrap/>
            <w:vAlign w:val="bottom"/>
            <w:hideMark/>
          </w:tcPr>
          <w:p w14:paraId="524B11AB" w14:textId="77777777" w:rsidR="003B3CEC" w:rsidRPr="003B3CEC" w:rsidRDefault="003B3CEC" w:rsidP="00F000EB">
            <w:pPr>
              <w:spacing w:after="0" w:line="240" w:lineRule="auto"/>
              <w:rPr>
                <w:rFonts w:ascii="Calibri" w:eastAsia="Times New Roman" w:hAnsi="Calibri" w:cs="Times New Roman"/>
                <w:color w:val="000000"/>
              </w:rPr>
            </w:pPr>
            <w:r>
              <w:rPr>
                <w:rFonts w:ascii="Calibri" w:eastAsia="Times New Roman" w:hAnsi="Calibri" w:cs="Times New Roman"/>
                <w:color w:val="000000"/>
              </w:rPr>
              <w:t>Decile</w:t>
            </w:r>
          </w:p>
        </w:tc>
        <w:tc>
          <w:tcPr>
            <w:tcW w:w="1224" w:type="pct"/>
            <w:tcBorders>
              <w:top w:val="single" w:sz="4" w:space="0" w:color="auto"/>
              <w:left w:val="nil"/>
              <w:bottom w:val="single" w:sz="4" w:space="0" w:color="auto"/>
              <w:right w:val="nil"/>
            </w:tcBorders>
            <w:shd w:val="clear" w:color="auto" w:fill="BFBFBF" w:themeFill="background1" w:themeFillShade="BF"/>
            <w:noWrap/>
            <w:vAlign w:val="bottom"/>
            <w:hideMark/>
          </w:tcPr>
          <w:p w14:paraId="524B11AC"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Patients</w:t>
            </w:r>
          </w:p>
        </w:tc>
        <w:tc>
          <w:tcPr>
            <w:tcW w:w="1392" w:type="pct"/>
            <w:tcBorders>
              <w:top w:val="single" w:sz="4" w:space="0" w:color="auto"/>
              <w:left w:val="nil"/>
              <w:bottom w:val="single" w:sz="4" w:space="0" w:color="auto"/>
              <w:right w:val="nil"/>
            </w:tcBorders>
            <w:shd w:val="clear" w:color="auto" w:fill="BFBFBF" w:themeFill="background1" w:themeFillShade="BF"/>
            <w:noWrap/>
            <w:vAlign w:val="bottom"/>
            <w:hideMark/>
          </w:tcPr>
          <w:p w14:paraId="524B11AD"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Observed</w:t>
            </w:r>
          </w:p>
        </w:tc>
        <w:tc>
          <w:tcPr>
            <w:tcW w:w="1392" w:type="pct"/>
            <w:tcBorders>
              <w:top w:val="single" w:sz="4" w:space="0" w:color="auto"/>
              <w:left w:val="nil"/>
              <w:bottom w:val="single" w:sz="4" w:space="0" w:color="auto"/>
              <w:right w:val="nil"/>
            </w:tcBorders>
            <w:shd w:val="clear" w:color="auto" w:fill="BFBFBF" w:themeFill="background1" w:themeFillShade="BF"/>
            <w:noWrap/>
            <w:vAlign w:val="bottom"/>
            <w:hideMark/>
          </w:tcPr>
          <w:p w14:paraId="524B11AE"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Predicted</w:t>
            </w:r>
          </w:p>
        </w:tc>
      </w:tr>
      <w:tr w:rsidR="003B3CEC" w:rsidRPr="003B3CEC" w14:paraId="524B11B4" w14:textId="77777777" w:rsidTr="00F000EB">
        <w:trPr>
          <w:trHeight w:val="300"/>
        </w:trPr>
        <w:tc>
          <w:tcPr>
            <w:tcW w:w="992" w:type="pct"/>
            <w:tcBorders>
              <w:top w:val="single" w:sz="4" w:space="0" w:color="auto"/>
              <w:left w:val="nil"/>
              <w:bottom w:val="nil"/>
              <w:right w:val="nil"/>
            </w:tcBorders>
            <w:shd w:val="clear" w:color="auto" w:fill="auto"/>
            <w:noWrap/>
            <w:vAlign w:val="bottom"/>
            <w:hideMark/>
          </w:tcPr>
          <w:p w14:paraId="524B11B0" w14:textId="77777777" w:rsidR="003B3CEC" w:rsidRPr="003B3CEC" w:rsidRDefault="003B3CEC" w:rsidP="00F000EB">
            <w:pPr>
              <w:spacing w:after="0" w:line="240" w:lineRule="auto"/>
              <w:rPr>
                <w:rFonts w:ascii="Calibri" w:eastAsia="Times New Roman" w:hAnsi="Calibri" w:cs="Times New Roman"/>
                <w:color w:val="000000"/>
              </w:rPr>
            </w:pPr>
            <w:r w:rsidRPr="003B3CEC">
              <w:rPr>
                <w:rFonts w:ascii="Calibri" w:eastAsia="Times New Roman" w:hAnsi="Calibri" w:cs="Times New Roman"/>
                <w:color w:val="000000"/>
              </w:rPr>
              <w:t>1</w:t>
            </w:r>
          </w:p>
        </w:tc>
        <w:tc>
          <w:tcPr>
            <w:tcW w:w="1224" w:type="pct"/>
            <w:tcBorders>
              <w:top w:val="single" w:sz="4" w:space="0" w:color="auto"/>
              <w:left w:val="nil"/>
              <w:bottom w:val="nil"/>
              <w:right w:val="nil"/>
            </w:tcBorders>
            <w:shd w:val="clear" w:color="auto" w:fill="auto"/>
            <w:noWrap/>
            <w:vAlign w:val="bottom"/>
            <w:hideMark/>
          </w:tcPr>
          <w:p w14:paraId="524B11B1"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45,831</w:t>
            </w:r>
          </w:p>
        </w:tc>
        <w:tc>
          <w:tcPr>
            <w:tcW w:w="1392" w:type="pct"/>
            <w:tcBorders>
              <w:top w:val="single" w:sz="4" w:space="0" w:color="auto"/>
              <w:left w:val="nil"/>
              <w:bottom w:val="nil"/>
              <w:right w:val="nil"/>
            </w:tcBorders>
            <w:shd w:val="clear" w:color="auto" w:fill="auto"/>
            <w:noWrap/>
            <w:vAlign w:val="bottom"/>
            <w:hideMark/>
          </w:tcPr>
          <w:p w14:paraId="524B11B2"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0.00207</w:t>
            </w:r>
          </w:p>
        </w:tc>
        <w:tc>
          <w:tcPr>
            <w:tcW w:w="1392" w:type="pct"/>
            <w:tcBorders>
              <w:top w:val="single" w:sz="4" w:space="0" w:color="auto"/>
              <w:left w:val="nil"/>
              <w:bottom w:val="nil"/>
              <w:right w:val="nil"/>
            </w:tcBorders>
            <w:shd w:val="clear" w:color="auto" w:fill="auto"/>
            <w:noWrap/>
            <w:vAlign w:val="bottom"/>
            <w:hideMark/>
          </w:tcPr>
          <w:p w14:paraId="524B11B3"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0.00251</w:t>
            </w:r>
          </w:p>
        </w:tc>
      </w:tr>
      <w:tr w:rsidR="003B3CEC" w:rsidRPr="003B3CEC" w14:paraId="524B11B9" w14:textId="77777777" w:rsidTr="00F000EB">
        <w:trPr>
          <w:trHeight w:val="300"/>
        </w:trPr>
        <w:tc>
          <w:tcPr>
            <w:tcW w:w="992" w:type="pct"/>
            <w:tcBorders>
              <w:top w:val="nil"/>
              <w:left w:val="nil"/>
              <w:bottom w:val="nil"/>
              <w:right w:val="nil"/>
            </w:tcBorders>
            <w:shd w:val="clear" w:color="auto" w:fill="auto"/>
            <w:noWrap/>
            <w:vAlign w:val="bottom"/>
            <w:hideMark/>
          </w:tcPr>
          <w:p w14:paraId="524B11B5" w14:textId="77777777" w:rsidR="003B3CEC" w:rsidRPr="003B3CEC" w:rsidRDefault="003B3CEC" w:rsidP="00F000EB">
            <w:pPr>
              <w:spacing w:after="0" w:line="240" w:lineRule="auto"/>
              <w:rPr>
                <w:rFonts w:ascii="Calibri" w:eastAsia="Times New Roman" w:hAnsi="Calibri" w:cs="Times New Roman"/>
                <w:color w:val="000000"/>
              </w:rPr>
            </w:pPr>
            <w:r w:rsidRPr="003B3CEC">
              <w:rPr>
                <w:rFonts w:ascii="Calibri" w:eastAsia="Times New Roman" w:hAnsi="Calibri" w:cs="Times New Roman"/>
                <w:color w:val="000000"/>
              </w:rPr>
              <w:t>2</w:t>
            </w:r>
          </w:p>
        </w:tc>
        <w:tc>
          <w:tcPr>
            <w:tcW w:w="1224" w:type="pct"/>
            <w:tcBorders>
              <w:top w:val="nil"/>
              <w:left w:val="nil"/>
              <w:bottom w:val="nil"/>
              <w:right w:val="nil"/>
            </w:tcBorders>
            <w:shd w:val="clear" w:color="auto" w:fill="auto"/>
            <w:noWrap/>
            <w:vAlign w:val="bottom"/>
            <w:hideMark/>
          </w:tcPr>
          <w:p w14:paraId="524B11B6"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45,831</w:t>
            </w:r>
          </w:p>
        </w:tc>
        <w:tc>
          <w:tcPr>
            <w:tcW w:w="1392" w:type="pct"/>
            <w:tcBorders>
              <w:top w:val="nil"/>
              <w:left w:val="nil"/>
              <w:bottom w:val="nil"/>
              <w:right w:val="nil"/>
            </w:tcBorders>
            <w:shd w:val="clear" w:color="auto" w:fill="auto"/>
            <w:noWrap/>
            <w:vAlign w:val="bottom"/>
            <w:hideMark/>
          </w:tcPr>
          <w:p w14:paraId="524B11B7"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0.00216</w:t>
            </w:r>
          </w:p>
        </w:tc>
        <w:tc>
          <w:tcPr>
            <w:tcW w:w="1392" w:type="pct"/>
            <w:tcBorders>
              <w:top w:val="nil"/>
              <w:left w:val="nil"/>
              <w:bottom w:val="nil"/>
              <w:right w:val="nil"/>
            </w:tcBorders>
            <w:shd w:val="clear" w:color="auto" w:fill="auto"/>
            <w:noWrap/>
            <w:vAlign w:val="bottom"/>
            <w:hideMark/>
          </w:tcPr>
          <w:p w14:paraId="524B11B8"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0.00446</w:t>
            </w:r>
          </w:p>
        </w:tc>
      </w:tr>
      <w:tr w:rsidR="003B3CEC" w:rsidRPr="003B3CEC" w14:paraId="524B11BE" w14:textId="77777777" w:rsidTr="00F000EB">
        <w:trPr>
          <w:trHeight w:val="300"/>
        </w:trPr>
        <w:tc>
          <w:tcPr>
            <w:tcW w:w="992" w:type="pct"/>
            <w:tcBorders>
              <w:top w:val="nil"/>
              <w:left w:val="nil"/>
              <w:bottom w:val="nil"/>
              <w:right w:val="nil"/>
            </w:tcBorders>
            <w:shd w:val="clear" w:color="auto" w:fill="auto"/>
            <w:noWrap/>
            <w:vAlign w:val="bottom"/>
            <w:hideMark/>
          </w:tcPr>
          <w:p w14:paraId="524B11BA" w14:textId="77777777" w:rsidR="003B3CEC" w:rsidRPr="003B3CEC" w:rsidRDefault="003B3CEC" w:rsidP="00F000EB">
            <w:pPr>
              <w:spacing w:after="0" w:line="240" w:lineRule="auto"/>
              <w:rPr>
                <w:rFonts w:ascii="Calibri" w:eastAsia="Times New Roman" w:hAnsi="Calibri" w:cs="Times New Roman"/>
                <w:color w:val="000000"/>
              </w:rPr>
            </w:pPr>
            <w:r w:rsidRPr="003B3CEC">
              <w:rPr>
                <w:rFonts w:ascii="Calibri" w:eastAsia="Times New Roman" w:hAnsi="Calibri" w:cs="Times New Roman"/>
                <w:color w:val="000000"/>
              </w:rPr>
              <w:t>3</w:t>
            </w:r>
          </w:p>
        </w:tc>
        <w:tc>
          <w:tcPr>
            <w:tcW w:w="1224" w:type="pct"/>
            <w:tcBorders>
              <w:top w:val="nil"/>
              <w:left w:val="nil"/>
              <w:bottom w:val="nil"/>
              <w:right w:val="nil"/>
            </w:tcBorders>
            <w:shd w:val="clear" w:color="auto" w:fill="auto"/>
            <w:noWrap/>
            <w:vAlign w:val="bottom"/>
            <w:hideMark/>
          </w:tcPr>
          <w:p w14:paraId="524B11BB"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45,831</w:t>
            </w:r>
          </w:p>
        </w:tc>
        <w:tc>
          <w:tcPr>
            <w:tcW w:w="1392" w:type="pct"/>
            <w:tcBorders>
              <w:top w:val="nil"/>
              <w:left w:val="nil"/>
              <w:bottom w:val="nil"/>
              <w:right w:val="nil"/>
            </w:tcBorders>
            <w:shd w:val="clear" w:color="auto" w:fill="auto"/>
            <w:noWrap/>
            <w:vAlign w:val="bottom"/>
            <w:hideMark/>
          </w:tcPr>
          <w:p w14:paraId="524B11BC"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0.00314</w:t>
            </w:r>
          </w:p>
        </w:tc>
        <w:tc>
          <w:tcPr>
            <w:tcW w:w="1392" w:type="pct"/>
            <w:tcBorders>
              <w:top w:val="nil"/>
              <w:left w:val="nil"/>
              <w:bottom w:val="nil"/>
              <w:right w:val="nil"/>
            </w:tcBorders>
            <w:shd w:val="clear" w:color="auto" w:fill="auto"/>
            <w:noWrap/>
            <w:vAlign w:val="bottom"/>
            <w:hideMark/>
          </w:tcPr>
          <w:p w14:paraId="524B11BD"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0.00698</w:t>
            </w:r>
          </w:p>
        </w:tc>
      </w:tr>
      <w:tr w:rsidR="003B3CEC" w:rsidRPr="003B3CEC" w14:paraId="524B11C3" w14:textId="77777777" w:rsidTr="00F000EB">
        <w:trPr>
          <w:trHeight w:val="300"/>
        </w:trPr>
        <w:tc>
          <w:tcPr>
            <w:tcW w:w="992" w:type="pct"/>
            <w:tcBorders>
              <w:top w:val="nil"/>
              <w:left w:val="nil"/>
              <w:bottom w:val="nil"/>
              <w:right w:val="nil"/>
            </w:tcBorders>
            <w:shd w:val="clear" w:color="auto" w:fill="auto"/>
            <w:noWrap/>
            <w:vAlign w:val="bottom"/>
            <w:hideMark/>
          </w:tcPr>
          <w:p w14:paraId="524B11BF" w14:textId="77777777" w:rsidR="003B3CEC" w:rsidRPr="003B3CEC" w:rsidRDefault="003B3CEC" w:rsidP="00F000EB">
            <w:pPr>
              <w:spacing w:after="0" w:line="240" w:lineRule="auto"/>
              <w:rPr>
                <w:rFonts w:ascii="Calibri" w:eastAsia="Times New Roman" w:hAnsi="Calibri" w:cs="Times New Roman"/>
                <w:color w:val="000000"/>
              </w:rPr>
            </w:pPr>
            <w:r w:rsidRPr="003B3CEC">
              <w:rPr>
                <w:rFonts w:ascii="Calibri" w:eastAsia="Times New Roman" w:hAnsi="Calibri" w:cs="Times New Roman"/>
                <w:color w:val="000000"/>
              </w:rPr>
              <w:t>4</w:t>
            </w:r>
          </w:p>
        </w:tc>
        <w:tc>
          <w:tcPr>
            <w:tcW w:w="1224" w:type="pct"/>
            <w:tcBorders>
              <w:top w:val="nil"/>
              <w:left w:val="nil"/>
              <w:bottom w:val="nil"/>
              <w:right w:val="nil"/>
            </w:tcBorders>
            <w:shd w:val="clear" w:color="auto" w:fill="auto"/>
            <w:noWrap/>
            <w:vAlign w:val="bottom"/>
            <w:hideMark/>
          </w:tcPr>
          <w:p w14:paraId="524B11C0"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45,830</w:t>
            </w:r>
          </w:p>
        </w:tc>
        <w:tc>
          <w:tcPr>
            <w:tcW w:w="1392" w:type="pct"/>
            <w:tcBorders>
              <w:top w:val="nil"/>
              <w:left w:val="nil"/>
              <w:bottom w:val="nil"/>
              <w:right w:val="nil"/>
            </w:tcBorders>
            <w:shd w:val="clear" w:color="auto" w:fill="auto"/>
            <w:noWrap/>
            <w:vAlign w:val="bottom"/>
            <w:hideMark/>
          </w:tcPr>
          <w:p w14:paraId="524B11C1"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0.00930</w:t>
            </w:r>
          </w:p>
        </w:tc>
        <w:tc>
          <w:tcPr>
            <w:tcW w:w="1392" w:type="pct"/>
            <w:tcBorders>
              <w:top w:val="nil"/>
              <w:left w:val="nil"/>
              <w:bottom w:val="nil"/>
              <w:right w:val="nil"/>
            </w:tcBorders>
            <w:shd w:val="clear" w:color="auto" w:fill="auto"/>
            <w:noWrap/>
            <w:vAlign w:val="bottom"/>
            <w:hideMark/>
          </w:tcPr>
          <w:p w14:paraId="524B11C2"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0.00924</w:t>
            </w:r>
          </w:p>
        </w:tc>
      </w:tr>
      <w:tr w:rsidR="003B3CEC" w:rsidRPr="003B3CEC" w14:paraId="524B11C8" w14:textId="77777777" w:rsidTr="00F000EB">
        <w:trPr>
          <w:trHeight w:val="300"/>
        </w:trPr>
        <w:tc>
          <w:tcPr>
            <w:tcW w:w="992" w:type="pct"/>
            <w:tcBorders>
              <w:top w:val="nil"/>
              <w:left w:val="nil"/>
              <w:bottom w:val="nil"/>
              <w:right w:val="nil"/>
            </w:tcBorders>
            <w:shd w:val="clear" w:color="auto" w:fill="auto"/>
            <w:noWrap/>
            <w:vAlign w:val="bottom"/>
            <w:hideMark/>
          </w:tcPr>
          <w:p w14:paraId="524B11C4" w14:textId="77777777" w:rsidR="003B3CEC" w:rsidRPr="003B3CEC" w:rsidRDefault="003B3CEC" w:rsidP="00F000EB">
            <w:pPr>
              <w:spacing w:after="0" w:line="240" w:lineRule="auto"/>
              <w:rPr>
                <w:rFonts w:ascii="Calibri" w:eastAsia="Times New Roman" w:hAnsi="Calibri" w:cs="Times New Roman"/>
                <w:color w:val="000000"/>
              </w:rPr>
            </w:pPr>
            <w:r w:rsidRPr="003B3CEC">
              <w:rPr>
                <w:rFonts w:ascii="Calibri" w:eastAsia="Times New Roman" w:hAnsi="Calibri" w:cs="Times New Roman"/>
                <w:color w:val="000000"/>
              </w:rPr>
              <w:t>5</w:t>
            </w:r>
          </w:p>
        </w:tc>
        <w:tc>
          <w:tcPr>
            <w:tcW w:w="1224" w:type="pct"/>
            <w:tcBorders>
              <w:top w:val="nil"/>
              <w:left w:val="nil"/>
              <w:bottom w:val="nil"/>
              <w:right w:val="nil"/>
            </w:tcBorders>
            <w:shd w:val="clear" w:color="auto" w:fill="auto"/>
            <w:noWrap/>
            <w:vAlign w:val="bottom"/>
            <w:hideMark/>
          </w:tcPr>
          <w:p w14:paraId="524B11C5"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45,831</w:t>
            </w:r>
          </w:p>
        </w:tc>
        <w:tc>
          <w:tcPr>
            <w:tcW w:w="1392" w:type="pct"/>
            <w:tcBorders>
              <w:top w:val="nil"/>
              <w:left w:val="nil"/>
              <w:bottom w:val="nil"/>
              <w:right w:val="nil"/>
            </w:tcBorders>
            <w:shd w:val="clear" w:color="auto" w:fill="auto"/>
            <w:noWrap/>
            <w:vAlign w:val="bottom"/>
            <w:hideMark/>
          </w:tcPr>
          <w:p w14:paraId="524B11C6"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0.00609</w:t>
            </w:r>
          </w:p>
        </w:tc>
        <w:tc>
          <w:tcPr>
            <w:tcW w:w="1392" w:type="pct"/>
            <w:tcBorders>
              <w:top w:val="nil"/>
              <w:left w:val="nil"/>
              <w:bottom w:val="nil"/>
              <w:right w:val="nil"/>
            </w:tcBorders>
            <w:shd w:val="clear" w:color="auto" w:fill="auto"/>
            <w:noWrap/>
            <w:vAlign w:val="bottom"/>
            <w:hideMark/>
          </w:tcPr>
          <w:p w14:paraId="524B11C7"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0.01030</w:t>
            </w:r>
          </w:p>
        </w:tc>
      </w:tr>
      <w:tr w:rsidR="003B3CEC" w:rsidRPr="003B3CEC" w14:paraId="524B11CD" w14:textId="77777777" w:rsidTr="00F000EB">
        <w:trPr>
          <w:trHeight w:val="300"/>
        </w:trPr>
        <w:tc>
          <w:tcPr>
            <w:tcW w:w="992" w:type="pct"/>
            <w:tcBorders>
              <w:top w:val="nil"/>
              <w:left w:val="nil"/>
              <w:bottom w:val="nil"/>
              <w:right w:val="nil"/>
            </w:tcBorders>
            <w:shd w:val="clear" w:color="auto" w:fill="auto"/>
            <w:noWrap/>
            <w:vAlign w:val="bottom"/>
            <w:hideMark/>
          </w:tcPr>
          <w:p w14:paraId="524B11C9" w14:textId="77777777" w:rsidR="003B3CEC" w:rsidRPr="003B3CEC" w:rsidRDefault="003B3CEC" w:rsidP="00F000EB">
            <w:pPr>
              <w:spacing w:after="0" w:line="240" w:lineRule="auto"/>
              <w:rPr>
                <w:rFonts w:ascii="Calibri" w:eastAsia="Times New Roman" w:hAnsi="Calibri" w:cs="Times New Roman"/>
                <w:color w:val="000000"/>
              </w:rPr>
            </w:pPr>
            <w:r w:rsidRPr="003B3CEC">
              <w:rPr>
                <w:rFonts w:ascii="Calibri" w:eastAsia="Times New Roman" w:hAnsi="Calibri" w:cs="Times New Roman"/>
                <w:color w:val="000000"/>
              </w:rPr>
              <w:t>6</w:t>
            </w:r>
          </w:p>
        </w:tc>
        <w:tc>
          <w:tcPr>
            <w:tcW w:w="1224" w:type="pct"/>
            <w:tcBorders>
              <w:top w:val="nil"/>
              <w:left w:val="nil"/>
              <w:bottom w:val="nil"/>
              <w:right w:val="nil"/>
            </w:tcBorders>
            <w:shd w:val="clear" w:color="auto" w:fill="auto"/>
            <w:noWrap/>
            <w:vAlign w:val="bottom"/>
            <w:hideMark/>
          </w:tcPr>
          <w:p w14:paraId="524B11CA"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45,831</w:t>
            </w:r>
          </w:p>
        </w:tc>
        <w:tc>
          <w:tcPr>
            <w:tcW w:w="1392" w:type="pct"/>
            <w:tcBorders>
              <w:top w:val="nil"/>
              <w:left w:val="nil"/>
              <w:bottom w:val="nil"/>
              <w:right w:val="nil"/>
            </w:tcBorders>
            <w:shd w:val="clear" w:color="auto" w:fill="auto"/>
            <w:noWrap/>
            <w:vAlign w:val="bottom"/>
            <w:hideMark/>
          </w:tcPr>
          <w:p w14:paraId="524B11CB"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0.00823</w:t>
            </w:r>
          </w:p>
        </w:tc>
        <w:tc>
          <w:tcPr>
            <w:tcW w:w="1392" w:type="pct"/>
            <w:tcBorders>
              <w:top w:val="nil"/>
              <w:left w:val="nil"/>
              <w:bottom w:val="nil"/>
              <w:right w:val="nil"/>
            </w:tcBorders>
            <w:shd w:val="clear" w:color="auto" w:fill="auto"/>
            <w:noWrap/>
            <w:vAlign w:val="bottom"/>
            <w:hideMark/>
          </w:tcPr>
          <w:p w14:paraId="524B11CC"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0.01227</w:t>
            </w:r>
          </w:p>
        </w:tc>
      </w:tr>
      <w:tr w:rsidR="003B3CEC" w:rsidRPr="003B3CEC" w14:paraId="524B11D2" w14:textId="77777777" w:rsidTr="00F000EB">
        <w:trPr>
          <w:trHeight w:val="300"/>
        </w:trPr>
        <w:tc>
          <w:tcPr>
            <w:tcW w:w="992" w:type="pct"/>
            <w:tcBorders>
              <w:top w:val="nil"/>
              <w:left w:val="nil"/>
              <w:bottom w:val="nil"/>
              <w:right w:val="nil"/>
            </w:tcBorders>
            <w:shd w:val="clear" w:color="auto" w:fill="auto"/>
            <w:noWrap/>
            <w:vAlign w:val="bottom"/>
            <w:hideMark/>
          </w:tcPr>
          <w:p w14:paraId="524B11CE" w14:textId="77777777" w:rsidR="003B3CEC" w:rsidRPr="003B3CEC" w:rsidRDefault="003B3CEC" w:rsidP="00F000EB">
            <w:pPr>
              <w:spacing w:after="0" w:line="240" w:lineRule="auto"/>
              <w:rPr>
                <w:rFonts w:ascii="Calibri" w:eastAsia="Times New Roman" w:hAnsi="Calibri" w:cs="Times New Roman"/>
                <w:color w:val="000000"/>
              </w:rPr>
            </w:pPr>
            <w:r w:rsidRPr="003B3CEC">
              <w:rPr>
                <w:rFonts w:ascii="Calibri" w:eastAsia="Times New Roman" w:hAnsi="Calibri" w:cs="Times New Roman"/>
                <w:color w:val="000000"/>
              </w:rPr>
              <w:t>7</w:t>
            </w:r>
          </w:p>
        </w:tc>
        <w:tc>
          <w:tcPr>
            <w:tcW w:w="1224" w:type="pct"/>
            <w:tcBorders>
              <w:top w:val="nil"/>
              <w:left w:val="nil"/>
              <w:bottom w:val="nil"/>
              <w:right w:val="nil"/>
            </w:tcBorders>
            <w:shd w:val="clear" w:color="auto" w:fill="auto"/>
            <w:noWrap/>
            <w:vAlign w:val="bottom"/>
            <w:hideMark/>
          </w:tcPr>
          <w:p w14:paraId="524B11CF"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45,830</w:t>
            </w:r>
          </w:p>
        </w:tc>
        <w:tc>
          <w:tcPr>
            <w:tcW w:w="1392" w:type="pct"/>
            <w:tcBorders>
              <w:top w:val="nil"/>
              <w:left w:val="nil"/>
              <w:bottom w:val="nil"/>
              <w:right w:val="nil"/>
            </w:tcBorders>
            <w:shd w:val="clear" w:color="auto" w:fill="auto"/>
            <w:noWrap/>
            <w:vAlign w:val="bottom"/>
            <w:hideMark/>
          </w:tcPr>
          <w:p w14:paraId="524B11D0"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0.01499</w:t>
            </w:r>
          </w:p>
        </w:tc>
        <w:tc>
          <w:tcPr>
            <w:tcW w:w="1392" w:type="pct"/>
            <w:tcBorders>
              <w:top w:val="nil"/>
              <w:left w:val="nil"/>
              <w:bottom w:val="nil"/>
              <w:right w:val="nil"/>
            </w:tcBorders>
            <w:shd w:val="clear" w:color="auto" w:fill="auto"/>
            <w:noWrap/>
            <w:vAlign w:val="bottom"/>
            <w:hideMark/>
          </w:tcPr>
          <w:p w14:paraId="524B11D1"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0.01485</w:t>
            </w:r>
          </w:p>
        </w:tc>
      </w:tr>
      <w:tr w:rsidR="003B3CEC" w:rsidRPr="003B3CEC" w14:paraId="524B11D7" w14:textId="77777777" w:rsidTr="00F000EB">
        <w:trPr>
          <w:trHeight w:val="300"/>
        </w:trPr>
        <w:tc>
          <w:tcPr>
            <w:tcW w:w="992" w:type="pct"/>
            <w:tcBorders>
              <w:top w:val="nil"/>
              <w:left w:val="nil"/>
              <w:bottom w:val="nil"/>
              <w:right w:val="nil"/>
            </w:tcBorders>
            <w:shd w:val="clear" w:color="auto" w:fill="auto"/>
            <w:noWrap/>
            <w:vAlign w:val="bottom"/>
            <w:hideMark/>
          </w:tcPr>
          <w:p w14:paraId="524B11D3" w14:textId="77777777" w:rsidR="003B3CEC" w:rsidRPr="003B3CEC" w:rsidRDefault="003B3CEC" w:rsidP="00F000EB">
            <w:pPr>
              <w:spacing w:after="0" w:line="240" w:lineRule="auto"/>
              <w:rPr>
                <w:rFonts w:ascii="Calibri" w:eastAsia="Times New Roman" w:hAnsi="Calibri" w:cs="Times New Roman"/>
                <w:color w:val="000000"/>
              </w:rPr>
            </w:pPr>
            <w:r w:rsidRPr="003B3CEC">
              <w:rPr>
                <w:rFonts w:ascii="Calibri" w:eastAsia="Times New Roman" w:hAnsi="Calibri" w:cs="Times New Roman"/>
                <w:color w:val="000000"/>
              </w:rPr>
              <w:t>8</w:t>
            </w:r>
          </w:p>
        </w:tc>
        <w:tc>
          <w:tcPr>
            <w:tcW w:w="1224" w:type="pct"/>
            <w:tcBorders>
              <w:top w:val="nil"/>
              <w:left w:val="nil"/>
              <w:bottom w:val="nil"/>
              <w:right w:val="nil"/>
            </w:tcBorders>
            <w:shd w:val="clear" w:color="auto" w:fill="auto"/>
            <w:noWrap/>
            <w:vAlign w:val="bottom"/>
            <w:hideMark/>
          </w:tcPr>
          <w:p w14:paraId="524B11D4"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45,831</w:t>
            </w:r>
          </w:p>
        </w:tc>
        <w:tc>
          <w:tcPr>
            <w:tcW w:w="1392" w:type="pct"/>
            <w:tcBorders>
              <w:top w:val="nil"/>
              <w:left w:val="nil"/>
              <w:bottom w:val="nil"/>
              <w:right w:val="nil"/>
            </w:tcBorders>
            <w:shd w:val="clear" w:color="auto" w:fill="auto"/>
            <w:noWrap/>
            <w:vAlign w:val="bottom"/>
            <w:hideMark/>
          </w:tcPr>
          <w:p w14:paraId="524B11D5"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0.00251</w:t>
            </w:r>
          </w:p>
        </w:tc>
        <w:tc>
          <w:tcPr>
            <w:tcW w:w="1392" w:type="pct"/>
            <w:tcBorders>
              <w:top w:val="nil"/>
              <w:left w:val="nil"/>
              <w:bottom w:val="nil"/>
              <w:right w:val="nil"/>
            </w:tcBorders>
            <w:shd w:val="clear" w:color="auto" w:fill="auto"/>
            <w:noWrap/>
            <w:vAlign w:val="bottom"/>
            <w:hideMark/>
          </w:tcPr>
          <w:p w14:paraId="524B11D6"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0.01664</w:t>
            </w:r>
          </w:p>
        </w:tc>
      </w:tr>
      <w:tr w:rsidR="003B3CEC" w:rsidRPr="003B3CEC" w14:paraId="524B11DC" w14:textId="77777777" w:rsidTr="00F000EB">
        <w:trPr>
          <w:trHeight w:val="300"/>
        </w:trPr>
        <w:tc>
          <w:tcPr>
            <w:tcW w:w="992" w:type="pct"/>
            <w:tcBorders>
              <w:top w:val="nil"/>
              <w:left w:val="nil"/>
              <w:bottom w:val="nil"/>
              <w:right w:val="nil"/>
            </w:tcBorders>
            <w:shd w:val="clear" w:color="auto" w:fill="auto"/>
            <w:noWrap/>
            <w:vAlign w:val="bottom"/>
            <w:hideMark/>
          </w:tcPr>
          <w:p w14:paraId="524B11D8" w14:textId="77777777" w:rsidR="003B3CEC" w:rsidRPr="003B3CEC" w:rsidRDefault="003B3CEC" w:rsidP="00F000EB">
            <w:pPr>
              <w:spacing w:after="0" w:line="240" w:lineRule="auto"/>
              <w:rPr>
                <w:rFonts w:ascii="Calibri" w:eastAsia="Times New Roman" w:hAnsi="Calibri" w:cs="Times New Roman"/>
                <w:color w:val="000000"/>
              </w:rPr>
            </w:pPr>
            <w:r w:rsidRPr="003B3CEC">
              <w:rPr>
                <w:rFonts w:ascii="Calibri" w:eastAsia="Times New Roman" w:hAnsi="Calibri" w:cs="Times New Roman"/>
                <w:color w:val="000000"/>
              </w:rPr>
              <w:t>9</w:t>
            </w:r>
          </w:p>
        </w:tc>
        <w:tc>
          <w:tcPr>
            <w:tcW w:w="1224" w:type="pct"/>
            <w:tcBorders>
              <w:top w:val="nil"/>
              <w:left w:val="nil"/>
              <w:bottom w:val="nil"/>
              <w:right w:val="nil"/>
            </w:tcBorders>
            <w:shd w:val="clear" w:color="auto" w:fill="auto"/>
            <w:noWrap/>
            <w:vAlign w:val="bottom"/>
            <w:hideMark/>
          </w:tcPr>
          <w:p w14:paraId="524B11D9"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45,831</w:t>
            </w:r>
          </w:p>
        </w:tc>
        <w:tc>
          <w:tcPr>
            <w:tcW w:w="1392" w:type="pct"/>
            <w:tcBorders>
              <w:top w:val="nil"/>
              <w:left w:val="nil"/>
              <w:bottom w:val="nil"/>
              <w:right w:val="nil"/>
            </w:tcBorders>
            <w:shd w:val="clear" w:color="auto" w:fill="auto"/>
            <w:noWrap/>
            <w:vAlign w:val="bottom"/>
            <w:hideMark/>
          </w:tcPr>
          <w:p w14:paraId="524B11DA"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0.04429</w:t>
            </w:r>
          </w:p>
        </w:tc>
        <w:tc>
          <w:tcPr>
            <w:tcW w:w="1392" w:type="pct"/>
            <w:tcBorders>
              <w:top w:val="nil"/>
              <w:left w:val="nil"/>
              <w:bottom w:val="nil"/>
              <w:right w:val="nil"/>
            </w:tcBorders>
            <w:shd w:val="clear" w:color="auto" w:fill="auto"/>
            <w:noWrap/>
            <w:vAlign w:val="bottom"/>
            <w:hideMark/>
          </w:tcPr>
          <w:p w14:paraId="524B11DB"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0.04210</w:t>
            </w:r>
          </w:p>
        </w:tc>
      </w:tr>
      <w:tr w:rsidR="003B3CEC" w:rsidRPr="003B3CEC" w14:paraId="524B11E1" w14:textId="77777777" w:rsidTr="00F000EB">
        <w:trPr>
          <w:trHeight w:val="300"/>
        </w:trPr>
        <w:tc>
          <w:tcPr>
            <w:tcW w:w="992" w:type="pct"/>
            <w:tcBorders>
              <w:top w:val="nil"/>
              <w:left w:val="nil"/>
              <w:bottom w:val="single" w:sz="4" w:space="0" w:color="auto"/>
              <w:right w:val="nil"/>
            </w:tcBorders>
            <w:shd w:val="clear" w:color="auto" w:fill="auto"/>
            <w:noWrap/>
            <w:vAlign w:val="bottom"/>
            <w:hideMark/>
          </w:tcPr>
          <w:p w14:paraId="524B11DD" w14:textId="77777777" w:rsidR="003B3CEC" w:rsidRPr="003B3CEC" w:rsidRDefault="003B3CEC" w:rsidP="00F000EB">
            <w:pPr>
              <w:spacing w:after="0" w:line="240" w:lineRule="auto"/>
              <w:rPr>
                <w:rFonts w:ascii="Calibri" w:eastAsia="Times New Roman" w:hAnsi="Calibri" w:cs="Times New Roman"/>
                <w:color w:val="000000"/>
              </w:rPr>
            </w:pPr>
            <w:r w:rsidRPr="003B3CEC">
              <w:rPr>
                <w:rFonts w:ascii="Calibri" w:eastAsia="Times New Roman" w:hAnsi="Calibri" w:cs="Times New Roman"/>
                <w:color w:val="000000"/>
              </w:rPr>
              <w:t>10</w:t>
            </w:r>
          </w:p>
        </w:tc>
        <w:tc>
          <w:tcPr>
            <w:tcW w:w="1224" w:type="pct"/>
            <w:tcBorders>
              <w:top w:val="nil"/>
              <w:left w:val="nil"/>
              <w:bottom w:val="single" w:sz="4" w:space="0" w:color="auto"/>
              <w:right w:val="nil"/>
            </w:tcBorders>
            <w:shd w:val="clear" w:color="auto" w:fill="auto"/>
            <w:noWrap/>
            <w:vAlign w:val="bottom"/>
            <w:hideMark/>
          </w:tcPr>
          <w:p w14:paraId="524B11DE"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45,830</w:t>
            </w:r>
          </w:p>
        </w:tc>
        <w:tc>
          <w:tcPr>
            <w:tcW w:w="1392" w:type="pct"/>
            <w:tcBorders>
              <w:top w:val="nil"/>
              <w:left w:val="nil"/>
              <w:bottom w:val="single" w:sz="4" w:space="0" w:color="auto"/>
              <w:right w:val="nil"/>
            </w:tcBorders>
            <w:shd w:val="clear" w:color="auto" w:fill="auto"/>
            <w:noWrap/>
            <w:vAlign w:val="bottom"/>
            <w:hideMark/>
          </w:tcPr>
          <w:p w14:paraId="524B11DF"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0.15062</w:t>
            </w:r>
          </w:p>
        </w:tc>
        <w:tc>
          <w:tcPr>
            <w:tcW w:w="1392" w:type="pct"/>
            <w:tcBorders>
              <w:top w:val="nil"/>
              <w:left w:val="nil"/>
              <w:bottom w:val="single" w:sz="4" w:space="0" w:color="auto"/>
              <w:right w:val="nil"/>
            </w:tcBorders>
            <w:shd w:val="clear" w:color="auto" w:fill="auto"/>
            <w:noWrap/>
            <w:vAlign w:val="bottom"/>
            <w:hideMark/>
          </w:tcPr>
          <w:p w14:paraId="524B11E0" w14:textId="77777777" w:rsidR="003B3CEC" w:rsidRPr="003B3CEC" w:rsidRDefault="003B3CEC" w:rsidP="00F000EB">
            <w:pPr>
              <w:spacing w:after="0" w:line="240" w:lineRule="auto"/>
              <w:jc w:val="right"/>
              <w:rPr>
                <w:rFonts w:ascii="Calibri" w:eastAsia="Times New Roman" w:hAnsi="Calibri" w:cs="Times New Roman"/>
                <w:color w:val="000000"/>
              </w:rPr>
            </w:pPr>
            <w:r w:rsidRPr="003B3CEC">
              <w:rPr>
                <w:rFonts w:ascii="Calibri" w:eastAsia="Times New Roman" w:hAnsi="Calibri" w:cs="Times New Roman"/>
                <w:color w:val="000000"/>
              </w:rPr>
              <w:t>0.12405</w:t>
            </w:r>
          </w:p>
        </w:tc>
      </w:tr>
    </w:tbl>
    <w:p w14:paraId="524B11E2" w14:textId="77777777" w:rsidR="00743E46" w:rsidRDefault="00743E46" w:rsidP="00092566">
      <w:pPr>
        <w:autoSpaceDE w:val="0"/>
        <w:autoSpaceDN w:val="0"/>
        <w:adjustRightInd w:val="0"/>
        <w:spacing w:after="0" w:line="240" w:lineRule="auto"/>
        <w:rPr>
          <w:rFonts w:cstheme="minorHAnsi"/>
          <w:b/>
          <w:bCs/>
        </w:rPr>
      </w:pPr>
    </w:p>
    <w:p w14:paraId="524B11E3" w14:textId="77777777" w:rsidR="00FF77FC" w:rsidRPr="00FF77FC" w:rsidRDefault="00FF77FC" w:rsidP="00092566">
      <w:pPr>
        <w:autoSpaceDE w:val="0"/>
        <w:autoSpaceDN w:val="0"/>
        <w:adjustRightInd w:val="0"/>
        <w:spacing w:after="0" w:line="240" w:lineRule="auto"/>
        <w:rPr>
          <w:rFonts w:cstheme="minorHAnsi"/>
          <w:bCs/>
        </w:rPr>
      </w:pPr>
      <w:r w:rsidRPr="00FF77FC">
        <w:rPr>
          <w:rFonts w:cstheme="minorHAnsi"/>
          <w:bCs/>
        </w:rPr>
        <w:t xml:space="preserve">A model that is well calibration will have </w:t>
      </w:r>
      <w:r>
        <w:rPr>
          <w:rFonts w:cstheme="minorHAnsi"/>
          <w:bCs/>
        </w:rPr>
        <w:t>observed values similar to predicted values across the predicted value deciles.   Although there are statistical tests of such “goodness of fit” the tests generally are not informative for datasets with large sample sizes.</w:t>
      </w:r>
    </w:p>
    <w:p w14:paraId="524B11E4" w14:textId="77777777" w:rsidR="00743E46" w:rsidRDefault="00743E46" w:rsidP="00092566">
      <w:pPr>
        <w:autoSpaceDE w:val="0"/>
        <w:autoSpaceDN w:val="0"/>
        <w:adjustRightInd w:val="0"/>
        <w:spacing w:after="0" w:line="240" w:lineRule="auto"/>
        <w:rPr>
          <w:rFonts w:cstheme="minorHAnsi"/>
        </w:rPr>
      </w:pPr>
      <w:r>
        <w:rPr>
          <w:rFonts w:cstheme="minorHAnsi"/>
          <w:b/>
          <w:bCs/>
        </w:rPr>
        <w:lastRenderedPageBreak/>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r w:rsidR="00092566" w:rsidRPr="00A25024">
        <w:rPr>
          <w:rFonts w:cstheme="minorHAnsi"/>
        </w:rPr>
        <w:br/>
      </w:r>
      <w:r w:rsidR="003B3CEC" w:rsidRPr="003B3CEC">
        <w:rPr>
          <w:rFonts w:cstheme="minorHAnsi"/>
          <w:b/>
          <w:noProof/>
        </w:rPr>
        <w:drawing>
          <wp:inline distT="0" distB="0" distL="0" distR="0" wp14:anchorId="524B122C" wp14:editId="524B122D">
            <wp:extent cx="4572000" cy="2743200"/>
            <wp:effectExtent l="19050" t="0" r="1905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24B11E5" w14:textId="77777777" w:rsidR="003B3CEC" w:rsidRDefault="003B3CEC" w:rsidP="00092566">
      <w:pPr>
        <w:autoSpaceDE w:val="0"/>
        <w:autoSpaceDN w:val="0"/>
        <w:adjustRightInd w:val="0"/>
        <w:spacing w:after="0" w:line="240" w:lineRule="auto"/>
        <w:rPr>
          <w:rFonts w:cstheme="minorHAnsi"/>
          <w:b/>
        </w:rPr>
      </w:pPr>
    </w:p>
    <w:p w14:paraId="524B11E6" w14:textId="77777777" w:rsidR="00FF77FC" w:rsidRPr="00FF77FC" w:rsidRDefault="00FF77FC" w:rsidP="00092566">
      <w:pPr>
        <w:autoSpaceDE w:val="0"/>
        <w:autoSpaceDN w:val="0"/>
        <w:adjustRightInd w:val="0"/>
        <w:spacing w:after="0" w:line="240" w:lineRule="auto"/>
        <w:rPr>
          <w:rFonts w:cstheme="minorHAnsi"/>
        </w:rPr>
      </w:pPr>
      <w:r w:rsidRPr="00FF77FC">
        <w:rPr>
          <w:rFonts w:cstheme="minorHAnsi"/>
        </w:rPr>
        <w:t>This is a visual representation of the data presented in the above section</w:t>
      </w:r>
    </w:p>
    <w:p w14:paraId="524B11E7" w14:textId="77777777" w:rsidR="00FF77FC" w:rsidRDefault="00FF77FC" w:rsidP="00092566">
      <w:pPr>
        <w:autoSpaceDE w:val="0"/>
        <w:autoSpaceDN w:val="0"/>
        <w:adjustRightInd w:val="0"/>
        <w:spacing w:after="0" w:line="240" w:lineRule="auto"/>
        <w:rPr>
          <w:rFonts w:cstheme="minorHAnsi"/>
          <w:b/>
        </w:rPr>
      </w:pPr>
    </w:p>
    <w:p w14:paraId="524B11E8" w14:textId="77777777" w:rsidR="00092566" w:rsidRPr="00A25024" w:rsidRDefault="00743E46" w:rsidP="00092566">
      <w:pPr>
        <w:autoSpaceDE w:val="0"/>
        <w:autoSpaceDN w:val="0"/>
        <w:adjustRightInd w:val="0"/>
        <w:spacing w:after="0" w:line="240" w:lineRule="auto"/>
        <w:rPr>
          <w:rFonts w:cstheme="minorHAnsi"/>
          <w:bCs/>
        </w:rPr>
      </w:pPr>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524B11E9" w14:textId="77777777" w:rsidR="00092566" w:rsidRDefault="00092566" w:rsidP="00247395">
      <w:pPr>
        <w:spacing w:after="0" w:line="240" w:lineRule="auto"/>
        <w:rPr>
          <w:rFonts w:cstheme="minorHAnsi"/>
          <w:bCs/>
        </w:rPr>
      </w:pPr>
    </w:p>
    <w:p w14:paraId="524B11EA" w14:textId="77777777" w:rsidR="00247395" w:rsidRDefault="00247395" w:rsidP="003B3CEC">
      <w:pPr>
        <w:rPr>
          <w:rFonts w:cstheme="minorHAnsi"/>
          <w:bCs/>
        </w:rPr>
      </w:pPr>
      <w:r>
        <w:rPr>
          <w:rFonts w:cstheme="minorHAnsi"/>
          <w:bCs/>
        </w:rPr>
        <w:t>The rate is also stratified into esophageal varices and all other cases</w:t>
      </w:r>
      <w:r w:rsidR="00554BB3">
        <w:rPr>
          <w:rFonts w:cstheme="minorHAnsi"/>
          <w:bCs/>
        </w:rPr>
        <w:t xml:space="preserve"> for the purpose of facilitating quality improvement</w:t>
      </w:r>
      <w:r>
        <w:rPr>
          <w:rFonts w:cstheme="minorHAnsi"/>
          <w:bCs/>
        </w:rPr>
        <w:t>.</w:t>
      </w:r>
      <w:r w:rsidR="00554BB3">
        <w:rPr>
          <w:rFonts w:cstheme="minorHAnsi"/>
          <w:bCs/>
        </w:rPr>
        <w:t xml:space="preserve">  Esophageal varices cases have higher mortality rates than other cases included in the denominator.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8"/>
        <w:gridCol w:w="1990"/>
        <w:gridCol w:w="2329"/>
        <w:gridCol w:w="1879"/>
      </w:tblGrid>
      <w:tr w:rsidR="000124BF" w:rsidRPr="000124BF" w14:paraId="524B11F0" w14:textId="77777777" w:rsidTr="00554BB3">
        <w:trPr>
          <w:trHeight w:val="315"/>
        </w:trPr>
        <w:tc>
          <w:tcPr>
            <w:tcW w:w="1764" w:type="pct"/>
            <w:shd w:val="clear" w:color="auto" w:fill="BFBFBF" w:themeFill="background1" w:themeFillShade="BF"/>
            <w:noWrap/>
            <w:vAlign w:val="bottom"/>
            <w:hideMark/>
          </w:tcPr>
          <w:p w14:paraId="524B11EB" w14:textId="77777777" w:rsidR="000124BF" w:rsidRPr="00554BB3" w:rsidRDefault="000124BF" w:rsidP="000124BF">
            <w:pPr>
              <w:spacing w:after="0" w:line="240" w:lineRule="auto"/>
              <w:rPr>
                <w:rFonts w:ascii="Times New Roman" w:eastAsia="Times New Roman" w:hAnsi="Times New Roman" w:cs="Times New Roman"/>
                <w:b/>
                <w:color w:val="000000"/>
                <w:sz w:val="18"/>
                <w:szCs w:val="18"/>
              </w:rPr>
            </w:pPr>
            <w:r w:rsidRPr="00554BB3">
              <w:rPr>
                <w:rFonts w:ascii="Times New Roman" w:eastAsia="Times New Roman" w:hAnsi="Times New Roman" w:cs="Times New Roman"/>
                <w:b/>
                <w:color w:val="000000"/>
                <w:sz w:val="18"/>
                <w:szCs w:val="18"/>
              </w:rPr>
              <w:t> </w:t>
            </w:r>
          </w:p>
        </w:tc>
        <w:tc>
          <w:tcPr>
            <w:tcW w:w="1039" w:type="pct"/>
            <w:shd w:val="clear" w:color="auto" w:fill="BFBFBF" w:themeFill="background1" w:themeFillShade="BF"/>
            <w:noWrap/>
            <w:vAlign w:val="bottom"/>
            <w:hideMark/>
          </w:tcPr>
          <w:p w14:paraId="524B11EC" w14:textId="77777777" w:rsidR="000124BF" w:rsidRPr="00554BB3" w:rsidRDefault="00247395" w:rsidP="000124BF">
            <w:pPr>
              <w:spacing w:after="0" w:line="240" w:lineRule="auto"/>
              <w:jc w:val="center"/>
              <w:rPr>
                <w:rFonts w:ascii="Times New Roman" w:eastAsia="Times New Roman" w:hAnsi="Times New Roman" w:cs="Times New Roman"/>
                <w:b/>
                <w:color w:val="000000"/>
                <w:sz w:val="18"/>
                <w:szCs w:val="18"/>
              </w:rPr>
            </w:pPr>
            <w:r w:rsidRPr="00554BB3">
              <w:rPr>
                <w:rFonts w:ascii="Times New Roman" w:eastAsia="Times New Roman" w:hAnsi="Times New Roman" w:cs="Times New Roman"/>
                <w:b/>
                <w:color w:val="000000"/>
                <w:sz w:val="18"/>
                <w:szCs w:val="18"/>
              </w:rPr>
              <w:t>Numerator</w:t>
            </w:r>
          </w:p>
        </w:tc>
        <w:tc>
          <w:tcPr>
            <w:tcW w:w="1216" w:type="pct"/>
            <w:shd w:val="clear" w:color="auto" w:fill="BFBFBF" w:themeFill="background1" w:themeFillShade="BF"/>
            <w:noWrap/>
            <w:vAlign w:val="bottom"/>
            <w:hideMark/>
          </w:tcPr>
          <w:p w14:paraId="524B11ED" w14:textId="77777777" w:rsidR="000124BF" w:rsidRPr="00554BB3" w:rsidRDefault="00247395" w:rsidP="000124BF">
            <w:pPr>
              <w:spacing w:after="0" w:line="240" w:lineRule="auto"/>
              <w:jc w:val="center"/>
              <w:rPr>
                <w:rFonts w:ascii="Times New Roman" w:eastAsia="Times New Roman" w:hAnsi="Times New Roman" w:cs="Times New Roman"/>
                <w:b/>
                <w:color w:val="000000"/>
                <w:sz w:val="18"/>
                <w:szCs w:val="18"/>
              </w:rPr>
            </w:pPr>
            <w:r w:rsidRPr="00554BB3">
              <w:rPr>
                <w:rFonts w:ascii="Times New Roman" w:eastAsia="Times New Roman" w:hAnsi="Times New Roman" w:cs="Times New Roman"/>
                <w:b/>
                <w:color w:val="000000"/>
                <w:sz w:val="18"/>
                <w:szCs w:val="18"/>
              </w:rPr>
              <w:t>Denominator</w:t>
            </w:r>
          </w:p>
        </w:tc>
        <w:tc>
          <w:tcPr>
            <w:tcW w:w="981" w:type="pct"/>
            <w:shd w:val="clear" w:color="auto" w:fill="BFBFBF" w:themeFill="background1" w:themeFillShade="BF"/>
            <w:noWrap/>
            <w:vAlign w:val="bottom"/>
            <w:hideMark/>
          </w:tcPr>
          <w:p w14:paraId="524B11EE" w14:textId="77777777" w:rsidR="000124BF" w:rsidRPr="00554BB3" w:rsidRDefault="00247395" w:rsidP="000124BF">
            <w:pPr>
              <w:spacing w:after="0" w:line="240" w:lineRule="auto"/>
              <w:jc w:val="center"/>
              <w:rPr>
                <w:rFonts w:ascii="Times New Roman" w:eastAsia="Times New Roman" w:hAnsi="Times New Roman" w:cs="Times New Roman"/>
                <w:b/>
                <w:color w:val="000000"/>
                <w:sz w:val="18"/>
                <w:szCs w:val="18"/>
              </w:rPr>
            </w:pPr>
            <w:r w:rsidRPr="00554BB3">
              <w:rPr>
                <w:rFonts w:ascii="Times New Roman" w:eastAsia="Times New Roman" w:hAnsi="Times New Roman" w:cs="Times New Roman"/>
                <w:b/>
                <w:color w:val="000000"/>
                <w:sz w:val="18"/>
                <w:szCs w:val="18"/>
              </w:rPr>
              <w:t>Observed</w:t>
            </w:r>
          </w:p>
          <w:p w14:paraId="524B11EF" w14:textId="77777777" w:rsidR="00247395" w:rsidRPr="00554BB3" w:rsidRDefault="00247395" w:rsidP="000124BF">
            <w:pPr>
              <w:spacing w:after="0" w:line="240" w:lineRule="auto"/>
              <w:jc w:val="center"/>
              <w:rPr>
                <w:rFonts w:ascii="Times New Roman" w:eastAsia="Times New Roman" w:hAnsi="Times New Roman" w:cs="Times New Roman"/>
                <w:b/>
                <w:color w:val="000000"/>
                <w:sz w:val="18"/>
                <w:szCs w:val="18"/>
              </w:rPr>
            </w:pPr>
            <w:r w:rsidRPr="00554BB3">
              <w:rPr>
                <w:rFonts w:ascii="Times New Roman" w:eastAsia="Times New Roman" w:hAnsi="Times New Roman" w:cs="Times New Roman"/>
                <w:b/>
                <w:color w:val="000000"/>
                <w:sz w:val="18"/>
                <w:szCs w:val="18"/>
              </w:rPr>
              <w:t>Rate</w:t>
            </w:r>
          </w:p>
        </w:tc>
      </w:tr>
      <w:tr w:rsidR="000124BF" w:rsidRPr="000124BF" w14:paraId="524B11F5" w14:textId="77777777" w:rsidTr="00247395">
        <w:trPr>
          <w:trHeight w:val="315"/>
        </w:trPr>
        <w:tc>
          <w:tcPr>
            <w:tcW w:w="1764" w:type="pct"/>
            <w:shd w:val="clear" w:color="auto" w:fill="auto"/>
            <w:noWrap/>
            <w:vAlign w:val="bottom"/>
            <w:hideMark/>
          </w:tcPr>
          <w:p w14:paraId="524B11F1" w14:textId="77777777" w:rsidR="000124BF" w:rsidRPr="000124BF" w:rsidRDefault="000124BF" w:rsidP="000124BF">
            <w:pPr>
              <w:spacing w:after="0" w:line="240" w:lineRule="auto"/>
              <w:rPr>
                <w:rFonts w:ascii="Times New Roman" w:eastAsia="Times New Roman" w:hAnsi="Times New Roman" w:cs="Times New Roman"/>
                <w:color w:val="000000"/>
                <w:sz w:val="18"/>
                <w:szCs w:val="18"/>
              </w:rPr>
            </w:pPr>
            <w:r w:rsidRPr="000124BF">
              <w:rPr>
                <w:rFonts w:ascii="Times New Roman" w:eastAsia="Times New Roman" w:hAnsi="Times New Roman" w:cs="Times New Roman"/>
                <w:color w:val="000000"/>
                <w:sz w:val="18"/>
                <w:szCs w:val="18"/>
              </w:rPr>
              <w:t>All Other</w:t>
            </w:r>
            <w:r w:rsidR="00247395">
              <w:rPr>
                <w:rFonts w:ascii="Times New Roman" w:eastAsia="Times New Roman" w:hAnsi="Times New Roman" w:cs="Times New Roman"/>
                <w:color w:val="000000"/>
                <w:sz w:val="18"/>
                <w:szCs w:val="18"/>
              </w:rPr>
              <w:t xml:space="preserve"> Cases</w:t>
            </w:r>
          </w:p>
        </w:tc>
        <w:tc>
          <w:tcPr>
            <w:tcW w:w="1039" w:type="pct"/>
            <w:shd w:val="clear" w:color="auto" w:fill="auto"/>
            <w:noWrap/>
            <w:vAlign w:val="bottom"/>
            <w:hideMark/>
          </w:tcPr>
          <w:p w14:paraId="524B11F2" w14:textId="77777777" w:rsidR="000124BF" w:rsidRPr="000124BF" w:rsidRDefault="000124BF" w:rsidP="000124BF">
            <w:pPr>
              <w:spacing w:after="0" w:line="240" w:lineRule="auto"/>
              <w:jc w:val="right"/>
              <w:rPr>
                <w:rFonts w:ascii="Calibri" w:eastAsia="Times New Roman" w:hAnsi="Calibri" w:cs="Times New Roman"/>
                <w:color w:val="000000"/>
              </w:rPr>
            </w:pPr>
            <w:r w:rsidRPr="000124BF">
              <w:rPr>
                <w:rFonts w:ascii="Calibri" w:eastAsia="Times New Roman" w:hAnsi="Calibri" w:cs="Times New Roman"/>
                <w:color w:val="000000"/>
              </w:rPr>
              <w:t>9,861</w:t>
            </w:r>
          </w:p>
        </w:tc>
        <w:tc>
          <w:tcPr>
            <w:tcW w:w="1216" w:type="pct"/>
            <w:shd w:val="clear" w:color="auto" w:fill="auto"/>
            <w:noWrap/>
            <w:vAlign w:val="bottom"/>
            <w:hideMark/>
          </w:tcPr>
          <w:p w14:paraId="524B11F3" w14:textId="77777777" w:rsidR="000124BF" w:rsidRPr="000124BF" w:rsidRDefault="000124BF" w:rsidP="000124BF">
            <w:pPr>
              <w:spacing w:after="0" w:line="240" w:lineRule="auto"/>
              <w:jc w:val="right"/>
              <w:rPr>
                <w:rFonts w:ascii="Calibri" w:eastAsia="Times New Roman" w:hAnsi="Calibri" w:cs="Times New Roman"/>
                <w:color w:val="000000"/>
              </w:rPr>
            </w:pPr>
            <w:r w:rsidRPr="000124BF">
              <w:rPr>
                <w:rFonts w:ascii="Calibri" w:eastAsia="Times New Roman" w:hAnsi="Calibri" w:cs="Times New Roman"/>
                <w:color w:val="000000"/>
              </w:rPr>
              <w:t>431,024</w:t>
            </w:r>
          </w:p>
        </w:tc>
        <w:tc>
          <w:tcPr>
            <w:tcW w:w="981" w:type="pct"/>
            <w:shd w:val="clear" w:color="auto" w:fill="auto"/>
            <w:noWrap/>
            <w:vAlign w:val="bottom"/>
            <w:hideMark/>
          </w:tcPr>
          <w:p w14:paraId="524B11F4" w14:textId="77777777" w:rsidR="000124BF" w:rsidRPr="000124BF" w:rsidRDefault="000124BF" w:rsidP="000124BF">
            <w:pPr>
              <w:spacing w:after="0" w:line="240" w:lineRule="auto"/>
              <w:jc w:val="right"/>
              <w:rPr>
                <w:rFonts w:ascii="Calibri" w:eastAsia="Times New Roman" w:hAnsi="Calibri" w:cs="Times New Roman"/>
                <w:color w:val="000000"/>
              </w:rPr>
            </w:pPr>
            <w:r w:rsidRPr="000124BF">
              <w:rPr>
                <w:rFonts w:ascii="Calibri" w:eastAsia="Times New Roman" w:hAnsi="Calibri" w:cs="Times New Roman"/>
                <w:color w:val="000000"/>
              </w:rPr>
              <w:t>0.02288</w:t>
            </w:r>
          </w:p>
        </w:tc>
      </w:tr>
      <w:tr w:rsidR="000124BF" w:rsidRPr="000124BF" w14:paraId="524B11FA" w14:textId="77777777" w:rsidTr="00247395">
        <w:trPr>
          <w:trHeight w:val="315"/>
        </w:trPr>
        <w:tc>
          <w:tcPr>
            <w:tcW w:w="1764" w:type="pct"/>
            <w:shd w:val="clear" w:color="auto" w:fill="auto"/>
            <w:noWrap/>
            <w:vAlign w:val="bottom"/>
            <w:hideMark/>
          </w:tcPr>
          <w:p w14:paraId="524B11F6" w14:textId="77777777" w:rsidR="000124BF" w:rsidRPr="000124BF" w:rsidRDefault="00247395" w:rsidP="000124BF">
            <w:pPr>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Esophageal Varic</w:t>
            </w:r>
            <w:r w:rsidR="000124BF" w:rsidRPr="000124BF">
              <w:rPr>
                <w:rFonts w:ascii="Times New Roman" w:eastAsia="Times New Roman" w:hAnsi="Times New Roman" w:cs="Times New Roman"/>
                <w:color w:val="000000"/>
                <w:sz w:val="18"/>
                <w:szCs w:val="18"/>
              </w:rPr>
              <w:t>es</w:t>
            </w:r>
          </w:p>
        </w:tc>
        <w:tc>
          <w:tcPr>
            <w:tcW w:w="1039" w:type="pct"/>
            <w:shd w:val="clear" w:color="auto" w:fill="auto"/>
            <w:noWrap/>
            <w:vAlign w:val="bottom"/>
            <w:hideMark/>
          </w:tcPr>
          <w:p w14:paraId="524B11F7" w14:textId="77777777" w:rsidR="000124BF" w:rsidRPr="000124BF" w:rsidRDefault="000124BF" w:rsidP="000124BF">
            <w:pPr>
              <w:spacing w:after="0" w:line="240" w:lineRule="auto"/>
              <w:jc w:val="right"/>
              <w:rPr>
                <w:rFonts w:ascii="Calibri" w:eastAsia="Times New Roman" w:hAnsi="Calibri" w:cs="Times New Roman"/>
                <w:color w:val="000000"/>
              </w:rPr>
            </w:pPr>
            <w:r w:rsidRPr="000124BF">
              <w:rPr>
                <w:rFonts w:ascii="Calibri" w:eastAsia="Times New Roman" w:hAnsi="Calibri" w:cs="Times New Roman"/>
                <w:color w:val="000000"/>
              </w:rPr>
              <w:t>1,949</w:t>
            </w:r>
          </w:p>
        </w:tc>
        <w:tc>
          <w:tcPr>
            <w:tcW w:w="1216" w:type="pct"/>
            <w:shd w:val="clear" w:color="auto" w:fill="auto"/>
            <w:noWrap/>
            <w:vAlign w:val="bottom"/>
            <w:hideMark/>
          </w:tcPr>
          <w:p w14:paraId="524B11F8" w14:textId="77777777" w:rsidR="000124BF" w:rsidRPr="000124BF" w:rsidRDefault="000124BF" w:rsidP="000124BF">
            <w:pPr>
              <w:spacing w:after="0" w:line="240" w:lineRule="auto"/>
              <w:jc w:val="right"/>
              <w:rPr>
                <w:rFonts w:ascii="Calibri" w:eastAsia="Times New Roman" w:hAnsi="Calibri" w:cs="Times New Roman"/>
                <w:color w:val="000000"/>
              </w:rPr>
            </w:pPr>
            <w:r w:rsidRPr="000124BF">
              <w:rPr>
                <w:rFonts w:ascii="Calibri" w:eastAsia="Times New Roman" w:hAnsi="Calibri" w:cs="Times New Roman"/>
                <w:color w:val="000000"/>
              </w:rPr>
              <w:t>27,282</w:t>
            </w:r>
          </w:p>
        </w:tc>
        <w:tc>
          <w:tcPr>
            <w:tcW w:w="981" w:type="pct"/>
            <w:shd w:val="clear" w:color="auto" w:fill="auto"/>
            <w:noWrap/>
            <w:vAlign w:val="bottom"/>
            <w:hideMark/>
          </w:tcPr>
          <w:p w14:paraId="524B11F9" w14:textId="77777777" w:rsidR="000124BF" w:rsidRPr="000124BF" w:rsidRDefault="000124BF" w:rsidP="000124BF">
            <w:pPr>
              <w:spacing w:after="0" w:line="240" w:lineRule="auto"/>
              <w:jc w:val="right"/>
              <w:rPr>
                <w:rFonts w:ascii="Calibri" w:eastAsia="Times New Roman" w:hAnsi="Calibri" w:cs="Times New Roman"/>
                <w:color w:val="000000"/>
              </w:rPr>
            </w:pPr>
            <w:r w:rsidRPr="000124BF">
              <w:rPr>
                <w:rFonts w:ascii="Calibri" w:eastAsia="Times New Roman" w:hAnsi="Calibri" w:cs="Times New Roman"/>
                <w:color w:val="000000"/>
              </w:rPr>
              <w:t>0.07143</w:t>
            </w:r>
          </w:p>
        </w:tc>
      </w:tr>
    </w:tbl>
    <w:p w14:paraId="524B11FB" w14:textId="77777777" w:rsidR="00996D5A" w:rsidRDefault="00996D5A" w:rsidP="003B3CEC">
      <w:pPr>
        <w:rPr>
          <w:rFonts w:cstheme="minorHAnsi"/>
          <w:bCs/>
        </w:rPr>
      </w:pPr>
    </w:p>
    <w:p w14:paraId="524B11FC" w14:textId="77777777" w:rsidR="00FF77FC" w:rsidRPr="003B3CEC" w:rsidRDefault="00FF77FC" w:rsidP="003B3CEC">
      <w:pPr>
        <w:rPr>
          <w:rFonts w:cstheme="minorHAnsi"/>
          <w:bCs/>
        </w:rPr>
      </w:pPr>
      <w:r>
        <w:rPr>
          <w:rFonts w:cstheme="minorHAnsi"/>
          <w:bCs/>
        </w:rPr>
        <w:t>Although stratification is useful for quality improvement purposes, stratification is less useful for comparative reporting.   The number of cases per hospital is small, with 70% of hospitals hav</w:t>
      </w:r>
      <w:r w:rsidR="00380558">
        <w:rPr>
          <w:rFonts w:cstheme="minorHAnsi"/>
          <w:bCs/>
        </w:rPr>
        <w:t>ing</w:t>
      </w:r>
      <w:r>
        <w:rPr>
          <w:rFonts w:cstheme="minorHAnsi"/>
          <w:bCs/>
        </w:rPr>
        <w:t xml:space="preserve"> 10 or fewer cases.   In addition, the signal variance (the degree of systematic variance in the risk adjusted rate) is </w:t>
      </w:r>
      <w:r w:rsidR="00996D5A">
        <w:rPr>
          <w:rFonts w:cstheme="minorHAnsi"/>
          <w:bCs/>
        </w:rPr>
        <w:t xml:space="preserve">low, with a signal-to-noise ratio </w:t>
      </w:r>
      <w:r>
        <w:rPr>
          <w:rFonts w:cstheme="minorHAnsi"/>
          <w:bCs/>
        </w:rPr>
        <w:t>close to zero, and fewer than 1% of hospitals have rates above or below the reference population rate at 95% probability.</w:t>
      </w:r>
    </w:p>
    <w:p w14:paraId="524B11FD"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524B11FE" w14:textId="77777777" w:rsidR="00092566" w:rsidRDefault="00554BB3" w:rsidP="00092566">
      <w:pPr>
        <w:spacing w:after="0" w:line="240" w:lineRule="auto"/>
        <w:rPr>
          <w:rFonts w:cstheme="minorHAnsi"/>
        </w:rPr>
      </w:pPr>
      <w:r>
        <w:rPr>
          <w:rFonts w:cstheme="minorHAnsi"/>
        </w:rPr>
        <w:t xml:space="preserve">Based on the empirical testing, the model performs well on discrimination and calibration, which suggests that the model is adequate in terms of controlling for differences in patient characteristics.  One potential area for concern is the association between the risk-adjusted rate and the number of diagnosis codes reported by the hospital.  </w:t>
      </w:r>
    </w:p>
    <w:p w14:paraId="524B11FF" w14:textId="77777777" w:rsidR="00554BB3" w:rsidRPr="00A25024" w:rsidRDefault="00554BB3" w:rsidP="00092566">
      <w:pPr>
        <w:spacing w:after="0" w:line="240" w:lineRule="auto"/>
        <w:rPr>
          <w:rFonts w:cstheme="minorHAnsi"/>
        </w:rPr>
      </w:pPr>
    </w:p>
    <w:p w14:paraId="524B1200" w14:textId="77777777" w:rsidR="00021170" w:rsidRPr="009B1A15" w:rsidRDefault="00092566" w:rsidP="009B1A15">
      <w:pPr>
        <w:spacing w:after="0" w:line="240" w:lineRule="auto"/>
        <w:rPr>
          <w:rFonts w:cstheme="minorHAnsi"/>
        </w:rPr>
      </w:pPr>
      <w:r w:rsidRPr="00A25024">
        <w:rPr>
          <w:rFonts w:cstheme="minorHAnsi"/>
          <w:highlight w:val="green"/>
        </w:rPr>
        <w:t>*</w:t>
      </w:r>
      <w:r w:rsidR="009B1A15" w:rsidRPr="009B1A15">
        <w:rPr>
          <w:rFonts w:cstheme="minorHAnsi"/>
          <w:b/>
          <w:highlight w:val="green"/>
        </w:rPr>
        <w:t>2b4.11.</w:t>
      </w:r>
      <w:r w:rsidR="009B1A15">
        <w:rPr>
          <w:rFonts w:cstheme="minorHAnsi"/>
          <w:highlight w:val="green"/>
        </w:rPr>
        <w:t xml:space="preserve"> </w:t>
      </w:r>
      <w:r w:rsidRPr="009B1A15">
        <w:rPr>
          <w:rFonts w:cstheme="minorHAnsi"/>
          <w:b/>
          <w:highlight w:val="green"/>
        </w:rPr>
        <w:t>Optional</w:t>
      </w:r>
      <w:r w:rsidR="009B1A15" w:rsidRPr="009B1A15">
        <w:rPr>
          <w:rFonts w:cstheme="minorHAnsi"/>
          <w:b/>
          <w:highlight w:val="green"/>
        </w:rPr>
        <w:t xml:space="preserve"> Additional Testing</w:t>
      </w:r>
      <w:r w:rsidRPr="00A25024">
        <w:rPr>
          <w:rFonts w:cstheme="minorHAnsi"/>
          <w:b/>
        </w:rPr>
        <w:t xml:space="preserve"> </w:t>
      </w:r>
      <w:r w:rsidRPr="00A25024">
        <w:rPr>
          <w:rFonts w:cstheme="minorHAnsi"/>
        </w:rPr>
        <w:t>(</w:t>
      </w:r>
      <w:r w:rsidRPr="00A25024">
        <w:rPr>
          <w:rFonts w:cstheme="minorHAnsi"/>
          <w:i/>
          <w:u w:val="single"/>
        </w:rPr>
        <w:t>not required</w:t>
      </w:r>
      <w:r w:rsidRPr="00A25024">
        <w:rPr>
          <w:rFonts w:cstheme="minorHAnsi"/>
          <w:i/>
        </w:rPr>
        <w:t>, but would provide additional support of adequacy</w:t>
      </w:r>
      <w:r>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9B1A15">
        <w:rPr>
          <w:rFonts w:cstheme="minorHAnsi"/>
        </w:rPr>
        <w:t>)</w:t>
      </w:r>
    </w:p>
    <w:p w14:paraId="524B1201" w14:textId="77777777" w:rsidR="00554BB3" w:rsidRDefault="00554BB3" w:rsidP="0086464B">
      <w:pPr>
        <w:rPr>
          <w:rFonts w:cstheme="minorHAnsi"/>
          <w:bCs/>
        </w:rPr>
      </w:pPr>
    </w:p>
    <w:p w14:paraId="524B1202" w14:textId="77777777" w:rsidR="00FF77FC" w:rsidRDefault="00FF77FC" w:rsidP="00FF77FC">
      <w:pPr>
        <w:pStyle w:val="ListParagraph"/>
        <w:autoSpaceDE w:val="0"/>
        <w:autoSpaceDN w:val="0"/>
        <w:adjustRightInd w:val="0"/>
        <w:spacing w:after="0" w:line="240" w:lineRule="auto"/>
        <w:ind w:left="0"/>
        <w:rPr>
          <w:rFonts w:cstheme="minorHAnsi"/>
          <w:bCs/>
        </w:rPr>
      </w:pPr>
      <w:r>
        <w:rPr>
          <w:rFonts w:cstheme="minorHAnsi"/>
          <w:bCs/>
        </w:rPr>
        <w:t>With respect to the persistence of the hospital risk adjusted rate, we conducted a descriptive analysis to examine the distribution of the current year risk-adjusted rate by the prior year smoothed rate performance quintile.</w:t>
      </w:r>
    </w:p>
    <w:p w14:paraId="524B1203" w14:textId="77777777" w:rsidR="00FF77FC" w:rsidRDefault="00FF77FC" w:rsidP="00FF77FC">
      <w:pPr>
        <w:autoSpaceDE w:val="0"/>
        <w:autoSpaceDN w:val="0"/>
        <w:adjustRightInd w:val="0"/>
        <w:spacing w:after="0" w:line="240" w:lineRule="auto"/>
        <w:rPr>
          <w:rFonts w:cstheme="minorHAnsi"/>
          <w:bCs/>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7"/>
        <w:gridCol w:w="3225"/>
        <w:gridCol w:w="3894"/>
      </w:tblGrid>
      <w:tr w:rsidR="00FF77FC" w:rsidRPr="00BF34BE" w14:paraId="524B1207" w14:textId="77777777" w:rsidTr="00380558">
        <w:trPr>
          <w:trHeight w:val="300"/>
        </w:trPr>
        <w:tc>
          <w:tcPr>
            <w:tcW w:w="1283" w:type="pct"/>
            <w:tcBorders>
              <w:top w:val="single" w:sz="4" w:space="0" w:color="auto"/>
              <w:bottom w:val="single" w:sz="4" w:space="0" w:color="auto"/>
            </w:tcBorders>
            <w:shd w:val="clear" w:color="auto" w:fill="BFBFBF" w:themeFill="background1" w:themeFillShade="BF"/>
            <w:noWrap/>
            <w:vAlign w:val="bottom"/>
            <w:hideMark/>
          </w:tcPr>
          <w:p w14:paraId="524B1204" w14:textId="77777777" w:rsidR="00FF77FC" w:rsidRPr="00BF34BE" w:rsidRDefault="00FF77FC" w:rsidP="00380558">
            <w:pPr>
              <w:spacing w:after="0" w:line="240" w:lineRule="auto"/>
              <w:rPr>
                <w:rFonts w:ascii="Calibri" w:eastAsia="Times New Roman" w:hAnsi="Calibri" w:cs="Times New Roman"/>
                <w:b/>
                <w:color w:val="000000"/>
              </w:rPr>
            </w:pPr>
            <w:r w:rsidRPr="00BF34BE">
              <w:rPr>
                <w:rFonts w:ascii="Calibri" w:eastAsia="Times New Roman" w:hAnsi="Calibri" w:cs="Times New Roman"/>
                <w:b/>
                <w:color w:val="000000"/>
              </w:rPr>
              <w:t>Prior Year Quintile</w:t>
            </w:r>
          </w:p>
        </w:tc>
        <w:tc>
          <w:tcPr>
            <w:tcW w:w="1684" w:type="pct"/>
            <w:tcBorders>
              <w:top w:val="single" w:sz="4" w:space="0" w:color="auto"/>
              <w:bottom w:val="single" w:sz="4" w:space="0" w:color="auto"/>
            </w:tcBorders>
            <w:shd w:val="clear" w:color="auto" w:fill="BFBFBF" w:themeFill="background1" w:themeFillShade="BF"/>
            <w:noWrap/>
            <w:vAlign w:val="bottom"/>
            <w:hideMark/>
          </w:tcPr>
          <w:p w14:paraId="524B1205" w14:textId="77777777" w:rsidR="00FF77FC" w:rsidRPr="00BF34BE" w:rsidRDefault="00FF77FC" w:rsidP="00380558">
            <w:pPr>
              <w:spacing w:after="0" w:line="240" w:lineRule="auto"/>
              <w:jc w:val="right"/>
              <w:rPr>
                <w:rFonts w:ascii="Calibri" w:eastAsia="Times New Roman" w:hAnsi="Calibri" w:cs="Times New Roman"/>
                <w:b/>
                <w:color w:val="000000"/>
              </w:rPr>
            </w:pPr>
            <w:r w:rsidRPr="00BF34BE">
              <w:rPr>
                <w:rFonts w:ascii="Calibri" w:eastAsia="Times New Roman" w:hAnsi="Calibri" w:cs="Times New Roman"/>
                <w:b/>
                <w:color w:val="000000"/>
              </w:rPr>
              <w:t>Prior Year Smoothed Rate</w:t>
            </w:r>
          </w:p>
        </w:tc>
        <w:tc>
          <w:tcPr>
            <w:tcW w:w="2034" w:type="pct"/>
            <w:tcBorders>
              <w:top w:val="single" w:sz="4" w:space="0" w:color="auto"/>
              <w:bottom w:val="single" w:sz="4" w:space="0" w:color="auto"/>
            </w:tcBorders>
            <w:shd w:val="clear" w:color="auto" w:fill="BFBFBF" w:themeFill="background1" w:themeFillShade="BF"/>
            <w:noWrap/>
            <w:vAlign w:val="bottom"/>
            <w:hideMark/>
          </w:tcPr>
          <w:p w14:paraId="524B1206" w14:textId="77777777" w:rsidR="00FF77FC" w:rsidRPr="00BF34BE" w:rsidRDefault="00FF77FC" w:rsidP="00380558">
            <w:pPr>
              <w:spacing w:after="0" w:line="240" w:lineRule="auto"/>
              <w:jc w:val="right"/>
              <w:rPr>
                <w:rFonts w:ascii="Calibri" w:eastAsia="Times New Roman" w:hAnsi="Calibri" w:cs="Times New Roman"/>
                <w:b/>
                <w:color w:val="000000"/>
              </w:rPr>
            </w:pPr>
            <w:r w:rsidRPr="00BF34BE">
              <w:rPr>
                <w:rFonts w:ascii="Calibri" w:eastAsia="Times New Roman" w:hAnsi="Calibri" w:cs="Times New Roman"/>
                <w:b/>
                <w:color w:val="000000"/>
              </w:rPr>
              <w:t>Current Year Risk-adjusted Rate</w:t>
            </w:r>
          </w:p>
        </w:tc>
      </w:tr>
      <w:tr w:rsidR="00FF77FC" w:rsidRPr="00BF34BE" w14:paraId="524B120B" w14:textId="77777777" w:rsidTr="00380558">
        <w:trPr>
          <w:trHeight w:val="300"/>
        </w:trPr>
        <w:tc>
          <w:tcPr>
            <w:tcW w:w="1283" w:type="pct"/>
            <w:tcBorders>
              <w:top w:val="single" w:sz="4" w:space="0" w:color="auto"/>
            </w:tcBorders>
            <w:shd w:val="clear" w:color="auto" w:fill="auto"/>
            <w:noWrap/>
            <w:vAlign w:val="bottom"/>
            <w:hideMark/>
          </w:tcPr>
          <w:p w14:paraId="524B1208" w14:textId="77777777" w:rsidR="00FF77FC" w:rsidRPr="00BF34BE" w:rsidRDefault="00FF77FC" w:rsidP="00380558">
            <w:pPr>
              <w:spacing w:after="0" w:line="240" w:lineRule="auto"/>
              <w:rPr>
                <w:rFonts w:ascii="Calibri" w:eastAsia="Times New Roman" w:hAnsi="Calibri" w:cs="Times New Roman"/>
                <w:color w:val="000000"/>
              </w:rPr>
            </w:pPr>
            <w:r w:rsidRPr="00BF34BE">
              <w:rPr>
                <w:rFonts w:ascii="Calibri" w:eastAsia="Times New Roman" w:hAnsi="Calibri" w:cs="Times New Roman"/>
                <w:color w:val="000000"/>
              </w:rPr>
              <w:t>1</w:t>
            </w:r>
          </w:p>
        </w:tc>
        <w:tc>
          <w:tcPr>
            <w:tcW w:w="1684" w:type="pct"/>
            <w:tcBorders>
              <w:top w:val="single" w:sz="4" w:space="0" w:color="auto"/>
            </w:tcBorders>
            <w:shd w:val="clear" w:color="auto" w:fill="auto"/>
            <w:noWrap/>
            <w:vAlign w:val="bottom"/>
            <w:hideMark/>
          </w:tcPr>
          <w:p w14:paraId="524B1209" w14:textId="77777777" w:rsidR="00FF77FC" w:rsidRPr="00BF34BE" w:rsidRDefault="00FF77FC" w:rsidP="00380558">
            <w:pPr>
              <w:spacing w:after="0" w:line="240" w:lineRule="auto"/>
              <w:jc w:val="right"/>
              <w:rPr>
                <w:rFonts w:ascii="Calibri" w:eastAsia="Times New Roman" w:hAnsi="Calibri" w:cs="Times New Roman"/>
                <w:color w:val="000000"/>
              </w:rPr>
            </w:pPr>
            <w:r w:rsidRPr="00BF34BE">
              <w:rPr>
                <w:rFonts w:ascii="Calibri" w:eastAsia="Times New Roman" w:hAnsi="Calibri" w:cs="Times New Roman"/>
                <w:color w:val="000000"/>
              </w:rPr>
              <w:t>0.01888</w:t>
            </w:r>
          </w:p>
        </w:tc>
        <w:tc>
          <w:tcPr>
            <w:tcW w:w="2034" w:type="pct"/>
            <w:tcBorders>
              <w:top w:val="single" w:sz="4" w:space="0" w:color="auto"/>
            </w:tcBorders>
            <w:shd w:val="clear" w:color="auto" w:fill="auto"/>
            <w:noWrap/>
            <w:vAlign w:val="bottom"/>
            <w:hideMark/>
          </w:tcPr>
          <w:p w14:paraId="524B120A" w14:textId="77777777" w:rsidR="00FF77FC" w:rsidRPr="00BF34BE" w:rsidRDefault="00FF77FC" w:rsidP="00380558">
            <w:pPr>
              <w:spacing w:after="0" w:line="240" w:lineRule="auto"/>
              <w:jc w:val="right"/>
              <w:rPr>
                <w:rFonts w:ascii="Calibri" w:eastAsia="Times New Roman" w:hAnsi="Calibri" w:cs="Times New Roman"/>
                <w:color w:val="000000"/>
              </w:rPr>
            </w:pPr>
            <w:r w:rsidRPr="00BF34BE">
              <w:rPr>
                <w:rFonts w:ascii="Calibri" w:eastAsia="Times New Roman" w:hAnsi="Calibri" w:cs="Times New Roman"/>
                <w:color w:val="000000"/>
              </w:rPr>
              <w:t>0.02043</w:t>
            </w:r>
          </w:p>
        </w:tc>
      </w:tr>
      <w:tr w:rsidR="00FF77FC" w:rsidRPr="00BF34BE" w14:paraId="524B120F" w14:textId="77777777" w:rsidTr="00380558">
        <w:trPr>
          <w:trHeight w:val="300"/>
        </w:trPr>
        <w:tc>
          <w:tcPr>
            <w:tcW w:w="1283" w:type="pct"/>
            <w:shd w:val="clear" w:color="auto" w:fill="auto"/>
            <w:noWrap/>
            <w:vAlign w:val="bottom"/>
            <w:hideMark/>
          </w:tcPr>
          <w:p w14:paraId="524B120C" w14:textId="77777777" w:rsidR="00FF77FC" w:rsidRPr="00BF34BE" w:rsidRDefault="00FF77FC" w:rsidP="00380558">
            <w:pPr>
              <w:spacing w:after="0" w:line="240" w:lineRule="auto"/>
              <w:rPr>
                <w:rFonts w:ascii="Calibri" w:eastAsia="Times New Roman" w:hAnsi="Calibri" w:cs="Times New Roman"/>
                <w:color w:val="000000"/>
              </w:rPr>
            </w:pPr>
            <w:r w:rsidRPr="00BF34BE">
              <w:rPr>
                <w:rFonts w:ascii="Calibri" w:eastAsia="Times New Roman" w:hAnsi="Calibri" w:cs="Times New Roman"/>
                <w:color w:val="000000"/>
              </w:rPr>
              <w:t>2</w:t>
            </w:r>
          </w:p>
        </w:tc>
        <w:tc>
          <w:tcPr>
            <w:tcW w:w="1684" w:type="pct"/>
            <w:shd w:val="clear" w:color="auto" w:fill="auto"/>
            <w:noWrap/>
            <w:vAlign w:val="bottom"/>
            <w:hideMark/>
          </w:tcPr>
          <w:p w14:paraId="524B120D" w14:textId="77777777" w:rsidR="00FF77FC" w:rsidRPr="00BF34BE" w:rsidRDefault="00FF77FC" w:rsidP="00380558">
            <w:pPr>
              <w:spacing w:after="0" w:line="240" w:lineRule="auto"/>
              <w:jc w:val="right"/>
              <w:rPr>
                <w:rFonts w:ascii="Calibri" w:eastAsia="Times New Roman" w:hAnsi="Calibri" w:cs="Times New Roman"/>
                <w:color w:val="000000"/>
              </w:rPr>
            </w:pPr>
            <w:r w:rsidRPr="00BF34BE">
              <w:rPr>
                <w:rFonts w:ascii="Calibri" w:eastAsia="Times New Roman" w:hAnsi="Calibri" w:cs="Times New Roman"/>
                <w:color w:val="000000"/>
              </w:rPr>
              <w:t>0.02385</w:t>
            </w:r>
          </w:p>
        </w:tc>
        <w:tc>
          <w:tcPr>
            <w:tcW w:w="2034" w:type="pct"/>
            <w:shd w:val="clear" w:color="auto" w:fill="auto"/>
            <w:noWrap/>
            <w:vAlign w:val="bottom"/>
            <w:hideMark/>
          </w:tcPr>
          <w:p w14:paraId="524B120E" w14:textId="77777777" w:rsidR="00FF77FC" w:rsidRPr="00BF34BE" w:rsidRDefault="00FF77FC" w:rsidP="00380558">
            <w:pPr>
              <w:spacing w:after="0" w:line="240" w:lineRule="auto"/>
              <w:jc w:val="right"/>
              <w:rPr>
                <w:rFonts w:ascii="Calibri" w:eastAsia="Times New Roman" w:hAnsi="Calibri" w:cs="Times New Roman"/>
                <w:color w:val="000000"/>
              </w:rPr>
            </w:pPr>
            <w:r w:rsidRPr="00BF34BE">
              <w:rPr>
                <w:rFonts w:ascii="Calibri" w:eastAsia="Times New Roman" w:hAnsi="Calibri" w:cs="Times New Roman"/>
                <w:color w:val="000000"/>
              </w:rPr>
              <w:t>0.02592</w:t>
            </w:r>
          </w:p>
        </w:tc>
      </w:tr>
      <w:tr w:rsidR="00FF77FC" w:rsidRPr="00BF34BE" w14:paraId="524B1213" w14:textId="77777777" w:rsidTr="00380558">
        <w:trPr>
          <w:trHeight w:val="300"/>
        </w:trPr>
        <w:tc>
          <w:tcPr>
            <w:tcW w:w="1283" w:type="pct"/>
            <w:shd w:val="clear" w:color="auto" w:fill="auto"/>
            <w:noWrap/>
            <w:vAlign w:val="bottom"/>
            <w:hideMark/>
          </w:tcPr>
          <w:p w14:paraId="524B1210" w14:textId="77777777" w:rsidR="00FF77FC" w:rsidRPr="00BF34BE" w:rsidRDefault="00FF77FC" w:rsidP="00380558">
            <w:pPr>
              <w:spacing w:after="0" w:line="240" w:lineRule="auto"/>
              <w:rPr>
                <w:rFonts w:ascii="Calibri" w:eastAsia="Times New Roman" w:hAnsi="Calibri" w:cs="Times New Roman"/>
                <w:color w:val="000000"/>
              </w:rPr>
            </w:pPr>
            <w:r w:rsidRPr="00BF34BE">
              <w:rPr>
                <w:rFonts w:ascii="Calibri" w:eastAsia="Times New Roman" w:hAnsi="Calibri" w:cs="Times New Roman"/>
                <w:color w:val="000000"/>
              </w:rPr>
              <w:t>3</w:t>
            </w:r>
          </w:p>
        </w:tc>
        <w:tc>
          <w:tcPr>
            <w:tcW w:w="1684" w:type="pct"/>
            <w:shd w:val="clear" w:color="auto" w:fill="auto"/>
            <w:noWrap/>
            <w:vAlign w:val="bottom"/>
            <w:hideMark/>
          </w:tcPr>
          <w:p w14:paraId="524B1211" w14:textId="77777777" w:rsidR="00FF77FC" w:rsidRPr="00BF34BE" w:rsidRDefault="00FF77FC" w:rsidP="00380558">
            <w:pPr>
              <w:spacing w:after="0" w:line="240" w:lineRule="auto"/>
              <w:jc w:val="right"/>
              <w:rPr>
                <w:rFonts w:ascii="Calibri" w:eastAsia="Times New Roman" w:hAnsi="Calibri" w:cs="Times New Roman"/>
                <w:color w:val="000000"/>
              </w:rPr>
            </w:pPr>
            <w:r w:rsidRPr="00BF34BE">
              <w:rPr>
                <w:rFonts w:ascii="Calibri" w:eastAsia="Times New Roman" w:hAnsi="Calibri" w:cs="Times New Roman"/>
                <w:color w:val="000000"/>
              </w:rPr>
              <w:t>0.02645</w:t>
            </w:r>
          </w:p>
        </w:tc>
        <w:tc>
          <w:tcPr>
            <w:tcW w:w="2034" w:type="pct"/>
            <w:shd w:val="clear" w:color="auto" w:fill="auto"/>
            <w:noWrap/>
            <w:vAlign w:val="bottom"/>
            <w:hideMark/>
          </w:tcPr>
          <w:p w14:paraId="524B1212" w14:textId="77777777" w:rsidR="00FF77FC" w:rsidRPr="00BF34BE" w:rsidRDefault="00FF77FC" w:rsidP="00380558">
            <w:pPr>
              <w:spacing w:after="0" w:line="240" w:lineRule="auto"/>
              <w:jc w:val="right"/>
              <w:rPr>
                <w:rFonts w:ascii="Calibri" w:eastAsia="Times New Roman" w:hAnsi="Calibri" w:cs="Times New Roman"/>
                <w:color w:val="000000"/>
              </w:rPr>
            </w:pPr>
            <w:r w:rsidRPr="00BF34BE">
              <w:rPr>
                <w:rFonts w:ascii="Calibri" w:eastAsia="Times New Roman" w:hAnsi="Calibri" w:cs="Times New Roman"/>
                <w:color w:val="000000"/>
              </w:rPr>
              <w:t>0.02663</w:t>
            </w:r>
          </w:p>
        </w:tc>
      </w:tr>
      <w:tr w:rsidR="00FF77FC" w:rsidRPr="00BF34BE" w14:paraId="524B1217" w14:textId="77777777" w:rsidTr="00380558">
        <w:trPr>
          <w:trHeight w:val="300"/>
        </w:trPr>
        <w:tc>
          <w:tcPr>
            <w:tcW w:w="1283" w:type="pct"/>
            <w:shd w:val="clear" w:color="auto" w:fill="auto"/>
            <w:noWrap/>
            <w:vAlign w:val="bottom"/>
            <w:hideMark/>
          </w:tcPr>
          <w:p w14:paraId="524B1214" w14:textId="77777777" w:rsidR="00FF77FC" w:rsidRPr="00BF34BE" w:rsidRDefault="00FF77FC" w:rsidP="00380558">
            <w:pPr>
              <w:spacing w:after="0" w:line="240" w:lineRule="auto"/>
              <w:rPr>
                <w:rFonts w:ascii="Calibri" w:eastAsia="Times New Roman" w:hAnsi="Calibri" w:cs="Times New Roman"/>
                <w:color w:val="000000"/>
              </w:rPr>
            </w:pPr>
            <w:r w:rsidRPr="00BF34BE">
              <w:rPr>
                <w:rFonts w:ascii="Calibri" w:eastAsia="Times New Roman" w:hAnsi="Calibri" w:cs="Times New Roman"/>
                <w:color w:val="000000"/>
              </w:rPr>
              <w:t>4</w:t>
            </w:r>
          </w:p>
        </w:tc>
        <w:tc>
          <w:tcPr>
            <w:tcW w:w="1684" w:type="pct"/>
            <w:shd w:val="clear" w:color="auto" w:fill="auto"/>
            <w:noWrap/>
            <w:vAlign w:val="bottom"/>
            <w:hideMark/>
          </w:tcPr>
          <w:p w14:paraId="524B1215" w14:textId="77777777" w:rsidR="00FF77FC" w:rsidRPr="00BF34BE" w:rsidRDefault="00FF77FC" w:rsidP="00380558">
            <w:pPr>
              <w:spacing w:after="0" w:line="240" w:lineRule="auto"/>
              <w:jc w:val="right"/>
              <w:rPr>
                <w:rFonts w:ascii="Calibri" w:eastAsia="Times New Roman" w:hAnsi="Calibri" w:cs="Times New Roman"/>
                <w:color w:val="000000"/>
              </w:rPr>
            </w:pPr>
            <w:r w:rsidRPr="00BF34BE">
              <w:rPr>
                <w:rFonts w:ascii="Calibri" w:eastAsia="Times New Roman" w:hAnsi="Calibri" w:cs="Times New Roman"/>
                <w:color w:val="000000"/>
              </w:rPr>
              <w:t>0.02928</w:t>
            </w:r>
          </w:p>
        </w:tc>
        <w:tc>
          <w:tcPr>
            <w:tcW w:w="2034" w:type="pct"/>
            <w:shd w:val="clear" w:color="auto" w:fill="auto"/>
            <w:noWrap/>
            <w:vAlign w:val="bottom"/>
            <w:hideMark/>
          </w:tcPr>
          <w:p w14:paraId="524B1216" w14:textId="77777777" w:rsidR="00FF77FC" w:rsidRPr="00BF34BE" w:rsidRDefault="00FF77FC" w:rsidP="00380558">
            <w:pPr>
              <w:spacing w:after="0" w:line="240" w:lineRule="auto"/>
              <w:jc w:val="right"/>
              <w:rPr>
                <w:rFonts w:ascii="Calibri" w:eastAsia="Times New Roman" w:hAnsi="Calibri" w:cs="Times New Roman"/>
                <w:color w:val="000000"/>
              </w:rPr>
            </w:pPr>
            <w:r w:rsidRPr="00BF34BE">
              <w:rPr>
                <w:rFonts w:ascii="Calibri" w:eastAsia="Times New Roman" w:hAnsi="Calibri" w:cs="Times New Roman"/>
                <w:color w:val="000000"/>
              </w:rPr>
              <w:t>0.02989</w:t>
            </w:r>
          </w:p>
        </w:tc>
      </w:tr>
      <w:tr w:rsidR="00FF77FC" w:rsidRPr="00BF34BE" w14:paraId="524B121B" w14:textId="77777777" w:rsidTr="00380558">
        <w:trPr>
          <w:trHeight w:val="300"/>
        </w:trPr>
        <w:tc>
          <w:tcPr>
            <w:tcW w:w="1283" w:type="pct"/>
            <w:shd w:val="clear" w:color="auto" w:fill="auto"/>
            <w:noWrap/>
            <w:vAlign w:val="bottom"/>
            <w:hideMark/>
          </w:tcPr>
          <w:p w14:paraId="524B1218" w14:textId="77777777" w:rsidR="00FF77FC" w:rsidRPr="00BF34BE" w:rsidRDefault="00FF77FC" w:rsidP="00380558">
            <w:pPr>
              <w:spacing w:after="0" w:line="240" w:lineRule="auto"/>
              <w:rPr>
                <w:rFonts w:ascii="Calibri" w:eastAsia="Times New Roman" w:hAnsi="Calibri" w:cs="Times New Roman"/>
                <w:color w:val="000000"/>
              </w:rPr>
            </w:pPr>
            <w:r w:rsidRPr="00BF34BE">
              <w:rPr>
                <w:rFonts w:ascii="Calibri" w:eastAsia="Times New Roman" w:hAnsi="Calibri" w:cs="Times New Roman"/>
                <w:color w:val="000000"/>
              </w:rPr>
              <w:t>5</w:t>
            </w:r>
          </w:p>
        </w:tc>
        <w:tc>
          <w:tcPr>
            <w:tcW w:w="1684" w:type="pct"/>
            <w:shd w:val="clear" w:color="auto" w:fill="auto"/>
            <w:noWrap/>
            <w:vAlign w:val="bottom"/>
            <w:hideMark/>
          </w:tcPr>
          <w:p w14:paraId="524B1219" w14:textId="77777777" w:rsidR="00FF77FC" w:rsidRPr="00BF34BE" w:rsidRDefault="00FF77FC" w:rsidP="00380558">
            <w:pPr>
              <w:spacing w:after="0" w:line="240" w:lineRule="auto"/>
              <w:jc w:val="right"/>
              <w:rPr>
                <w:rFonts w:ascii="Calibri" w:eastAsia="Times New Roman" w:hAnsi="Calibri" w:cs="Times New Roman"/>
                <w:color w:val="000000"/>
              </w:rPr>
            </w:pPr>
            <w:r w:rsidRPr="00BF34BE">
              <w:rPr>
                <w:rFonts w:ascii="Calibri" w:eastAsia="Times New Roman" w:hAnsi="Calibri" w:cs="Times New Roman"/>
                <w:color w:val="000000"/>
              </w:rPr>
              <w:t>0.03393</w:t>
            </w:r>
          </w:p>
        </w:tc>
        <w:tc>
          <w:tcPr>
            <w:tcW w:w="2034" w:type="pct"/>
            <w:shd w:val="clear" w:color="auto" w:fill="auto"/>
            <w:noWrap/>
            <w:vAlign w:val="bottom"/>
            <w:hideMark/>
          </w:tcPr>
          <w:p w14:paraId="524B121A" w14:textId="77777777" w:rsidR="00FF77FC" w:rsidRPr="00BF34BE" w:rsidRDefault="00FF77FC" w:rsidP="00380558">
            <w:pPr>
              <w:spacing w:after="0" w:line="240" w:lineRule="auto"/>
              <w:jc w:val="right"/>
              <w:rPr>
                <w:rFonts w:ascii="Calibri" w:eastAsia="Times New Roman" w:hAnsi="Calibri" w:cs="Times New Roman"/>
                <w:color w:val="000000"/>
              </w:rPr>
            </w:pPr>
            <w:r w:rsidRPr="00BF34BE">
              <w:rPr>
                <w:rFonts w:ascii="Calibri" w:eastAsia="Times New Roman" w:hAnsi="Calibri" w:cs="Times New Roman"/>
                <w:color w:val="000000"/>
              </w:rPr>
              <w:t>0.0416</w:t>
            </w:r>
            <w:r>
              <w:rPr>
                <w:rFonts w:ascii="Calibri" w:eastAsia="Times New Roman" w:hAnsi="Calibri" w:cs="Times New Roman"/>
                <w:color w:val="000000"/>
              </w:rPr>
              <w:t>0</w:t>
            </w:r>
          </w:p>
        </w:tc>
      </w:tr>
    </w:tbl>
    <w:p w14:paraId="524B121C" w14:textId="77777777" w:rsidR="00FF77FC" w:rsidRPr="00A25024" w:rsidRDefault="00FF77FC" w:rsidP="00FF77FC">
      <w:pPr>
        <w:pStyle w:val="ListParagraph"/>
        <w:autoSpaceDE w:val="0"/>
        <w:autoSpaceDN w:val="0"/>
        <w:adjustRightInd w:val="0"/>
        <w:spacing w:after="0" w:line="240" w:lineRule="auto"/>
        <w:ind w:left="0"/>
        <w:rPr>
          <w:rFonts w:cstheme="minorHAnsi"/>
          <w:bCs/>
        </w:rPr>
      </w:pPr>
    </w:p>
    <w:p w14:paraId="524B121D" w14:textId="77777777" w:rsidR="00FF77FC" w:rsidRDefault="00FF77FC" w:rsidP="00FF77FC">
      <w:pPr>
        <w:pStyle w:val="ListParagraph"/>
        <w:autoSpaceDE w:val="0"/>
        <w:autoSpaceDN w:val="0"/>
        <w:adjustRightInd w:val="0"/>
        <w:spacing w:after="0" w:line="240" w:lineRule="auto"/>
        <w:ind w:left="0"/>
        <w:rPr>
          <w:rFonts w:cstheme="minorHAnsi"/>
          <w:bCs/>
        </w:rPr>
      </w:pPr>
      <w:r>
        <w:rPr>
          <w:rFonts w:cstheme="minorHAnsi"/>
          <w:bCs/>
        </w:rPr>
        <w:t>The results demonstrate that performance is persistent over time, but there is some movement toward the mean among better performing hospitals.   Worse performing hospitals tend to remain worse performing.</w:t>
      </w:r>
    </w:p>
    <w:p w14:paraId="524B121E" w14:textId="77777777" w:rsidR="0086464B" w:rsidRDefault="0086464B" w:rsidP="0086464B">
      <w:pPr>
        <w:spacing w:after="0" w:line="240" w:lineRule="auto"/>
        <w:rPr>
          <w:rFonts w:cstheme="minorHAnsi"/>
          <w:b/>
          <w:bCs/>
        </w:rPr>
      </w:pPr>
      <w:r>
        <w:rPr>
          <w:rFonts w:cstheme="minorHAnsi"/>
          <w:b/>
          <w:bCs/>
        </w:rPr>
        <w:t>_________________________________________</w:t>
      </w:r>
    </w:p>
    <w:p w14:paraId="524B121F" w14:textId="77777777" w:rsidR="0086464B" w:rsidRPr="0086464B" w:rsidRDefault="0086464B" w:rsidP="0086464B">
      <w:pPr>
        <w:spacing w:after="0" w:line="240" w:lineRule="auto"/>
        <w:rPr>
          <w:rFonts w:cstheme="minorHAnsi"/>
          <w:b/>
          <w:bCs/>
        </w:rPr>
      </w:pPr>
      <w:r w:rsidRPr="0086464B">
        <w:rPr>
          <w:rFonts w:cstheme="minorHAnsi"/>
          <w:b/>
          <w:bCs/>
          <w:i/>
          <w:highlight w:val="green"/>
        </w:rPr>
        <w:t>If only one set of specifications, this section can be deleted</w:t>
      </w:r>
    </w:p>
    <w:p w14:paraId="524B1220" w14:textId="77777777" w:rsidR="004B1BA0"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2B2116" w:rsidRPr="00A25024">
        <w:rPr>
          <w:rFonts w:cstheme="minorHAnsi"/>
          <w:b/>
          <w:bCs/>
        </w:rPr>
        <w:t xml:space="preserve">WHEN MORE THAN ONE SET OF SPECIFICATIONS </w:t>
      </w:r>
    </w:p>
    <w:p w14:paraId="524B1221"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 xml:space="preserve">records and a different set of specifications </w:t>
      </w:r>
      <w:r w:rsidRPr="00A25024">
        <w:rPr>
          <w:rFonts w:cstheme="minorHAnsi"/>
          <w:bCs/>
          <w:i/>
        </w:rPr>
        <w:t>for claims). It does not apply to measures that use more than one type of data in one set of specifications/instructions (e.g., claims data to identify the denominator and medical record abstraction for the numerator).</w:t>
      </w:r>
    </w:p>
    <w:p w14:paraId="524B1222" w14:textId="77777777" w:rsidR="000F06B5" w:rsidRPr="00A25024" w:rsidRDefault="000F06B5" w:rsidP="00DB3627">
      <w:pPr>
        <w:autoSpaceDE w:val="0"/>
        <w:autoSpaceDN w:val="0"/>
        <w:adjustRightInd w:val="0"/>
        <w:spacing w:after="0" w:line="240" w:lineRule="auto"/>
        <w:rPr>
          <w:rFonts w:cstheme="minorHAnsi"/>
          <w:bCs/>
        </w:rPr>
      </w:pPr>
    </w:p>
    <w:p w14:paraId="524B1223" w14:textId="77777777"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equivalence</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across the different 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524B1224" w14:textId="77777777" w:rsidR="00BE20C9" w:rsidRDefault="00FF77FC" w:rsidP="00DB3627">
      <w:pPr>
        <w:pStyle w:val="ListParagraph"/>
        <w:autoSpaceDE w:val="0"/>
        <w:autoSpaceDN w:val="0"/>
        <w:adjustRightInd w:val="0"/>
        <w:spacing w:after="0" w:line="240" w:lineRule="auto"/>
        <w:ind w:left="0"/>
        <w:rPr>
          <w:rFonts w:cstheme="minorHAnsi"/>
          <w:bCs/>
        </w:rPr>
      </w:pPr>
      <w:r>
        <w:rPr>
          <w:rFonts w:cstheme="minorHAnsi"/>
          <w:bCs/>
        </w:rPr>
        <w:t>Not applicable</w:t>
      </w:r>
    </w:p>
    <w:p w14:paraId="524B1225" w14:textId="77777777" w:rsidR="00FF77FC" w:rsidRPr="00A25024" w:rsidRDefault="00FF77FC" w:rsidP="00DB3627">
      <w:pPr>
        <w:pStyle w:val="ListParagraph"/>
        <w:autoSpaceDE w:val="0"/>
        <w:autoSpaceDN w:val="0"/>
        <w:adjustRightInd w:val="0"/>
        <w:spacing w:after="0" w:line="240" w:lineRule="auto"/>
        <w:ind w:left="0"/>
        <w:rPr>
          <w:rFonts w:cstheme="minorHAnsi"/>
          <w:bCs/>
        </w:rPr>
      </w:pPr>
    </w:p>
    <w:p w14:paraId="524B1226" w14:textId="77777777" w:rsidR="00BE20C9" w:rsidRPr="00A25024" w:rsidRDefault="00E1508F" w:rsidP="00FF77FC">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524B1227" w14:textId="77777777" w:rsidR="00FF77FC" w:rsidRDefault="00FF77FC" w:rsidP="00FF77FC">
      <w:pPr>
        <w:pStyle w:val="ListParagraph"/>
        <w:autoSpaceDE w:val="0"/>
        <w:autoSpaceDN w:val="0"/>
        <w:adjustRightInd w:val="0"/>
        <w:spacing w:after="0" w:line="240" w:lineRule="auto"/>
        <w:ind w:left="0"/>
        <w:rPr>
          <w:rFonts w:cstheme="minorHAnsi"/>
          <w:bCs/>
        </w:rPr>
      </w:pPr>
      <w:r>
        <w:rPr>
          <w:rFonts w:cstheme="minorHAnsi"/>
          <w:bCs/>
        </w:rPr>
        <w:t>Not applicable</w:t>
      </w:r>
    </w:p>
    <w:p w14:paraId="524B1228" w14:textId="77777777" w:rsidR="00E1508F" w:rsidRPr="00E1508F" w:rsidRDefault="00E1508F" w:rsidP="00E1508F">
      <w:pPr>
        <w:autoSpaceDE w:val="0"/>
        <w:autoSpaceDN w:val="0"/>
        <w:adjustRightInd w:val="0"/>
        <w:spacing w:after="0" w:line="240" w:lineRule="auto"/>
        <w:rPr>
          <w:rFonts w:cstheme="minorHAnsi"/>
          <w:bCs/>
        </w:rPr>
      </w:pPr>
    </w:p>
    <w:p w14:paraId="524B1229" w14:textId="77777777" w:rsidR="0079180E" w:rsidRDefault="00E1508F" w:rsidP="00FF77FC">
      <w:pPr>
        <w:pStyle w:val="ListParagraph"/>
        <w:autoSpaceDE w:val="0"/>
        <w:autoSpaceDN w:val="0"/>
        <w:adjustRightInd w:val="0"/>
        <w:spacing w:after="0" w:line="240" w:lineRule="auto"/>
        <w:ind w:left="0"/>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for the same entities across the different 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524B122A" w14:textId="77777777" w:rsidR="00FF77FC" w:rsidRDefault="00FF77FC" w:rsidP="00FF77FC">
      <w:pPr>
        <w:pStyle w:val="ListParagraph"/>
        <w:autoSpaceDE w:val="0"/>
        <w:autoSpaceDN w:val="0"/>
        <w:adjustRightInd w:val="0"/>
        <w:spacing w:after="0" w:line="240" w:lineRule="auto"/>
        <w:ind w:left="0"/>
        <w:rPr>
          <w:rFonts w:cstheme="minorHAnsi"/>
          <w:bCs/>
        </w:rPr>
      </w:pPr>
      <w:r>
        <w:rPr>
          <w:rFonts w:cstheme="minorHAnsi"/>
          <w:bCs/>
        </w:rPr>
        <w:t>Not applicable</w:t>
      </w:r>
    </w:p>
    <w:p w14:paraId="524B122B" w14:textId="77777777" w:rsidR="00FF77FC" w:rsidRDefault="00FF77FC" w:rsidP="00FF77FC">
      <w:pPr>
        <w:pStyle w:val="ListParagraph"/>
        <w:autoSpaceDE w:val="0"/>
        <w:autoSpaceDN w:val="0"/>
        <w:adjustRightInd w:val="0"/>
        <w:spacing w:after="0" w:line="240" w:lineRule="auto"/>
        <w:ind w:left="0"/>
        <w:rPr>
          <w:rFonts w:cstheme="minorHAnsi"/>
          <w:bCs/>
        </w:rPr>
      </w:pPr>
    </w:p>
    <w:sectPr w:rsidR="00FF77FC" w:rsidSect="008505D1">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4B1230" w14:textId="77777777" w:rsidR="00CE4DB6" w:rsidRDefault="00CE4DB6" w:rsidP="005C73CA">
      <w:pPr>
        <w:spacing w:after="0" w:line="240" w:lineRule="auto"/>
      </w:pPr>
      <w:r>
        <w:separator/>
      </w:r>
    </w:p>
  </w:endnote>
  <w:endnote w:type="continuationSeparator" w:id="0">
    <w:p w14:paraId="524B1231" w14:textId="77777777" w:rsidR="00CE4DB6" w:rsidRDefault="00CE4DB6"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B1233" w14:textId="77777777" w:rsidR="00380558" w:rsidRDefault="007E3559">
    <w:pPr>
      <w:pStyle w:val="Footer"/>
      <w:jc w:val="right"/>
    </w:pPr>
    <w:sdt>
      <w:sdtPr>
        <w:id w:val="1744664844"/>
        <w:docPartObj>
          <w:docPartGallery w:val="Page Numbers (Bottom of Page)"/>
          <w:docPartUnique/>
        </w:docPartObj>
      </w:sdtPr>
      <w:sdtEndPr/>
      <w:sdtContent>
        <w:r w:rsidR="00380558" w:rsidRPr="002717C7">
          <w:rPr>
            <w:color w:val="808080" w:themeColor="background1" w:themeShade="80"/>
          </w:rPr>
          <w:t>Version</w:t>
        </w:r>
        <w:r w:rsidR="00380558">
          <w:rPr>
            <w:color w:val="808080" w:themeColor="background1" w:themeShade="80"/>
          </w:rPr>
          <w:t>:</w:t>
        </w:r>
        <w:r w:rsidR="00380558" w:rsidRPr="002717C7">
          <w:rPr>
            <w:color w:val="808080" w:themeColor="background1" w:themeShade="80"/>
          </w:rPr>
          <w:t xml:space="preserve"> </w:t>
        </w:r>
        <w:r w:rsidR="00380558">
          <w:rPr>
            <w:color w:val="808080" w:themeColor="background1" w:themeShade="80"/>
          </w:rPr>
          <w:t xml:space="preserve">11/08/12 GI/GU Pilot </w:t>
        </w:r>
        <w:r w:rsidR="00380558">
          <w:rPr>
            <w:color w:val="808080" w:themeColor="background1" w:themeShade="80"/>
          </w:rPr>
          <w:tab/>
        </w:r>
        <w:r w:rsidR="00380558">
          <w:rPr>
            <w:color w:val="808080" w:themeColor="background1" w:themeShade="80"/>
          </w:rPr>
          <w:tab/>
        </w:r>
        <w:r w:rsidR="00CE4DB6">
          <w:fldChar w:fldCharType="begin"/>
        </w:r>
        <w:r w:rsidR="00CE4DB6">
          <w:instrText xml:space="preserve"> PAGE   \* MERGEFORMAT </w:instrText>
        </w:r>
        <w:r w:rsidR="00CE4DB6">
          <w:fldChar w:fldCharType="separate"/>
        </w:r>
        <w:r>
          <w:rPr>
            <w:noProof/>
          </w:rPr>
          <w:t>1</w:t>
        </w:r>
        <w:r w:rsidR="00CE4DB6">
          <w:rPr>
            <w:noProof/>
          </w:rPr>
          <w:fldChar w:fldCharType="end"/>
        </w:r>
      </w:sdtContent>
    </w:sdt>
  </w:p>
  <w:p w14:paraId="524B1234" w14:textId="77777777" w:rsidR="00380558" w:rsidRDefault="003805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4B122E" w14:textId="77777777" w:rsidR="00CE4DB6" w:rsidRDefault="00CE4DB6" w:rsidP="005C73CA">
      <w:pPr>
        <w:spacing w:after="0" w:line="240" w:lineRule="auto"/>
      </w:pPr>
      <w:r>
        <w:separator/>
      </w:r>
    </w:p>
  </w:footnote>
  <w:footnote w:type="continuationSeparator" w:id="0">
    <w:p w14:paraId="524B122F" w14:textId="77777777" w:rsidR="00CE4DB6" w:rsidRDefault="00CE4DB6"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tyle3"/>
      </w:rPr>
      <w:id w:val="-491560845"/>
      <w:showingPlcHdr/>
    </w:sdtPr>
    <w:sdtEndPr>
      <w:rPr>
        <w:rStyle w:val="DefaultParagraphFont"/>
        <w:color w:val="auto"/>
      </w:rPr>
    </w:sdtEndPr>
    <w:sdtContent>
      <w:p w14:paraId="524B1232" w14:textId="77777777" w:rsidR="00380558" w:rsidRPr="00105D8B" w:rsidRDefault="00380558"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6"/>
  </w:num>
  <w:num w:numId="9">
    <w:abstractNumId w:val="8"/>
  </w:num>
  <w:num w:numId="10">
    <w:abstractNumId w:val="21"/>
  </w:num>
  <w:num w:numId="11">
    <w:abstractNumId w:val="10"/>
  </w:num>
  <w:num w:numId="12">
    <w:abstractNumId w:val="19"/>
  </w:num>
  <w:num w:numId="13">
    <w:abstractNumId w:val="14"/>
  </w:num>
  <w:num w:numId="14">
    <w:abstractNumId w:val="14"/>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3"/>
  </w:num>
  <w:num w:numId="16">
    <w:abstractNumId w:val="7"/>
  </w:num>
  <w:num w:numId="17">
    <w:abstractNumId w:val="20"/>
  </w:num>
  <w:num w:numId="18">
    <w:abstractNumId w:val="18"/>
  </w:num>
  <w:num w:numId="19">
    <w:abstractNumId w:val="17"/>
  </w:num>
  <w:num w:numId="20">
    <w:abstractNumId w:val="12"/>
  </w:num>
  <w:num w:numId="21">
    <w:abstractNumId w:val="15"/>
  </w:num>
  <w:num w:numId="22">
    <w:abstractNumId w:val="11"/>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ocumentProtection w:edit="forms" w:enforcement="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2"/>
  </w:compat>
  <w:rsids>
    <w:rsidRoot w:val="008A403A"/>
    <w:rsid w:val="00001D73"/>
    <w:rsid w:val="00003469"/>
    <w:rsid w:val="0001094F"/>
    <w:rsid w:val="000124BF"/>
    <w:rsid w:val="00021170"/>
    <w:rsid w:val="0002128B"/>
    <w:rsid w:val="00024DFD"/>
    <w:rsid w:val="00027AB8"/>
    <w:rsid w:val="000309DD"/>
    <w:rsid w:val="00031414"/>
    <w:rsid w:val="00033D63"/>
    <w:rsid w:val="0003436F"/>
    <w:rsid w:val="0004593A"/>
    <w:rsid w:val="00050A3E"/>
    <w:rsid w:val="00052A6F"/>
    <w:rsid w:val="00053F02"/>
    <w:rsid w:val="0005612B"/>
    <w:rsid w:val="000574AB"/>
    <w:rsid w:val="0006147A"/>
    <w:rsid w:val="000775F8"/>
    <w:rsid w:val="00080CF7"/>
    <w:rsid w:val="000851B2"/>
    <w:rsid w:val="00092566"/>
    <w:rsid w:val="000968F8"/>
    <w:rsid w:val="00097012"/>
    <w:rsid w:val="000B2DF7"/>
    <w:rsid w:val="000D7948"/>
    <w:rsid w:val="000E4E13"/>
    <w:rsid w:val="000F06B5"/>
    <w:rsid w:val="000F39E9"/>
    <w:rsid w:val="00104B45"/>
    <w:rsid w:val="00105D8B"/>
    <w:rsid w:val="001105B1"/>
    <w:rsid w:val="0011342F"/>
    <w:rsid w:val="001202E9"/>
    <w:rsid w:val="0017696D"/>
    <w:rsid w:val="001969C5"/>
    <w:rsid w:val="001A6CDD"/>
    <w:rsid w:val="001C7B02"/>
    <w:rsid w:val="001D2FD2"/>
    <w:rsid w:val="001D6A73"/>
    <w:rsid w:val="001E0342"/>
    <w:rsid w:val="001E4DD4"/>
    <w:rsid w:val="001F1068"/>
    <w:rsid w:val="001F169D"/>
    <w:rsid w:val="0021195A"/>
    <w:rsid w:val="00213383"/>
    <w:rsid w:val="00220250"/>
    <w:rsid w:val="0022691B"/>
    <w:rsid w:val="00232163"/>
    <w:rsid w:val="002376F8"/>
    <w:rsid w:val="002408E4"/>
    <w:rsid w:val="00241591"/>
    <w:rsid w:val="00247395"/>
    <w:rsid w:val="0025762F"/>
    <w:rsid w:val="00272DFA"/>
    <w:rsid w:val="00275C4C"/>
    <w:rsid w:val="00287649"/>
    <w:rsid w:val="00287E84"/>
    <w:rsid w:val="0029286C"/>
    <w:rsid w:val="0029300E"/>
    <w:rsid w:val="002B0C3A"/>
    <w:rsid w:val="002B2116"/>
    <w:rsid w:val="002B2D9B"/>
    <w:rsid w:val="002B5016"/>
    <w:rsid w:val="002B6E54"/>
    <w:rsid w:val="002B7F4D"/>
    <w:rsid w:val="002C285C"/>
    <w:rsid w:val="002C7BE4"/>
    <w:rsid w:val="002D417D"/>
    <w:rsid w:val="002E78A0"/>
    <w:rsid w:val="002F48E1"/>
    <w:rsid w:val="002F4F3B"/>
    <w:rsid w:val="003116AC"/>
    <w:rsid w:val="00315567"/>
    <w:rsid w:val="003274BB"/>
    <w:rsid w:val="00346245"/>
    <w:rsid w:val="00356267"/>
    <w:rsid w:val="00356BAD"/>
    <w:rsid w:val="003627AC"/>
    <w:rsid w:val="0036585B"/>
    <w:rsid w:val="00366914"/>
    <w:rsid w:val="003716B2"/>
    <w:rsid w:val="00380558"/>
    <w:rsid w:val="00383F85"/>
    <w:rsid w:val="003A306C"/>
    <w:rsid w:val="003B1006"/>
    <w:rsid w:val="003B3CEC"/>
    <w:rsid w:val="003C5F11"/>
    <w:rsid w:val="003D6401"/>
    <w:rsid w:val="003F4E0C"/>
    <w:rsid w:val="0041606D"/>
    <w:rsid w:val="004348CC"/>
    <w:rsid w:val="004658FF"/>
    <w:rsid w:val="00474ED7"/>
    <w:rsid w:val="0048008A"/>
    <w:rsid w:val="00483E94"/>
    <w:rsid w:val="00484120"/>
    <w:rsid w:val="00496B5F"/>
    <w:rsid w:val="004A2E10"/>
    <w:rsid w:val="004A42DA"/>
    <w:rsid w:val="004B17FF"/>
    <w:rsid w:val="004B1BA0"/>
    <w:rsid w:val="004B6CEE"/>
    <w:rsid w:val="004C5D29"/>
    <w:rsid w:val="004C681A"/>
    <w:rsid w:val="004F68EE"/>
    <w:rsid w:val="00511BA4"/>
    <w:rsid w:val="005149E7"/>
    <w:rsid w:val="005232D6"/>
    <w:rsid w:val="00524885"/>
    <w:rsid w:val="005333CC"/>
    <w:rsid w:val="00554922"/>
    <w:rsid w:val="00554BB3"/>
    <w:rsid w:val="00555282"/>
    <w:rsid w:val="005612CC"/>
    <w:rsid w:val="00576062"/>
    <w:rsid w:val="0059559F"/>
    <w:rsid w:val="005A49FF"/>
    <w:rsid w:val="005A7634"/>
    <w:rsid w:val="005C0447"/>
    <w:rsid w:val="005C739F"/>
    <w:rsid w:val="005C73CA"/>
    <w:rsid w:val="005D4768"/>
    <w:rsid w:val="005E2CAB"/>
    <w:rsid w:val="005E429E"/>
    <w:rsid w:val="005E5141"/>
    <w:rsid w:val="00601ED4"/>
    <w:rsid w:val="00616EB5"/>
    <w:rsid w:val="0062685E"/>
    <w:rsid w:val="006269D4"/>
    <w:rsid w:val="006327D8"/>
    <w:rsid w:val="0064070A"/>
    <w:rsid w:val="0066376E"/>
    <w:rsid w:val="00674AAA"/>
    <w:rsid w:val="00675535"/>
    <w:rsid w:val="00681359"/>
    <w:rsid w:val="00696262"/>
    <w:rsid w:val="006C3A4F"/>
    <w:rsid w:val="006C4845"/>
    <w:rsid w:val="006D6BC1"/>
    <w:rsid w:val="006E2BFC"/>
    <w:rsid w:val="006E5C57"/>
    <w:rsid w:val="006F22A5"/>
    <w:rsid w:val="00702C73"/>
    <w:rsid w:val="00713394"/>
    <w:rsid w:val="007243C7"/>
    <w:rsid w:val="00724677"/>
    <w:rsid w:val="00725AC2"/>
    <w:rsid w:val="00732880"/>
    <w:rsid w:val="007416B9"/>
    <w:rsid w:val="007422FD"/>
    <w:rsid w:val="00743E46"/>
    <w:rsid w:val="00747C45"/>
    <w:rsid w:val="00756FDB"/>
    <w:rsid w:val="007575F7"/>
    <w:rsid w:val="007665BF"/>
    <w:rsid w:val="007757CE"/>
    <w:rsid w:val="00775800"/>
    <w:rsid w:val="0079180E"/>
    <w:rsid w:val="007950CC"/>
    <w:rsid w:val="007961B8"/>
    <w:rsid w:val="007A4828"/>
    <w:rsid w:val="007B093D"/>
    <w:rsid w:val="007B2069"/>
    <w:rsid w:val="007C04A1"/>
    <w:rsid w:val="007C21FA"/>
    <w:rsid w:val="007D4351"/>
    <w:rsid w:val="007D7019"/>
    <w:rsid w:val="007E3559"/>
    <w:rsid w:val="007E6F1C"/>
    <w:rsid w:val="00804C69"/>
    <w:rsid w:val="0080711D"/>
    <w:rsid w:val="00833325"/>
    <w:rsid w:val="00842F3C"/>
    <w:rsid w:val="008505D1"/>
    <w:rsid w:val="00855158"/>
    <w:rsid w:val="00857EE8"/>
    <w:rsid w:val="0086464B"/>
    <w:rsid w:val="00865E2D"/>
    <w:rsid w:val="00870E6C"/>
    <w:rsid w:val="00884486"/>
    <w:rsid w:val="008871A9"/>
    <w:rsid w:val="008916BA"/>
    <w:rsid w:val="008A1DB7"/>
    <w:rsid w:val="008A403A"/>
    <w:rsid w:val="008A4C13"/>
    <w:rsid w:val="008C54A9"/>
    <w:rsid w:val="008D7592"/>
    <w:rsid w:val="008E67C3"/>
    <w:rsid w:val="008F76A9"/>
    <w:rsid w:val="00900DBF"/>
    <w:rsid w:val="009048B9"/>
    <w:rsid w:val="009214DC"/>
    <w:rsid w:val="00927027"/>
    <w:rsid w:val="009344BA"/>
    <w:rsid w:val="00947F78"/>
    <w:rsid w:val="00953234"/>
    <w:rsid w:val="00961EAF"/>
    <w:rsid w:val="009726E1"/>
    <w:rsid w:val="00980E75"/>
    <w:rsid w:val="00994BE0"/>
    <w:rsid w:val="00996D5A"/>
    <w:rsid w:val="009A25B1"/>
    <w:rsid w:val="009A4608"/>
    <w:rsid w:val="009A70BF"/>
    <w:rsid w:val="009B1A15"/>
    <w:rsid w:val="009C0852"/>
    <w:rsid w:val="009C13CA"/>
    <w:rsid w:val="009C32C6"/>
    <w:rsid w:val="009C665F"/>
    <w:rsid w:val="009E1846"/>
    <w:rsid w:val="009E78FF"/>
    <w:rsid w:val="00A01494"/>
    <w:rsid w:val="00A1454A"/>
    <w:rsid w:val="00A22FA9"/>
    <w:rsid w:val="00A25024"/>
    <w:rsid w:val="00A35F8F"/>
    <w:rsid w:val="00A37625"/>
    <w:rsid w:val="00A41377"/>
    <w:rsid w:val="00A4263D"/>
    <w:rsid w:val="00A52AB9"/>
    <w:rsid w:val="00A5525E"/>
    <w:rsid w:val="00A6210B"/>
    <w:rsid w:val="00A7323A"/>
    <w:rsid w:val="00A97798"/>
    <w:rsid w:val="00AA5213"/>
    <w:rsid w:val="00AA65A6"/>
    <w:rsid w:val="00AC48FA"/>
    <w:rsid w:val="00AD0240"/>
    <w:rsid w:val="00AD4137"/>
    <w:rsid w:val="00AF24E3"/>
    <w:rsid w:val="00B037BA"/>
    <w:rsid w:val="00B20139"/>
    <w:rsid w:val="00B2061C"/>
    <w:rsid w:val="00B218DA"/>
    <w:rsid w:val="00B342FA"/>
    <w:rsid w:val="00B7403D"/>
    <w:rsid w:val="00B774D2"/>
    <w:rsid w:val="00B8015A"/>
    <w:rsid w:val="00BB35AE"/>
    <w:rsid w:val="00BB44B9"/>
    <w:rsid w:val="00BD2505"/>
    <w:rsid w:val="00BE20C9"/>
    <w:rsid w:val="00BF34BE"/>
    <w:rsid w:val="00BF52B0"/>
    <w:rsid w:val="00C03244"/>
    <w:rsid w:val="00C22C1C"/>
    <w:rsid w:val="00C33F2E"/>
    <w:rsid w:val="00C34C14"/>
    <w:rsid w:val="00C355B9"/>
    <w:rsid w:val="00C401C4"/>
    <w:rsid w:val="00C41680"/>
    <w:rsid w:val="00C4188F"/>
    <w:rsid w:val="00C46B21"/>
    <w:rsid w:val="00C60A25"/>
    <w:rsid w:val="00C71AD7"/>
    <w:rsid w:val="00C765C5"/>
    <w:rsid w:val="00C82479"/>
    <w:rsid w:val="00CA06D8"/>
    <w:rsid w:val="00CA345A"/>
    <w:rsid w:val="00CC02CF"/>
    <w:rsid w:val="00CC086A"/>
    <w:rsid w:val="00CD0F66"/>
    <w:rsid w:val="00CD364B"/>
    <w:rsid w:val="00CD5964"/>
    <w:rsid w:val="00CE23B8"/>
    <w:rsid w:val="00CE4DB6"/>
    <w:rsid w:val="00CE50D7"/>
    <w:rsid w:val="00D00344"/>
    <w:rsid w:val="00D1754D"/>
    <w:rsid w:val="00D2223F"/>
    <w:rsid w:val="00D255A1"/>
    <w:rsid w:val="00D274A4"/>
    <w:rsid w:val="00D277AF"/>
    <w:rsid w:val="00D31163"/>
    <w:rsid w:val="00D320B1"/>
    <w:rsid w:val="00D33AFD"/>
    <w:rsid w:val="00D36489"/>
    <w:rsid w:val="00D42195"/>
    <w:rsid w:val="00D50704"/>
    <w:rsid w:val="00D5760A"/>
    <w:rsid w:val="00D8181D"/>
    <w:rsid w:val="00D968D8"/>
    <w:rsid w:val="00DA563D"/>
    <w:rsid w:val="00DA6C59"/>
    <w:rsid w:val="00DA7277"/>
    <w:rsid w:val="00DB3627"/>
    <w:rsid w:val="00DC4746"/>
    <w:rsid w:val="00DE7149"/>
    <w:rsid w:val="00E0314C"/>
    <w:rsid w:val="00E1508F"/>
    <w:rsid w:val="00E27240"/>
    <w:rsid w:val="00E27EDD"/>
    <w:rsid w:val="00E310B9"/>
    <w:rsid w:val="00E34E1B"/>
    <w:rsid w:val="00E37E1B"/>
    <w:rsid w:val="00E562C0"/>
    <w:rsid w:val="00E672D6"/>
    <w:rsid w:val="00E76024"/>
    <w:rsid w:val="00EA5435"/>
    <w:rsid w:val="00EA5F47"/>
    <w:rsid w:val="00EC79DE"/>
    <w:rsid w:val="00ED4ACE"/>
    <w:rsid w:val="00EF2DA7"/>
    <w:rsid w:val="00EF65E9"/>
    <w:rsid w:val="00F000EB"/>
    <w:rsid w:val="00F435AA"/>
    <w:rsid w:val="00F612D4"/>
    <w:rsid w:val="00F77F1D"/>
    <w:rsid w:val="00F87CCB"/>
    <w:rsid w:val="00FB73C1"/>
    <w:rsid w:val="00FF437A"/>
    <w:rsid w:val="00FF6ED6"/>
    <w:rsid w:val="00FF77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4B0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5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HNormal">
    <w:name w:val="BHNormal"/>
    <w:link w:val="BHNormalChar"/>
    <w:qFormat/>
    <w:rsid w:val="0066376E"/>
    <w:pPr>
      <w:spacing w:before="120" w:after="0" w:line="240" w:lineRule="auto"/>
      <w:ind w:firstLine="360"/>
    </w:pPr>
    <w:rPr>
      <w:rFonts w:ascii="Times New Roman" w:eastAsiaTheme="minorHAnsi" w:hAnsi="Times New Roman" w:cs="Times New Roman"/>
      <w:sz w:val="24"/>
      <w:szCs w:val="24"/>
    </w:rPr>
  </w:style>
  <w:style w:type="character" w:customStyle="1" w:styleId="BHNormalChar">
    <w:name w:val="BHNormal Char"/>
    <w:basedOn w:val="DefaultParagraphFont"/>
    <w:link w:val="BHNormal"/>
    <w:rsid w:val="0066376E"/>
    <w:rPr>
      <w:rFonts w:ascii="Times New Roman" w:eastAsiaTheme="minorHAnsi" w:hAnsi="Times New Roman" w:cs="Times New Roman"/>
      <w:sz w:val="24"/>
      <w:szCs w:val="24"/>
    </w:rPr>
  </w:style>
  <w:style w:type="character" w:styleId="FollowedHyperlink">
    <w:name w:val="FollowedHyperlink"/>
    <w:basedOn w:val="DefaultParagraphFont"/>
    <w:uiPriority w:val="99"/>
    <w:semiHidden/>
    <w:unhideWhenUsed/>
    <w:rsid w:val="004A42D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63149">
      <w:bodyDiv w:val="1"/>
      <w:marLeft w:val="0"/>
      <w:marRight w:val="0"/>
      <w:marTop w:val="0"/>
      <w:marBottom w:val="0"/>
      <w:divBdr>
        <w:top w:val="none" w:sz="0" w:space="0" w:color="auto"/>
        <w:left w:val="none" w:sz="0" w:space="0" w:color="auto"/>
        <w:bottom w:val="none" w:sz="0" w:space="0" w:color="auto"/>
        <w:right w:val="none" w:sz="0" w:space="0" w:color="auto"/>
      </w:divBdr>
    </w:div>
    <w:div w:id="264191708">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960838178">
      <w:bodyDiv w:val="1"/>
      <w:marLeft w:val="0"/>
      <w:marRight w:val="0"/>
      <w:marTop w:val="0"/>
      <w:marBottom w:val="0"/>
      <w:divBdr>
        <w:top w:val="none" w:sz="0" w:space="0" w:color="auto"/>
        <w:left w:val="none" w:sz="0" w:space="0" w:color="auto"/>
        <w:bottom w:val="none" w:sz="0" w:space="0" w:color="auto"/>
        <w:right w:val="none" w:sz="0" w:space="0" w:color="auto"/>
      </w:divBdr>
    </w:div>
    <w:div w:id="1096050678">
      <w:bodyDiv w:val="1"/>
      <w:marLeft w:val="0"/>
      <w:marRight w:val="0"/>
      <w:marTop w:val="0"/>
      <w:marBottom w:val="0"/>
      <w:divBdr>
        <w:top w:val="none" w:sz="0" w:space="0" w:color="auto"/>
        <w:left w:val="none" w:sz="0" w:space="0" w:color="auto"/>
        <w:bottom w:val="none" w:sz="0" w:space="0" w:color="auto"/>
        <w:right w:val="none" w:sz="0" w:space="0" w:color="auto"/>
      </w:divBdr>
    </w:div>
    <w:div w:id="1113405712">
      <w:bodyDiv w:val="1"/>
      <w:marLeft w:val="0"/>
      <w:marRight w:val="0"/>
      <w:marTop w:val="0"/>
      <w:marBottom w:val="0"/>
      <w:divBdr>
        <w:top w:val="none" w:sz="0" w:space="0" w:color="auto"/>
        <w:left w:val="none" w:sz="0" w:space="0" w:color="auto"/>
        <w:bottom w:val="none" w:sz="0" w:space="0" w:color="auto"/>
        <w:right w:val="none" w:sz="0" w:space="0" w:color="auto"/>
      </w:divBdr>
    </w:div>
    <w:div w:id="1152713777">
      <w:bodyDiv w:val="1"/>
      <w:marLeft w:val="0"/>
      <w:marRight w:val="0"/>
      <w:marTop w:val="0"/>
      <w:marBottom w:val="0"/>
      <w:divBdr>
        <w:top w:val="none" w:sz="0" w:space="0" w:color="auto"/>
        <w:left w:val="none" w:sz="0" w:space="0" w:color="auto"/>
        <w:bottom w:val="none" w:sz="0" w:space="0" w:color="auto"/>
        <w:right w:val="none" w:sz="0" w:space="0" w:color="auto"/>
      </w:divBdr>
    </w:div>
    <w:div w:id="1308776608">
      <w:bodyDiv w:val="1"/>
      <w:marLeft w:val="0"/>
      <w:marRight w:val="0"/>
      <w:marTop w:val="0"/>
      <w:marBottom w:val="0"/>
      <w:divBdr>
        <w:top w:val="none" w:sz="0" w:space="0" w:color="auto"/>
        <w:left w:val="none" w:sz="0" w:space="0" w:color="auto"/>
        <w:bottom w:val="none" w:sz="0" w:space="0" w:color="auto"/>
        <w:right w:val="none" w:sz="0" w:space="0" w:color="auto"/>
      </w:divBdr>
    </w:div>
    <w:div w:id="1409382166">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69263745">
      <w:bodyDiv w:val="1"/>
      <w:marLeft w:val="0"/>
      <w:marRight w:val="0"/>
      <w:marTop w:val="0"/>
      <w:marBottom w:val="0"/>
      <w:divBdr>
        <w:top w:val="none" w:sz="0" w:space="0" w:color="auto"/>
        <w:left w:val="none" w:sz="0" w:space="0" w:color="auto"/>
        <w:bottom w:val="none" w:sz="0" w:space="0" w:color="auto"/>
        <w:right w:val="none" w:sz="0" w:space="0" w:color="auto"/>
      </w:divBdr>
    </w:div>
    <w:div w:id="194113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hcup-us.ahrq.gov/db/nation/nis/v261_aprdrg_meth_ovrview.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hcup-us.ahrq.gov/db/nation/nis/NISIntroduction2010.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qualityforum.org/WorkArea/linkit.aspx?LinkIdentifier=id&amp;ItemID=66289" TargetMode="External"/><Relationship Id="rId5" Type="http://schemas.openxmlformats.org/officeDocument/2006/relationships/styles" Target="styles.xml"/><Relationship Id="rId15" Type="http://schemas.openxmlformats.org/officeDocument/2006/relationships/chart" Target="charts/chart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hcup-us.ahrq.gov/db/nation/nis/v261_aprdrg_meth_ovrview.pdf"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geppertj\Documents\SQI%20III\Task%20C.08%20Provide%20Technical%20Support%20to%20NQF%20Updates\Measure%20Submissions\Gastrointestinal\Stage%202\csac_iqi1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v>Observed</c:v>
          </c:tx>
          <c:invertIfNegative val="0"/>
          <c:val>
            <c:numRef>
              <c:f>Sheet2!$L$30:$L$39</c:f>
              <c:numCache>
                <c:formatCode>0.00000</c:formatCode>
                <c:ptCount val="10"/>
                <c:pt idx="0">
                  <c:v>2.0728000000000001E-3</c:v>
                </c:pt>
                <c:pt idx="1">
                  <c:v>2.1601000000000029E-3</c:v>
                </c:pt>
                <c:pt idx="2">
                  <c:v>3.1420000000000011E-3</c:v>
                </c:pt>
                <c:pt idx="3">
                  <c:v>9.2952000000000087E-3</c:v>
                </c:pt>
                <c:pt idx="4">
                  <c:v>6.0875000000000044E-3</c:v>
                </c:pt>
                <c:pt idx="5">
                  <c:v>8.2257000000000025E-3</c:v>
                </c:pt>
                <c:pt idx="6">
                  <c:v>1.49902E-2</c:v>
                </c:pt>
                <c:pt idx="7">
                  <c:v>2.5092000000000022E-3</c:v>
                </c:pt>
                <c:pt idx="8">
                  <c:v>4.4291500000000004E-2</c:v>
                </c:pt>
                <c:pt idx="9">
                  <c:v>0.15062120000000001</c:v>
                </c:pt>
              </c:numCache>
            </c:numRef>
          </c:val>
        </c:ser>
        <c:ser>
          <c:idx val="1"/>
          <c:order val="1"/>
          <c:tx>
            <c:v>Predicted</c:v>
          </c:tx>
          <c:invertIfNegative val="0"/>
          <c:val>
            <c:numRef>
              <c:f>Sheet2!$M$30:$M$39</c:f>
              <c:numCache>
                <c:formatCode>0.00000</c:formatCode>
                <c:ptCount val="10"/>
                <c:pt idx="0">
                  <c:v>2.5086000000000006E-3</c:v>
                </c:pt>
                <c:pt idx="1">
                  <c:v>4.4606000000000047E-3</c:v>
                </c:pt>
                <c:pt idx="2">
                  <c:v>6.9783000000000111E-3</c:v>
                </c:pt>
                <c:pt idx="3">
                  <c:v>9.2405000000000004E-3</c:v>
                </c:pt>
                <c:pt idx="4">
                  <c:v>1.0295599999999999E-2</c:v>
                </c:pt>
                <c:pt idx="5">
                  <c:v>1.2271400000000002E-2</c:v>
                </c:pt>
                <c:pt idx="6">
                  <c:v>1.4854599999999999E-2</c:v>
                </c:pt>
                <c:pt idx="7">
                  <c:v>1.6638000000000003E-2</c:v>
                </c:pt>
                <c:pt idx="8">
                  <c:v>4.2098300000000033E-2</c:v>
                </c:pt>
                <c:pt idx="9">
                  <c:v>0.1240489</c:v>
                </c:pt>
              </c:numCache>
            </c:numRef>
          </c:val>
        </c:ser>
        <c:dLbls>
          <c:showLegendKey val="0"/>
          <c:showVal val="0"/>
          <c:showCatName val="0"/>
          <c:showSerName val="0"/>
          <c:showPercent val="0"/>
          <c:showBubbleSize val="0"/>
        </c:dLbls>
        <c:gapWidth val="150"/>
        <c:axId val="35730176"/>
        <c:axId val="35731712"/>
      </c:barChart>
      <c:catAx>
        <c:axId val="35730176"/>
        <c:scaling>
          <c:orientation val="minMax"/>
        </c:scaling>
        <c:delete val="0"/>
        <c:axPos val="b"/>
        <c:majorTickMark val="out"/>
        <c:minorTickMark val="none"/>
        <c:tickLblPos val="nextTo"/>
        <c:crossAx val="35731712"/>
        <c:crosses val="autoZero"/>
        <c:auto val="1"/>
        <c:lblAlgn val="ctr"/>
        <c:lblOffset val="100"/>
        <c:noMultiLvlLbl val="0"/>
      </c:catAx>
      <c:valAx>
        <c:axId val="35731712"/>
        <c:scaling>
          <c:orientation val="minMax"/>
        </c:scaling>
        <c:delete val="0"/>
        <c:axPos val="l"/>
        <c:majorGridlines/>
        <c:numFmt formatCode="0.00000" sourceLinked="1"/>
        <c:majorTickMark val="out"/>
        <c:minorTickMark val="none"/>
        <c:tickLblPos val="nextTo"/>
        <c:crossAx val="35730176"/>
        <c:crosses val="autoZero"/>
        <c:crossBetween val="between"/>
      </c:valAx>
    </c:plotArea>
    <c:legend>
      <c:legendPos val="t"/>
      <c:overlay val="0"/>
    </c:legend>
    <c:plotVisOnly val="1"/>
    <c:dispBlanksAs val="gap"/>
    <c:showDLblsOverMax val="0"/>
  </c:chart>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14:paraId="736F99FF" w14:textId="77777777" w:rsidR="00632A7E" w:rsidRDefault="00190AF4" w:rsidP="00190AF4">
          <w:pPr>
            <w:pStyle w:val="00949831315D4E1BAFC508BD77E32A409"/>
          </w:pPr>
          <w:r w:rsidRPr="00A25024">
            <w:rPr>
              <w:rStyle w:val="PlaceholderText"/>
              <w:rFonts w:cstheme="minorHAnsi"/>
              <w:color w:val="A6A6A6" w:themeColor="background1" w:themeShade="A6"/>
            </w:rPr>
            <w:t>Click here to enter measure title</w:t>
          </w:r>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14:paraId="736F9A00" w14:textId="77777777" w:rsidR="00632A7E" w:rsidRDefault="00190AF4" w:rsidP="00190AF4">
          <w:pPr>
            <w:pStyle w:val="D0A5AE3409394D21BA5FA5F27780E3029"/>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C90121"/>
    <w:rsid w:val="00021F89"/>
    <w:rsid w:val="00127222"/>
    <w:rsid w:val="00190AF4"/>
    <w:rsid w:val="001C1C12"/>
    <w:rsid w:val="00223FA3"/>
    <w:rsid w:val="002A288F"/>
    <w:rsid w:val="002F052A"/>
    <w:rsid w:val="00350176"/>
    <w:rsid w:val="004C6993"/>
    <w:rsid w:val="0053654E"/>
    <w:rsid w:val="00632A7E"/>
    <w:rsid w:val="00632AB6"/>
    <w:rsid w:val="00730B33"/>
    <w:rsid w:val="00772B2A"/>
    <w:rsid w:val="007C672A"/>
    <w:rsid w:val="00822666"/>
    <w:rsid w:val="00823ECC"/>
    <w:rsid w:val="00866C97"/>
    <w:rsid w:val="008E293B"/>
    <w:rsid w:val="009017AE"/>
    <w:rsid w:val="009C542D"/>
    <w:rsid w:val="00A95183"/>
    <w:rsid w:val="00AB4AF7"/>
    <w:rsid w:val="00AD7C4F"/>
    <w:rsid w:val="00B445F5"/>
    <w:rsid w:val="00BD40CB"/>
    <w:rsid w:val="00C90121"/>
    <w:rsid w:val="00CA344F"/>
    <w:rsid w:val="00D1676E"/>
    <w:rsid w:val="00DC0246"/>
    <w:rsid w:val="00E24F21"/>
    <w:rsid w:val="00E6518A"/>
    <w:rsid w:val="00EF0864"/>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36F99F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F2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0AF4"/>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65A94B5B681B4A874BED962BBCC96C" ma:contentTypeVersion="0" ma:contentTypeDescription="Create a new document." ma:contentTypeScope="" ma:versionID="60719eea88c2e4a8ae4bbe4996b2385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F91E6B-E872-4DAE-9B5E-C8BD4AFBA7BF}">
  <ds:schemaRefs>
    <ds:schemaRef ds:uri="http://schemas.microsoft.com/sharepoint/v3/contenttype/forms"/>
  </ds:schemaRefs>
</ds:datastoreItem>
</file>

<file path=customXml/itemProps2.xml><?xml version="1.0" encoding="utf-8"?>
<ds:datastoreItem xmlns:ds="http://schemas.openxmlformats.org/officeDocument/2006/customXml" ds:itemID="{91096C84-8563-4824-A601-2B64EC19270F}">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93F47C3-D091-400F-8193-85B0EE289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4421</Words>
  <Characters>25203</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29565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GBattelle</cp:lastModifiedBy>
  <cp:revision>2</cp:revision>
  <dcterms:created xsi:type="dcterms:W3CDTF">2013-01-08T14:34:00Z</dcterms:created>
  <dcterms:modified xsi:type="dcterms:W3CDTF">2013-01-08T14:34:00Z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0x0101006765A94B5B681B4A874BED962BBCC96C</vt:lpwstr>
  </property>
</Properties>
</file>