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F1F7028"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73573C">
            <w:rPr>
              <w:rStyle w:val="Style1"/>
            </w:rPr>
            <w:t>2158</w:t>
          </w:r>
        </w:sdtContent>
      </w:sdt>
    </w:p>
    <w:p w14:paraId="0CABCF56" w14:textId="65665334"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F1EAB">
            <w:rPr>
              <w:rStyle w:val="Style1"/>
              <w:rFonts w:cstheme="minorHAnsi"/>
            </w:rPr>
            <w:t xml:space="preserve">Medicare Spending Per Beneficiary (MSPB) </w:t>
          </w:r>
          <w:r w:rsidR="000263D9">
            <w:rPr>
              <w:rStyle w:val="Style1"/>
              <w:rFonts w:cstheme="minorHAnsi"/>
            </w:rPr>
            <w:t>Hospital</w:t>
          </w:r>
          <w:r w:rsidR="00CB00EB" w:rsidRPr="00975148">
            <w:rPr>
              <w:rStyle w:val="Style1"/>
              <w:rFonts w:cstheme="minorHAnsi"/>
            </w:rPr>
            <w:tab/>
          </w:r>
        </w:sdtContent>
      </w:sdt>
    </w:p>
    <w:p w14:paraId="0CABCF57" w14:textId="5A4A6DDD"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8-03T00:00:00Z">
            <w:dateFormat w:val="M/d/yyyy"/>
            <w:lid w:val="en-US"/>
            <w:storeMappedDataAs w:val="dateTime"/>
            <w:calendar w:val="gregorian"/>
          </w:date>
        </w:sdtPr>
        <w:sdtEndPr>
          <w:rPr>
            <w:rStyle w:val="DefaultParagraphFont"/>
            <w:noProof/>
            <w:color w:val="auto"/>
            <w:u w:val="none"/>
          </w:rPr>
        </w:sdtEndPr>
        <w:sdtContent>
          <w:r w:rsidR="000263D9">
            <w:rPr>
              <w:rStyle w:val="Style2"/>
              <w:rFonts w:cstheme="minorHAnsi"/>
            </w:rPr>
            <w:t>8</w:t>
          </w:r>
          <w:r w:rsidR="007E75B9">
            <w:rPr>
              <w:rStyle w:val="Style2"/>
              <w:rFonts w:cstheme="minorHAnsi"/>
            </w:rPr>
            <w:t>/</w:t>
          </w:r>
          <w:r w:rsidR="000263D9">
            <w:rPr>
              <w:rStyle w:val="Style2"/>
              <w:rFonts w:cstheme="minorHAnsi"/>
            </w:rPr>
            <w:t>3</w:t>
          </w:r>
          <w:r w:rsidR="007E75B9">
            <w:rPr>
              <w:rStyle w:val="Style2"/>
              <w:rFonts w:cstheme="minorHAnsi"/>
            </w:rPr>
            <w:t>/2020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4C137BC5" w:rsidR="000B7D57" w:rsidRPr="00C775CE" w:rsidRDefault="003759AE"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9C74614" w:rsidR="000B7D57" w:rsidRPr="00C775CE" w:rsidRDefault="003759AE"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2F0B85E8" w:rsidR="000B7D57" w:rsidRPr="00C775CE" w:rsidRDefault="003759AE"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01C5783E" w:rsidR="000B7D57" w:rsidRPr="00C775CE" w:rsidRDefault="003759AE"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3C9E6929" w:rsidR="000B7D57" w:rsidRPr="00C775CE" w:rsidRDefault="003759AE"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1A2B4B80" w:rsidR="000B7D57" w:rsidRPr="00C775CE" w:rsidRDefault="003759AE"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1A8DEA38" w:rsidR="000B7D57" w:rsidRPr="00C775CE" w:rsidRDefault="003759A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093BD8">
        <w:trPr>
          <w:jc w:val="center"/>
        </w:trPr>
        <w:tc>
          <w:tcPr>
            <w:tcW w:w="10285" w:type="dxa"/>
          </w:tcPr>
          <w:p w14:paraId="136B9CE1" w14:textId="77777777" w:rsidR="00093BD8" w:rsidRPr="00B53E8B" w:rsidRDefault="00093BD8" w:rsidP="00093BD8">
            <w:pPr>
              <w:rPr>
                <w:rFonts w:cstheme="minorHAnsi"/>
                <w:b/>
                <w:noProof/>
              </w:rPr>
            </w:pPr>
            <w:r w:rsidRPr="00B53E8B">
              <w:rPr>
                <w:rFonts w:cstheme="minorHAnsi"/>
                <w:b/>
                <w:noProof/>
              </w:rPr>
              <w:t>Instructions</w:t>
            </w:r>
          </w:p>
          <w:p w14:paraId="226E15DE" w14:textId="77777777" w:rsidR="00093BD8" w:rsidRPr="00C14CCC" w:rsidRDefault="00093BD8" w:rsidP="00F56947">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If there is more than one set of data specification</w:t>
            </w:r>
            <w:r>
              <w:rPr>
                <w:rFonts w:cstheme="minorHAnsi"/>
                <w:b/>
                <w:i/>
                <w:noProof/>
              </w:rPr>
              <w:t>s</w:t>
            </w:r>
            <w:r w:rsidRPr="00CB49FF">
              <w:rPr>
                <w:rFonts w:cstheme="minorHAnsi"/>
                <w:b/>
                <w:i/>
                <w:noProof/>
              </w:rPr>
              <w:t xml:space="preserve"> or </w:t>
            </w:r>
            <w:r>
              <w:rPr>
                <w:rFonts w:cstheme="minorHAnsi"/>
                <w:b/>
                <w:i/>
                <w:noProof/>
              </w:rPr>
              <w:t xml:space="preserve">more than one </w:t>
            </w:r>
            <w:r w:rsidRPr="00CB49FF">
              <w:rPr>
                <w:rFonts w:cstheme="minorHAnsi"/>
                <w:b/>
                <w:i/>
                <w:noProof/>
              </w:rPr>
              <w:t>level of analysis, contact NQF staff</w:t>
            </w:r>
            <w:r w:rsidRPr="00C14CCC">
              <w:rPr>
                <w:rFonts w:cstheme="minorHAnsi"/>
                <w:noProof/>
              </w:rPr>
              <w:t xml:space="preserve"> about how to present </w:t>
            </w:r>
            <w:r>
              <w:rPr>
                <w:rFonts w:cstheme="minorHAnsi"/>
                <w:noProof/>
              </w:rPr>
              <w:t xml:space="preserve">all </w:t>
            </w:r>
            <w:r w:rsidRPr="00C14CCC">
              <w:rPr>
                <w:rFonts w:cstheme="minorHAnsi"/>
                <w:noProof/>
              </w:rPr>
              <w:t>the testing information</w:t>
            </w:r>
            <w:r>
              <w:rPr>
                <w:rFonts w:cstheme="minorHAnsi"/>
                <w:noProof/>
              </w:rPr>
              <w:t xml:space="preserve"> in one form</w:t>
            </w:r>
            <w:r w:rsidRPr="00C14CCC">
              <w:rPr>
                <w:rFonts w:cstheme="minorHAnsi"/>
                <w:noProof/>
              </w:rPr>
              <w:t>.</w:t>
            </w:r>
          </w:p>
          <w:p w14:paraId="7449ACFA" w14:textId="77777777" w:rsidR="00093BD8" w:rsidRPr="00053F02" w:rsidRDefault="00093BD8" w:rsidP="00F56947">
            <w:pPr>
              <w:pStyle w:val="ListParagraph"/>
              <w:numPr>
                <w:ilvl w:val="0"/>
                <w:numId w:val="1"/>
              </w:numPr>
              <w:rPr>
                <w:rFonts w:cstheme="minorHAnsi"/>
                <w:b/>
                <w:noProof/>
              </w:rPr>
            </w:pPr>
            <w:r w:rsidRPr="00053F02">
              <w:rPr>
                <w:rFonts w:cstheme="minorHAnsi"/>
                <w:b/>
                <w:noProof/>
              </w:rPr>
              <w:t xml:space="preserve">For </w:t>
            </w:r>
            <w:r w:rsidRPr="00483E94">
              <w:rPr>
                <w:rFonts w:cstheme="minorHAnsi"/>
                <w:b/>
                <w:noProof/>
                <w:u w:val="single"/>
              </w:rPr>
              <w:t>all</w:t>
            </w:r>
            <w:r>
              <w:rPr>
                <w:rFonts w:cstheme="minorHAnsi"/>
                <w:b/>
                <w:noProof/>
              </w:rPr>
              <w:t xml:space="preserve"> measures, sections 1, 2a2, 2b1, 2b2</w:t>
            </w:r>
            <w:r w:rsidRPr="00053F02">
              <w:rPr>
                <w:rFonts w:cstheme="minorHAnsi"/>
                <w:b/>
                <w:noProof/>
              </w:rPr>
              <w:t xml:space="preserve">, </w:t>
            </w:r>
            <w:r>
              <w:rPr>
                <w:rFonts w:cstheme="minorHAnsi"/>
                <w:b/>
                <w:noProof/>
              </w:rPr>
              <w:t>and 2b4</w:t>
            </w:r>
            <w:r w:rsidRPr="00053F02">
              <w:rPr>
                <w:rFonts w:cstheme="minorHAnsi"/>
                <w:b/>
                <w:noProof/>
              </w:rPr>
              <w:t xml:space="preserve"> must be completed</w:t>
            </w:r>
            <w:r>
              <w:rPr>
                <w:rFonts w:cstheme="minorHAnsi"/>
                <w:b/>
                <w:noProof/>
              </w:rPr>
              <w:t>.</w:t>
            </w:r>
          </w:p>
          <w:p w14:paraId="497DF006" w14:textId="77777777" w:rsidR="00093BD8" w:rsidRDefault="00093BD8" w:rsidP="00F56947">
            <w:pPr>
              <w:pStyle w:val="ListParagraph"/>
              <w:numPr>
                <w:ilvl w:val="0"/>
                <w:numId w:val="1"/>
              </w:numPr>
              <w:rPr>
                <w:rFonts w:cstheme="minorHAnsi"/>
                <w:noProof/>
              </w:rPr>
            </w:pPr>
            <w:r w:rsidRPr="00053F02">
              <w:rPr>
                <w:rFonts w:cstheme="minorHAnsi"/>
                <w:b/>
                <w:noProof/>
              </w:rPr>
              <w:t xml:space="preserve">For </w:t>
            </w:r>
            <w:r w:rsidRPr="00483E94">
              <w:rPr>
                <w:rFonts w:cstheme="minorHAnsi"/>
                <w:b/>
                <w:noProof/>
                <w:u w:val="single"/>
              </w:rPr>
              <w:t xml:space="preserve">outcome </w:t>
            </w:r>
            <w:r>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Pr>
                <w:rFonts w:cstheme="minorHAnsi"/>
                <w:b/>
                <w:noProof/>
              </w:rPr>
              <w:t xml:space="preserve">2b3 </w:t>
            </w:r>
            <w:r>
              <w:rPr>
                <w:rFonts w:cstheme="minorHAnsi"/>
                <w:noProof/>
              </w:rPr>
              <w:t>also must be completed.</w:t>
            </w:r>
          </w:p>
          <w:p w14:paraId="7F6E0419" w14:textId="77777777" w:rsidR="00093BD8" w:rsidRDefault="00093BD8" w:rsidP="00F56947">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b/>
                <w:noProof/>
                <w:u w:val="single"/>
              </w:rPr>
              <w:t>/sets of specifications</w:t>
            </w:r>
            <w:r>
              <w:rPr>
                <w:rFonts w:cstheme="minorHAnsi"/>
                <w:noProof/>
              </w:rPr>
              <w:t xml:space="preserve"> (e.g., claims and EHRs), section </w:t>
            </w:r>
            <w:r>
              <w:rPr>
                <w:rFonts w:cstheme="minorHAnsi"/>
                <w:b/>
                <w:noProof/>
              </w:rPr>
              <w:t>2b5</w:t>
            </w:r>
            <w:r>
              <w:rPr>
                <w:rFonts w:cstheme="minorHAnsi"/>
                <w:noProof/>
              </w:rPr>
              <w:t xml:space="preserve"> also must be completed.</w:t>
            </w:r>
          </w:p>
          <w:p w14:paraId="3AA01ED4" w14:textId="77777777" w:rsidR="00093BD8" w:rsidRPr="008F589F" w:rsidRDefault="00093BD8" w:rsidP="00F56947">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as instructed</w:t>
            </w:r>
            <w:r>
              <w:rPr>
                <w:rFonts w:cstheme="minorHAnsi"/>
                <w:noProof/>
              </w:rPr>
              <w:t xml:space="preserve"> </w:t>
            </w:r>
            <w:r w:rsidRPr="008F589F">
              <w:rPr>
                <w:rFonts w:cstheme="minorHAnsi"/>
                <w:noProof/>
              </w:rPr>
              <w:t xml:space="preserve">with answers immediately following the question. All information </w:t>
            </w:r>
            <w:r>
              <w:rPr>
                <w:rFonts w:cstheme="minorHAnsi"/>
                <w:noProof/>
              </w:rPr>
              <w:t xml:space="preserve">on testing </w:t>
            </w:r>
            <w:r w:rsidRPr="008F589F">
              <w:rPr>
                <w:rFonts w:cstheme="minorHAnsi"/>
                <w:noProof/>
              </w:rPr>
              <w:t>to demonstrate meeting</w:t>
            </w:r>
            <w:r>
              <w:rPr>
                <w:rFonts w:cstheme="minorHAnsi"/>
                <w:noProof/>
              </w:rPr>
              <w:t xml:space="preserve"> the </w:t>
            </w:r>
            <w:r>
              <w:t xml:space="preserve">subcriteria for reliability (2a2) and validity (2b1-2b6) </w:t>
            </w:r>
            <w:r w:rsidRPr="008F589F">
              <w:rPr>
                <w:rFonts w:cstheme="minorHAnsi"/>
                <w:noProof/>
              </w:rPr>
              <w:t xml:space="preserve">must be in this form. An appendix for </w:t>
            </w:r>
            <w:r w:rsidRPr="008F589F">
              <w:rPr>
                <w:rFonts w:cstheme="minorHAnsi"/>
                <w:i/>
                <w:noProof/>
              </w:rPr>
              <w:t>supplemental</w:t>
            </w:r>
            <w:r w:rsidRPr="008F589F">
              <w:rPr>
                <w:rFonts w:cstheme="minorHAnsi"/>
                <w:noProof/>
              </w:rPr>
              <w:t xml:space="preserve"> materials may be submitted, but there is no guarantee it will be reviewed.</w:t>
            </w:r>
          </w:p>
          <w:p w14:paraId="2BCB8CA6" w14:textId="77777777" w:rsidR="00093BD8" w:rsidRDefault="00093BD8" w:rsidP="00F56947">
            <w:pPr>
              <w:pStyle w:val="ListParagraph"/>
              <w:numPr>
                <w:ilvl w:val="0"/>
                <w:numId w:val="1"/>
              </w:numPr>
              <w:rPr>
                <w:rFonts w:cstheme="minorHAnsi"/>
                <w:noProof/>
              </w:rPr>
            </w:pPr>
            <w:r>
              <w:t>If you are unable to check a box, please highlight or shade the box for your response.</w:t>
            </w:r>
          </w:p>
          <w:p w14:paraId="3ADF89C8" w14:textId="77777777" w:rsidR="00093BD8" w:rsidRPr="008F589F" w:rsidRDefault="00093BD8" w:rsidP="00F56947">
            <w:pPr>
              <w:pStyle w:val="ListParagraph"/>
              <w:numPr>
                <w:ilvl w:val="0"/>
                <w:numId w:val="1"/>
              </w:numPr>
              <w:rPr>
                <w:rFonts w:cstheme="minorHAnsi"/>
                <w:noProof/>
              </w:rPr>
            </w:pPr>
            <w:r w:rsidRPr="00712A05">
              <w:rPr>
                <w:rFonts w:cstheme="minorHAnsi"/>
                <w:noProof/>
              </w:rPr>
              <w:t>Maximum of 25 pages (</w:t>
            </w:r>
            <w:r w:rsidRPr="00712A05">
              <w:rPr>
                <w:rFonts w:cstheme="minorHAnsi"/>
                <w:i/>
                <w:noProof/>
              </w:rPr>
              <w:t xml:space="preserve">incuding questions/instructions; </w:t>
            </w:r>
            <w:r w:rsidRPr="00712A05">
              <w:t>minimum font size 11 pt; do not change margins).</w:t>
            </w:r>
            <w:r w:rsidRPr="008629B3">
              <w:t xml:space="preserve"> </w:t>
            </w:r>
            <w:r w:rsidRPr="000D6D06">
              <w:rPr>
                <w:b/>
                <w:i/>
              </w:rPr>
              <w:t xml:space="preserve">Contact </w:t>
            </w:r>
            <w:r>
              <w:rPr>
                <w:b/>
                <w:i/>
              </w:rPr>
              <w:t>NQF staff if more pages are needed</w:t>
            </w:r>
            <w:r w:rsidRPr="000D6D06">
              <w:rPr>
                <w:b/>
                <w:i/>
              </w:rPr>
              <w:t>.</w:t>
            </w:r>
          </w:p>
          <w:p w14:paraId="2CB59074" w14:textId="77777777" w:rsidR="00093BD8" w:rsidRPr="00A71200" w:rsidRDefault="00093BD8" w:rsidP="00F56947">
            <w:pPr>
              <w:pStyle w:val="ListParagraph"/>
              <w:numPr>
                <w:ilvl w:val="0"/>
                <w:numId w:val="1"/>
              </w:numPr>
              <w:rPr>
                <w:rFonts w:cstheme="minorHAnsi"/>
                <w:noProof/>
              </w:rPr>
            </w:pPr>
            <w:r w:rsidRPr="00496AF8">
              <w:t>Contact NQ</w:t>
            </w:r>
            <w:r>
              <w:t xml:space="preserve">F staff regarding questions. Check for resources at </w:t>
            </w:r>
            <w:hyperlink r:id="rId11" w:history="1">
              <w:r w:rsidRPr="00145149">
                <w:rPr>
                  <w:rStyle w:val="Hyperlink"/>
                </w:rPr>
                <w:t>Submitting Standards webpage</w:t>
              </w:r>
            </w:hyperlink>
            <w:r>
              <w:t>.</w:t>
            </w:r>
          </w:p>
          <w:p w14:paraId="0CABCF6F" w14:textId="704DEF32" w:rsidR="00A64EBF" w:rsidRPr="00093BD8" w:rsidRDefault="00093BD8" w:rsidP="00F56947">
            <w:pPr>
              <w:pStyle w:val="ListParagraph"/>
              <w:numPr>
                <w:ilvl w:val="0"/>
                <w:numId w:val="1"/>
              </w:numPr>
              <w:spacing w:after="200" w:line="276" w:lineRule="auto"/>
              <w:rPr>
                <w:rFonts w:cstheme="minorHAnsi"/>
                <w:noProof/>
              </w:rPr>
            </w:pPr>
            <w:r>
              <w:t>For information on the most updated guidance on how to address social risk factors variables and testing in this form refer to the release notes for version 7.1 of the Measure Testing Attachment.</w:t>
            </w:r>
          </w:p>
        </w:tc>
      </w:tr>
      <w:tr w:rsidR="00093BD8" w:rsidRPr="00A831B4" w14:paraId="5E23101F" w14:textId="77777777" w:rsidTr="00093BD8">
        <w:tblPrEx>
          <w:jc w:val="left"/>
        </w:tblPrEx>
        <w:tc>
          <w:tcPr>
            <w:tcW w:w="10285" w:type="dxa"/>
          </w:tcPr>
          <w:p w14:paraId="52622C56" w14:textId="77777777" w:rsidR="00093BD8" w:rsidRPr="000F034A" w:rsidRDefault="00093BD8" w:rsidP="008329C0">
            <w:pPr>
              <w:rPr>
                <w:rFonts w:cstheme="minorHAnsi"/>
                <w:b/>
                <w:bCs/>
              </w:rPr>
            </w:pPr>
            <w:r w:rsidRPr="000F034A">
              <w:rPr>
                <w:b/>
                <w:bCs/>
                <w:u w:val="single"/>
              </w:rPr>
              <w:t>Note</w:t>
            </w:r>
            <w:r w:rsidRPr="000F034A">
              <w:rPr>
                <w:b/>
                <w:bCs/>
              </w:rPr>
              <w:t xml:space="preserve">: </w:t>
            </w:r>
            <w:r w:rsidRPr="00D369E9">
              <w:rPr>
                <w:bCs/>
              </w:rPr>
              <w:t>The information provided in this form is intended to aid the Standing Committee and other stakeholders in understanding to what degree the testing results for this measure meet NQF’s evaluation criteria for testing.</w:t>
            </w:r>
          </w:p>
          <w:p w14:paraId="1B4BAEE5" w14:textId="77777777" w:rsidR="00093BD8" w:rsidRPr="00A831B4" w:rsidRDefault="00093BD8" w:rsidP="008329C0">
            <w:pPr>
              <w:rPr>
                <w:rFonts w:cstheme="minorHAnsi"/>
                <w:b/>
                <w:bCs/>
                <w:sz w:val="20"/>
                <w:szCs w:val="20"/>
              </w:rPr>
            </w:pPr>
          </w:p>
          <w:p w14:paraId="41813DE4" w14:textId="77777777" w:rsidR="00093BD8" w:rsidRPr="000F034A" w:rsidRDefault="00093BD8" w:rsidP="008329C0">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 xml:space="preserve">. For </w:t>
            </w:r>
            <w:r w:rsidRPr="00651D44">
              <w:rPr>
                <w:rFonts w:cstheme="minorHAnsi"/>
                <w:b/>
                <w:bCs/>
                <w:iCs/>
              </w:rPr>
              <w:t xml:space="preserve">instrument-based measures </w:t>
            </w:r>
            <w:r w:rsidRPr="00651D44">
              <w:rPr>
                <w:rFonts w:cstheme="minorHAnsi"/>
                <w:bCs/>
                <w:iCs/>
              </w:rPr>
              <w:t>(including PRO-PMs)</w:t>
            </w:r>
            <w:r w:rsidRPr="00651D44">
              <w:rPr>
                <w:rFonts w:cstheme="minorHAnsi"/>
                <w:b/>
                <w:bCs/>
                <w:iCs/>
              </w:rPr>
              <w:t xml:space="preserve"> and composite performance measures</w:t>
            </w:r>
            <w:r w:rsidRPr="000F034A">
              <w:rPr>
                <w:rFonts w:cstheme="minorHAnsi"/>
                <w:bCs/>
                <w:iCs/>
              </w:rPr>
              <w:t>, reliability should be demonstrated for the computed performance score.</w:t>
            </w:r>
          </w:p>
          <w:p w14:paraId="16301E3C" w14:textId="77777777" w:rsidR="00093BD8" w:rsidRPr="000F034A" w:rsidRDefault="00093BD8" w:rsidP="008329C0">
            <w:pPr>
              <w:autoSpaceDE w:val="0"/>
              <w:autoSpaceDN w:val="0"/>
              <w:adjustRightInd w:val="0"/>
              <w:rPr>
                <w:rFonts w:cstheme="minorHAnsi"/>
                <w:b/>
                <w:iCs/>
              </w:rPr>
            </w:pPr>
          </w:p>
          <w:p w14:paraId="4F04A56F" w14:textId="2F8EACAB" w:rsidR="00093BD8" w:rsidRPr="000F034A" w:rsidRDefault="00093BD8" w:rsidP="008329C0">
            <w:pPr>
              <w:autoSpaceDE w:val="0"/>
              <w:autoSpaceDN w:val="0"/>
              <w:adjustRightInd w:val="0"/>
              <w:rPr>
                <w:rFonts w:cstheme="minorHAnsi"/>
              </w:rPr>
            </w:pPr>
            <w:r w:rsidRPr="000F034A">
              <w:rPr>
                <w:rFonts w:cstheme="minorHAnsi"/>
                <w:b/>
                <w:iCs/>
              </w:rPr>
              <w:t>2b</w:t>
            </w:r>
            <w:r>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00781267">
              <w:rPr>
                <w:rFonts w:cstheme="minorHAnsi"/>
                <w:color w:val="0000FF"/>
              </w:rPr>
              <w:t xml:space="preserve">. </w:t>
            </w:r>
            <w:r w:rsidRPr="000F034A">
              <w:rPr>
                <w:rFonts w:cstheme="minorHAnsi"/>
                <w:bCs/>
                <w:iCs/>
              </w:rPr>
              <w:t xml:space="preserve">For </w:t>
            </w:r>
            <w:r w:rsidRPr="00651D44">
              <w:rPr>
                <w:rFonts w:cstheme="minorHAnsi"/>
                <w:b/>
                <w:bCs/>
                <w:iCs/>
              </w:rPr>
              <w:t>instrument-based measures (including PRO-PMs) and composite performance measures</w:t>
            </w:r>
            <w:r w:rsidRPr="000F034A">
              <w:rPr>
                <w:rFonts w:cstheme="minorHAnsi"/>
                <w:bCs/>
                <w:iCs/>
              </w:rPr>
              <w:t xml:space="preserve">, </w:t>
            </w:r>
            <w:r>
              <w:rPr>
                <w:rFonts w:cstheme="minorHAnsi"/>
                <w:bCs/>
                <w:iCs/>
              </w:rPr>
              <w:t>validity</w:t>
            </w:r>
            <w:r w:rsidRPr="000F034A">
              <w:rPr>
                <w:rFonts w:cstheme="minorHAnsi"/>
                <w:bCs/>
                <w:iCs/>
              </w:rPr>
              <w:t xml:space="preserve"> should be demonstrated for the computed performance score.</w:t>
            </w:r>
          </w:p>
          <w:p w14:paraId="004B71AA" w14:textId="77777777" w:rsidR="00093BD8" w:rsidRPr="000F034A" w:rsidRDefault="00093BD8" w:rsidP="008329C0">
            <w:pPr>
              <w:rPr>
                <w:rFonts w:cstheme="minorHAnsi"/>
              </w:rPr>
            </w:pPr>
          </w:p>
          <w:p w14:paraId="69542E2B" w14:textId="77777777" w:rsidR="00093BD8" w:rsidRPr="000F034A" w:rsidRDefault="00093BD8" w:rsidP="008329C0">
            <w:pPr>
              <w:rPr>
                <w:rFonts w:cstheme="minorHAnsi"/>
              </w:rPr>
            </w:pPr>
            <w:r w:rsidRPr="000F034A">
              <w:rPr>
                <w:rFonts w:cstheme="minorHAnsi"/>
                <w:b/>
                <w:bCs/>
              </w:rPr>
              <w:t>2b</w:t>
            </w:r>
            <w:r>
              <w:rPr>
                <w:rFonts w:cstheme="minorHAnsi"/>
                <w:b/>
                <w:bCs/>
              </w:rPr>
              <w:t>2</w:t>
            </w:r>
            <w:r w:rsidRPr="000F034A">
              <w:rPr>
                <w:rFonts w:cstheme="minorHAnsi"/>
                <w:b/>
                <w:bCs/>
              </w:rPr>
              <w:t>.</w:t>
            </w:r>
            <w:r w:rsidRPr="000F034A">
              <w:rPr>
                <w:rFonts w:cstheme="minorHAnsi"/>
              </w:rPr>
              <w:t xml:space="preserve"> </w:t>
            </w:r>
            <w:r w:rsidRPr="00651D44">
              <w:rPr>
                <w:rFonts w:cstheme="minorHAnsi"/>
                <w:b/>
              </w:rPr>
              <w:t>Exclusions</w:t>
            </w:r>
            <w:r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5D7C164A" w14:textId="77777777" w:rsidR="00093BD8" w:rsidRPr="000F034A" w:rsidRDefault="00093BD8" w:rsidP="008329C0">
            <w:pPr>
              <w:rPr>
                <w:rFonts w:cstheme="minorHAnsi"/>
                <w:b/>
              </w:rPr>
            </w:pPr>
            <w:r w:rsidRPr="000F034A">
              <w:rPr>
                <w:rFonts w:cstheme="minorHAnsi"/>
                <w:b/>
              </w:rPr>
              <w:lastRenderedPageBreak/>
              <w:t xml:space="preserve">AND </w:t>
            </w:r>
          </w:p>
          <w:p w14:paraId="7C7007F8" w14:textId="77777777" w:rsidR="00093BD8" w:rsidRPr="000F034A" w:rsidRDefault="00093BD8" w:rsidP="008329C0">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70EEB54B" w14:textId="77777777" w:rsidR="00093BD8" w:rsidRPr="000F034A" w:rsidRDefault="00093BD8" w:rsidP="008329C0">
            <w:pPr>
              <w:rPr>
                <w:rFonts w:cstheme="minorHAnsi"/>
                <w:b/>
                <w:bCs/>
              </w:rPr>
            </w:pPr>
          </w:p>
          <w:p w14:paraId="10ADF65C" w14:textId="77777777" w:rsidR="00093BD8" w:rsidRPr="000F034A" w:rsidRDefault="00093BD8" w:rsidP="008329C0">
            <w:pPr>
              <w:rPr>
                <w:rFonts w:cstheme="minorHAnsi"/>
              </w:rPr>
            </w:pPr>
            <w:r w:rsidRPr="000F034A">
              <w:rPr>
                <w:rFonts w:cstheme="minorHAnsi"/>
                <w:b/>
                <w:bCs/>
              </w:rPr>
              <w:t>2b</w:t>
            </w:r>
            <w:r>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7CD0E17D" w14:textId="77777777" w:rsidR="00093BD8" w:rsidRPr="000F034A" w:rsidRDefault="00093BD8" w:rsidP="00F56947">
            <w:pPr>
              <w:numPr>
                <w:ilvl w:val="0"/>
                <w:numId w:val="2"/>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Pr>
                <w:rFonts w:cstheme="minorHAnsi"/>
              </w:rPr>
              <w:t xml:space="preserve">(including clinical and social risk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4676FD8" w14:textId="77777777" w:rsidR="00093BD8" w:rsidRPr="000F034A" w:rsidRDefault="00093BD8" w:rsidP="008329C0">
            <w:pPr>
              <w:rPr>
                <w:rFonts w:cstheme="minorHAnsi"/>
                <w:b/>
              </w:rPr>
            </w:pPr>
            <w:r w:rsidRPr="000F034A">
              <w:rPr>
                <w:rFonts w:cstheme="minorHAnsi"/>
                <w:b/>
              </w:rPr>
              <w:t>OR</w:t>
            </w:r>
          </w:p>
          <w:p w14:paraId="3F3A9FFD" w14:textId="77777777" w:rsidR="00093BD8" w:rsidRPr="000F034A" w:rsidRDefault="00093BD8" w:rsidP="00F56947">
            <w:pPr>
              <w:numPr>
                <w:ilvl w:val="0"/>
                <w:numId w:val="2"/>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471883C0" w14:textId="77777777" w:rsidR="00093BD8" w:rsidRPr="000F034A" w:rsidRDefault="00093BD8" w:rsidP="008329C0">
            <w:pPr>
              <w:rPr>
                <w:rFonts w:cstheme="minorHAnsi"/>
                <w:b/>
                <w:bCs/>
              </w:rPr>
            </w:pPr>
          </w:p>
          <w:p w14:paraId="12834A99" w14:textId="77777777" w:rsidR="00093BD8" w:rsidRPr="000F034A" w:rsidRDefault="00093BD8" w:rsidP="008329C0">
            <w:pPr>
              <w:rPr>
                <w:rFonts w:cstheme="minorHAnsi"/>
              </w:rPr>
            </w:pPr>
            <w:r w:rsidRPr="000F034A">
              <w:rPr>
                <w:rFonts w:cstheme="minorHAnsi"/>
                <w:b/>
                <w:bCs/>
              </w:rPr>
              <w:t>2b</w:t>
            </w:r>
            <w:r>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51D18DFF" w14:textId="77777777" w:rsidR="00093BD8" w:rsidRPr="000F034A" w:rsidRDefault="00093BD8" w:rsidP="008329C0">
            <w:pPr>
              <w:rPr>
                <w:rFonts w:cstheme="minorHAnsi"/>
              </w:rPr>
            </w:pPr>
            <w:r w:rsidRPr="000F034A">
              <w:rPr>
                <w:rFonts w:cstheme="minorHAnsi"/>
                <w:b/>
              </w:rPr>
              <w:t>OR</w:t>
            </w:r>
          </w:p>
          <w:p w14:paraId="6F41553D" w14:textId="77777777" w:rsidR="00093BD8" w:rsidRPr="000F034A" w:rsidRDefault="00093BD8" w:rsidP="008329C0">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386FEAB0" w14:textId="77777777" w:rsidR="00093BD8" w:rsidRPr="000F034A" w:rsidRDefault="00093BD8" w:rsidP="008329C0">
            <w:pPr>
              <w:rPr>
                <w:rFonts w:cstheme="minorHAnsi"/>
                <w:b/>
                <w:bCs/>
              </w:rPr>
            </w:pPr>
          </w:p>
          <w:p w14:paraId="388B4093" w14:textId="77777777" w:rsidR="00093BD8" w:rsidRPr="000F034A" w:rsidRDefault="00093BD8" w:rsidP="008329C0">
            <w:pPr>
              <w:rPr>
                <w:rFonts w:cstheme="minorHAnsi"/>
              </w:rPr>
            </w:pPr>
            <w:r w:rsidRPr="000F034A">
              <w:rPr>
                <w:rFonts w:cstheme="minorHAnsi"/>
                <w:b/>
                <w:bCs/>
              </w:rPr>
              <w:t>2b</w:t>
            </w:r>
            <w:r>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51390AB0" w14:textId="77777777" w:rsidR="00093BD8" w:rsidRPr="000F034A" w:rsidRDefault="00093BD8" w:rsidP="008329C0">
            <w:pPr>
              <w:rPr>
                <w:rFonts w:cstheme="minorHAnsi"/>
              </w:rPr>
            </w:pPr>
          </w:p>
          <w:p w14:paraId="145BE020" w14:textId="77777777" w:rsidR="00093BD8" w:rsidRPr="00A831B4" w:rsidRDefault="00093BD8" w:rsidP="008329C0">
            <w:pPr>
              <w:rPr>
                <w:rFonts w:cstheme="minorHAnsi"/>
                <w:sz w:val="20"/>
                <w:szCs w:val="20"/>
              </w:rPr>
            </w:pPr>
            <w:r>
              <w:rPr>
                <w:rFonts w:ascii="Calibri" w:eastAsia="Calibri" w:hAnsi="Calibri" w:cs="Calibri"/>
                <w:b/>
              </w:rPr>
              <w:t>2b6</w:t>
            </w:r>
            <w:r w:rsidRPr="000F034A">
              <w:rPr>
                <w:rFonts w:ascii="Calibri" w:eastAsia="Calibri" w:hAnsi="Calibri" w:cs="Calibri"/>
                <w:b/>
              </w:rPr>
              <w:t>.</w:t>
            </w:r>
            <w:r w:rsidRPr="000F034A">
              <w:rPr>
                <w:rFonts w:ascii="Calibri" w:eastAsia="Calibri" w:hAnsi="Calibri" w:cs="Calibri"/>
              </w:rPr>
              <w:t xml:space="preserve"> </w:t>
            </w:r>
            <w:r>
              <w:rPr>
                <w:rFonts w:ascii="Calibri" w:eastAsia="Calibri" w:hAnsi="Calibri" w:cs="Calibri"/>
              </w:rPr>
              <w:t>A</w:t>
            </w:r>
            <w:r w:rsidRPr="000F034A">
              <w:rPr>
                <w:rFonts w:ascii="Calibri" w:eastAsia="Calibri" w:hAnsi="Calibri" w:cs="Calibri"/>
              </w:rPr>
              <w:t xml:space="preserve">nalyses identify the extent and distribution of </w:t>
            </w:r>
            <w:r w:rsidRPr="00651D44">
              <w:rPr>
                <w:rFonts w:ascii="Calibri" w:eastAsia="Calibri" w:hAnsi="Calibri" w:cs="Calibri"/>
                <w:b/>
              </w:rPr>
              <w:t>missing data</w:t>
            </w:r>
            <w:r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p w14:paraId="23B1EB77" w14:textId="77777777" w:rsidR="00093BD8" w:rsidRPr="00A831B4" w:rsidRDefault="00093BD8" w:rsidP="008329C0">
            <w:pPr>
              <w:rPr>
                <w:rFonts w:cstheme="minorHAnsi"/>
                <w:b/>
                <w:bCs/>
                <w:sz w:val="20"/>
                <w:szCs w:val="20"/>
              </w:rPr>
            </w:pPr>
          </w:p>
          <w:p w14:paraId="7BA304C6" w14:textId="77777777" w:rsidR="00093BD8" w:rsidRPr="00A831B4" w:rsidRDefault="00093BD8" w:rsidP="008329C0">
            <w:pPr>
              <w:autoSpaceDE w:val="0"/>
              <w:autoSpaceDN w:val="0"/>
              <w:adjustRightInd w:val="0"/>
              <w:rPr>
                <w:rFonts w:cstheme="minorHAnsi"/>
                <w:b/>
                <w:bCs/>
                <w:iCs/>
                <w:sz w:val="20"/>
                <w:szCs w:val="20"/>
              </w:rPr>
            </w:pPr>
            <w:r w:rsidRPr="00A831B4">
              <w:rPr>
                <w:rFonts w:cstheme="minorHAnsi"/>
                <w:b/>
                <w:bCs/>
                <w:iCs/>
                <w:sz w:val="20"/>
                <w:szCs w:val="20"/>
              </w:rPr>
              <w:t>Notes</w:t>
            </w:r>
          </w:p>
          <w:p w14:paraId="37FB2A40" w14:textId="77777777" w:rsidR="00093BD8" w:rsidRPr="00A831B4" w:rsidRDefault="00093BD8" w:rsidP="008329C0">
            <w:pPr>
              <w:autoSpaceDE w:val="0"/>
              <w:autoSpaceDN w:val="0"/>
              <w:adjustRightInd w:val="0"/>
              <w:rPr>
                <w:rFonts w:cstheme="minorHAnsi"/>
                <w:sz w:val="20"/>
                <w:szCs w:val="20"/>
              </w:rPr>
            </w:pPr>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399098B7" w14:textId="295FE6E0" w:rsidR="00093BD8" w:rsidRPr="00A831B4" w:rsidRDefault="00093BD8" w:rsidP="008329C0">
            <w:pPr>
              <w:rPr>
                <w:rFonts w:cstheme="minorHAnsi"/>
                <w:sz w:val="20"/>
                <w:szCs w:val="20"/>
              </w:rPr>
            </w:pPr>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781267">
              <w:rPr>
                <w:rFonts w:cstheme="minorHAnsi"/>
                <w:sz w:val="20"/>
                <w:szCs w:val="20"/>
              </w:rPr>
              <w:t xml:space="preserve">. </w:t>
            </w:r>
            <w:r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Pr>
                <w:rFonts w:cstheme="minorHAnsi"/>
                <w:sz w:val="20"/>
                <w:szCs w:val="20"/>
              </w:rPr>
              <w:t xml:space="preserve"> </w:t>
            </w:r>
            <w:r w:rsidRPr="00651D44">
              <w:rPr>
                <w:rFonts w:cstheme="minorHAnsi"/>
                <w:sz w:val="20"/>
                <w:szCs w:val="20"/>
              </w:rPr>
              <w:t>The degree of consensus and any areas of disagreement must be provided/discussed.</w:t>
            </w:r>
          </w:p>
          <w:p w14:paraId="7B3F788C" w14:textId="3F41636F" w:rsidR="00093BD8" w:rsidRPr="00A831B4" w:rsidRDefault="00093BD8" w:rsidP="008329C0">
            <w:pPr>
              <w:pStyle w:val="FootnoteText"/>
              <w:rPr>
                <w:rFonts w:asciiTheme="minorHAnsi" w:hAnsiTheme="minorHAnsi" w:cstheme="minorHAnsi"/>
              </w:rPr>
            </w:pPr>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781267">
              <w:rPr>
                <w:rFonts w:asciiTheme="minorHAnsi" w:hAnsiTheme="minorHAnsi" w:cstheme="minorHAnsi"/>
              </w:rPr>
              <w:t xml:space="preserve">. </w:t>
            </w:r>
          </w:p>
          <w:p w14:paraId="4D008B6B" w14:textId="77777777" w:rsidR="00093BD8" w:rsidRPr="00A831B4" w:rsidRDefault="00093BD8" w:rsidP="008329C0">
            <w:pPr>
              <w:autoSpaceDE w:val="0"/>
              <w:autoSpaceDN w:val="0"/>
              <w:adjustRightInd w:val="0"/>
              <w:rPr>
                <w:rFonts w:cstheme="minorHAnsi"/>
                <w:b/>
                <w:sz w:val="20"/>
                <w:szCs w:val="20"/>
              </w:rPr>
            </w:pPr>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28F16BC1" w14:textId="77777777" w:rsidR="00093BD8" w:rsidRPr="00A831B4" w:rsidRDefault="00093BD8" w:rsidP="008329C0">
            <w:pPr>
              <w:pStyle w:val="FootnoteText"/>
              <w:rPr>
                <w:b/>
                <w:bCs/>
              </w:rPr>
            </w:pPr>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r>
              <w:rPr>
                <w:rFonts w:asciiTheme="minorHAnsi" w:hAnsiTheme="minorHAnsi" w:cstheme="minorHAnsi"/>
              </w:rPr>
              <w:t>.</w:t>
            </w:r>
          </w:p>
          <w:p w14:paraId="50BF8375" w14:textId="77777777" w:rsidR="00093BD8" w:rsidRPr="00A831B4" w:rsidRDefault="00093BD8" w:rsidP="008329C0">
            <w:pPr>
              <w:rPr>
                <w:rFonts w:cstheme="minorHAnsi"/>
                <w:noProof/>
                <w:sz w:val="20"/>
                <w:szCs w:val="20"/>
              </w:rPr>
            </w:pPr>
            <w:r w:rsidRPr="00A831B4">
              <w:rPr>
                <w:rFonts w:cstheme="minorHAnsi"/>
                <w:b/>
                <w:sz w:val="20"/>
                <w:szCs w:val="20"/>
              </w:rPr>
              <w:t>1</w:t>
            </w:r>
            <w:r>
              <w:rPr>
                <w:rFonts w:cstheme="minorHAnsi"/>
                <w:b/>
                <w:sz w:val="20"/>
                <w:szCs w:val="20"/>
              </w:rPr>
              <w:t>5</w:t>
            </w:r>
            <w:r w:rsidRPr="00A831B4">
              <w:rPr>
                <w:rFonts w:cstheme="minorHAnsi"/>
                <w:b/>
                <w:sz w:val="20"/>
                <w:szCs w:val="20"/>
              </w:rPr>
              <w:t>.</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A01494" w:rsidRPr="00A01494" w14:paraId="0CABCF9A" w14:textId="77777777" w:rsidTr="004C3599">
        <w:trPr>
          <w:jc w:val="center"/>
        </w:trPr>
        <w:tc>
          <w:tcPr>
            <w:tcW w:w="4909"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909"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4C3599">
        <w:trPr>
          <w:jc w:val="center"/>
        </w:trPr>
        <w:tc>
          <w:tcPr>
            <w:tcW w:w="4909" w:type="dxa"/>
          </w:tcPr>
          <w:p w14:paraId="0CABCF9B" w14:textId="0CB7BC42" w:rsidR="00A01494" w:rsidRPr="00A01494" w:rsidRDefault="003759A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909" w:type="dxa"/>
          </w:tcPr>
          <w:p w14:paraId="0CABCF9C" w14:textId="43DCEDB5" w:rsidR="00A01494" w:rsidRPr="00A01494" w:rsidRDefault="003759A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4C3599">
        <w:trPr>
          <w:jc w:val="center"/>
        </w:trPr>
        <w:tc>
          <w:tcPr>
            <w:tcW w:w="4909" w:type="dxa"/>
          </w:tcPr>
          <w:p w14:paraId="0CABCF9E" w14:textId="5B685F92" w:rsidR="00A01494" w:rsidRPr="000F1B7A" w:rsidRDefault="003759AE"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909" w:type="dxa"/>
          </w:tcPr>
          <w:p w14:paraId="0CABCF9F" w14:textId="471EFDBA" w:rsidR="00A01494" w:rsidRPr="000F1B7A" w:rsidRDefault="003759AE"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4C3599">
        <w:trPr>
          <w:jc w:val="center"/>
        </w:trPr>
        <w:tc>
          <w:tcPr>
            <w:tcW w:w="4909" w:type="dxa"/>
          </w:tcPr>
          <w:p w14:paraId="0CABCFA1" w14:textId="074E18C3" w:rsidR="00A01494" w:rsidRPr="000F1B7A" w:rsidRDefault="003759AE"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909" w:type="dxa"/>
          </w:tcPr>
          <w:p w14:paraId="0CABCFA2" w14:textId="5CACB35B" w:rsidR="00A01494" w:rsidRPr="000F1B7A" w:rsidRDefault="003759AE"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4C3599">
        <w:trPr>
          <w:jc w:val="center"/>
        </w:trPr>
        <w:tc>
          <w:tcPr>
            <w:tcW w:w="4909" w:type="dxa"/>
          </w:tcPr>
          <w:p w14:paraId="0CABCFA4" w14:textId="1FE890EF" w:rsidR="00A01494" w:rsidRPr="000F1B7A" w:rsidRDefault="003759A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909" w:type="dxa"/>
          </w:tcPr>
          <w:p w14:paraId="0CABCFA5" w14:textId="3D41DDB2" w:rsidR="00A01494" w:rsidRPr="000F1B7A" w:rsidRDefault="003759A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4C3599">
        <w:trPr>
          <w:jc w:val="center"/>
        </w:trPr>
        <w:tc>
          <w:tcPr>
            <w:tcW w:w="4909" w:type="dxa"/>
          </w:tcPr>
          <w:p w14:paraId="0CABCFA7" w14:textId="7B56C268" w:rsidR="00A01494" w:rsidRPr="000F1B7A" w:rsidRDefault="003759A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909" w:type="dxa"/>
          </w:tcPr>
          <w:p w14:paraId="0CABCFA8" w14:textId="5C069D8C" w:rsidR="00A01494" w:rsidRPr="000F1B7A" w:rsidRDefault="003759A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4C3599">
        <w:trPr>
          <w:jc w:val="center"/>
        </w:trPr>
        <w:tc>
          <w:tcPr>
            <w:tcW w:w="4909" w:type="dxa"/>
          </w:tcPr>
          <w:p w14:paraId="0CABCFAA" w14:textId="1E1B1F5E" w:rsidR="00A01494" w:rsidRPr="000F1B7A" w:rsidRDefault="003759AE" w:rsidP="00CB00EB">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proofErr w:type="gramStart"/>
            <w:r w:rsidR="00A01494" w:rsidRPr="000F1B7A">
              <w:rPr>
                <w:rFonts w:cstheme="minorHAnsi"/>
                <w:bCs/>
              </w:rPr>
              <w:t>other</w:t>
            </w:r>
            <w:proofErr w:type="gramEnd"/>
            <w:r w:rsidR="00A01494" w:rsidRPr="000F1B7A">
              <w:rPr>
                <w:rFonts w:cstheme="minorHAnsi"/>
                <w:bCs/>
              </w:rPr>
              <w:t xml:space="preserve">:  </w:t>
            </w:r>
            <w:sdt>
              <w:sdtPr>
                <w:rPr>
                  <w:rStyle w:val="Style1"/>
                </w:rPr>
                <w:id w:val="1834251992"/>
                <w:text/>
              </w:sdtPr>
              <w:sdtEndPr>
                <w:rPr>
                  <w:rStyle w:val="DefaultParagraphFont"/>
                  <w:rFonts w:cstheme="minorHAnsi"/>
                  <w:bCs/>
                  <w:color w:val="auto"/>
                </w:rPr>
              </w:sdtEndPr>
              <w:sdtContent>
                <w:r w:rsidR="005B7F12">
                  <w:rPr>
                    <w:rStyle w:val="Style1"/>
                  </w:rPr>
                  <w:t xml:space="preserve">Long-term Minimum Data Set, Enrollment Database, and Common Medicare Environment  - the Long-term minimum data set is used to obtain a single long-term care indicator for risk adjustment. </w:t>
                </w:r>
              </w:sdtContent>
            </w:sdt>
          </w:p>
        </w:tc>
        <w:tc>
          <w:tcPr>
            <w:tcW w:w="4909" w:type="dxa"/>
          </w:tcPr>
          <w:p w14:paraId="0CABCFAB" w14:textId="208E23DD" w:rsidR="00A01494" w:rsidRPr="000F1B7A" w:rsidRDefault="003759AE" w:rsidP="00FB667E">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proofErr w:type="gramStart"/>
            <w:r w:rsidR="00A01494" w:rsidRPr="000F1B7A">
              <w:rPr>
                <w:rFonts w:cstheme="minorHAnsi"/>
                <w:bCs/>
              </w:rPr>
              <w:t>other</w:t>
            </w:r>
            <w:proofErr w:type="gramEnd"/>
            <w:r w:rsidR="00A01494" w:rsidRPr="000F1B7A">
              <w:rPr>
                <w:rFonts w:cstheme="minorHAnsi"/>
                <w:bCs/>
              </w:rPr>
              <w:t xml:space="preserve">:  </w:t>
            </w:r>
            <w:sdt>
              <w:sdtPr>
                <w:rPr>
                  <w:rFonts w:cs="Calibri"/>
                  <w:color w:val="0000FF"/>
                </w:rPr>
                <w:id w:val="1976178076"/>
                <w:text/>
              </w:sdtPr>
              <w:sdtEndPr/>
              <w:sdtContent>
                <w:r w:rsidR="005B7F12" w:rsidRPr="00FB667E">
                  <w:rPr>
                    <w:rFonts w:cs="Calibri"/>
                    <w:color w:val="0000FF"/>
                  </w:rPr>
                  <w:t>Long-term Minimum Data Set, Enrollment Database</w:t>
                </w:r>
                <w:r w:rsidR="005B7F12">
                  <w:rPr>
                    <w:rFonts w:cs="Calibri"/>
                    <w:color w:val="0000FF"/>
                  </w:rPr>
                  <w:t xml:space="preserve"> (EDB)</w:t>
                </w:r>
                <w:r w:rsidR="005B7F12" w:rsidRPr="00FB667E">
                  <w:rPr>
                    <w:rFonts w:cs="Calibri"/>
                    <w:color w:val="0000FF"/>
                  </w:rPr>
                  <w:t>, Common Medicare Environment</w:t>
                </w:r>
                <w:r w:rsidR="005B7F12">
                  <w:rPr>
                    <w:rFonts w:cs="Calibri"/>
                    <w:color w:val="0000FF"/>
                  </w:rPr>
                  <w:t xml:space="preserve"> (CME)</w:t>
                </w:r>
                <w:r w:rsidR="005B7F12" w:rsidRPr="00FB667E">
                  <w:rPr>
                    <w:rFonts w:cs="Calibri"/>
                    <w:color w:val="0000FF"/>
                  </w:rPr>
                  <w:t>, American Community Survey (ACS)</w:t>
                </w:r>
                <w:r w:rsidR="005B7F12">
                  <w:rPr>
                    <w:rFonts w:cs="Calibri"/>
                    <w:color w:val="0000FF"/>
                  </w:rPr>
                  <w:t xml:space="preserve">, and Area Deprivation Index (ADI) – the ACS and ADI data are used specifically and only for social risk factor testing and elements from these data are ultimately not included in the measure specification.  </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200F816B"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781267">
        <w:rPr>
          <w:rFonts w:cstheme="minorHAnsi"/>
          <w:bCs/>
        </w:rPr>
        <w:t xml:space="preserve">. </w:t>
      </w:r>
      <w:r w:rsidR="004348CC" w:rsidRPr="00A25024">
        <w:rPr>
          <w:rFonts w:cstheme="minorHAnsi"/>
          <w:bCs/>
        </w:rPr>
        <w:t xml:space="preserve"> </w:t>
      </w:r>
    </w:p>
    <w:p w14:paraId="49445FF1" w14:textId="35E98E51" w:rsidR="00FB667E" w:rsidRPr="002B5AEC" w:rsidRDefault="00FB667E" w:rsidP="00150CD0">
      <w:pPr>
        <w:pStyle w:val="NoSpacing"/>
        <w:rPr>
          <w:rFonts w:ascii="Times New Roman" w:hAnsi="Times New Roman"/>
          <w:color w:val="FF0000"/>
        </w:rPr>
      </w:pPr>
      <w:r w:rsidRPr="002B5AEC">
        <w:rPr>
          <w:rFonts w:ascii="Times New Roman" w:hAnsi="Times New Roman"/>
          <w:color w:val="FF0000"/>
        </w:rPr>
        <w:t>The MSP</w:t>
      </w:r>
      <w:r w:rsidR="006E5F00" w:rsidRPr="002B5AEC">
        <w:rPr>
          <w:rFonts w:ascii="Times New Roman" w:hAnsi="Times New Roman"/>
          <w:color w:val="FF0000"/>
        </w:rPr>
        <w:t>B Hospital</w:t>
      </w:r>
      <w:r w:rsidRPr="002B5AEC">
        <w:rPr>
          <w:rFonts w:ascii="Times New Roman" w:hAnsi="Times New Roman"/>
          <w:color w:val="FF0000"/>
        </w:rPr>
        <w:t xml:space="preserve"> measure uses Medicare Part A and Part B claims data maintained by CMS. Part A and B claims data are used to build episodes of care, calculate episode costs, and construct risk adjustors.</w:t>
      </w:r>
      <w:r w:rsidR="00574979" w:rsidRPr="002B5AEC">
        <w:rPr>
          <w:rFonts w:ascii="Times New Roman" w:hAnsi="Times New Roman"/>
          <w:color w:val="FF0000"/>
        </w:rPr>
        <w:t xml:space="preserve">  </w:t>
      </w:r>
      <w:r w:rsidRPr="002B5AEC">
        <w:rPr>
          <w:rFonts w:ascii="Times New Roman" w:hAnsi="Times New Roman"/>
          <w:color w:val="FF0000"/>
        </w:rPr>
        <w:t xml:space="preserve"> Medicare Parts A, B, and C enrollment, primary payer, disability status, end-stage renal disease (ESRD), beneficiary birth date, and beneficiary death date</w:t>
      </w:r>
      <w:r w:rsidR="001975E7" w:rsidRPr="002B5AEC">
        <w:rPr>
          <w:rFonts w:ascii="Times New Roman" w:hAnsi="Times New Roman"/>
          <w:color w:val="FF0000"/>
        </w:rPr>
        <w:t xml:space="preserve"> EDB</w:t>
      </w:r>
      <w:r w:rsidR="009E40BB" w:rsidRPr="002B5AEC">
        <w:rPr>
          <w:rFonts w:ascii="Times New Roman" w:hAnsi="Times New Roman"/>
          <w:color w:val="FF0000"/>
        </w:rPr>
        <w:t xml:space="preserve"> data are</w:t>
      </w:r>
      <w:r w:rsidR="001975E7" w:rsidRPr="002B5AEC">
        <w:rPr>
          <w:rFonts w:ascii="Times New Roman" w:hAnsi="Times New Roman"/>
          <w:color w:val="FF0000"/>
        </w:rPr>
        <w:t xml:space="preserve"> used to determine beneficiary-level exclusions and supplemental risk adjustors</w:t>
      </w:r>
      <w:r w:rsidRPr="002B5AEC">
        <w:rPr>
          <w:rFonts w:ascii="Times New Roman" w:hAnsi="Times New Roman"/>
          <w:color w:val="FF0000"/>
        </w:rPr>
        <w:t xml:space="preserve">. The risk adjustment model also accounts for expected differences in payment for services provided to beneficiaries in long-term care based on the data from the MDS. Specifically, the MDS is used to create the long-term care indicator variable in risk adjustment. </w:t>
      </w:r>
    </w:p>
    <w:p w14:paraId="20C66B6B" w14:textId="77777777" w:rsidR="00FB667E" w:rsidRPr="002B5AEC" w:rsidRDefault="00FB667E" w:rsidP="00150CD0">
      <w:pPr>
        <w:pStyle w:val="NoSpacing"/>
        <w:rPr>
          <w:rFonts w:ascii="Times New Roman" w:hAnsi="Times New Roman"/>
          <w:color w:val="FF0000"/>
        </w:rPr>
      </w:pPr>
    </w:p>
    <w:p w14:paraId="25137666" w14:textId="2457F432" w:rsidR="006755C9" w:rsidRPr="002B5AEC" w:rsidRDefault="00FB667E" w:rsidP="00150CD0">
      <w:pPr>
        <w:pStyle w:val="NoSpacing"/>
        <w:rPr>
          <w:rFonts w:ascii="Times New Roman" w:hAnsi="Times New Roman"/>
          <w:color w:val="FF0000"/>
        </w:rPr>
      </w:pPr>
      <w:r w:rsidRPr="002B5AEC">
        <w:rPr>
          <w:rFonts w:ascii="Times New Roman" w:hAnsi="Times New Roman"/>
          <w:color w:val="FF0000"/>
        </w:rPr>
        <w:t xml:space="preserve">For measure testing, data </w:t>
      </w:r>
      <w:r w:rsidR="00FB6E91" w:rsidRPr="002B5AEC">
        <w:rPr>
          <w:rFonts w:ascii="Times New Roman" w:hAnsi="Times New Roman"/>
          <w:color w:val="FF0000"/>
        </w:rPr>
        <w:t>directly from or based on</w:t>
      </w:r>
      <w:r w:rsidRPr="002B5AEC">
        <w:rPr>
          <w:rFonts w:ascii="Times New Roman" w:hAnsi="Times New Roman"/>
          <w:color w:val="FF0000"/>
        </w:rPr>
        <w:t xml:space="preserve"> the American Community Survey (ACS), and CME are used in analyses evaluating </w:t>
      </w:r>
      <w:r w:rsidR="003F7F6B" w:rsidRPr="002B5AEC">
        <w:rPr>
          <w:rFonts w:ascii="Times New Roman" w:hAnsi="Times New Roman"/>
          <w:color w:val="FF0000"/>
        </w:rPr>
        <w:t xml:space="preserve">patient cohort and </w:t>
      </w:r>
      <w:r w:rsidRPr="002B5AEC">
        <w:rPr>
          <w:rFonts w:ascii="Times New Roman" w:hAnsi="Times New Roman"/>
          <w:color w:val="FF0000"/>
        </w:rPr>
        <w:t>social risk factors in risk adjustment.</w:t>
      </w:r>
    </w:p>
    <w:p w14:paraId="7F11777B" w14:textId="77777777" w:rsidR="005B7F12" w:rsidRPr="00150CD0" w:rsidRDefault="005B7F12" w:rsidP="00150CD0">
      <w:pPr>
        <w:pStyle w:val="NoSpacing"/>
      </w:pPr>
      <w:r w:rsidRPr="00150CD0">
        <w:tab/>
      </w:r>
    </w:p>
    <w:p w14:paraId="1176C71D" w14:textId="01591A6D" w:rsidR="005B7F12" w:rsidRPr="00150CD0" w:rsidRDefault="005B7F12" w:rsidP="00150CD0">
      <w:pPr>
        <w:pStyle w:val="NoSpacing"/>
      </w:pPr>
      <w:r w:rsidRPr="00150CD0">
        <w:rPr>
          <w:u w:val="single"/>
        </w:rPr>
        <w:t>Previous Response (2016)</w:t>
      </w:r>
      <w:r w:rsidR="00484A33" w:rsidRPr="00150CD0">
        <w:rPr>
          <w:u w:val="single"/>
        </w:rPr>
        <w:t>:</w:t>
      </w:r>
      <w:r w:rsidR="00F12865" w:rsidRPr="00150CD0">
        <w:t xml:space="preserve"> </w:t>
      </w:r>
      <w:r w:rsidRPr="00150CD0">
        <w:t>Medicare Parts A and B claims data from the Common Working File (CWF), Long-term Minimum Data Set (MDS) data, Enrollment Database (EDB) data, and the United States Census Bureau’s American Community Survey.</w:t>
      </w:r>
    </w:p>
    <w:p w14:paraId="7A849DDA" w14:textId="3A160441" w:rsidR="005B7F12" w:rsidRPr="00150CD0" w:rsidRDefault="005B7F12" w:rsidP="00150CD0">
      <w:pPr>
        <w:pStyle w:val="NoSpacing"/>
      </w:pPr>
      <w:r w:rsidRPr="00150CD0">
        <w:rPr>
          <w:u w:val="single"/>
        </w:rPr>
        <w:t>Previous Response (2013)</w:t>
      </w:r>
      <w:r w:rsidR="00484A33" w:rsidRPr="00150CD0">
        <w:rPr>
          <w:u w:val="single"/>
        </w:rPr>
        <w:t>:</w:t>
      </w:r>
      <w:r w:rsidR="00484A33" w:rsidRPr="00150CD0">
        <w:t xml:space="preserve"> </w:t>
      </w:r>
      <w:r w:rsidRPr="00150CD0">
        <w:t>Medicare Parts A and B claims data from the Common Working File (CWF).</w:t>
      </w:r>
    </w:p>
    <w:p w14:paraId="0CABCFAF" w14:textId="4CA8A9FB" w:rsidR="009E1846" w:rsidRPr="00E13B2E" w:rsidRDefault="009E1846" w:rsidP="00FB667E">
      <w:pPr>
        <w:autoSpaceDE w:val="0"/>
        <w:autoSpaceDN w:val="0"/>
        <w:adjustRightInd w:val="0"/>
        <w:spacing w:after="0" w:line="240" w:lineRule="auto"/>
        <w:rPr>
          <w:rFonts w:ascii="Times New Roman" w:hAnsi="Times New Roman" w:cs="Times New Roman"/>
          <w:color w:val="FF0000"/>
        </w:rPr>
      </w:pPr>
    </w:p>
    <w:p w14:paraId="0CA0BA28" w14:textId="77777777" w:rsidR="00FB667E" w:rsidRDefault="00FB667E" w:rsidP="00FB667E">
      <w:pPr>
        <w:autoSpaceDE w:val="0"/>
        <w:autoSpaceDN w:val="0"/>
        <w:adjustRightInd w:val="0"/>
        <w:spacing w:after="0" w:line="240" w:lineRule="auto"/>
        <w:rPr>
          <w:rFonts w:cstheme="minorHAnsi"/>
          <w:b/>
        </w:rPr>
      </w:pPr>
    </w:p>
    <w:p w14:paraId="0CABCFB0" w14:textId="7E5B2C44" w:rsidR="0004593A" w:rsidRPr="00A25024" w:rsidRDefault="002B5016" w:rsidP="005B7F12">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HeaderChar"/>
            <w:rFonts w:ascii="Calibri" w:eastAsiaTheme="minorHAnsi" w:hAnsi="Calibri" w:cs="Times New Roman"/>
            <w:color w:val="FF0000"/>
            <w:u w:val="single"/>
          </w:rPr>
          <w:id w:val="950514773"/>
          <w:showingPlcHdr/>
          <w:text/>
        </w:sdtPr>
        <w:sdtEndPr>
          <w:rPr>
            <w:rStyle w:val="HeaderChar"/>
          </w:rPr>
        </w:sdtEndPr>
        <w:sdtContent>
          <w:r w:rsidR="00E13B2E">
            <w:rPr>
              <w:rStyle w:val="HeaderChar"/>
              <w:rFonts w:ascii="Calibri" w:eastAsiaTheme="minorHAnsi" w:hAnsi="Calibri" w:cs="Times New Roman"/>
              <w:color w:val="FF0000"/>
              <w:u w:val="single"/>
            </w:rPr>
            <w:t xml:space="preserve">     </w:t>
          </w:r>
        </w:sdtContent>
      </w:sdt>
    </w:p>
    <w:p w14:paraId="0CABCFB1" w14:textId="57A73A99" w:rsidR="000574AB" w:rsidRPr="00150CD0" w:rsidRDefault="000574AB" w:rsidP="00DB3627">
      <w:pPr>
        <w:autoSpaceDE w:val="0"/>
        <w:autoSpaceDN w:val="0"/>
        <w:adjustRightInd w:val="0"/>
        <w:spacing w:after="0" w:line="240" w:lineRule="auto"/>
        <w:rPr>
          <w:rFonts w:cstheme="minorHAnsi"/>
          <w:bCs/>
          <w:color w:val="FF0000"/>
        </w:rPr>
      </w:pPr>
    </w:p>
    <w:p w14:paraId="67E34B92" w14:textId="5C6D024A" w:rsidR="005B7F12" w:rsidRPr="002B5AEC" w:rsidRDefault="00E13B2E" w:rsidP="00150CD0">
      <w:pPr>
        <w:pStyle w:val="NoSpacing"/>
        <w:rPr>
          <w:rStyle w:val="HeaderChar"/>
          <w:rFonts w:ascii="Times New Roman" w:hAnsi="Times New Roman"/>
          <w:color w:val="FF0000"/>
        </w:rPr>
      </w:pPr>
      <w:r w:rsidRPr="002B5AEC">
        <w:rPr>
          <w:rStyle w:val="HeaderChar"/>
          <w:rFonts w:ascii="Times New Roman" w:hAnsi="Times New Roman"/>
          <w:color w:val="FF0000"/>
        </w:rPr>
        <w:lastRenderedPageBreak/>
        <w:t xml:space="preserve">MSPB Hospital episodes from performance period 2018 (episodes with a discharge date occurring between January 1, 2018 and December 1, 2018) are used for </w:t>
      </w:r>
      <w:r w:rsidR="00F41FFC" w:rsidRPr="002B5AEC">
        <w:rPr>
          <w:rStyle w:val="HeaderChar"/>
          <w:rFonts w:ascii="Times New Roman" w:hAnsi="Times New Roman"/>
          <w:color w:val="FF0000"/>
        </w:rPr>
        <w:t xml:space="preserve">almost all </w:t>
      </w:r>
      <w:r w:rsidRPr="002B5AEC">
        <w:rPr>
          <w:rStyle w:val="HeaderChar"/>
          <w:rFonts w:ascii="Times New Roman" w:hAnsi="Times New Roman"/>
          <w:color w:val="FF0000"/>
        </w:rPr>
        <w:t>testing</w:t>
      </w:r>
      <w:r w:rsidR="00F41FFC" w:rsidRPr="002B5AEC">
        <w:rPr>
          <w:rStyle w:val="HeaderChar"/>
          <w:rFonts w:ascii="Times New Roman" w:hAnsi="Times New Roman"/>
          <w:color w:val="FF0000"/>
        </w:rPr>
        <w:t>. E</w:t>
      </w:r>
      <w:r w:rsidRPr="002B5AEC">
        <w:rPr>
          <w:rStyle w:val="HeaderChar"/>
          <w:rFonts w:ascii="Times New Roman" w:hAnsi="Times New Roman"/>
          <w:color w:val="FF0000"/>
        </w:rPr>
        <w:t xml:space="preserve">pisodes from performance period 2017 (episodes with a discharge date occurring between January 1, 2017 and December 1, 2017) </w:t>
      </w:r>
      <w:r w:rsidR="00F41FFC" w:rsidRPr="002B5AEC">
        <w:rPr>
          <w:rStyle w:val="HeaderChar"/>
          <w:rFonts w:ascii="Times New Roman" w:hAnsi="Times New Roman"/>
          <w:color w:val="FF0000"/>
        </w:rPr>
        <w:t xml:space="preserve">are </w:t>
      </w:r>
      <w:r w:rsidRPr="002B5AEC">
        <w:rPr>
          <w:rStyle w:val="HeaderChar"/>
          <w:rFonts w:ascii="Times New Roman" w:hAnsi="Times New Roman"/>
          <w:color w:val="FF0000"/>
        </w:rPr>
        <w:t xml:space="preserve">included for select </w:t>
      </w:r>
      <w:r w:rsidR="00F41FFC" w:rsidRPr="002B5AEC">
        <w:rPr>
          <w:rStyle w:val="HeaderChar"/>
          <w:rFonts w:ascii="Times New Roman" w:hAnsi="Times New Roman"/>
          <w:color w:val="FF0000"/>
        </w:rPr>
        <w:t>cross</w:t>
      </w:r>
      <w:r w:rsidRPr="002B5AEC">
        <w:rPr>
          <w:rStyle w:val="HeaderChar"/>
          <w:rFonts w:ascii="Times New Roman" w:hAnsi="Times New Roman"/>
          <w:color w:val="FF0000"/>
        </w:rPr>
        <w:t>-</w:t>
      </w:r>
      <w:r w:rsidR="00F41FFC" w:rsidRPr="002B5AEC">
        <w:rPr>
          <w:rStyle w:val="HeaderChar"/>
          <w:rFonts w:ascii="Times New Roman" w:hAnsi="Times New Roman"/>
          <w:color w:val="FF0000"/>
        </w:rPr>
        <w:t xml:space="preserve">year </w:t>
      </w:r>
      <w:r w:rsidRPr="002B5AEC">
        <w:rPr>
          <w:rStyle w:val="HeaderChar"/>
          <w:rFonts w:ascii="Times New Roman" w:hAnsi="Times New Roman"/>
          <w:color w:val="FF0000"/>
        </w:rPr>
        <w:t>reliability testing.</w:t>
      </w:r>
      <w:r w:rsidR="005B7F12" w:rsidRPr="002B5AEC">
        <w:rPr>
          <w:rStyle w:val="HeaderChar"/>
          <w:rFonts w:ascii="Times New Roman" w:hAnsi="Times New Roman"/>
          <w:color w:val="FF0000"/>
        </w:rPr>
        <w:t xml:space="preserve"> Please see </w:t>
      </w:r>
      <w:r w:rsidRPr="002B5AEC">
        <w:rPr>
          <w:rStyle w:val="HeaderChar"/>
          <w:rFonts w:ascii="Times New Roman" w:hAnsi="Times New Roman"/>
          <w:color w:val="FF0000"/>
        </w:rPr>
        <w:t>Section</w:t>
      </w:r>
      <w:r w:rsidR="005B7F12" w:rsidRPr="002B5AEC">
        <w:rPr>
          <w:rStyle w:val="HeaderChar"/>
          <w:rFonts w:ascii="Times New Roman" w:hAnsi="Times New Roman"/>
          <w:color w:val="FF0000"/>
        </w:rPr>
        <w:t xml:space="preserve"> 1.7 for more information</w:t>
      </w:r>
      <w:r w:rsidR="00F41FFC" w:rsidRPr="002B5AEC">
        <w:rPr>
          <w:rStyle w:val="HeaderChar"/>
          <w:rFonts w:ascii="Times New Roman" w:hAnsi="Times New Roman"/>
          <w:color w:val="FF0000"/>
        </w:rPr>
        <w:t xml:space="preserve"> on the data used in testing</w:t>
      </w:r>
      <w:r w:rsidR="005B7F12" w:rsidRPr="002B5AEC">
        <w:rPr>
          <w:rStyle w:val="HeaderChar"/>
          <w:rFonts w:ascii="Times New Roman" w:hAnsi="Times New Roman"/>
          <w:color w:val="FF0000"/>
        </w:rPr>
        <w:t xml:space="preserve">. </w:t>
      </w:r>
    </w:p>
    <w:p w14:paraId="4E5D30A5" w14:textId="77777777" w:rsidR="005B7F12" w:rsidRPr="00150CD0" w:rsidRDefault="005B7F12" w:rsidP="00150CD0">
      <w:pPr>
        <w:pStyle w:val="NoSpacing"/>
        <w:rPr>
          <w:rStyle w:val="HeaderChar"/>
        </w:rPr>
      </w:pPr>
    </w:p>
    <w:p w14:paraId="755C45F7" w14:textId="236D8DD1" w:rsidR="005B7F12" w:rsidRPr="00150CD0" w:rsidRDefault="005B7F12" w:rsidP="00150CD0">
      <w:pPr>
        <w:pStyle w:val="NoSpacing"/>
        <w:rPr>
          <w:rStyle w:val="HeaderChar"/>
        </w:rPr>
      </w:pPr>
      <w:r w:rsidRPr="008D7692">
        <w:rPr>
          <w:rStyle w:val="HeaderChar"/>
          <w:u w:val="single"/>
        </w:rPr>
        <w:t>Previous Response (2016):</w:t>
      </w:r>
      <w:r w:rsidRPr="00150CD0">
        <w:rPr>
          <w:rStyle w:val="HeaderChar"/>
        </w:rPr>
        <w:t xml:space="preserve"> Inpatient admissions with a discharge date between January 1, 2015 and December 1, 2015.</w:t>
      </w:r>
      <w:r w:rsidR="00484A33" w:rsidRPr="00150CD0">
        <w:rPr>
          <w:rStyle w:val="HeaderChar"/>
        </w:rPr>
        <w:t xml:space="preserve"> </w:t>
      </w:r>
      <w:r w:rsidRPr="00150CD0">
        <w:rPr>
          <w:rStyle w:val="HeaderChar"/>
        </w:rPr>
        <w:t>For the test-retest analysis, data also included inpatient admissions with a discharge date between January 1, 2014 and December 1, 2014.</w:t>
      </w:r>
      <w:r w:rsidRPr="00150CD0">
        <w:rPr>
          <w:rStyle w:val="HeaderChar"/>
        </w:rPr>
        <w:tab/>
      </w:r>
    </w:p>
    <w:p w14:paraId="5C3A863D" w14:textId="77777777" w:rsidR="005B7F12" w:rsidRPr="00150CD0" w:rsidRDefault="005B7F12" w:rsidP="00150CD0">
      <w:pPr>
        <w:pStyle w:val="NoSpacing"/>
        <w:rPr>
          <w:rStyle w:val="HeaderChar"/>
        </w:rPr>
      </w:pPr>
    </w:p>
    <w:p w14:paraId="457FD633" w14:textId="2336DB5F" w:rsidR="005B7F12" w:rsidRPr="00150CD0" w:rsidRDefault="005B7F12" w:rsidP="00150CD0">
      <w:pPr>
        <w:pStyle w:val="NoSpacing"/>
        <w:rPr>
          <w:rStyle w:val="HeaderChar"/>
        </w:rPr>
      </w:pPr>
      <w:r w:rsidRPr="008D7692">
        <w:rPr>
          <w:rStyle w:val="HeaderChar"/>
          <w:u w:val="single"/>
        </w:rPr>
        <w:t xml:space="preserve">Previous </w:t>
      </w:r>
      <w:r w:rsidR="00484A33" w:rsidRPr="008D7692">
        <w:rPr>
          <w:rStyle w:val="HeaderChar"/>
          <w:u w:val="single"/>
        </w:rPr>
        <w:t>R</w:t>
      </w:r>
      <w:r w:rsidRPr="008D7692">
        <w:rPr>
          <w:rStyle w:val="HeaderChar"/>
          <w:u w:val="single"/>
        </w:rPr>
        <w:t>esponse (2013):</w:t>
      </w:r>
      <w:r w:rsidRPr="00150CD0">
        <w:rPr>
          <w:rStyle w:val="HeaderChar"/>
        </w:rPr>
        <w:t xml:space="preserve"> May 15, 2010 – February 14, 2011</w:t>
      </w:r>
    </w:p>
    <w:p w14:paraId="39DB89EC" w14:textId="77777777" w:rsidR="005B7F12" w:rsidRDefault="005B7F12"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142CA252" w:rsidR="000414E8" w:rsidRPr="00A01494" w:rsidRDefault="003759A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8127C4">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7C7C1CAD" w:rsidR="000414E8" w:rsidRPr="00A01494" w:rsidRDefault="003759A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8127C4">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2AF8EA0F" w:rsidR="000414E8" w:rsidRPr="00A01494" w:rsidRDefault="003759A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8127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457FF22D" w:rsidR="000414E8" w:rsidRPr="00A01494" w:rsidRDefault="003759A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8127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FBB28F9" w:rsidR="000414E8" w:rsidRPr="00A01494" w:rsidRDefault="003759AE"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8127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1CB52964" w:rsidR="000414E8" w:rsidRPr="00A01494" w:rsidRDefault="003759AE"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8127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2145692C" w:rsidR="000414E8" w:rsidRPr="00A01494" w:rsidRDefault="003759A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8127C4">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2E42A176" w:rsidR="000414E8" w:rsidRPr="00A01494" w:rsidRDefault="003759A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4B6EA6B2" w:rsidR="000414E8" w:rsidRPr="00A01494" w:rsidRDefault="003759A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68C07B59" w:rsidR="000414E8" w:rsidRPr="00A01494" w:rsidRDefault="003759A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99C1FCC" w14:textId="77777777" w:rsidR="00D5739D" w:rsidRDefault="00D5739D" w:rsidP="00794FD6">
      <w:pPr>
        <w:autoSpaceDE w:val="0"/>
        <w:autoSpaceDN w:val="0"/>
        <w:adjustRightInd w:val="0"/>
        <w:spacing w:after="0" w:line="240" w:lineRule="auto"/>
        <w:rPr>
          <w:rFonts w:ascii="Times New Roman" w:hAnsi="Times New Roman" w:cs="Times New Roman"/>
          <w:bCs/>
          <w:color w:val="0070C0"/>
        </w:rPr>
      </w:pPr>
    </w:p>
    <w:p w14:paraId="10A7A613" w14:textId="43F3E11E" w:rsidR="003015CA" w:rsidRPr="002B5AEC" w:rsidRDefault="005B7F12" w:rsidP="004F4AE9">
      <w:pPr>
        <w:pStyle w:val="NoSpacing"/>
        <w:rPr>
          <w:rFonts w:ascii="Times New Roman" w:hAnsi="Times New Roman"/>
          <w:color w:val="FF0000"/>
        </w:rPr>
      </w:pPr>
      <w:r w:rsidRPr="002B5AEC">
        <w:rPr>
          <w:rFonts w:ascii="Times New Roman" w:hAnsi="Times New Roman"/>
          <w:color w:val="FF0000"/>
        </w:rPr>
        <w:t xml:space="preserve">There </w:t>
      </w:r>
      <w:r w:rsidR="004F4AE9" w:rsidRPr="002B5AEC">
        <w:rPr>
          <w:rFonts w:ascii="Times New Roman" w:hAnsi="Times New Roman"/>
          <w:color w:val="FF0000"/>
        </w:rPr>
        <w:t xml:space="preserve">are </w:t>
      </w:r>
      <w:r w:rsidRPr="002B5AEC">
        <w:rPr>
          <w:rFonts w:ascii="Times New Roman" w:hAnsi="Times New Roman"/>
          <w:color w:val="FF0000"/>
        </w:rPr>
        <w:t>3,218 acute care hospital providers</w:t>
      </w:r>
      <w:r w:rsidR="004F4AE9" w:rsidRPr="002B5AEC">
        <w:rPr>
          <w:rFonts w:ascii="Times New Roman" w:hAnsi="Times New Roman"/>
          <w:color w:val="FF0000"/>
        </w:rPr>
        <w:t xml:space="preserve"> with a </w:t>
      </w:r>
      <w:r w:rsidRPr="002B5AEC">
        <w:rPr>
          <w:rFonts w:ascii="Times New Roman" w:hAnsi="Times New Roman"/>
          <w:color w:val="FF0000"/>
        </w:rPr>
        <w:t>MSPB Hospital measure score</w:t>
      </w:r>
      <w:r w:rsidR="004F4AE9" w:rsidRPr="002B5AEC">
        <w:rPr>
          <w:rFonts w:ascii="Times New Roman" w:hAnsi="Times New Roman"/>
          <w:color w:val="FF0000"/>
        </w:rPr>
        <w:t xml:space="preserve"> in the 2018 performance year, that are paid under Medicare’s Inpatient Prospective Payment System, and that are located in 49 states (Maryland is excluded</w:t>
      </w:r>
      <w:r w:rsidR="00984593" w:rsidRPr="002B5AEC">
        <w:rPr>
          <w:rFonts w:ascii="Times New Roman" w:hAnsi="Times New Roman"/>
          <w:color w:val="FF0000"/>
        </w:rPr>
        <w:t xml:space="preserve"> per CMS program requirements and reimbursement rates</w:t>
      </w:r>
      <w:r w:rsidR="004F4AE9" w:rsidRPr="002B5AEC">
        <w:rPr>
          <w:rFonts w:ascii="Times New Roman" w:hAnsi="Times New Roman"/>
          <w:color w:val="FF0000"/>
        </w:rPr>
        <w:t xml:space="preserve">) and D.C. unless otherwise indicated. For most testing in this form, unless otherwise indicated, this sample of providers is limited to the </w:t>
      </w:r>
      <w:r w:rsidR="009241FB" w:rsidRPr="002B5AEC">
        <w:rPr>
          <w:rFonts w:ascii="Times New Roman" w:hAnsi="Times New Roman"/>
          <w:color w:val="FF0000"/>
        </w:rPr>
        <w:t>3,148</w:t>
      </w:r>
      <w:r w:rsidR="009E46DA" w:rsidRPr="002B5AEC">
        <w:rPr>
          <w:rFonts w:ascii="Times New Roman" w:hAnsi="Times New Roman"/>
          <w:color w:val="FF0000"/>
        </w:rPr>
        <w:t xml:space="preserve"> acute care hospital providers</w:t>
      </w:r>
      <w:r w:rsidR="00236C1A" w:rsidRPr="002B5AEC">
        <w:rPr>
          <w:rFonts w:ascii="Times New Roman" w:hAnsi="Times New Roman"/>
          <w:color w:val="FF0000"/>
        </w:rPr>
        <w:t xml:space="preserve"> </w:t>
      </w:r>
      <w:r w:rsidR="004F4AE9" w:rsidRPr="002B5AEC">
        <w:rPr>
          <w:rFonts w:ascii="Times New Roman" w:hAnsi="Times New Roman"/>
          <w:color w:val="FF0000"/>
        </w:rPr>
        <w:t xml:space="preserve">that also meet the 25-episode </w:t>
      </w:r>
      <w:r w:rsidR="00215903" w:rsidRPr="002B5AEC">
        <w:rPr>
          <w:rFonts w:ascii="Times New Roman" w:hAnsi="Times New Roman"/>
          <w:color w:val="FF0000"/>
        </w:rPr>
        <w:t xml:space="preserve">case </w:t>
      </w:r>
      <w:r w:rsidR="004F4AE9" w:rsidRPr="002B5AEC">
        <w:rPr>
          <w:rFonts w:ascii="Times New Roman" w:hAnsi="Times New Roman"/>
          <w:color w:val="FF0000"/>
        </w:rPr>
        <w:t xml:space="preserve">minimum currently imposed on the MSPB Hospital measure under CMS programs and that testing in Section 2a2 indicates is still a high-reliability episode threshold for this measure. </w:t>
      </w:r>
    </w:p>
    <w:p w14:paraId="713A1299" w14:textId="43F903F3" w:rsidR="003015CA" w:rsidRPr="00150CD0" w:rsidRDefault="003015CA" w:rsidP="00150CD0">
      <w:pPr>
        <w:pStyle w:val="NoSpacing"/>
      </w:pPr>
    </w:p>
    <w:p w14:paraId="2CFA4B13" w14:textId="721D5F4D" w:rsidR="005B7F12" w:rsidRPr="00150CD0" w:rsidRDefault="005B7F12" w:rsidP="00150CD0">
      <w:pPr>
        <w:pStyle w:val="NoSpacing"/>
      </w:pPr>
      <w:r w:rsidRPr="00150CD0">
        <w:rPr>
          <w:u w:val="single"/>
        </w:rPr>
        <w:t>Previous Response (2016)</w:t>
      </w:r>
      <w:r w:rsidR="00484A33" w:rsidRPr="00150CD0">
        <w:rPr>
          <w:u w:val="single"/>
        </w:rPr>
        <w:t>:</w:t>
      </w:r>
      <w:r w:rsidR="00484A33" w:rsidRPr="00150CD0">
        <w:t xml:space="preserve"> </w:t>
      </w:r>
      <w:r w:rsidRPr="00150CD0">
        <w:t xml:space="preserve">3,298 Inpatient Prospective Payment System (IPPS) hospitals with discharges between 1/1/2015 and 12/1/2015 received an MSPB-Hospital measure value.  Only claims for beneficiaries admitted to subsection (d) hospitals during the period of performance are included in the calculation of the MSPB-Hospital measure.  Subsection (d) hospitals are hospitals in the 50 States and D.C. other than: psychiatric hospitals, rehabilitation hospitals, hospitals whose inpatients are predominantly under 18 years old, hospitals whose average inpatient length of stay exceeds 25 days, and hospitals involved extensively in treatment for or research on cancer.  </w:t>
      </w:r>
    </w:p>
    <w:p w14:paraId="1F8FF22A" w14:textId="77777777" w:rsidR="008514DA" w:rsidRPr="00150CD0" w:rsidRDefault="008514DA" w:rsidP="00150CD0">
      <w:pPr>
        <w:pStyle w:val="NoSpacing"/>
      </w:pPr>
    </w:p>
    <w:p w14:paraId="532CD7B2" w14:textId="30090CE8" w:rsidR="005B7F12" w:rsidRPr="00150CD0" w:rsidRDefault="005B7F12" w:rsidP="00150CD0">
      <w:pPr>
        <w:pStyle w:val="NoSpacing"/>
      </w:pPr>
      <w:r w:rsidRPr="00150CD0">
        <w:rPr>
          <w:u w:val="single"/>
        </w:rPr>
        <w:t>Previous response (2013</w:t>
      </w:r>
      <w:r w:rsidRPr="00150CD0">
        <w:t>):</w:t>
      </w:r>
      <w:r w:rsidR="00484A33" w:rsidRPr="00150CD0">
        <w:t xml:space="preserve"> </w:t>
      </w:r>
      <w:r w:rsidRPr="00150CD0">
        <w:t>3,396 IPPS hospitals received an MSPB Measure value (5/15/2010-2/14/2011 period of performance)</w:t>
      </w:r>
    </w:p>
    <w:p w14:paraId="1595C02D" w14:textId="77777777" w:rsidR="005B7F12" w:rsidRPr="00CD6B52" w:rsidRDefault="005B7F12" w:rsidP="00794FD6">
      <w:pPr>
        <w:autoSpaceDE w:val="0"/>
        <w:autoSpaceDN w:val="0"/>
        <w:adjustRightInd w:val="0"/>
        <w:spacing w:after="0" w:line="240" w:lineRule="auto"/>
        <w:rPr>
          <w:rFonts w:ascii="Times New Roman" w:hAnsi="Times New Roman" w:cs="Times New Roman"/>
          <w:bCs/>
        </w:rPr>
      </w:pPr>
    </w:p>
    <w:p w14:paraId="0CABCFC8" w14:textId="77777777" w:rsidR="002B5016" w:rsidRPr="007B0444" w:rsidRDefault="002B5016" w:rsidP="00DB3627">
      <w:pPr>
        <w:autoSpaceDE w:val="0"/>
        <w:autoSpaceDN w:val="0"/>
        <w:adjustRightInd w:val="0"/>
        <w:spacing w:after="0" w:line="240" w:lineRule="auto"/>
        <w:rPr>
          <w:rFonts w:cstheme="minorHAnsi"/>
          <w:bCs/>
        </w:rPr>
      </w:pPr>
    </w:p>
    <w:p w14:paraId="097D7D4C" w14:textId="77777777" w:rsidR="003C320A" w:rsidRPr="007B0444" w:rsidRDefault="002B5016" w:rsidP="00DB3627">
      <w:pPr>
        <w:autoSpaceDE w:val="0"/>
        <w:autoSpaceDN w:val="0"/>
        <w:adjustRightInd w:val="0"/>
        <w:spacing w:after="0" w:line="240" w:lineRule="auto"/>
        <w:rPr>
          <w:rFonts w:cstheme="minorHAnsi"/>
          <w:bCs/>
        </w:rPr>
      </w:pPr>
      <w:r w:rsidRPr="007B0444">
        <w:rPr>
          <w:rFonts w:cstheme="minorHAnsi"/>
          <w:b/>
          <w:bCs/>
        </w:rPr>
        <w:lastRenderedPageBreak/>
        <w:t>1.</w:t>
      </w:r>
      <w:r w:rsidR="00E310B9" w:rsidRPr="007B0444">
        <w:rPr>
          <w:rFonts w:cstheme="minorHAnsi"/>
          <w:b/>
          <w:bCs/>
        </w:rPr>
        <w:t xml:space="preserve">6. </w:t>
      </w:r>
      <w:r w:rsidR="007422FD" w:rsidRPr="007B0444">
        <w:rPr>
          <w:rFonts w:cstheme="minorHAnsi"/>
          <w:b/>
          <w:bCs/>
        </w:rPr>
        <w:t xml:space="preserve">How many and which </w:t>
      </w:r>
      <w:r w:rsidR="007422FD" w:rsidRPr="007B0444">
        <w:rPr>
          <w:rFonts w:cstheme="minorHAnsi"/>
          <w:b/>
          <w:bCs/>
          <w:u w:val="single"/>
        </w:rPr>
        <w:t>patients</w:t>
      </w:r>
      <w:r w:rsidR="007422FD" w:rsidRPr="007B0444">
        <w:rPr>
          <w:rFonts w:cstheme="minorHAnsi"/>
          <w:b/>
          <w:bCs/>
        </w:rPr>
        <w:t xml:space="preserve"> were included in the testing and analysis</w:t>
      </w:r>
      <w:r w:rsidR="00AA65A6" w:rsidRPr="007B0444">
        <w:rPr>
          <w:rFonts w:cstheme="minorHAnsi"/>
          <w:b/>
          <w:bCs/>
        </w:rPr>
        <w:t xml:space="preserve"> </w:t>
      </w:r>
      <w:r w:rsidR="00616EB5" w:rsidRPr="007B0444">
        <w:rPr>
          <w:rFonts w:cstheme="minorHAnsi"/>
          <w:b/>
          <w:bCs/>
        </w:rPr>
        <w:t>(</w:t>
      </w:r>
      <w:r w:rsidR="00AA65A6" w:rsidRPr="007B0444">
        <w:rPr>
          <w:rFonts w:cstheme="minorHAnsi"/>
          <w:b/>
          <w:bCs/>
        </w:rPr>
        <w:t>by level of analysis and data source</w:t>
      </w:r>
      <w:r w:rsidR="00616EB5" w:rsidRPr="007B0444">
        <w:rPr>
          <w:rFonts w:cstheme="minorHAnsi"/>
          <w:b/>
          <w:bCs/>
        </w:rPr>
        <w:t>)</w:t>
      </w:r>
      <w:r w:rsidR="007422FD" w:rsidRPr="007B0444">
        <w:rPr>
          <w:rFonts w:cstheme="minorHAnsi"/>
          <w:bCs/>
        </w:rPr>
        <w:t>? (</w:t>
      </w:r>
      <w:proofErr w:type="gramStart"/>
      <w:r w:rsidR="007422FD" w:rsidRPr="007B0444">
        <w:rPr>
          <w:rFonts w:cstheme="minorHAnsi"/>
          <w:bCs/>
          <w:i/>
        </w:rPr>
        <w:t>identify</w:t>
      </w:r>
      <w:proofErr w:type="gramEnd"/>
      <w:r w:rsidR="007422FD" w:rsidRPr="007B0444">
        <w:rPr>
          <w:rFonts w:cstheme="minorHAnsi"/>
          <w:bCs/>
          <w:i/>
        </w:rPr>
        <w:t xml:space="preserve"> </w:t>
      </w:r>
      <w:r w:rsidR="00F435AA" w:rsidRPr="007B0444">
        <w:rPr>
          <w:rFonts w:cstheme="minorHAnsi"/>
          <w:bCs/>
          <w:i/>
        </w:rPr>
        <w:t>the number</w:t>
      </w:r>
      <w:r w:rsidR="007422FD" w:rsidRPr="007B0444">
        <w:rPr>
          <w:rFonts w:cstheme="minorHAnsi"/>
          <w:bCs/>
          <w:i/>
        </w:rPr>
        <w:t xml:space="preserve"> and </w:t>
      </w:r>
      <w:r w:rsidR="005A7634" w:rsidRPr="007B0444">
        <w:rPr>
          <w:rFonts w:cstheme="minorHAnsi"/>
          <w:bCs/>
          <w:i/>
        </w:rPr>
        <w:t xml:space="preserve">descriptive </w:t>
      </w:r>
      <w:r w:rsidR="007422FD" w:rsidRPr="007B0444">
        <w:rPr>
          <w:rFonts w:cstheme="minorHAnsi"/>
          <w:bCs/>
          <w:i/>
        </w:rPr>
        <w:t>characteristics of patients</w:t>
      </w:r>
      <w:r w:rsidR="00DA7277" w:rsidRPr="007B0444">
        <w:rPr>
          <w:rFonts w:cstheme="minorHAnsi"/>
          <w:bCs/>
          <w:i/>
        </w:rPr>
        <w:t xml:space="preserve"> </w:t>
      </w:r>
      <w:r w:rsidR="007422FD" w:rsidRPr="007B0444">
        <w:rPr>
          <w:rFonts w:cstheme="minorHAnsi"/>
          <w:bCs/>
          <w:i/>
        </w:rPr>
        <w:t>included in the analysis</w:t>
      </w:r>
      <w:r w:rsidR="00DA7277" w:rsidRPr="007B0444">
        <w:rPr>
          <w:rFonts w:cstheme="minorHAnsi"/>
          <w:bCs/>
          <w:i/>
        </w:rPr>
        <w:t xml:space="preserve"> (e.g., age, sex, race, diagnosis)</w:t>
      </w:r>
      <w:r w:rsidR="007422FD" w:rsidRPr="007B0444">
        <w:rPr>
          <w:rFonts w:cstheme="minorHAnsi"/>
          <w:bCs/>
          <w:i/>
        </w:rPr>
        <w:t>; if a sample</w:t>
      </w:r>
      <w:r w:rsidR="00E310B9" w:rsidRPr="007B0444">
        <w:rPr>
          <w:rFonts w:cstheme="minorHAnsi"/>
          <w:bCs/>
          <w:i/>
        </w:rPr>
        <w:t xml:space="preserve"> was used</w:t>
      </w:r>
      <w:r w:rsidR="007422FD" w:rsidRPr="007B0444">
        <w:rPr>
          <w:rFonts w:cstheme="minorHAnsi"/>
          <w:bCs/>
          <w:i/>
        </w:rPr>
        <w:t xml:space="preserve">, describe how </w:t>
      </w:r>
      <w:r w:rsidR="005A7634" w:rsidRPr="007B0444">
        <w:rPr>
          <w:rFonts w:cstheme="minorHAnsi"/>
          <w:bCs/>
          <w:i/>
        </w:rPr>
        <w:t xml:space="preserve">patients were </w:t>
      </w:r>
      <w:r w:rsidR="007422FD" w:rsidRPr="007B0444">
        <w:rPr>
          <w:rFonts w:cstheme="minorHAnsi"/>
          <w:bCs/>
          <w:i/>
        </w:rPr>
        <w:t>selected</w:t>
      </w:r>
      <w:r w:rsidR="005A7634" w:rsidRPr="007B0444">
        <w:rPr>
          <w:rFonts w:cstheme="minorHAnsi"/>
          <w:bCs/>
          <w:i/>
        </w:rPr>
        <w:t xml:space="preserve"> for inclusion in the sample</w:t>
      </w:r>
      <w:r w:rsidR="007422FD" w:rsidRPr="007B0444">
        <w:rPr>
          <w:rFonts w:cstheme="minorHAnsi"/>
          <w:bCs/>
        </w:rPr>
        <w:t xml:space="preserve">) </w:t>
      </w:r>
    </w:p>
    <w:p w14:paraId="798E277F" w14:textId="29D06297" w:rsidR="00DF7666" w:rsidRPr="002B5AEC" w:rsidRDefault="00910431" w:rsidP="00150CD0">
      <w:pPr>
        <w:pStyle w:val="NoSpacing"/>
        <w:rPr>
          <w:rFonts w:ascii="Times New Roman" w:hAnsi="Times New Roman"/>
          <w:color w:val="FF0000"/>
        </w:rPr>
      </w:pPr>
      <w:r w:rsidRPr="002B5AEC">
        <w:rPr>
          <w:rFonts w:ascii="Times New Roman" w:hAnsi="Times New Roman"/>
          <w:color w:val="FF0000"/>
        </w:rPr>
        <w:t xml:space="preserve">There were </w:t>
      </w:r>
      <w:r w:rsidR="002A211A" w:rsidRPr="002B5AEC">
        <w:rPr>
          <w:rFonts w:ascii="Times New Roman" w:hAnsi="Times New Roman"/>
          <w:color w:val="FF0000"/>
        </w:rPr>
        <w:t>4,090,415</w:t>
      </w:r>
      <w:r w:rsidRPr="002B5AEC">
        <w:rPr>
          <w:rFonts w:ascii="Times New Roman" w:hAnsi="Times New Roman"/>
          <w:color w:val="FF0000"/>
        </w:rPr>
        <w:t xml:space="preserve"> Medicare beneficiaries from </w:t>
      </w:r>
      <w:r w:rsidR="002A211A" w:rsidRPr="002B5AEC">
        <w:rPr>
          <w:rFonts w:ascii="Times New Roman" w:hAnsi="Times New Roman"/>
          <w:color w:val="FF0000"/>
        </w:rPr>
        <w:t>6,086,928</w:t>
      </w:r>
      <w:r w:rsidR="00D57BA5" w:rsidRPr="002B5AEC">
        <w:rPr>
          <w:rFonts w:ascii="Times New Roman" w:hAnsi="Times New Roman"/>
          <w:color w:val="FF0000"/>
        </w:rPr>
        <w:t xml:space="preserve"> MSPB Hospital </w:t>
      </w:r>
      <w:r w:rsidRPr="002B5AEC">
        <w:rPr>
          <w:rFonts w:ascii="Times New Roman" w:hAnsi="Times New Roman"/>
          <w:color w:val="FF0000"/>
        </w:rPr>
        <w:t xml:space="preserve">episodes included in </w:t>
      </w:r>
      <w:r w:rsidR="00D57BA5" w:rsidRPr="002B5AEC">
        <w:rPr>
          <w:rFonts w:ascii="Times New Roman" w:hAnsi="Times New Roman"/>
          <w:color w:val="FF0000"/>
        </w:rPr>
        <w:t>hospital provider</w:t>
      </w:r>
      <w:r w:rsidRPr="002B5AEC">
        <w:rPr>
          <w:rFonts w:ascii="Times New Roman" w:hAnsi="Times New Roman"/>
          <w:color w:val="FF0000"/>
        </w:rPr>
        <w:t xml:space="preserve"> measure testing</w:t>
      </w:r>
      <w:r w:rsidR="00FB6E91" w:rsidRPr="002B5AEC">
        <w:rPr>
          <w:rFonts w:ascii="Times New Roman" w:hAnsi="Times New Roman"/>
          <w:color w:val="FF0000"/>
        </w:rPr>
        <w:t>. These episodes span</w:t>
      </w:r>
      <w:r w:rsidR="002A625D" w:rsidRPr="002B5AEC">
        <w:rPr>
          <w:rFonts w:ascii="Times New Roman" w:hAnsi="Times New Roman"/>
          <w:color w:val="FF0000"/>
        </w:rPr>
        <w:t xml:space="preserve"> the measure’s 2018 performance period</w:t>
      </w:r>
      <w:r w:rsidR="00691435" w:rsidRPr="002B5AEC">
        <w:rPr>
          <w:rFonts w:ascii="Times New Roman" w:hAnsi="Times New Roman"/>
          <w:color w:val="FF0000"/>
        </w:rPr>
        <w:t xml:space="preserve">. </w:t>
      </w:r>
      <w:r w:rsidR="00FB6E91" w:rsidRPr="002B5AEC">
        <w:rPr>
          <w:rFonts w:ascii="Times New Roman" w:hAnsi="Times New Roman"/>
          <w:color w:val="FF0000"/>
        </w:rPr>
        <w:t xml:space="preserve">Generally, the </w:t>
      </w:r>
      <w:r w:rsidR="00DF7666" w:rsidRPr="002B5AEC">
        <w:rPr>
          <w:rFonts w:ascii="Times New Roman" w:hAnsi="Times New Roman"/>
          <w:color w:val="FF0000"/>
        </w:rPr>
        <w:t xml:space="preserve">beneficiaries included in the MSPB </w:t>
      </w:r>
      <w:r w:rsidR="00D57BA5" w:rsidRPr="002B5AEC">
        <w:rPr>
          <w:rFonts w:ascii="Times New Roman" w:hAnsi="Times New Roman"/>
          <w:color w:val="FF0000"/>
        </w:rPr>
        <w:t>Hospital</w:t>
      </w:r>
      <w:r w:rsidR="00DF7666" w:rsidRPr="002B5AEC">
        <w:rPr>
          <w:rFonts w:ascii="Times New Roman" w:hAnsi="Times New Roman"/>
          <w:color w:val="FF0000"/>
        </w:rPr>
        <w:t xml:space="preserve"> measure calculation are enrolled in Medicare Parts A and B (but not Part C) and have had an admission to an acute care hospital.</w:t>
      </w:r>
      <w:r w:rsidR="00FB6E91" w:rsidRPr="002B5AEC">
        <w:rPr>
          <w:rFonts w:ascii="Times New Roman" w:hAnsi="Times New Roman"/>
          <w:color w:val="FF0000"/>
        </w:rPr>
        <w:t xml:space="preserve"> Specifically, beneficiary episodes were included in the study sample if they met the following criteria.</w:t>
      </w:r>
      <w:r w:rsidR="00DF7666" w:rsidRPr="002B5AEC">
        <w:rPr>
          <w:rFonts w:ascii="Times New Roman" w:hAnsi="Times New Roman"/>
          <w:color w:val="FF0000"/>
        </w:rPr>
        <w:t xml:space="preserve"> </w:t>
      </w:r>
    </w:p>
    <w:p w14:paraId="3A6315E5" w14:textId="77777777" w:rsidR="00210A6A" w:rsidRPr="002B5AEC" w:rsidRDefault="00210A6A" w:rsidP="00150CD0">
      <w:pPr>
        <w:pStyle w:val="NoSpacing"/>
        <w:rPr>
          <w:rFonts w:ascii="Times New Roman" w:hAnsi="Times New Roman"/>
          <w:color w:val="FF0000"/>
        </w:rPr>
      </w:pPr>
    </w:p>
    <w:p w14:paraId="3C69694D" w14:textId="14DB61E0" w:rsidR="00910431" w:rsidRPr="002B5AEC" w:rsidRDefault="00DF7666" w:rsidP="00FF0A88">
      <w:pPr>
        <w:pStyle w:val="NoSpacing"/>
        <w:numPr>
          <w:ilvl w:val="0"/>
          <w:numId w:val="22"/>
        </w:numPr>
        <w:rPr>
          <w:rFonts w:ascii="Times New Roman" w:hAnsi="Times New Roman"/>
          <w:color w:val="FF0000"/>
        </w:rPr>
      </w:pPr>
      <w:r w:rsidRPr="002B5AEC">
        <w:rPr>
          <w:rFonts w:ascii="Times New Roman" w:hAnsi="Times New Roman"/>
          <w:color w:val="FF0000"/>
        </w:rPr>
        <w:t xml:space="preserve">The beneficiary has Medicare as their primary payer for </w:t>
      </w:r>
      <w:r w:rsidR="00055F2D" w:rsidRPr="002B5AEC">
        <w:rPr>
          <w:rFonts w:ascii="Times New Roman" w:hAnsi="Times New Roman"/>
          <w:color w:val="FF0000"/>
        </w:rPr>
        <w:t>the entire</w:t>
      </w:r>
      <w:r w:rsidRPr="002B5AEC">
        <w:rPr>
          <w:rFonts w:ascii="Times New Roman" w:hAnsi="Times New Roman"/>
          <w:color w:val="FF0000"/>
        </w:rPr>
        <w:t xml:space="preserve"> time during the episode window and 90-day lookback period prior to the episode start day used for risk adjustment.</w:t>
      </w:r>
    </w:p>
    <w:p w14:paraId="4238A11A" w14:textId="6DBC4878" w:rsidR="00DF7666" w:rsidRPr="002B5AEC" w:rsidRDefault="00DF7666" w:rsidP="00FF0A88">
      <w:pPr>
        <w:pStyle w:val="NoSpacing"/>
        <w:numPr>
          <w:ilvl w:val="0"/>
          <w:numId w:val="22"/>
        </w:numPr>
        <w:rPr>
          <w:rFonts w:ascii="Times New Roman" w:hAnsi="Times New Roman"/>
          <w:color w:val="FF0000"/>
        </w:rPr>
      </w:pPr>
      <w:r w:rsidRPr="002B5AEC">
        <w:rPr>
          <w:rFonts w:ascii="Times New Roman" w:hAnsi="Times New Roman"/>
          <w:color w:val="FF0000"/>
        </w:rPr>
        <w:t xml:space="preserve">The beneficiary was continuously enrolled in Medicare Parts A and B for the entirety of the lookback period plus episode </w:t>
      </w:r>
      <w:r w:rsidR="002A211A" w:rsidRPr="002B5AEC">
        <w:rPr>
          <w:rFonts w:ascii="Times New Roman" w:hAnsi="Times New Roman"/>
          <w:color w:val="FF0000"/>
        </w:rPr>
        <w:t>window and</w:t>
      </w:r>
      <w:r w:rsidRPr="002B5AEC">
        <w:rPr>
          <w:rFonts w:ascii="Times New Roman" w:hAnsi="Times New Roman"/>
          <w:color w:val="FF0000"/>
        </w:rPr>
        <w:t xml:space="preserve"> was not enrolled in Medicare Part C for any time during this duration.</w:t>
      </w:r>
    </w:p>
    <w:p w14:paraId="11894461" w14:textId="206F0F97" w:rsidR="00DF7666" w:rsidRPr="002B5AEC" w:rsidRDefault="00DF7666" w:rsidP="00FF0A88">
      <w:pPr>
        <w:pStyle w:val="NoSpacing"/>
        <w:numPr>
          <w:ilvl w:val="0"/>
          <w:numId w:val="22"/>
        </w:numPr>
        <w:rPr>
          <w:rFonts w:ascii="Times New Roman" w:hAnsi="Times New Roman"/>
          <w:color w:val="FF0000"/>
        </w:rPr>
      </w:pPr>
      <w:r w:rsidRPr="002B5AEC">
        <w:rPr>
          <w:rFonts w:ascii="Times New Roman" w:hAnsi="Times New Roman"/>
          <w:color w:val="FF0000"/>
        </w:rPr>
        <w:t xml:space="preserve">The index admission of the episode was in an acute </w:t>
      </w:r>
      <w:r w:rsidR="00055F2D" w:rsidRPr="002B5AEC">
        <w:rPr>
          <w:rFonts w:ascii="Times New Roman" w:hAnsi="Times New Roman"/>
          <w:color w:val="FF0000"/>
        </w:rPr>
        <w:t>inpatient</w:t>
      </w:r>
      <w:r w:rsidRPr="002B5AEC">
        <w:rPr>
          <w:rFonts w:ascii="Times New Roman" w:hAnsi="Times New Roman"/>
          <w:color w:val="FF0000"/>
        </w:rPr>
        <w:t xml:space="preserve"> facility located in the United States.</w:t>
      </w:r>
    </w:p>
    <w:p w14:paraId="5A110039" w14:textId="77777777" w:rsidR="00DF7666" w:rsidRPr="002B5AEC" w:rsidRDefault="00DF7666" w:rsidP="00FF0A88">
      <w:pPr>
        <w:pStyle w:val="NoSpacing"/>
        <w:numPr>
          <w:ilvl w:val="0"/>
          <w:numId w:val="22"/>
        </w:numPr>
        <w:rPr>
          <w:rFonts w:ascii="Times New Roman" w:hAnsi="Times New Roman"/>
          <w:color w:val="FF0000"/>
        </w:rPr>
      </w:pPr>
      <w:r w:rsidRPr="002B5AEC">
        <w:rPr>
          <w:rFonts w:ascii="Times New Roman" w:hAnsi="Times New Roman"/>
          <w:color w:val="FF0000"/>
        </w:rPr>
        <w:t xml:space="preserve">The beneficiary date of birth is not missing. </w:t>
      </w:r>
    </w:p>
    <w:p w14:paraId="59427361" w14:textId="77777777" w:rsidR="00DF7666" w:rsidRPr="002B5AEC" w:rsidRDefault="00DF7666" w:rsidP="00FF0A88">
      <w:pPr>
        <w:pStyle w:val="NoSpacing"/>
        <w:numPr>
          <w:ilvl w:val="0"/>
          <w:numId w:val="22"/>
        </w:numPr>
        <w:rPr>
          <w:rFonts w:ascii="Times New Roman" w:hAnsi="Times New Roman"/>
          <w:color w:val="FF0000"/>
        </w:rPr>
      </w:pPr>
      <w:r w:rsidRPr="002B5AEC">
        <w:rPr>
          <w:rFonts w:ascii="Times New Roman" w:hAnsi="Times New Roman"/>
          <w:color w:val="FF0000"/>
        </w:rPr>
        <w:t>The beneficiary death date did not occur before the episode end date.</w:t>
      </w:r>
    </w:p>
    <w:p w14:paraId="76E7923E" w14:textId="7D94B49F" w:rsidR="00FF0A88" w:rsidRPr="002B5AEC" w:rsidRDefault="00DF7666" w:rsidP="00FF0A88">
      <w:pPr>
        <w:pStyle w:val="NoSpacing"/>
        <w:numPr>
          <w:ilvl w:val="0"/>
          <w:numId w:val="22"/>
        </w:numPr>
        <w:rPr>
          <w:rFonts w:ascii="Times New Roman" w:hAnsi="Times New Roman"/>
          <w:color w:val="FF0000"/>
        </w:rPr>
      </w:pPr>
      <w:r w:rsidRPr="002B5AEC">
        <w:rPr>
          <w:rFonts w:ascii="Times New Roman" w:hAnsi="Times New Roman"/>
          <w:color w:val="FF0000"/>
        </w:rPr>
        <w:t>The index admission for the episode occurred in a subsection (d) hospital paid under the Inpatient Prospective Payment System (IPPS)</w:t>
      </w:r>
      <w:r w:rsidR="00311134" w:rsidRPr="002B5AEC">
        <w:rPr>
          <w:rFonts w:ascii="Times New Roman" w:hAnsi="Times New Roman"/>
          <w:color w:val="FF0000"/>
        </w:rPr>
        <w:t xml:space="preserve"> and did not occur in a Maryland hospital</w:t>
      </w:r>
      <w:r w:rsidR="002A211A" w:rsidRPr="002B5AEC">
        <w:rPr>
          <w:rFonts w:ascii="Times New Roman" w:hAnsi="Times New Roman"/>
          <w:color w:val="FF0000"/>
        </w:rPr>
        <w:t>.</w:t>
      </w:r>
      <w:r w:rsidRPr="002B5AEC">
        <w:rPr>
          <w:rStyle w:val="FootnoteReference"/>
          <w:rFonts w:ascii="Times New Roman" w:hAnsi="Times New Roman"/>
          <w:color w:val="FF0000"/>
        </w:rPr>
        <w:footnoteReference w:id="1"/>
      </w:r>
    </w:p>
    <w:p w14:paraId="6F709A7B" w14:textId="77777777" w:rsidR="00DF7666" w:rsidRPr="002B5AEC" w:rsidRDefault="00DF7666" w:rsidP="00FF0A88">
      <w:pPr>
        <w:pStyle w:val="NoSpacing"/>
        <w:numPr>
          <w:ilvl w:val="0"/>
          <w:numId w:val="22"/>
        </w:numPr>
        <w:rPr>
          <w:rFonts w:ascii="Times New Roman" w:hAnsi="Times New Roman"/>
          <w:color w:val="FF0000"/>
        </w:rPr>
      </w:pPr>
      <w:r w:rsidRPr="002B5AEC">
        <w:rPr>
          <w:rFonts w:ascii="Times New Roman" w:hAnsi="Times New Roman"/>
          <w:color w:val="FF0000"/>
        </w:rPr>
        <w:t>The index admission for the episode was not involved in an acute-to-acute hospital transfer (i.e. the admission does not end in a hospital transfer or does not begin because of a hospital transfer)</w:t>
      </w:r>
    </w:p>
    <w:p w14:paraId="4DE34C35" w14:textId="35371842" w:rsidR="00DF7666" w:rsidRPr="002B5AEC" w:rsidRDefault="00DF7666" w:rsidP="00FF0A88">
      <w:pPr>
        <w:pStyle w:val="NoSpacing"/>
        <w:numPr>
          <w:ilvl w:val="0"/>
          <w:numId w:val="22"/>
        </w:numPr>
        <w:rPr>
          <w:rFonts w:ascii="Times New Roman" w:hAnsi="Times New Roman"/>
          <w:color w:val="FF0000"/>
        </w:rPr>
      </w:pPr>
      <w:r w:rsidRPr="002B5AEC">
        <w:rPr>
          <w:rFonts w:ascii="Times New Roman" w:hAnsi="Times New Roman"/>
          <w:color w:val="FF0000"/>
        </w:rPr>
        <w:t xml:space="preserve">The claim for the index admission indicated a positive actual </w:t>
      </w:r>
      <w:r w:rsidR="00055F2D" w:rsidRPr="002B5AEC">
        <w:rPr>
          <w:rFonts w:ascii="Times New Roman" w:hAnsi="Times New Roman"/>
          <w:color w:val="FF0000"/>
        </w:rPr>
        <w:t>and</w:t>
      </w:r>
      <w:r w:rsidRPr="002B5AEC">
        <w:rPr>
          <w:rFonts w:ascii="Times New Roman" w:hAnsi="Times New Roman"/>
          <w:color w:val="FF0000"/>
        </w:rPr>
        <w:t xml:space="preserve"> standardized payment.</w:t>
      </w:r>
    </w:p>
    <w:p w14:paraId="1DAA7B66" w14:textId="77777777" w:rsidR="00FF0A88" w:rsidRPr="002B5AEC" w:rsidRDefault="00FF0A88" w:rsidP="00150CD0">
      <w:pPr>
        <w:pStyle w:val="NoSpacing"/>
        <w:rPr>
          <w:rFonts w:ascii="Times New Roman" w:hAnsi="Times New Roman"/>
          <w:color w:val="FF0000"/>
        </w:rPr>
      </w:pPr>
    </w:p>
    <w:p w14:paraId="47E86BC4" w14:textId="06221FB9" w:rsidR="00753B41" w:rsidRPr="002B5AEC" w:rsidRDefault="00DF7666" w:rsidP="00150CD0">
      <w:pPr>
        <w:pStyle w:val="NoSpacing"/>
        <w:rPr>
          <w:rFonts w:ascii="Times New Roman" w:hAnsi="Times New Roman"/>
          <w:color w:val="FF0000"/>
        </w:rPr>
      </w:pPr>
      <w:r w:rsidRPr="002B5AEC">
        <w:rPr>
          <w:rFonts w:ascii="Times New Roman" w:hAnsi="Times New Roman"/>
          <w:color w:val="FF0000"/>
        </w:rPr>
        <w:t xml:space="preserve">To determine whether the MSPB </w:t>
      </w:r>
      <w:r w:rsidR="002A211A" w:rsidRPr="002B5AEC">
        <w:rPr>
          <w:rFonts w:ascii="Times New Roman" w:hAnsi="Times New Roman"/>
          <w:color w:val="FF0000"/>
        </w:rPr>
        <w:t>Hospital</w:t>
      </w:r>
      <w:r w:rsidRPr="002B5AEC">
        <w:rPr>
          <w:rFonts w:ascii="Times New Roman" w:hAnsi="Times New Roman"/>
          <w:color w:val="FF0000"/>
        </w:rPr>
        <w:t xml:space="preserve"> measure’s inclusion</w:t>
      </w:r>
      <w:r w:rsidR="00FB6E91" w:rsidRPr="002B5AEC">
        <w:rPr>
          <w:rFonts w:ascii="Times New Roman" w:hAnsi="Times New Roman"/>
          <w:color w:val="FF0000"/>
        </w:rPr>
        <w:t>/exclusion</w:t>
      </w:r>
      <w:r w:rsidRPr="002B5AEC">
        <w:rPr>
          <w:rFonts w:ascii="Times New Roman" w:hAnsi="Times New Roman"/>
          <w:color w:val="FF0000"/>
        </w:rPr>
        <w:t xml:space="preserve"> criteria distort patient </w:t>
      </w:r>
      <w:r w:rsidR="00FB6E91" w:rsidRPr="002B5AEC">
        <w:rPr>
          <w:rFonts w:ascii="Times New Roman" w:hAnsi="Times New Roman"/>
          <w:color w:val="FF0000"/>
        </w:rPr>
        <w:t xml:space="preserve">or episode </w:t>
      </w:r>
      <w:r w:rsidRPr="002B5AEC">
        <w:rPr>
          <w:rFonts w:ascii="Times New Roman" w:hAnsi="Times New Roman"/>
          <w:color w:val="FF0000"/>
        </w:rPr>
        <w:t xml:space="preserve">characteristics, we analyzed distributions of patient characteristics (age, race, sex, dual eligibility status, hierarchical condition categories [HCCs]) </w:t>
      </w:r>
      <w:r w:rsidR="002A625D" w:rsidRPr="002B5AEC">
        <w:rPr>
          <w:rFonts w:ascii="Times New Roman" w:hAnsi="Times New Roman"/>
          <w:color w:val="FF0000"/>
        </w:rPr>
        <w:t xml:space="preserve">and patient regional characteristics (e.g., income, unemployment) </w:t>
      </w:r>
      <w:r w:rsidRPr="002B5AEC">
        <w:rPr>
          <w:rFonts w:ascii="Times New Roman" w:hAnsi="Times New Roman"/>
          <w:color w:val="FF0000"/>
        </w:rPr>
        <w:t xml:space="preserve">for (i) episodes with inclusion criteria, (ii) episodes without inclusion criteria, (iii) beneficiaries with inclusion criteria, and (iv) beneficiaries without inclusion criteria. </w:t>
      </w:r>
      <w:r w:rsidR="00FB6E91" w:rsidRPr="002B5AEC">
        <w:rPr>
          <w:rFonts w:ascii="Times New Roman" w:hAnsi="Times New Roman"/>
          <w:color w:val="FF0000"/>
        </w:rPr>
        <w:t xml:space="preserve">The analysis demonstrated that the </w:t>
      </w:r>
      <w:r w:rsidR="002A211A" w:rsidRPr="002B5AEC">
        <w:rPr>
          <w:rFonts w:ascii="Times New Roman" w:hAnsi="Times New Roman"/>
          <w:color w:val="FF0000"/>
        </w:rPr>
        <w:t xml:space="preserve">MSPB </w:t>
      </w:r>
      <w:r w:rsidR="0019289D" w:rsidRPr="002B5AEC">
        <w:rPr>
          <w:rFonts w:ascii="Times New Roman" w:hAnsi="Times New Roman"/>
          <w:color w:val="FF0000"/>
        </w:rPr>
        <w:t>Hospital</w:t>
      </w:r>
      <w:r w:rsidR="002A211A" w:rsidRPr="002B5AEC">
        <w:rPr>
          <w:rFonts w:ascii="Times New Roman" w:hAnsi="Times New Roman"/>
          <w:color w:val="FF0000"/>
        </w:rPr>
        <w:t xml:space="preserve"> measure’s inclusion criteria have a minimal effect on the percentage of beneficiar</w:t>
      </w:r>
      <w:r w:rsidR="00FB6E91" w:rsidRPr="002B5AEC">
        <w:rPr>
          <w:rFonts w:ascii="Times New Roman" w:hAnsi="Times New Roman"/>
          <w:color w:val="FF0000"/>
        </w:rPr>
        <w:t xml:space="preserve">y episodes defined by </w:t>
      </w:r>
      <w:r w:rsidR="002A211A" w:rsidRPr="002B5AEC">
        <w:rPr>
          <w:rFonts w:ascii="Times New Roman" w:hAnsi="Times New Roman"/>
          <w:color w:val="FF0000"/>
        </w:rPr>
        <w:t xml:space="preserve">any </w:t>
      </w:r>
      <w:r w:rsidR="00FB6E91" w:rsidRPr="002B5AEC">
        <w:rPr>
          <w:rFonts w:ascii="Times New Roman" w:hAnsi="Times New Roman"/>
          <w:color w:val="FF0000"/>
        </w:rPr>
        <w:t>demographic</w:t>
      </w:r>
      <w:r w:rsidR="002A211A" w:rsidRPr="002B5AEC">
        <w:rPr>
          <w:rFonts w:ascii="Times New Roman" w:hAnsi="Times New Roman"/>
          <w:color w:val="FF0000"/>
        </w:rPr>
        <w:t xml:space="preserve"> (Appendix Table 1.6). </w:t>
      </w:r>
      <w:r w:rsidR="00FB6E91" w:rsidRPr="002B5AEC">
        <w:rPr>
          <w:rFonts w:ascii="Times New Roman" w:hAnsi="Times New Roman"/>
          <w:color w:val="FF0000"/>
        </w:rPr>
        <w:t xml:space="preserve">For example, the </w:t>
      </w:r>
      <w:r w:rsidR="00753B41" w:rsidRPr="002B5AEC">
        <w:rPr>
          <w:rFonts w:ascii="Times New Roman" w:hAnsi="Times New Roman"/>
          <w:color w:val="FF0000"/>
        </w:rPr>
        <w:t xml:space="preserve">percentage point </w:t>
      </w:r>
      <w:r w:rsidR="002A211A" w:rsidRPr="002B5AEC">
        <w:rPr>
          <w:rFonts w:ascii="Times New Roman" w:hAnsi="Times New Roman"/>
          <w:color w:val="FF0000"/>
        </w:rPr>
        <w:t xml:space="preserve">difference </w:t>
      </w:r>
      <w:r w:rsidR="00753B41" w:rsidRPr="002B5AEC">
        <w:rPr>
          <w:rFonts w:ascii="Times New Roman" w:hAnsi="Times New Roman"/>
          <w:color w:val="FF0000"/>
        </w:rPr>
        <w:t>for each demographic characteristic, before and after exclusion criteria application, ranged between -1.7 and +1.7 for episodes and between +1.4 and -1.4 for beneficiaries.</w:t>
      </w:r>
      <w:r w:rsidR="00FB6E91" w:rsidRPr="002B5AEC">
        <w:rPr>
          <w:rFonts w:ascii="Times New Roman" w:hAnsi="Times New Roman"/>
          <w:color w:val="FF0000"/>
        </w:rPr>
        <w:t xml:space="preserve"> The </w:t>
      </w:r>
      <w:r w:rsidR="00753B41" w:rsidRPr="002B5AEC">
        <w:rPr>
          <w:rFonts w:ascii="Times New Roman" w:hAnsi="Times New Roman"/>
          <w:color w:val="FF0000"/>
        </w:rPr>
        <w:t xml:space="preserve">largest percentage point </w:t>
      </w:r>
      <w:r w:rsidR="00210A6A" w:rsidRPr="002B5AEC">
        <w:rPr>
          <w:rFonts w:ascii="Times New Roman" w:hAnsi="Times New Roman"/>
          <w:color w:val="FF0000"/>
        </w:rPr>
        <w:t>change from applying inclusion/exclusion criteria occurred in</w:t>
      </w:r>
      <w:r w:rsidR="00FB6E91" w:rsidRPr="002B5AEC">
        <w:rPr>
          <w:rFonts w:ascii="Times New Roman" w:hAnsi="Times New Roman"/>
          <w:color w:val="FF0000"/>
        </w:rPr>
        <w:t xml:space="preserve"> the study population’s gender, as the </w:t>
      </w:r>
      <w:r w:rsidR="00753B41" w:rsidRPr="002B5AEC">
        <w:rPr>
          <w:rFonts w:ascii="Times New Roman" w:hAnsi="Times New Roman"/>
          <w:color w:val="FF0000"/>
        </w:rPr>
        <w:t xml:space="preserve">proportion of female </w:t>
      </w:r>
      <w:r w:rsidR="00FB6E91" w:rsidRPr="002B5AEC">
        <w:rPr>
          <w:rFonts w:ascii="Times New Roman" w:hAnsi="Times New Roman"/>
          <w:color w:val="FF0000"/>
        </w:rPr>
        <w:t>beneficiary episodes increased from</w:t>
      </w:r>
      <w:r w:rsidR="00753B41" w:rsidRPr="002B5AEC">
        <w:rPr>
          <w:rFonts w:ascii="Times New Roman" w:hAnsi="Times New Roman"/>
          <w:color w:val="FF0000"/>
        </w:rPr>
        <w:t xml:space="preserve"> 53.3</w:t>
      </w:r>
      <w:r w:rsidR="00691435" w:rsidRPr="002B5AEC">
        <w:rPr>
          <w:rFonts w:ascii="Times New Roman" w:hAnsi="Times New Roman"/>
          <w:color w:val="FF0000"/>
        </w:rPr>
        <w:t xml:space="preserve"> percent</w:t>
      </w:r>
      <w:r w:rsidR="00753B41" w:rsidRPr="002B5AEC">
        <w:rPr>
          <w:rFonts w:ascii="Times New Roman" w:hAnsi="Times New Roman"/>
          <w:color w:val="FF0000"/>
        </w:rPr>
        <w:t xml:space="preserve"> </w:t>
      </w:r>
      <w:r w:rsidR="00FB6E91" w:rsidRPr="002B5AEC">
        <w:rPr>
          <w:rFonts w:ascii="Times New Roman" w:hAnsi="Times New Roman"/>
          <w:color w:val="FF0000"/>
        </w:rPr>
        <w:t xml:space="preserve">to </w:t>
      </w:r>
      <w:r w:rsidR="00753B41" w:rsidRPr="002B5AEC">
        <w:rPr>
          <w:rFonts w:ascii="Times New Roman" w:hAnsi="Times New Roman"/>
          <w:color w:val="FF0000"/>
        </w:rPr>
        <w:t>55.0</w:t>
      </w:r>
      <w:r w:rsidR="00691435" w:rsidRPr="002B5AEC">
        <w:rPr>
          <w:rFonts w:ascii="Times New Roman" w:hAnsi="Times New Roman"/>
          <w:color w:val="FF0000"/>
        </w:rPr>
        <w:t xml:space="preserve"> percent</w:t>
      </w:r>
      <w:r w:rsidR="00753B41" w:rsidRPr="002B5AEC">
        <w:rPr>
          <w:rFonts w:ascii="Times New Roman" w:hAnsi="Times New Roman"/>
          <w:color w:val="FF0000"/>
        </w:rPr>
        <w:t xml:space="preserve"> (episodes) and 54.1 percent </w:t>
      </w:r>
      <w:r w:rsidR="00FB6E91" w:rsidRPr="002B5AEC">
        <w:rPr>
          <w:rFonts w:ascii="Times New Roman" w:hAnsi="Times New Roman"/>
          <w:color w:val="FF0000"/>
        </w:rPr>
        <w:t xml:space="preserve">to </w:t>
      </w:r>
      <w:r w:rsidR="00753B41" w:rsidRPr="002B5AEC">
        <w:rPr>
          <w:rFonts w:ascii="Times New Roman" w:hAnsi="Times New Roman"/>
          <w:color w:val="FF0000"/>
        </w:rPr>
        <w:t>55.5 percent (beneficiaries)</w:t>
      </w:r>
      <w:r w:rsidR="00691435" w:rsidRPr="002B5AEC">
        <w:rPr>
          <w:rFonts w:ascii="Times New Roman" w:hAnsi="Times New Roman"/>
          <w:color w:val="FF0000"/>
        </w:rPr>
        <w:t xml:space="preserve">. </w:t>
      </w:r>
      <w:r w:rsidR="00753B41" w:rsidRPr="002B5AEC">
        <w:rPr>
          <w:rFonts w:ascii="Times New Roman" w:hAnsi="Times New Roman"/>
          <w:color w:val="FF0000"/>
        </w:rPr>
        <w:t xml:space="preserve"> </w:t>
      </w:r>
      <w:r w:rsidR="00691435" w:rsidRPr="002B5AEC">
        <w:rPr>
          <w:rFonts w:ascii="Times New Roman" w:hAnsi="Times New Roman"/>
          <w:color w:val="FF0000"/>
        </w:rPr>
        <w:t xml:space="preserve">Remaining differences in study characteristics were largely less than 1 percentage point after application of inclusion criteria. </w:t>
      </w:r>
      <w:r w:rsidR="00210A6A" w:rsidRPr="002B5AEC">
        <w:rPr>
          <w:rFonts w:ascii="Times New Roman" w:hAnsi="Times New Roman"/>
          <w:color w:val="FF0000"/>
        </w:rPr>
        <w:t xml:space="preserve">Section 2b2 discusses cost characteristics of the included/excluded populations. </w:t>
      </w:r>
    </w:p>
    <w:p w14:paraId="4A09788B" w14:textId="77777777" w:rsidR="009E46DA" w:rsidRPr="00150CD0" w:rsidRDefault="009E46DA" w:rsidP="00150CD0">
      <w:pPr>
        <w:pStyle w:val="NoSpacing"/>
      </w:pPr>
    </w:p>
    <w:p w14:paraId="5B3D3E7B" w14:textId="20FB0B0F" w:rsidR="008514DA" w:rsidRDefault="008514DA" w:rsidP="00150CD0">
      <w:pPr>
        <w:pStyle w:val="NoSpacing"/>
      </w:pPr>
      <w:r w:rsidRPr="00150CD0">
        <w:rPr>
          <w:u w:val="single"/>
        </w:rPr>
        <w:t xml:space="preserve">Previous Response (2016): </w:t>
      </w:r>
      <w:r w:rsidRPr="00150CD0">
        <w:t>4,261,069 beneficiaries (from 5,531,258 episodes) were included in the testing and analysis.  These beneficiaries are enrolled in Medicare fee-for-service and were discharged from short-term acute hospitals between 1/1/2015 and 12/1/2015.  Specifically, Medicare Part A and Medicare Part B claims from beneficiaries with an index admission within a subsection (d) hospital are included in the MSPB-Hospital episode if the beneficiary has been enrolled in Medicare Part A and Part B for the period 90 days prior to the start of an episode (i.e., 93 days prior to the date of the index admission) until 30 days after discharge.</w:t>
      </w:r>
    </w:p>
    <w:p w14:paraId="59E3F898" w14:textId="77777777" w:rsidR="00121638" w:rsidRPr="00150CD0" w:rsidRDefault="00121638" w:rsidP="00150CD0">
      <w:pPr>
        <w:pStyle w:val="NoSpacing"/>
      </w:pPr>
    </w:p>
    <w:p w14:paraId="7258F8DC" w14:textId="34C0A38F" w:rsidR="00484A33" w:rsidRPr="00150CD0" w:rsidRDefault="008514DA" w:rsidP="00150CD0">
      <w:pPr>
        <w:pStyle w:val="NoSpacing"/>
      </w:pPr>
      <w:r w:rsidRPr="00150CD0">
        <w:t>To determine whether the MSPB-Hospital measure inclusion criteria distort patient characteristics on index admissions, we produced and analyzed distributions of patient characteristics (age, race, and sex) for two groups of patients: one group in which the beneficiaries had an eligible admission, and the other group in which patients both had an eligible admission and met the specified inclusion criteria as specified above.  Appendix Tables 1-1, 1-2, and 1-3 detail these distributions and show that the MSPB-Hospital measure inclusion criteria do not significantly change the percentage of beneficiaries of any particular demographic.  The typical difference between groups for a given characteristic is usually within 1 percentage point.  To illustrate, the percent of beneficiaries aged 70 to 75 in the group that applies the inclusion criteria is 17%, compared to 16% when not implementing the inclusion criteria.  The breakdown of race (i.e., Black and Non-Black) with and without the inclusion criteria is nearly identical.  The breakdown of male and female beneficiaries with and without the inclusion criteria is also very similar, as the composition is 56% female in the group implementing the inclusion criteria compared to 55% when not applying the inclusion criteria.</w:t>
      </w:r>
      <w:r w:rsidRPr="00150CD0" w:rsidDel="00120DCF">
        <w:t xml:space="preserve"> </w:t>
      </w:r>
    </w:p>
    <w:p w14:paraId="5D4F6C6E" w14:textId="77777777" w:rsidR="00484A33" w:rsidRPr="00150CD0" w:rsidRDefault="00484A33" w:rsidP="00150CD0">
      <w:pPr>
        <w:pStyle w:val="NoSpacing"/>
      </w:pPr>
    </w:p>
    <w:p w14:paraId="422C1C42" w14:textId="69560511" w:rsidR="008514DA" w:rsidRPr="00150CD0" w:rsidRDefault="008514DA" w:rsidP="00150CD0">
      <w:pPr>
        <w:pStyle w:val="NoSpacing"/>
      </w:pPr>
      <w:r w:rsidRPr="00150CD0">
        <w:rPr>
          <w:u w:val="single"/>
        </w:rPr>
        <w:t>Previous response (2013):</w:t>
      </w:r>
      <w:r w:rsidR="00484A33" w:rsidRPr="00150CD0">
        <w:t xml:space="preserve"> </w:t>
      </w:r>
      <w:r w:rsidRPr="00150CD0">
        <w:t>3,566,422 beneficiaries.  These beneficiaries are enrolled Medicare fee-for-service and were discharged from short-term acute hospitals between (5/15/2010 and 2/14/2011)</w:t>
      </w:r>
    </w:p>
    <w:p w14:paraId="0CABCFC9" w14:textId="3F99300F" w:rsidR="007422FD" w:rsidRPr="004C5C9D" w:rsidRDefault="007422FD" w:rsidP="00DB3627">
      <w:pPr>
        <w:autoSpaceDE w:val="0"/>
        <w:autoSpaceDN w:val="0"/>
        <w:adjustRightInd w:val="0"/>
        <w:spacing w:after="0" w:line="240" w:lineRule="auto"/>
        <w:rPr>
          <w:rFonts w:ascii="Times New Roman" w:hAnsi="Times New Roman" w:cs="Times New Roman"/>
          <w:bCs/>
          <w:color w:val="0070C0"/>
        </w:rPr>
      </w:pPr>
    </w:p>
    <w:p w14:paraId="0CABCFCA" w14:textId="77777777" w:rsidR="0021054A" w:rsidRPr="007B0444" w:rsidRDefault="002B5016" w:rsidP="00E37E1B">
      <w:pPr>
        <w:autoSpaceDE w:val="0"/>
        <w:autoSpaceDN w:val="0"/>
        <w:adjustRightInd w:val="0"/>
        <w:spacing w:after="0" w:line="240" w:lineRule="auto"/>
        <w:rPr>
          <w:rFonts w:cstheme="minorHAnsi"/>
          <w:bCs/>
        </w:rPr>
      </w:pPr>
      <w:r w:rsidRPr="007B0444">
        <w:rPr>
          <w:rFonts w:cstheme="minorHAnsi"/>
          <w:b/>
          <w:bCs/>
        </w:rPr>
        <w:t>1.</w:t>
      </w:r>
      <w:r w:rsidR="00E310B9" w:rsidRPr="007B0444">
        <w:rPr>
          <w:rFonts w:cstheme="minorHAnsi"/>
          <w:b/>
          <w:bCs/>
        </w:rPr>
        <w:t xml:space="preserve">7. </w:t>
      </w:r>
      <w:r w:rsidR="000574AB" w:rsidRPr="007B0444">
        <w:rPr>
          <w:rFonts w:cstheme="minorHAnsi"/>
          <w:b/>
          <w:bCs/>
        </w:rPr>
        <w:t>If there are differences in the data</w:t>
      </w:r>
      <w:r w:rsidR="009726E1" w:rsidRPr="007B0444">
        <w:rPr>
          <w:rFonts w:cstheme="minorHAnsi"/>
          <w:b/>
          <w:bCs/>
        </w:rPr>
        <w:t xml:space="preserve"> or sample</w:t>
      </w:r>
      <w:r w:rsidR="000574AB" w:rsidRPr="007B0444">
        <w:rPr>
          <w:rFonts w:cstheme="minorHAnsi"/>
          <w:b/>
          <w:bCs/>
        </w:rPr>
        <w:t xml:space="preserve"> used for different </w:t>
      </w:r>
      <w:r w:rsidR="000968F8" w:rsidRPr="007B0444">
        <w:rPr>
          <w:rFonts w:cstheme="minorHAnsi"/>
          <w:b/>
          <w:bCs/>
        </w:rPr>
        <w:t>aspects</w:t>
      </w:r>
      <w:r w:rsidR="000574AB" w:rsidRPr="007B0444">
        <w:rPr>
          <w:rFonts w:cstheme="minorHAnsi"/>
          <w:b/>
          <w:bCs/>
        </w:rPr>
        <w:t xml:space="preserve"> of testing (e.g., reliability, validi</w:t>
      </w:r>
      <w:r w:rsidR="007422FD" w:rsidRPr="007B0444">
        <w:rPr>
          <w:rFonts w:cstheme="minorHAnsi"/>
          <w:b/>
          <w:bCs/>
        </w:rPr>
        <w:t>ty, exclusions, risk adjustment</w:t>
      </w:r>
      <w:r w:rsidR="000574AB" w:rsidRPr="007B0444">
        <w:rPr>
          <w:rFonts w:cstheme="minorHAnsi"/>
          <w:b/>
          <w:bCs/>
        </w:rPr>
        <w:t xml:space="preserve">), identify </w:t>
      </w:r>
      <w:r w:rsidR="005A7634" w:rsidRPr="007B0444">
        <w:rPr>
          <w:rFonts w:cstheme="minorHAnsi"/>
          <w:b/>
          <w:bCs/>
        </w:rPr>
        <w:t xml:space="preserve">how the data or sample are different for </w:t>
      </w:r>
      <w:r w:rsidR="000574AB" w:rsidRPr="007B0444">
        <w:rPr>
          <w:rFonts w:cstheme="minorHAnsi"/>
          <w:b/>
          <w:bCs/>
        </w:rPr>
        <w:t xml:space="preserve">each </w:t>
      </w:r>
      <w:r w:rsidR="000968F8" w:rsidRPr="007B0444">
        <w:rPr>
          <w:rFonts w:cstheme="minorHAnsi"/>
          <w:b/>
          <w:bCs/>
        </w:rPr>
        <w:t>aspect</w:t>
      </w:r>
      <w:r w:rsidR="000574AB" w:rsidRPr="007B0444">
        <w:rPr>
          <w:rFonts w:cstheme="minorHAnsi"/>
          <w:b/>
          <w:bCs/>
        </w:rPr>
        <w:t xml:space="preserve"> of testing reported </w:t>
      </w:r>
      <w:r w:rsidR="00857EE8" w:rsidRPr="007B0444">
        <w:rPr>
          <w:rFonts w:cstheme="minorHAnsi"/>
          <w:b/>
          <w:bCs/>
        </w:rPr>
        <w:t>below</w:t>
      </w:r>
      <w:r w:rsidR="00E37E1B" w:rsidRPr="007B0444">
        <w:rPr>
          <w:rFonts w:cstheme="minorHAnsi"/>
          <w:bCs/>
        </w:rPr>
        <w:t>.</w:t>
      </w:r>
    </w:p>
    <w:p w14:paraId="15A7DE80" w14:textId="1E8CCFE4" w:rsidR="006D0F8C" w:rsidRPr="002B5AEC" w:rsidRDefault="00691435" w:rsidP="00150CD0">
      <w:pPr>
        <w:pStyle w:val="NoSpacing"/>
        <w:rPr>
          <w:rFonts w:ascii="Times New Roman" w:hAnsi="Times New Roman"/>
          <w:color w:val="FF0000"/>
        </w:rPr>
      </w:pPr>
      <w:r w:rsidRPr="002B5AEC">
        <w:rPr>
          <w:rFonts w:ascii="Times New Roman" w:hAnsi="Times New Roman"/>
          <w:color w:val="FF0000"/>
        </w:rPr>
        <w:t xml:space="preserve">MSPB Hospital episodes in </w:t>
      </w:r>
      <w:r w:rsidR="00311134" w:rsidRPr="002B5AEC">
        <w:rPr>
          <w:rFonts w:ascii="Times New Roman" w:hAnsi="Times New Roman"/>
          <w:color w:val="FF0000"/>
        </w:rPr>
        <w:t>the 2018</w:t>
      </w:r>
      <w:r w:rsidRPr="002B5AEC">
        <w:rPr>
          <w:rFonts w:ascii="Times New Roman" w:hAnsi="Times New Roman"/>
          <w:color w:val="FF0000"/>
        </w:rPr>
        <w:t xml:space="preserve"> performance period include episodes whose triggering hospitalization (index admission) discharge date occurs from January 1 through December 1 of a calendar year</w:t>
      </w:r>
      <w:r w:rsidR="00311134" w:rsidRPr="002B5AEC">
        <w:rPr>
          <w:rFonts w:ascii="Times New Roman" w:hAnsi="Times New Roman"/>
          <w:color w:val="FF0000"/>
        </w:rPr>
        <w:t xml:space="preserve"> and are not otherwise excluded by the criteria noted in Section 1.6. </w:t>
      </w:r>
      <w:r w:rsidRPr="002B5AEC">
        <w:rPr>
          <w:rFonts w:ascii="Times New Roman" w:hAnsi="Times New Roman"/>
          <w:color w:val="FF0000"/>
        </w:rPr>
        <w:t xml:space="preserve"> </w:t>
      </w:r>
      <w:r w:rsidR="00210A6A" w:rsidRPr="002B5AEC">
        <w:rPr>
          <w:rFonts w:ascii="Times New Roman" w:hAnsi="Times New Roman"/>
          <w:color w:val="FF0000"/>
        </w:rPr>
        <w:t>S</w:t>
      </w:r>
      <w:r w:rsidRPr="002B5AEC">
        <w:rPr>
          <w:rFonts w:ascii="Times New Roman" w:hAnsi="Times New Roman"/>
          <w:color w:val="FF0000"/>
        </w:rPr>
        <w:t xml:space="preserve">ocial risk factor testing </w:t>
      </w:r>
      <w:r w:rsidR="00210A6A" w:rsidRPr="002B5AEC">
        <w:rPr>
          <w:rFonts w:ascii="Times New Roman" w:hAnsi="Times New Roman"/>
          <w:color w:val="FF0000"/>
        </w:rPr>
        <w:t>(</w:t>
      </w:r>
      <w:r w:rsidRPr="002B5AEC">
        <w:rPr>
          <w:rFonts w:ascii="Times New Roman" w:hAnsi="Times New Roman"/>
          <w:color w:val="FF0000"/>
        </w:rPr>
        <w:t xml:space="preserve">Section 2b3), </w:t>
      </w:r>
      <w:r w:rsidR="00210A6A" w:rsidRPr="002B5AEC">
        <w:rPr>
          <w:rFonts w:ascii="Times New Roman" w:hAnsi="Times New Roman"/>
          <w:color w:val="FF0000"/>
        </w:rPr>
        <w:t xml:space="preserve">excludes </w:t>
      </w:r>
      <w:r w:rsidRPr="002B5AEC">
        <w:rPr>
          <w:rFonts w:ascii="Times New Roman" w:hAnsi="Times New Roman"/>
          <w:color w:val="FF0000"/>
        </w:rPr>
        <w:t xml:space="preserve">approximately 1.6 percent of episodes </w:t>
      </w:r>
      <w:r w:rsidR="00210A6A" w:rsidRPr="002B5AEC">
        <w:rPr>
          <w:rFonts w:ascii="Times New Roman" w:hAnsi="Times New Roman"/>
          <w:color w:val="FF0000"/>
        </w:rPr>
        <w:t xml:space="preserve">in the 2018 performance period </w:t>
      </w:r>
      <w:r w:rsidRPr="002B5AEC">
        <w:rPr>
          <w:rFonts w:ascii="Times New Roman" w:hAnsi="Times New Roman"/>
          <w:color w:val="FF0000"/>
        </w:rPr>
        <w:t xml:space="preserve">that cannot be matched to social risk factor data (e.g., ACS variables). </w:t>
      </w:r>
      <w:r w:rsidR="00F41FFC" w:rsidRPr="002B5AEC">
        <w:rPr>
          <w:rFonts w:ascii="Times New Roman" w:hAnsi="Times New Roman"/>
          <w:color w:val="FF0000"/>
        </w:rPr>
        <w:t>Select</w:t>
      </w:r>
      <w:r w:rsidRPr="002B5AEC">
        <w:rPr>
          <w:rFonts w:ascii="Times New Roman" w:hAnsi="Times New Roman"/>
          <w:color w:val="FF0000"/>
        </w:rPr>
        <w:t xml:space="preserve"> reliability testing (Section 2a2) includes MSPB Hospital episodes from the 2017 performance year. </w:t>
      </w:r>
    </w:p>
    <w:p w14:paraId="4347CED6" w14:textId="77777777" w:rsidR="006D0F8C" w:rsidRPr="00150CD0" w:rsidRDefault="006D0F8C" w:rsidP="00150CD0">
      <w:pPr>
        <w:pStyle w:val="NoSpacing"/>
      </w:pPr>
    </w:p>
    <w:p w14:paraId="34D6C63A" w14:textId="240D5CC8" w:rsidR="006D0F8C" w:rsidRPr="00150CD0" w:rsidRDefault="006D0F8C" w:rsidP="00150CD0">
      <w:pPr>
        <w:pStyle w:val="NoSpacing"/>
      </w:pPr>
      <w:r w:rsidRPr="00150CD0">
        <w:rPr>
          <w:u w:val="single"/>
        </w:rPr>
        <w:t>Previous Response (2016):</w:t>
      </w:r>
      <w:r w:rsidRPr="00150CD0">
        <w:t xml:space="preserve"> N/A.  The data samples used for the different aspects of testing below are identical.  The test-retest analysis looked at data from one year prior as well, as noted in Section 1.3.</w:t>
      </w:r>
    </w:p>
    <w:p w14:paraId="2FAD24F2" w14:textId="77777777" w:rsidR="00484A33" w:rsidRPr="00150CD0" w:rsidRDefault="00484A33" w:rsidP="00150CD0">
      <w:pPr>
        <w:pStyle w:val="NoSpacing"/>
      </w:pPr>
    </w:p>
    <w:p w14:paraId="6B963115" w14:textId="374DDFDF" w:rsidR="006D0F8C" w:rsidRPr="00150CD0" w:rsidRDefault="006D0F8C" w:rsidP="00150CD0">
      <w:pPr>
        <w:pStyle w:val="NoSpacing"/>
      </w:pPr>
      <w:r w:rsidRPr="00150CD0">
        <w:rPr>
          <w:u w:val="single"/>
        </w:rPr>
        <w:t>Previous response (2013):</w:t>
      </w:r>
      <w:r w:rsidRPr="00150CD0">
        <w:t xml:space="preserve"> The data samples used for the different aspects of testing below are identical.  </w:t>
      </w:r>
    </w:p>
    <w:p w14:paraId="022F18D1" w14:textId="7BE5D814" w:rsidR="00691435" w:rsidRPr="00150CD0" w:rsidRDefault="00691435" w:rsidP="00150CD0">
      <w:pPr>
        <w:pStyle w:val="NoSpacing"/>
      </w:pPr>
    </w:p>
    <w:p w14:paraId="4456EC84" w14:textId="77777777" w:rsidR="005F5491" w:rsidRPr="007B0444" w:rsidRDefault="005F5491" w:rsidP="00E37E1B">
      <w:pPr>
        <w:autoSpaceDE w:val="0"/>
        <w:autoSpaceDN w:val="0"/>
        <w:adjustRightInd w:val="0"/>
        <w:spacing w:after="0" w:line="240" w:lineRule="auto"/>
        <w:rPr>
          <w:rFonts w:cstheme="minorHAnsi"/>
          <w:bCs/>
          <w:color w:val="0070C0"/>
        </w:rPr>
      </w:pPr>
    </w:p>
    <w:p w14:paraId="0CABCFCC" w14:textId="701A846B" w:rsidR="0021054A" w:rsidRPr="007B0444" w:rsidRDefault="0021054A" w:rsidP="00E37E1B">
      <w:pPr>
        <w:autoSpaceDE w:val="0"/>
        <w:autoSpaceDN w:val="0"/>
        <w:adjustRightInd w:val="0"/>
        <w:spacing w:after="0" w:line="240" w:lineRule="auto"/>
        <w:rPr>
          <w:rFonts w:cstheme="minorHAnsi"/>
          <w:bCs/>
        </w:rPr>
      </w:pPr>
      <w:r w:rsidRPr="007B0444">
        <w:rPr>
          <w:rFonts w:cstheme="minorHAnsi"/>
          <w:b/>
          <w:bCs/>
        </w:rPr>
        <w:t>1.8</w:t>
      </w:r>
      <w:r w:rsidRPr="007B0444">
        <w:rPr>
          <w:rFonts w:cstheme="minorHAnsi"/>
          <w:bCs/>
        </w:rPr>
        <w:t xml:space="preserve"> </w:t>
      </w:r>
      <w:r w:rsidRPr="007B0444">
        <w:rPr>
          <w:rFonts w:cstheme="minorHAnsi"/>
          <w:b/>
          <w:bCs/>
        </w:rPr>
        <w:t xml:space="preserve">What were the </w:t>
      </w:r>
      <w:r w:rsidR="009C7513" w:rsidRPr="007B0444">
        <w:rPr>
          <w:rFonts w:cstheme="minorHAnsi"/>
          <w:b/>
          <w:bCs/>
        </w:rPr>
        <w:t>social risk factors</w:t>
      </w:r>
      <w:r w:rsidRPr="007B0444">
        <w:rPr>
          <w:rFonts w:cstheme="minorHAnsi"/>
          <w:b/>
          <w:bCs/>
        </w:rPr>
        <w:t xml:space="preserve"> that were available and analyzed</w:t>
      </w:r>
      <w:r w:rsidRPr="007B0444">
        <w:rPr>
          <w:rFonts w:cstheme="minorHAnsi"/>
          <w:bCs/>
        </w:rPr>
        <w:t xml:space="preserve">? For example, patient-reported data (e.g., income, education, language), proxy variables when </w:t>
      </w:r>
      <w:r w:rsidR="009C7513" w:rsidRPr="007B0444">
        <w:rPr>
          <w:rFonts w:cstheme="minorHAnsi"/>
          <w:bCs/>
        </w:rPr>
        <w:t>social risk</w:t>
      </w:r>
      <w:r w:rsidRPr="007B0444">
        <w:rPr>
          <w:rFonts w:cstheme="minorHAnsi"/>
          <w:bCs/>
        </w:rPr>
        <w:t xml:space="preserve"> data are not collected from each patient (e.g. census tract), or patient community characteristics (e.g. percent vacant housing, crime rate)</w:t>
      </w:r>
      <w:r w:rsidR="009C7513" w:rsidRPr="007B0444">
        <w:rPr>
          <w:rFonts w:cstheme="minorHAnsi"/>
          <w:bCs/>
        </w:rPr>
        <w:t xml:space="preserve"> which do not have to be a proxy for patient-level data</w:t>
      </w:r>
      <w:r w:rsidRPr="007B0444">
        <w:rPr>
          <w:rFonts w:cstheme="minorHAnsi"/>
          <w:bCs/>
        </w:rPr>
        <w:t xml:space="preserve">. </w:t>
      </w:r>
    </w:p>
    <w:p w14:paraId="72776725" w14:textId="55041185" w:rsidR="009E0DAE" w:rsidRPr="002B5AEC" w:rsidRDefault="009E0DAE" w:rsidP="00150CD0">
      <w:pPr>
        <w:pStyle w:val="NoSpacing"/>
        <w:rPr>
          <w:rFonts w:ascii="Times New Roman" w:hAnsi="Times New Roman"/>
          <w:color w:val="FF0000"/>
        </w:rPr>
      </w:pPr>
      <w:r w:rsidRPr="002B5AEC">
        <w:rPr>
          <w:rFonts w:ascii="Times New Roman" w:hAnsi="Times New Roman"/>
          <w:color w:val="FF0000"/>
        </w:rPr>
        <w:t xml:space="preserve">The social risk factors analyzed </w:t>
      </w:r>
      <w:r w:rsidR="00210A6A" w:rsidRPr="002B5AEC">
        <w:rPr>
          <w:rFonts w:ascii="Times New Roman" w:hAnsi="Times New Roman"/>
          <w:color w:val="FF0000"/>
        </w:rPr>
        <w:t xml:space="preserve">come </w:t>
      </w:r>
      <w:r w:rsidRPr="002B5AEC">
        <w:rPr>
          <w:rFonts w:ascii="Times New Roman" w:hAnsi="Times New Roman"/>
          <w:color w:val="FF0000"/>
        </w:rPr>
        <w:t>from the ACS</w:t>
      </w:r>
      <w:r w:rsidR="00293E5B" w:rsidRPr="002B5AEC">
        <w:rPr>
          <w:rFonts w:ascii="Times New Roman" w:hAnsi="Times New Roman"/>
          <w:color w:val="FF0000"/>
        </w:rPr>
        <w:t>, ADI</w:t>
      </w:r>
      <w:r w:rsidRPr="002B5AEC">
        <w:rPr>
          <w:rFonts w:ascii="Times New Roman" w:hAnsi="Times New Roman"/>
          <w:color w:val="FF0000"/>
        </w:rPr>
        <w:t xml:space="preserve">, EDB, and CME. All ACS variables </w:t>
      </w:r>
      <w:r w:rsidR="00753149" w:rsidRPr="002B5AEC">
        <w:rPr>
          <w:rFonts w:ascii="Times New Roman" w:hAnsi="Times New Roman"/>
          <w:color w:val="FF0000"/>
        </w:rPr>
        <w:t xml:space="preserve">are first </w:t>
      </w:r>
      <w:r w:rsidR="0011618E" w:rsidRPr="002B5AEC">
        <w:rPr>
          <w:rFonts w:ascii="Times New Roman" w:hAnsi="Times New Roman"/>
          <w:color w:val="FF0000"/>
        </w:rPr>
        <w:t xml:space="preserve">defined </w:t>
      </w:r>
      <w:r w:rsidRPr="002B5AEC">
        <w:rPr>
          <w:rFonts w:ascii="Times New Roman" w:hAnsi="Times New Roman"/>
          <w:color w:val="FF0000"/>
        </w:rPr>
        <w:t>at the Census Block Group level</w:t>
      </w:r>
      <w:r w:rsidR="0011618E" w:rsidRPr="002B5AEC">
        <w:rPr>
          <w:rFonts w:ascii="Times New Roman" w:hAnsi="Times New Roman"/>
          <w:color w:val="FF0000"/>
        </w:rPr>
        <w:t xml:space="preserve"> and then ZIP code when census block group is missing</w:t>
      </w:r>
      <w:r w:rsidRPr="002B5AEC">
        <w:rPr>
          <w:rFonts w:ascii="Times New Roman" w:hAnsi="Times New Roman"/>
          <w:color w:val="FF0000"/>
        </w:rPr>
        <w:t xml:space="preserve">. </w:t>
      </w:r>
      <w:r w:rsidR="00210A6A" w:rsidRPr="002B5AEC">
        <w:rPr>
          <w:rFonts w:ascii="Times New Roman" w:hAnsi="Times New Roman"/>
          <w:color w:val="FF0000"/>
        </w:rPr>
        <w:t xml:space="preserve">The specific </w:t>
      </w:r>
      <w:r w:rsidR="00DB3AFD" w:rsidRPr="002B5AEC">
        <w:rPr>
          <w:rFonts w:ascii="Times New Roman" w:hAnsi="Times New Roman"/>
          <w:color w:val="FF0000"/>
        </w:rPr>
        <w:t>social risk factors (</w:t>
      </w:r>
      <w:r w:rsidR="00210A6A" w:rsidRPr="002B5AEC">
        <w:rPr>
          <w:rFonts w:ascii="Times New Roman" w:hAnsi="Times New Roman"/>
          <w:color w:val="FF0000"/>
        </w:rPr>
        <w:t>SRFs</w:t>
      </w:r>
      <w:r w:rsidR="00DB3AFD" w:rsidRPr="002B5AEC">
        <w:rPr>
          <w:rFonts w:ascii="Times New Roman" w:hAnsi="Times New Roman"/>
          <w:color w:val="FF0000"/>
        </w:rPr>
        <w:t>)</w:t>
      </w:r>
      <w:r w:rsidR="00210A6A" w:rsidRPr="002B5AEC">
        <w:rPr>
          <w:rFonts w:ascii="Times New Roman" w:hAnsi="Times New Roman"/>
          <w:color w:val="FF0000"/>
        </w:rPr>
        <w:t xml:space="preserve"> analyzed include the following variables. </w:t>
      </w:r>
    </w:p>
    <w:p w14:paraId="4F923BD5" w14:textId="77777777" w:rsidR="00210A6A" w:rsidRPr="002B5AEC" w:rsidRDefault="00210A6A" w:rsidP="00150CD0">
      <w:pPr>
        <w:pStyle w:val="NoSpacing"/>
        <w:rPr>
          <w:rFonts w:ascii="Times New Roman" w:hAnsi="Times New Roman"/>
          <w:color w:val="FF0000"/>
        </w:rPr>
      </w:pPr>
    </w:p>
    <w:p w14:paraId="7BD8C96E" w14:textId="72634AF2" w:rsidR="009E0DAE" w:rsidRPr="002B5AEC" w:rsidRDefault="009E0DAE" w:rsidP="00E340DE">
      <w:pPr>
        <w:pStyle w:val="NoSpacing"/>
        <w:numPr>
          <w:ilvl w:val="0"/>
          <w:numId w:val="6"/>
        </w:numPr>
        <w:rPr>
          <w:rFonts w:ascii="Times New Roman" w:hAnsi="Times New Roman"/>
          <w:color w:val="FF0000"/>
        </w:rPr>
      </w:pPr>
      <w:r w:rsidRPr="002B5AEC">
        <w:rPr>
          <w:rFonts w:ascii="Times New Roman" w:hAnsi="Times New Roman"/>
          <w:color w:val="FF0000"/>
        </w:rPr>
        <w:t>Income (ACS): Low Income: median income &lt; 33rd percentile nationally; Medium Income: median income in the interval spanning the 33rd percentile to the 66th percentile nationally; High Income: median income &gt; 66th percentile</w:t>
      </w:r>
    </w:p>
    <w:p w14:paraId="624BE4DE" w14:textId="77C0C80F" w:rsidR="009E0DAE" w:rsidRPr="002B5AEC" w:rsidRDefault="009E0DAE" w:rsidP="00E340DE">
      <w:pPr>
        <w:pStyle w:val="NoSpacing"/>
        <w:numPr>
          <w:ilvl w:val="0"/>
          <w:numId w:val="6"/>
        </w:numPr>
        <w:rPr>
          <w:rFonts w:ascii="Times New Roman" w:hAnsi="Times New Roman"/>
          <w:color w:val="FF0000"/>
        </w:rPr>
      </w:pPr>
      <w:r w:rsidRPr="002B5AEC">
        <w:rPr>
          <w:rFonts w:ascii="Times New Roman" w:hAnsi="Times New Roman"/>
          <w:color w:val="FF0000"/>
        </w:rPr>
        <w:t>Education (ACS): Education &lt; High School: when % with &lt; high school education is the highest for a given Census Block Group; Education = High School: when % with only high school is the highest; Education &gt; High School: when % with &gt; high school is the highest</w:t>
      </w:r>
    </w:p>
    <w:p w14:paraId="7B9887F8" w14:textId="37D89F63" w:rsidR="009E0DAE" w:rsidRPr="002B5AEC" w:rsidRDefault="009E0DAE" w:rsidP="00E340DE">
      <w:pPr>
        <w:pStyle w:val="NoSpacing"/>
        <w:numPr>
          <w:ilvl w:val="0"/>
          <w:numId w:val="6"/>
        </w:numPr>
        <w:rPr>
          <w:rFonts w:ascii="Times New Roman" w:hAnsi="Times New Roman"/>
          <w:color w:val="FF0000"/>
        </w:rPr>
      </w:pPr>
      <w:r w:rsidRPr="002B5AEC">
        <w:rPr>
          <w:rFonts w:ascii="Times New Roman" w:hAnsi="Times New Roman"/>
          <w:color w:val="FF0000"/>
        </w:rPr>
        <w:t>Employment (ACS): Unemployment Rate &gt; 10%; Unemployment Rate &lt;= 10%</w:t>
      </w:r>
    </w:p>
    <w:p w14:paraId="4E50B27A" w14:textId="221DDE84" w:rsidR="009E0DAE" w:rsidRPr="002B5AEC" w:rsidRDefault="009E0DAE" w:rsidP="00E340DE">
      <w:pPr>
        <w:pStyle w:val="NoSpacing"/>
        <w:numPr>
          <w:ilvl w:val="0"/>
          <w:numId w:val="6"/>
        </w:numPr>
        <w:rPr>
          <w:rFonts w:ascii="Times New Roman" w:hAnsi="Times New Roman"/>
          <w:color w:val="FF0000"/>
        </w:rPr>
      </w:pPr>
      <w:r w:rsidRPr="002B5AEC">
        <w:rPr>
          <w:rFonts w:ascii="Times New Roman" w:hAnsi="Times New Roman"/>
          <w:color w:val="FF0000"/>
        </w:rPr>
        <w:lastRenderedPageBreak/>
        <w:t xml:space="preserve">Race (EDB): Asian, Black, Hispanic, North American Native, White, and Other </w:t>
      </w:r>
    </w:p>
    <w:p w14:paraId="72E6760E" w14:textId="3633AE83" w:rsidR="009E0DAE" w:rsidRPr="002B5AEC" w:rsidRDefault="009E0DAE" w:rsidP="00E340DE">
      <w:pPr>
        <w:pStyle w:val="NoSpacing"/>
        <w:numPr>
          <w:ilvl w:val="0"/>
          <w:numId w:val="6"/>
        </w:numPr>
        <w:rPr>
          <w:rFonts w:ascii="Times New Roman" w:hAnsi="Times New Roman"/>
          <w:color w:val="FF0000"/>
        </w:rPr>
      </w:pPr>
      <w:r w:rsidRPr="002B5AEC">
        <w:rPr>
          <w:rFonts w:ascii="Times New Roman" w:hAnsi="Times New Roman"/>
          <w:color w:val="FF0000"/>
        </w:rPr>
        <w:t xml:space="preserve">Sex (EDB): Female, male </w:t>
      </w:r>
    </w:p>
    <w:p w14:paraId="12B6CB14" w14:textId="48B8B960" w:rsidR="009E0DAE" w:rsidRPr="002B5AEC" w:rsidRDefault="009E0DAE" w:rsidP="00E340DE">
      <w:pPr>
        <w:pStyle w:val="NoSpacing"/>
        <w:numPr>
          <w:ilvl w:val="0"/>
          <w:numId w:val="6"/>
        </w:numPr>
        <w:rPr>
          <w:rFonts w:ascii="Times New Roman" w:hAnsi="Times New Roman"/>
          <w:color w:val="FF0000"/>
        </w:rPr>
      </w:pPr>
      <w:r w:rsidRPr="002B5AEC">
        <w:rPr>
          <w:rFonts w:ascii="Times New Roman" w:hAnsi="Times New Roman"/>
          <w:color w:val="FF0000"/>
        </w:rPr>
        <w:t>Dual status (CME): Full dual, partial dual, non-dual</w:t>
      </w:r>
    </w:p>
    <w:p w14:paraId="71AC6174" w14:textId="4F4E3B4F" w:rsidR="00293E5B" w:rsidRPr="002B5AEC" w:rsidRDefault="00293E5B" w:rsidP="00E340DE">
      <w:pPr>
        <w:pStyle w:val="NoSpacing"/>
        <w:numPr>
          <w:ilvl w:val="0"/>
          <w:numId w:val="6"/>
        </w:numPr>
        <w:rPr>
          <w:rFonts w:ascii="Times New Roman" w:hAnsi="Times New Roman"/>
          <w:color w:val="FF0000"/>
        </w:rPr>
      </w:pPr>
      <w:r w:rsidRPr="002B5AEC">
        <w:rPr>
          <w:rFonts w:ascii="Times New Roman" w:hAnsi="Times New Roman"/>
          <w:color w:val="FF0000"/>
        </w:rPr>
        <w:t>Area Deprivation Index (ADI)</w:t>
      </w:r>
      <w:r w:rsidRPr="002B5AEC">
        <w:rPr>
          <w:rStyle w:val="FootnoteReference"/>
          <w:rFonts w:ascii="Times New Roman" w:hAnsi="Times New Roman"/>
          <w:color w:val="FF0000"/>
        </w:rPr>
        <w:footnoteReference w:id="2"/>
      </w:r>
      <w:r w:rsidR="00753149" w:rsidRPr="002B5AEC">
        <w:rPr>
          <w:rFonts w:ascii="Times New Roman" w:hAnsi="Times New Roman"/>
          <w:color w:val="FF0000"/>
        </w:rPr>
        <w:t xml:space="preserve">: top quintile </w:t>
      </w:r>
    </w:p>
    <w:p w14:paraId="45E37FCC" w14:textId="6DD28FFC" w:rsidR="00782566" w:rsidRPr="002B5AEC" w:rsidRDefault="00782566" w:rsidP="00E340DE">
      <w:pPr>
        <w:pStyle w:val="NoSpacing"/>
        <w:numPr>
          <w:ilvl w:val="0"/>
          <w:numId w:val="6"/>
        </w:numPr>
        <w:rPr>
          <w:rFonts w:ascii="Times New Roman" w:hAnsi="Times New Roman"/>
          <w:color w:val="FF0000"/>
          <w:vertAlign w:val="superscript"/>
        </w:rPr>
      </w:pPr>
      <w:r w:rsidRPr="002B5AEC">
        <w:rPr>
          <w:rFonts w:ascii="Times New Roman" w:hAnsi="Times New Roman"/>
          <w:color w:val="FF0000"/>
        </w:rPr>
        <w:t xml:space="preserve">Agency of Healthcare Research and Quality (AHRQ) SES Index: AHRQ index scores are calculated using the AHRQ scoring algorithm and is a </w:t>
      </w:r>
      <w:r w:rsidR="00150CD0" w:rsidRPr="002B5AEC">
        <w:rPr>
          <w:rFonts w:ascii="Times New Roman" w:hAnsi="Times New Roman"/>
          <w:color w:val="FF0000"/>
        </w:rPr>
        <w:t>continuous</w:t>
      </w:r>
      <w:r w:rsidRPr="002B5AEC">
        <w:rPr>
          <w:rFonts w:ascii="Times New Roman" w:hAnsi="Times New Roman"/>
          <w:color w:val="FF0000"/>
        </w:rPr>
        <w:t xml:space="preserve"> dependent variable as a re</w:t>
      </w:r>
      <w:r w:rsidR="009C2310" w:rsidRPr="002B5AEC">
        <w:rPr>
          <w:rFonts w:ascii="Times New Roman" w:hAnsi="Times New Roman"/>
          <w:color w:val="FF0000"/>
        </w:rPr>
        <w:t>placement of all SES variable</w:t>
      </w:r>
      <w:r w:rsidR="00DD7E6A" w:rsidRPr="002B5AEC">
        <w:rPr>
          <w:rFonts w:ascii="Times New Roman" w:hAnsi="Times New Roman"/>
          <w:color w:val="FF0000"/>
        </w:rPr>
        <w:t>s. The index includes percentage of households containing one or more person per room, median value of owner-occupied dwelling, percentage of persons below the federally defined po</w:t>
      </w:r>
      <w:r w:rsidR="002C2398" w:rsidRPr="002B5AEC">
        <w:rPr>
          <w:rFonts w:ascii="Times New Roman" w:hAnsi="Times New Roman"/>
          <w:color w:val="FF0000"/>
        </w:rPr>
        <w:t>v</w:t>
      </w:r>
      <w:r w:rsidR="00DD7E6A" w:rsidRPr="002B5AEC">
        <w:rPr>
          <w:rFonts w:ascii="Times New Roman" w:hAnsi="Times New Roman"/>
          <w:color w:val="FF0000"/>
        </w:rPr>
        <w:t>erty line, median household income, percentage of persons aged ≥ 25 years with at least 4 years of college, percentage of persons aged ≥ 25 years with less than a 12th grade education, and percentage of persons aged 16 or older in the labor force who are unemployed.</w:t>
      </w:r>
      <w:r w:rsidR="00F75BF5" w:rsidRPr="002B5AEC">
        <w:rPr>
          <w:rStyle w:val="FootnoteReference"/>
          <w:rFonts w:ascii="Times New Roman" w:hAnsi="Times New Roman"/>
          <w:color w:val="FF0000"/>
        </w:rPr>
        <w:footnoteReference w:id="3"/>
      </w:r>
      <w:r w:rsidR="000E2575" w:rsidRPr="002B5AEC">
        <w:rPr>
          <w:rFonts w:ascii="Times New Roman" w:hAnsi="Times New Roman"/>
          <w:color w:val="FF0000"/>
          <w:vertAlign w:val="superscript"/>
        </w:rPr>
        <w:t>,</w:t>
      </w:r>
      <w:r w:rsidR="00DD7E6A" w:rsidRPr="002B5AEC">
        <w:rPr>
          <w:rStyle w:val="FootnoteReference"/>
          <w:rFonts w:ascii="Times New Roman" w:hAnsi="Times New Roman"/>
          <w:color w:val="FF0000"/>
        </w:rPr>
        <w:footnoteReference w:id="4"/>
      </w:r>
    </w:p>
    <w:p w14:paraId="640A8C8D" w14:textId="77777777" w:rsidR="00484A33" w:rsidRPr="00150CD0" w:rsidRDefault="00484A33" w:rsidP="00150CD0">
      <w:pPr>
        <w:pStyle w:val="NoSpacing"/>
      </w:pPr>
    </w:p>
    <w:p w14:paraId="4F364F2A" w14:textId="7362B17E" w:rsidR="006D0F8C" w:rsidRPr="00150CD0" w:rsidRDefault="006D0F8C" w:rsidP="00150CD0">
      <w:pPr>
        <w:pStyle w:val="NoSpacing"/>
      </w:pPr>
      <w:r w:rsidRPr="00150CD0">
        <w:rPr>
          <w:u w:val="single"/>
        </w:rPr>
        <w:t xml:space="preserve">Previous </w:t>
      </w:r>
      <w:r w:rsidR="00150CD0" w:rsidRPr="00150CD0">
        <w:rPr>
          <w:u w:val="single"/>
        </w:rPr>
        <w:t>Response</w:t>
      </w:r>
      <w:r w:rsidRPr="00150CD0">
        <w:rPr>
          <w:u w:val="single"/>
        </w:rPr>
        <w:t xml:space="preserve"> (2016):</w:t>
      </w:r>
      <w:r w:rsidRPr="00150CD0">
        <w:t xml:space="preserve"> The socioeconomic (SES) factor we analyzed is family income-to-poverty ratio.  We obtained community-level poverty data from the 2014 American Community Survey, accessed through the United States Census Bureau’s American FactFinder website, to determine the number of families in a given ZIP code whose income-to-poverty ratio (the ratio of family income to the federal poverty threshold) falls into certain categories.  The dataset “Ratio of Income to Poverty Level of Families in the Past 12 Months” contains variables that represent ranges of income-to-poverty ratios.  The values for these variables are the number of families in a given ZIP code whose income-to-poverty ratio falls into that variable’s income-to-poverty ratio range.  For example, if the value for the “.50 to .74” variable is 10,000 for a particular ZIP code, that means that 10,000 families in that ZIP code have incomes that are between 50% and 74% of the federal poverty threshold.  </w:t>
      </w:r>
    </w:p>
    <w:p w14:paraId="4FDC5DFA" w14:textId="77777777" w:rsidR="00484A33" w:rsidRPr="00150CD0" w:rsidRDefault="00484A33" w:rsidP="00150CD0">
      <w:pPr>
        <w:pStyle w:val="NoSpacing"/>
      </w:pPr>
    </w:p>
    <w:p w14:paraId="63F52917" w14:textId="33125682" w:rsidR="006D0F8C" w:rsidRPr="00150CD0" w:rsidRDefault="006D0F8C" w:rsidP="00150CD0">
      <w:pPr>
        <w:pStyle w:val="NoSpacing"/>
      </w:pPr>
      <w:r w:rsidRPr="00150CD0">
        <w:t xml:space="preserve">Enrollment Database (EDB) data provided the ZIP codes for beneficiaries included in the sample.  We then linked these beneficiary ZIP codes to the ACS ZIP code-level data on family income-to-poverty ratio, which allowed us to analyze poverty data in beneficiaries’ ZIP codes.  We used family income-to-poverty ratio instead of individual income-to-poverty ratio to better reflect actual financial assets available to beneficiaries, as individual family members may pool financial resources to provide care for older relatives.  </w:t>
      </w:r>
    </w:p>
    <w:p w14:paraId="618D93E3" w14:textId="0F6F636E" w:rsidR="00666D77" w:rsidRPr="00150CD0" w:rsidRDefault="00666D77" w:rsidP="00150CD0">
      <w:pPr>
        <w:pStyle w:val="NoSpacing"/>
      </w:pPr>
    </w:p>
    <w:p w14:paraId="3F461F05" w14:textId="5C6AD516" w:rsidR="00666D77" w:rsidRPr="00150CD0" w:rsidRDefault="00666D77" w:rsidP="00150CD0">
      <w:pPr>
        <w:pStyle w:val="NoSpacing"/>
      </w:pPr>
      <w:r w:rsidRPr="00150CD0">
        <w:rPr>
          <w:u w:val="single"/>
        </w:rPr>
        <w:t xml:space="preserve">Previous </w:t>
      </w:r>
      <w:r w:rsidR="00150CD0" w:rsidRPr="00150CD0">
        <w:rPr>
          <w:u w:val="single"/>
        </w:rPr>
        <w:t>Response</w:t>
      </w:r>
      <w:r w:rsidRPr="00150CD0">
        <w:rPr>
          <w:u w:val="single"/>
        </w:rPr>
        <w:t xml:space="preserve"> (2013):</w:t>
      </w:r>
      <w:r w:rsidRPr="00150CD0">
        <w:t xml:space="preserve"> </w:t>
      </w:r>
      <w:proofErr w:type="gramStart"/>
      <w:r w:rsidRPr="00150CD0">
        <w:t>n/a</w:t>
      </w:r>
      <w:proofErr w:type="gramEnd"/>
    </w:p>
    <w:p w14:paraId="0CABCFCD" w14:textId="1080AE9C" w:rsidR="004348CC" w:rsidRPr="007B0444" w:rsidRDefault="00483E94" w:rsidP="00E37E1B">
      <w:pPr>
        <w:autoSpaceDE w:val="0"/>
        <w:autoSpaceDN w:val="0"/>
        <w:adjustRightInd w:val="0"/>
        <w:spacing w:after="0" w:line="240" w:lineRule="auto"/>
        <w:rPr>
          <w:rFonts w:cstheme="minorHAnsi"/>
          <w:bCs/>
        </w:rPr>
      </w:pPr>
      <w:r w:rsidRPr="007B0444">
        <w:rPr>
          <w:rFonts w:cstheme="minorHAnsi"/>
          <w:noProof/>
        </w:rPr>
        <w:t>_</w:t>
      </w:r>
      <w:r w:rsidR="00E37E1B" w:rsidRPr="007B0444">
        <w:rPr>
          <w:rFonts w:cstheme="minorHAnsi"/>
          <w:noProof/>
        </w:rPr>
        <w:t>_______________</w:t>
      </w:r>
      <w:r w:rsidR="003755CB" w:rsidRPr="007B0444">
        <w:rPr>
          <w:rFonts w:cstheme="minorHAnsi"/>
          <w:noProof/>
        </w:rPr>
        <w:t>_________</w:t>
      </w:r>
    </w:p>
    <w:p w14:paraId="0CABCFCE" w14:textId="77777777" w:rsidR="008A403A" w:rsidRPr="007B0444" w:rsidRDefault="00021170" w:rsidP="00DB3627">
      <w:pPr>
        <w:autoSpaceDE w:val="0"/>
        <w:autoSpaceDN w:val="0"/>
        <w:adjustRightInd w:val="0"/>
        <w:spacing w:after="0" w:line="240" w:lineRule="auto"/>
        <w:rPr>
          <w:rFonts w:cstheme="minorHAnsi"/>
          <w:b/>
          <w:bCs/>
        </w:rPr>
      </w:pPr>
      <w:r w:rsidRPr="007B0444">
        <w:rPr>
          <w:rFonts w:cstheme="minorHAnsi"/>
          <w:b/>
          <w:noProof/>
        </w:rPr>
        <w:t>2</w:t>
      </w:r>
      <w:r w:rsidR="00EA5F47" w:rsidRPr="007B0444">
        <w:rPr>
          <w:rFonts w:cstheme="minorHAnsi"/>
          <w:b/>
          <w:noProof/>
        </w:rPr>
        <w:t>a</w:t>
      </w:r>
      <w:r w:rsidRPr="007B0444">
        <w:rPr>
          <w:rFonts w:cstheme="minorHAnsi"/>
          <w:b/>
          <w:noProof/>
        </w:rPr>
        <w:t xml:space="preserve">2. </w:t>
      </w:r>
      <w:r w:rsidRPr="007B0444">
        <w:rPr>
          <w:rFonts w:cstheme="minorHAnsi"/>
          <w:b/>
          <w:bCs/>
        </w:rPr>
        <w:t>RELIABILITY TESTING</w:t>
      </w:r>
      <w:r w:rsidR="008A403A" w:rsidRPr="007B0444">
        <w:rPr>
          <w:rFonts w:cstheme="minorHAnsi"/>
          <w:b/>
          <w:bCs/>
        </w:rPr>
        <w:t xml:space="preserve"> </w:t>
      </w:r>
    </w:p>
    <w:p w14:paraId="0CABCFCF" w14:textId="77777777" w:rsidR="00E310B9" w:rsidRPr="007B0444" w:rsidRDefault="00E310B9" w:rsidP="00DB3627">
      <w:pPr>
        <w:autoSpaceDE w:val="0"/>
        <w:autoSpaceDN w:val="0"/>
        <w:adjustRightInd w:val="0"/>
        <w:spacing w:after="0" w:line="240" w:lineRule="auto"/>
        <w:rPr>
          <w:rFonts w:cstheme="minorHAnsi"/>
          <w:b/>
          <w:bCs/>
        </w:rPr>
      </w:pPr>
      <w:r w:rsidRPr="007B0444">
        <w:rPr>
          <w:rFonts w:cstheme="minorHAnsi"/>
          <w:b/>
          <w:bCs/>
          <w:i/>
          <w:u w:val="single"/>
        </w:rPr>
        <w:t>Note</w:t>
      </w:r>
      <w:r w:rsidRPr="007B0444">
        <w:rPr>
          <w:rFonts w:cstheme="minorHAnsi"/>
          <w:bCs/>
          <w:i/>
        </w:rPr>
        <w:t>: If accuracy/correctness (validity) of data elements was empirically tested</w:t>
      </w:r>
      <w:r w:rsidRPr="007B0444">
        <w:rPr>
          <w:rFonts w:cstheme="minorHAnsi"/>
          <w:bCs/>
        </w:rPr>
        <w:t xml:space="preserve">, </w:t>
      </w:r>
      <w:r w:rsidRPr="007B0444">
        <w:rPr>
          <w:rFonts w:cstheme="minorHAnsi"/>
          <w:bCs/>
          <w:i/>
        </w:rPr>
        <w:t xml:space="preserve">separate reliability testing of data elements is not required – </w:t>
      </w:r>
      <w:r w:rsidR="00127C06" w:rsidRPr="007B0444">
        <w:rPr>
          <w:rFonts w:cstheme="minorHAnsi"/>
          <w:bCs/>
          <w:i/>
        </w:rPr>
        <w:t xml:space="preserve">in 2a2.1 </w:t>
      </w:r>
      <w:r w:rsidR="00C867F0" w:rsidRPr="007B0444">
        <w:rPr>
          <w:rFonts w:cstheme="minorHAnsi"/>
          <w:bCs/>
          <w:i/>
        </w:rPr>
        <w:t>check critical data elements;</w:t>
      </w:r>
      <w:r w:rsidR="00127C06" w:rsidRPr="007B0444">
        <w:rPr>
          <w:rFonts w:cstheme="minorHAnsi"/>
          <w:bCs/>
          <w:i/>
        </w:rPr>
        <w:t xml:space="preserve"> in 2a2.2 enter “see s</w:t>
      </w:r>
      <w:r w:rsidR="002F2687" w:rsidRPr="007B0444">
        <w:rPr>
          <w:rFonts w:cstheme="minorHAnsi"/>
          <w:bCs/>
          <w:i/>
        </w:rPr>
        <w:t>e</w:t>
      </w:r>
      <w:r w:rsidR="00127C06" w:rsidRPr="007B0444">
        <w:rPr>
          <w:rFonts w:cstheme="minorHAnsi"/>
          <w:bCs/>
          <w:i/>
        </w:rPr>
        <w:t xml:space="preserve">ction 2b2 for </w:t>
      </w:r>
      <w:r w:rsidRPr="007B0444">
        <w:rPr>
          <w:rFonts w:cstheme="minorHAnsi"/>
          <w:bCs/>
          <w:i/>
        </w:rPr>
        <w:t xml:space="preserve">validity </w:t>
      </w:r>
      <w:r w:rsidR="00127C06" w:rsidRPr="007B0444">
        <w:rPr>
          <w:rFonts w:cstheme="minorHAnsi"/>
          <w:bCs/>
          <w:i/>
        </w:rPr>
        <w:t xml:space="preserve">testing </w:t>
      </w:r>
      <w:r w:rsidR="002F2687" w:rsidRPr="007B0444">
        <w:rPr>
          <w:rFonts w:cstheme="minorHAnsi"/>
          <w:bCs/>
          <w:i/>
        </w:rPr>
        <w:t>of data elements”</w:t>
      </w:r>
      <w:r w:rsidR="00C867F0" w:rsidRPr="007B0444">
        <w:rPr>
          <w:rFonts w:cstheme="minorHAnsi"/>
          <w:bCs/>
          <w:i/>
        </w:rPr>
        <w:t>;</w:t>
      </w:r>
      <w:r w:rsidR="002F2687" w:rsidRPr="007B0444">
        <w:rPr>
          <w:rFonts w:cstheme="minorHAnsi"/>
          <w:bCs/>
          <w:i/>
        </w:rPr>
        <w:t xml:space="preserve"> and skip 2a2.3 and 2a2.4.</w:t>
      </w:r>
    </w:p>
    <w:p w14:paraId="0CABCFD0" w14:textId="77777777" w:rsidR="008C54A9" w:rsidRPr="007B0444" w:rsidRDefault="008C54A9" w:rsidP="00DB3627">
      <w:pPr>
        <w:autoSpaceDE w:val="0"/>
        <w:autoSpaceDN w:val="0"/>
        <w:adjustRightInd w:val="0"/>
        <w:spacing w:after="0" w:line="240" w:lineRule="auto"/>
        <w:rPr>
          <w:rFonts w:cstheme="minorHAnsi"/>
          <w:b/>
          <w:bCs/>
        </w:rPr>
      </w:pPr>
    </w:p>
    <w:p w14:paraId="0CABCFD1" w14:textId="58484F24" w:rsidR="001969C5" w:rsidRPr="007B0444" w:rsidRDefault="00092566" w:rsidP="008C54A9">
      <w:pPr>
        <w:autoSpaceDE w:val="0"/>
        <w:autoSpaceDN w:val="0"/>
        <w:adjustRightInd w:val="0"/>
        <w:spacing w:after="0" w:line="240" w:lineRule="auto"/>
        <w:rPr>
          <w:rFonts w:cstheme="minorHAnsi"/>
          <w:bCs/>
        </w:rPr>
      </w:pPr>
      <w:r w:rsidRPr="007B0444">
        <w:rPr>
          <w:rFonts w:cstheme="minorHAnsi"/>
          <w:b/>
          <w:bCs/>
        </w:rPr>
        <w:lastRenderedPageBreak/>
        <w:t>2a2.1</w:t>
      </w:r>
      <w:r w:rsidR="008C54A9" w:rsidRPr="007B0444">
        <w:rPr>
          <w:rFonts w:cstheme="minorHAnsi"/>
          <w:b/>
          <w:bCs/>
        </w:rPr>
        <w:t xml:space="preserve">. </w:t>
      </w:r>
      <w:proofErr w:type="gramStart"/>
      <w:r w:rsidR="000968F8" w:rsidRPr="007B0444">
        <w:rPr>
          <w:rFonts w:cstheme="minorHAnsi"/>
          <w:b/>
          <w:bCs/>
        </w:rPr>
        <w:t>What</w:t>
      </w:r>
      <w:proofErr w:type="gramEnd"/>
      <w:r w:rsidR="000968F8" w:rsidRPr="007B0444">
        <w:rPr>
          <w:rFonts w:cstheme="minorHAnsi"/>
          <w:b/>
          <w:bCs/>
        </w:rPr>
        <w:t xml:space="preserve"> level of reliability testing was conducted</w:t>
      </w:r>
      <w:r w:rsidR="000574AB" w:rsidRPr="007B0444">
        <w:rPr>
          <w:rFonts w:cstheme="minorHAnsi"/>
          <w:bCs/>
        </w:rPr>
        <w:t>?</w:t>
      </w:r>
      <w:r w:rsidR="00D50704" w:rsidRPr="007B0444">
        <w:rPr>
          <w:rFonts w:cstheme="minorHAnsi"/>
          <w:bCs/>
        </w:rPr>
        <w:t xml:space="preserve"> (</w:t>
      </w:r>
      <w:proofErr w:type="gramStart"/>
      <w:r w:rsidR="00E310B9" w:rsidRPr="007B0444">
        <w:rPr>
          <w:rFonts w:cstheme="minorHAnsi"/>
          <w:bCs/>
          <w:i/>
        </w:rPr>
        <w:t>may</w:t>
      </w:r>
      <w:proofErr w:type="gramEnd"/>
      <w:r w:rsidR="00E310B9" w:rsidRPr="007B0444">
        <w:rPr>
          <w:rFonts w:cstheme="minorHAnsi"/>
          <w:bCs/>
          <w:i/>
        </w:rPr>
        <w:t xml:space="preserve"> </w:t>
      </w:r>
      <w:r w:rsidR="00D50704" w:rsidRPr="007B0444">
        <w:rPr>
          <w:rFonts w:cstheme="minorHAnsi"/>
          <w:bCs/>
          <w:i/>
        </w:rPr>
        <w:t>be one or both levels</w:t>
      </w:r>
      <w:r w:rsidR="00D50704" w:rsidRPr="007B0444">
        <w:rPr>
          <w:rFonts w:cstheme="minorHAnsi"/>
          <w:bCs/>
        </w:rPr>
        <w:t>)</w:t>
      </w:r>
      <w:r w:rsidR="00B8015A" w:rsidRPr="007B044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DD13D4">
            <w:rPr>
              <w:rFonts w:ascii="MS Gothic" w:eastAsia="MS Gothic" w:hAnsi="MS Gothic" w:cstheme="minorHAnsi" w:hint="eastAsia"/>
              <w:bCs/>
              <w:color w:val="0000FF"/>
            </w:rPr>
            <w:t>☐</w:t>
          </w:r>
        </w:sdtContent>
      </w:sdt>
      <w:r w:rsidR="00A25024" w:rsidRPr="007B0444">
        <w:rPr>
          <w:rFonts w:eastAsia="MS Mincho" w:cstheme="minorHAnsi"/>
          <w:b/>
          <w:bCs/>
          <w:color w:val="0000FF"/>
        </w:rPr>
        <w:t xml:space="preserve"> </w:t>
      </w:r>
      <w:r w:rsidR="001F7A20" w:rsidRPr="00B76694">
        <w:rPr>
          <w:rFonts w:cstheme="minorHAnsi"/>
          <w:b/>
          <w:bCs/>
        </w:rPr>
        <w:t>Critical data elements used in the measure</w:t>
      </w:r>
      <w:r w:rsidR="001F7A20" w:rsidRPr="00B76694">
        <w:rPr>
          <w:rFonts w:cstheme="minorHAnsi"/>
          <w:bCs/>
        </w:rPr>
        <w:t xml:space="preserve"> (</w:t>
      </w:r>
      <w:r w:rsidR="001F7A20" w:rsidRPr="007B0444">
        <w:rPr>
          <w:rFonts w:cstheme="minorHAnsi"/>
          <w:bCs/>
          <w:i/>
        </w:rPr>
        <w:t>e.g., inter-abstractor reliability; data element reliability must address ALL critical data elements</w:t>
      </w:r>
      <w:proofErr w:type="gramStart"/>
      <w:r w:rsidR="001F7A20" w:rsidRPr="007B0444">
        <w:rPr>
          <w:rFonts w:cstheme="minorHAnsi"/>
          <w:bCs/>
        </w:rPr>
        <w:t>)</w:t>
      </w:r>
      <w:proofErr w:type="gramEnd"/>
      <w:r w:rsidR="001F7A20" w:rsidRPr="007B044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931FB5" w:rsidRPr="007B0444">
            <w:rPr>
              <w:rFonts w:ascii="MS Gothic" w:eastAsia="MS Gothic" w:hAnsi="MS Gothic" w:cstheme="minorHAnsi" w:hint="eastAsia"/>
              <w:bCs/>
              <w:color w:val="0000FF"/>
            </w:rPr>
            <w:t>☒</w:t>
          </w:r>
        </w:sdtContent>
      </w:sdt>
      <w:r w:rsidR="001F7A20" w:rsidRPr="007B0444">
        <w:rPr>
          <w:rFonts w:eastAsia="MS Mincho" w:cstheme="minorHAnsi"/>
          <w:b/>
          <w:bCs/>
          <w:color w:val="0000FF"/>
        </w:rPr>
        <w:t xml:space="preserve"> </w:t>
      </w:r>
      <w:r w:rsidR="001F7A20" w:rsidRPr="007B0444">
        <w:rPr>
          <w:rFonts w:cstheme="minorHAnsi"/>
          <w:b/>
          <w:bCs/>
        </w:rPr>
        <w:t>Performance measure score</w:t>
      </w:r>
      <w:r w:rsidR="001F7A20" w:rsidRPr="007B0444">
        <w:rPr>
          <w:rFonts w:cstheme="minorHAnsi"/>
          <w:bCs/>
        </w:rPr>
        <w:t xml:space="preserve"> (e.g., </w:t>
      </w:r>
      <w:r w:rsidR="001F7A20" w:rsidRPr="007B0444">
        <w:rPr>
          <w:rFonts w:cstheme="minorHAnsi"/>
          <w:bCs/>
          <w:i/>
        </w:rPr>
        <w:t>signal-to-noise analysis</w:t>
      </w:r>
      <w:r w:rsidR="001F7A20" w:rsidRPr="007B0444">
        <w:rPr>
          <w:rFonts w:cstheme="minorHAnsi"/>
          <w:bCs/>
        </w:rPr>
        <w:t>)</w:t>
      </w:r>
      <w:r w:rsidR="001F7A20" w:rsidRPr="007B0444">
        <w:rPr>
          <w:rFonts w:cstheme="minorHAnsi"/>
          <w:bCs/>
        </w:rPr>
        <w:br/>
      </w:r>
      <w:r w:rsidR="001F7A20" w:rsidRPr="007B0444">
        <w:rPr>
          <w:rFonts w:cstheme="minorHAnsi"/>
          <w:bCs/>
          <w:u w:val="single"/>
        </w:rPr>
        <w:br/>
      </w:r>
      <w:r w:rsidR="001F7A20" w:rsidRPr="007B0444">
        <w:rPr>
          <w:rFonts w:cstheme="minorHAnsi"/>
          <w:b/>
          <w:bCs/>
        </w:rPr>
        <w:t xml:space="preserve">2a2.2. </w:t>
      </w:r>
      <w:r w:rsidR="008C54A9" w:rsidRPr="007B0444">
        <w:rPr>
          <w:rFonts w:cstheme="minorHAnsi"/>
          <w:b/>
          <w:bCs/>
        </w:rPr>
        <w:t xml:space="preserve">For each level checked above, describe the method of </w:t>
      </w:r>
      <w:r w:rsidR="000968F8" w:rsidRPr="007B0444">
        <w:rPr>
          <w:rFonts w:cstheme="minorHAnsi"/>
          <w:b/>
          <w:bCs/>
        </w:rPr>
        <w:t xml:space="preserve">reliability </w:t>
      </w:r>
      <w:r w:rsidR="008C54A9" w:rsidRPr="007B0444">
        <w:rPr>
          <w:rFonts w:cstheme="minorHAnsi"/>
          <w:b/>
          <w:bCs/>
        </w:rPr>
        <w:t>testing and what it tests</w:t>
      </w:r>
      <w:r w:rsidR="008C54A9" w:rsidRPr="007B0444">
        <w:rPr>
          <w:rFonts w:cstheme="minorHAnsi"/>
          <w:bCs/>
        </w:rPr>
        <w:t xml:space="preserve"> (</w:t>
      </w:r>
      <w:r w:rsidR="008C54A9" w:rsidRPr="007B0444">
        <w:rPr>
          <w:rFonts w:cstheme="minorHAnsi"/>
          <w:bCs/>
          <w:i/>
        </w:rPr>
        <w:t xml:space="preserve">describe the steps―do not just name a method; what </w:t>
      </w:r>
      <w:r w:rsidR="002408E4" w:rsidRPr="007B0444">
        <w:rPr>
          <w:rFonts w:cstheme="minorHAnsi"/>
          <w:bCs/>
          <w:i/>
        </w:rPr>
        <w:t>type of erro</w:t>
      </w:r>
      <w:r w:rsidR="007D7019" w:rsidRPr="007B0444">
        <w:rPr>
          <w:rFonts w:cstheme="minorHAnsi"/>
          <w:bCs/>
          <w:i/>
        </w:rPr>
        <w:t>r</w:t>
      </w:r>
      <w:r w:rsidR="002408E4" w:rsidRPr="007B0444">
        <w:rPr>
          <w:rFonts w:cstheme="minorHAnsi"/>
          <w:bCs/>
          <w:i/>
        </w:rPr>
        <w:t xml:space="preserve"> </w:t>
      </w:r>
      <w:r w:rsidR="008C54A9" w:rsidRPr="007B0444">
        <w:rPr>
          <w:rFonts w:cstheme="minorHAnsi"/>
          <w:bCs/>
          <w:i/>
        </w:rPr>
        <w:t>does it test</w:t>
      </w:r>
      <w:r w:rsidR="0022691B" w:rsidRPr="007B0444">
        <w:rPr>
          <w:rFonts w:cstheme="minorHAnsi"/>
          <w:bCs/>
          <w:i/>
        </w:rPr>
        <w:t>; what statistical analysis was used</w:t>
      </w:r>
      <w:r w:rsidR="007757CE" w:rsidRPr="007B0444">
        <w:rPr>
          <w:rFonts w:cstheme="minorHAnsi"/>
          <w:bCs/>
        </w:rPr>
        <w:t>)</w:t>
      </w:r>
    </w:p>
    <w:p w14:paraId="444E0E39" w14:textId="096A6F53" w:rsidR="00DB3AFD" w:rsidRPr="002B5AEC" w:rsidRDefault="00293E5B" w:rsidP="00150CD0">
      <w:pPr>
        <w:pStyle w:val="NoSpacing"/>
        <w:rPr>
          <w:rFonts w:ascii="Times New Roman" w:hAnsi="Times New Roman"/>
          <w:color w:val="FF0000"/>
        </w:rPr>
      </w:pPr>
      <w:r w:rsidRPr="002B5AEC">
        <w:rPr>
          <w:rFonts w:ascii="Times New Roman" w:hAnsi="Times New Roman"/>
          <w:color w:val="FF0000"/>
        </w:rPr>
        <w:t xml:space="preserve">We used signal-to-noise and </w:t>
      </w:r>
      <w:r w:rsidR="004A222B" w:rsidRPr="002B5AEC">
        <w:rPr>
          <w:rFonts w:ascii="Times New Roman" w:hAnsi="Times New Roman"/>
          <w:color w:val="FF0000"/>
        </w:rPr>
        <w:t>multi</w:t>
      </w:r>
      <w:r w:rsidRPr="002B5AEC">
        <w:rPr>
          <w:rFonts w:ascii="Times New Roman" w:hAnsi="Times New Roman"/>
          <w:color w:val="FF0000"/>
        </w:rPr>
        <w:t>-sample analys</w:t>
      </w:r>
      <w:r w:rsidR="004A222B" w:rsidRPr="002B5AEC">
        <w:rPr>
          <w:rFonts w:ascii="Times New Roman" w:hAnsi="Times New Roman"/>
          <w:color w:val="FF0000"/>
        </w:rPr>
        <w:t>e</w:t>
      </w:r>
      <w:r w:rsidRPr="002B5AEC">
        <w:rPr>
          <w:rFonts w:ascii="Times New Roman" w:hAnsi="Times New Roman"/>
          <w:color w:val="FF0000"/>
        </w:rPr>
        <w:t xml:space="preserve">s to test the reliability of the MSPB Hospital measure. </w:t>
      </w:r>
    </w:p>
    <w:p w14:paraId="3A2C6CA9" w14:textId="77777777" w:rsidR="00DB3AFD" w:rsidRPr="002B5AEC" w:rsidRDefault="00DB3AFD" w:rsidP="00150CD0">
      <w:pPr>
        <w:pStyle w:val="NoSpacing"/>
        <w:rPr>
          <w:rFonts w:ascii="Times New Roman" w:hAnsi="Times New Roman"/>
          <w:b/>
          <w:color w:val="FF0000"/>
        </w:rPr>
      </w:pPr>
    </w:p>
    <w:p w14:paraId="3ECE9FF9" w14:textId="050737B3" w:rsidR="00293E5B" w:rsidRPr="002B5AEC" w:rsidRDefault="00DB3AFD" w:rsidP="00150CD0">
      <w:pPr>
        <w:pStyle w:val="NoSpacing"/>
        <w:rPr>
          <w:rFonts w:ascii="Times New Roman" w:hAnsi="Times New Roman"/>
          <w:color w:val="FF0000"/>
        </w:rPr>
      </w:pPr>
      <w:r w:rsidRPr="002B5AEC">
        <w:rPr>
          <w:rFonts w:ascii="Times New Roman" w:hAnsi="Times New Roman"/>
          <w:b/>
          <w:color w:val="FF0000"/>
        </w:rPr>
        <w:t>Signal-to-noise Analysis:</w:t>
      </w:r>
      <w:r w:rsidRPr="002B5AEC">
        <w:rPr>
          <w:rFonts w:ascii="Times New Roman" w:hAnsi="Times New Roman"/>
          <w:color w:val="FF0000"/>
        </w:rPr>
        <w:t xml:space="preserve"> </w:t>
      </w:r>
      <w:r w:rsidR="00293E5B" w:rsidRPr="002B5AEC">
        <w:rPr>
          <w:rFonts w:ascii="Times New Roman" w:hAnsi="Times New Roman"/>
          <w:color w:val="FF0000"/>
        </w:rPr>
        <w:t>Our signal-to-noise analysis sought to determine the extent to which variation in the measure is due to true, underlying provider performance, rather than variation within provider</w:t>
      </w:r>
      <w:r w:rsidR="004A222B" w:rsidRPr="002B5AEC">
        <w:rPr>
          <w:rFonts w:ascii="Times New Roman" w:hAnsi="Times New Roman"/>
          <w:color w:val="FF0000"/>
        </w:rPr>
        <w:t>,</w:t>
      </w:r>
      <w:r w:rsidR="00293E5B" w:rsidRPr="002B5AEC">
        <w:rPr>
          <w:rFonts w:ascii="Times New Roman" w:hAnsi="Times New Roman"/>
          <w:color w:val="FF0000"/>
        </w:rPr>
        <w:t xml:space="preserve"> </w:t>
      </w:r>
      <w:r w:rsidR="004A222B" w:rsidRPr="002B5AEC">
        <w:rPr>
          <w:rFonts w:ascii="Times New Roman" w:hAnsi="Times New Roman"/>
          <w:color w:val="FF0000"/>
        </w:rPr>
        <w:t>from provider episodes</w:t>
      </w:r>
      <w:r w:rsidR="00293E5B" w:rsidRPr="002B5AEC">
        <w:rPr>
          <w:rFonts w:ascii="Times New Roman" w:hAnsi="Times New Roman"/>
          <w:color w:val="FF0000"/>
        </w:rPr>
        <w:t xml:space="preserve">. We calculated the reliability score for a hospital </w:t>
      </w:r>
      <m:oMath>
        <m:r>
          <w:rPr>
            <w:rFonts w:ascii="Cambria Math" w:hAnsi="Cambria Math"/>
            <w:color w:val="FF0000"/>
          </w:rPr>
          <m:t>j</m:t>
        </m:r>
      </m:oMath>
      <w:r w:rsidR="00293E5B" w:rsidRPr="002B5AEC">
        <w:rPr>
          <w:rFonts w:ascii="Times New Roman" w:hAnsi="Times New Roman"/>
          <w:color w:val="FF0000"/>
        </w:rPr>
        <w:t xml:space="preserve"> as:</w:t>
      </w:r>
    </w:p>
    <w:p w14:paraId="17DBE73B" w14:textId="1956AD9A" w:rsidR="00293E5B" w:rsidRPr="00150CD0" w:rsidRDefault="00293E5B" w:rsidP="00150CD0">
      <w:pPr>
        <w:pStyle w:val="NoSpacing"/>
        <w:rPr>
          <w:color w:val="FF0000"/>
        </w:rPr>
      </w:pPr>
    </w:p>
    <w:p w14:paraId="0027BD99" w14:textId="620BC9A5" w:rsidR="0073573C" w:rsidRPr="00150CD0" w:rsidRDefault="0073573C" w:rsidP="00A468AE">
      <w:pPr>
        <w:pStyle w:val="NoSpacing"/>
        <w:jc w:val="center"/>
        <w:rPr>
          <w:color w:val="FF0000"/>
        </w:rPr>
      </w:pPr>
      <w:r w:rsidRPr="00150CD0">
        <w:rPr>
          <w:noProof/>
          <w:color w:val="FF0000"/>
        </w:rPr>
        <w:drawing>
          <wp:inline distT="0" distB="0" distL="0" distR="0" wp14:anchorId="745517EB" wp14:editId="00E15061">
            <wp:extent cx="1200785" cy="554990"/>
            <wp:effectExtent l="0" t="0" r="0" b="0"/>
            <wp:docPr id="4" name="Picture 4" descr="the reliability for hospital j is equal to the ratio of between-hospital variance and the sum of between and within hospital vari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0785" cy="554990"/>
                    </a:xfrm>
                    <a:prstGeom prst="rect">
                      <a:avLst/>
                    </a:prstGeom>
                    <a:noFill/>
                  </pic:spPr>
                </pic:pic>
              </a:graphicData>
            </a:graphic>
          </wp:inline>
        </w:drawing>
      </w:r>
    </w:p>
    <w:p w14:paraId="1634703E" w14:textId="00F0827B" w:rsidR="00DB6ED1" w:rsidRPr="002B5AEC" w:rsidRDefault="0073573C" w:rsidP="00150CD0">
      <w:pPr>
        <w:pStyle w:val="NoSpacing"/>
        <w:rPr>
          <w:rFonts w:ascii="Times New Roman" w:hAnsi="Times New Roman"/>
          <w:color w:val="FF0000"/>
        </w:rPr>
      </w:pPr>
      <w:r w:rsidRPr="002B5AEC">
        <w:rPr>
          <w:rFonts w:ascii="Times New Roman" w:hAnsi="Times New Roman"/>
          <w:color w:val="FF0000"/>
        </w:rPr>
        <w:t>W</w:t>
      </w:r>
      <w:r w:rsidR="00293E5B" w:rsidRPr="002B5AEC">
        <w:rPr>
          <w:rFonts w:ascii="Times New Roman" w:hAnsi="Times New Roman"/>
          <w:color w:val="FF0000"/>
        </w:rPr>
        <w:t>here</w:t>
      </w:r>
      <w:r w:rsidRPr="002B5AEC">
        <w:rPr>
          <w:rFonts w:ascii="Times New Roman" w:hAnsi="Times New Roman"/>
          <w:color w:val="FF0000"/>
        </w:rPr>
        <w:t xml:space="preserve"> </w:t>
      </w:r>
      <w:r w:rsidRPr="002B5AEC">
        <w:rPr>
          <w:rFonts w:ascii="Times New Roman" w:hAnsi="Times New Roman"/>
          <w:noProof/>
          <w:color w:val="FF0000"/>
        </w:rPr>
        <w:drawing>
          <wp:inline distT="0" distB="0" distL="0" distR="0" wp14:anchorId="003D9092" wp14:editId="1CE838A3">
            <wp:extent cx="190500" cy="199159"/>
            <wp:effectExtent l="0" t="0" r="0" b="0"/>
            <wp:docPr id="2" name="Picture 2" descr="within hospital variance te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9103" cy="218607"/>
                    </a:xfrm>
                    <a:prstGeom prst="rect">
                      <a:avLst/>
                    </a:prstGeom>
                  </pic:spPr>
                </pic:pic>
              </a:graphicData>
            </a:graphic>
          </wp:inline>
        </w:drawing>
      </w:r>
      <w:r w:rsidR="00293E5B" w:rsidRPr="002B5AEC">
        <w:rPr>
          <w:rFonts w:ascii="Times New Roman" w:hAnsi="Times New Roman"/>
          <w:color w:val="FF0000"/>
        </w:rPr>
        <w:t xml:space="preserve">  is the within-hospital variance of the mean measure score of hospital</w:t>
      </w:r>
      <w:r w:rsidRPr="002B5AEC">
        <w:rPr>
          <w:rFonts w:ascii="Times New Roman" w:hAnsi="Times New Roman"/>
          <w:color w:val="FF0000"/>
        </w:rPr>
        <w:t xml:space="preserve"> </w:t>
      </w:r>
      <w:r w:rsidRPr="002B5AEC">
        <w:rPr>
          <w:rFonts w:ascii="Times New Roman" w:hAnsi="Times New Roman"/>
          <w:i/>
          <w:iCs/>
          <w:color w:val="FF0000"/>
        </w:rPr>
        <w:t>j</w:t>
      </w:r>
      <w:r w:rsidRPr="002B5AEC">
        <w:rPr>
          <w:rFonts w:ascii="Times New Roman" w:hAnsi="Times New Roman"/>
          <w:color w:val="FF0000"/>
        </w:rPr>
        <w:t xml:space="preserve"> </w:t>
      </w:r>
      <w:r w:rsidR="00293E5B" w:rsidRPr="002B5AEC">
        <w:rPr>
          <w:rFonts w:ascii="Times New Roman" w:hAnsi="Times New Roman"/>
          <w:color w:val="FF0000"/>
        </w:rPr>
        <w:t xml:space="preserve">, </w:t>
      </w:r>
      <w:r w:rsidR="0085326E" w:rsidRPr="002B5AEC">
        <w:rPr>
          <w:rFonts w:ascii="Times New Roman" w:hAnsi="Times New Roman"/>
          <w:noProof/>
          <w:color w:val="FF0000"/>
        </w:rPr>
        <w:drawing>
          <wp:inline distT="0" distB="0" distL="0" distR="0" wp14:anchorId="4D1D2A4A" wp14:editId="4F22A9AA">
            <wp:extent cx="197511" cy="206698"/>
            <wp:effectExtent l="0" t="0" r="0" b="3175"/>
            <wp:docPr id="3" name="Picture 3" descr="between hospital variance te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1126" cy="210481"/>
                    </a:xfrm>
                    <a:prstGeom prst="rect">
                      <a:avLst/>
                    </a:prstGeom>
                  </pic:spPr>
                </pic:pic>
              </a:graphicData>
            </a:graphic>
          </wp:inline>
        </w:drawing>
      </w:r>
      <w:r w:rsidR="00293E5B" w:rsidRPr="002B5AEC">
        <w:rPr>
          <w:rFonts w:ascii="Times New Roman" w:hAnsi="Times New Roman"/>
          <w:color w:val="FF0000"/>
        </w:rPr>
        <w:t>is the between-hospital variance, and the measure’s reliability score for hospital</w:t>
      </w:r>
      <w:r w:rsidRPr="002B5AEC">
        <w:rPr>
          <w:rFonts w:ascii="Times New Roman" w:hAnsi="Times New Roman"/>
          <w:color w:val="FF0000"/>
        </w:rPr>
        <w:t xml:space="preserve"> </w:t>
      </w:r>
      <w:r w:rsidRPr="002B5AEC">
        <w:rPr>
          <w:rFonts w:ascii="Times New Roman" w:hAnsi="Times New Roman"/>
          <w:i/>
          <w:iCs/>
          <w:color w:val="FF0000"/>
        </w:rPr>
        <w:t>j</w:t>
      </w:r>
      <w:r w:rsidRPr="002B5AEC">
        <w:rPr>
          <w:rFonts w:ascii="Times New Roman" w:hAnsi="Times New Roman"/>
          <w:color w:val="FF0000"/>
        </w:rPr>
        <w:t xml:space="preserve">, </w:t>
      </w:r>
      <w:r w:rsidRPr="002B5AEC">
        <w:rPr>
          <w:rFonts w:ascii="Times New Roman" w:hAnsi="Times New Roman"/>
          <w:noProof/>
          <w:color w:val="FF0000"/>
        </w:rPr>
        <w:drawing>
          <wp:inline distT="0" distB="0" distL="0" distR="0" wp14:anchorId="047A0A71" wp14:editId="7C802BB3">
            <wp:extent cx="160934" cy="195072"/>
            <wp:effectExtent l="0" t="0" r="0" b="0"/>
            <wp:docPr id="1" name="Picture 1" descr="reliability score for hospital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4527" cy="211548"/>
                    </a:xfrm>
                    <a:prstGeom prst="rect">
                      <a:avLst/>
                    </a:prstGeom>
                  </pic:spPr>
                </pic:pic>
              </a:graphicData>
            </a:graphic>
          </wp:inline>
        </w:drawing>
      </w:r>
      <w:r w:rsidR="0085326E" w:rsidRPr="002B5AEC">
        <w:rPr>
          <w:rFonts w:ascii="Times New Roman" w:hAnsi="Times New Roman"/>
          <w:color w:val="FF0000"/>
        </w:rPr>
        <w:t xml:space="preserve"> </w:t>
      </w:r>
      <w:r w:rsidR="00293E5B" w:rsidRPr="002B5AEC">
        <w:rPr>
          <w:rFonts w:ascii="Times New Roman" w:hAnsi="Times New Roman"/>
          <w:color w:val="FF0000"/>
        </w:rPr>
        <w:t>is calculated as the ratio of between-group variance to the sum of between-group variance and within-group variance. The closer a reliability score is to 1.0, the larger the between-group variance is relative to the within-group variance, the greater the suggestion that the measure is capturing the systematic differences between hospitals.</w:t>
      </w:r>
    </w:p>
    <w:p w14:paraId="281DF310" w14:textId="133BEAA9" w:rsidR="00293E5B" w:rsidRPr="002B5AEC" w:rsidRDefault="00293E5B" w:rsidP="00150CD0">
      <w:pPr>
        <w:pStyle w:val="NoSpacing"/>
        <w:rPr>
          <w:rFonts w:ascii="Times New Roman" w:hAnsi="Times New Roman"/>
          <w:color w:val="FF0000"/>
        </w:rPr>
      </w:pPr>
    </w:p>
    <w:p w14:paraId="6A32BC82" w14:textId="69D6E22B" w:rsidR="00293E5B" w:rsidRPr="002B5AEC" w:rsidRDefault="004A222B" w:rsidP="00150CD0">
      <w:pPr>
        <w:pStyle w:val="NoSpacing"/>
        <w:rPr>
          <w:rFonts w:ascii="Times New Roman" w:hAnsi="Times New Roman"/>
          <w:bCs/>
          <w:color w:val="FF0000"/>
        </w:rPr>
      </w:pPr>
      <w:r w:rsidRPr="002B5AEC">
        <w:rPr>
          <w:rFonts w:ascii="Times New Roman" w:hAnsi="Times New Roman"/>
          <w:b/>
          <w:color w:val="FF0000"/>
        </w:rPr>
        <w:t>Multi-</w:t>
      </w:r>
      <w:r w:rsidR="00DB3AFD" w:rsidRPr="002B5AEC">
        <w:rPr>
          <w:rFonts w:ascii="Times New Roman" w:hAnsi="Times New Roman"/>
          <w:b/>
          <w:color w:val="FF0000"/>
        </w:rPr>
        <w:t>Sample Reliability Testing</w:t>
      </w:r>
      <w:r w:rsidR="00DB3AFD" w:rsidRPr="002B5AEC">
        <w:rPr>
          <w:rFonts w:ascii="Times New Roman" w:hAnsi="Times New Roman"/>
          <w:color w:val="FF0000"/>
        </w:rPr>
        <w:t xml:space="preserve">: </w:t>
      </w:r>
      <w:r w:rsidR="00293E5B" w:rsidRPr="002B5AEC">
        <w:rPr>
          <w:rFonts w:ascii="Times New Roman" w:hAnsi="Times New Roman"/>
          <w:color w:val="FF0000"/>
        </w:rPr>
        <w:t xml:space="preserve">Our </w:t>
      </w:r>
      <w:r w:rsidRPr="002B5AEC">
        <w:rPr>
          <w:rFonts w:ascii="Times New Roman" w:hAnsi="Times New Roman"/>
          <w:color w:val="FF0000"/>
        </w:rPr>
        <w:t>multi</w:t>
      </w:r>
      <w:r w:rsidR="00293E5B" w:rsidRPr="002B5AEC">
        <w:rPr>
          <w:rFonts w:ascii="Times New Roman" w:hAnsi="Times New Roman"/>
          <w:color w:val="FF0000"/>
        </w:rPr>
        <w:t xml:space="preserve">-sample testing </w:t>
      </w:r>
      <w:r w:rsidR="00293E5B" w:rsidRPr="002B5AEC">
        <w:rPr>
          <w:rFonts w:ascii="Times New Roman" w:hAnsi="Times New Roman"/>
          <w:bCs/>
          <w:color w:val="FF0000"/>
        </w:rPr>
        <w:t xml:space="preserve">examined agreement between two hospital measure scores </w:t>
      </w:r>
      <w:r w:rsidRPr="002B5AEC">
        <w:rPr>
          <w:rFonts w:ascii="Times New Roman" w:hAnsi="Times New Roman"/>
          <w:bCs/>
          <w:color w:val="FF0000"/>
        </w:rPr>
        <w:t>from</w:t>
      </w:r>
      <w:r w:rsidR="00293E5B" w:rsidRPr="002B5AEC">
        <w:rPr>
          <w:rFonts w:ascii="Times New Roman" w:hAnsi="Times New Roman"/>
          <w:bCs/>
          <w:color w:val="FF0000"/>
        </w:rPr>
        <w:t xml:space="preserve"> (1) a randomly split set of episodes in the 2018 performance period and (2) </w:t>
      </w:r>
      <w:r w:rsidRPr="002B5AEC">
        <w:rPr>
          <w:rFonts w:ascii="Times New Roman" w:hAnsi="Times New Roman"/>
          <w:bCs/>
          <w:color w:val="FF0000"/>
        </w:rPr>
        <w:t xml:space="preserve">the </w:t>
      </w:r>
      <w:r w:rsidR="00293E5B" w:rsidRPr="002B5AEC">
        <w:rPr>
          <w:rFonts w:ascii="Times New Roman" w:hAnsi="Times New Roman"/>
          <w:bCs/>
          <w:color w:val="FF0000"/>
        </w:rPr>
        <w:t xml:space="preserve">2018 and 2017 performance periods. Only providers meeting an episode minimum of 25 episodes in studied samples were included. </w:t>
      </w:r>
      <w:r w:rsidR="00F1507D" w:rsidRPr="002B5AEC">
        <w:rPr>
          <w:rFonts w:ascii="Times New Roman" w:hAnsi="Times New Roman"/>
          <w:bCs/>
          <w:color w:val="FF0000"/>
        </w:rPr>
        <w:t xml:space="preserve">We analyzed score agreement from Pearson, Spearman, and Shrout-Fleiss intraclass correlation coefficients </w:t>
      </w:r>
      <w:proofErr w:type="gramStart"/>
      <w:r w:rsidR="00F1507D" w:rsidRPr="002B5AEC">
        <w:rPr>
          <w:rFonts w:ascii="Times New Roman" w:hAnsi="Times New Roman"/>
          <w:bCs/>
          <w:color w:val="FF0000"/>
        </w:rPr>
        <w:t>ICC(</w:t>
      </w:r>
      <w:proofErr w:type="gramEnd"/>
      <w:r w:rsidR="00F1507D" w:rsidRPr="002B5AEC">
        <w:rPr>
          <w:rFonts w:ascii="Times New Roman" w:hAnsi="Times New Roman"/>
          <w:bCs/>
          <w:color w:val="FF0000"/>
        </w:rPr>
        <w:t>2,1)</w:t>
      </w:r>
      <w:r w:rsidR="00F02A71" w:rsidRPr="002B5AEC">
        <w:rPr>
          <w:rFonts w:ascii="Times New Roman" w:hAnsi="Times New Roman"/>
          <w:bCs/>
          <w:color w:val="FF0000"/>
        </w:rPr>
        <w:t>. C</w:t>
      </w:r>
      <w:r w:rsidR="00F1507D" w:rsidRPr="002B5AEC">
        <w:rPr>
          <w:rFonts w:ascii="Times New Roman" w:hAnsi="Times New Roman"/>
          <w:bCs/>
          <w:color w:val="FF0000"/>
        </w:rPr>
        <w:t xml:space="preserve">oefficients close to 1.0 </w:t>
      </w:r>
      <w:r w:rsidR="00F02A71" w:rsidRPr="002B5AEC">
        <w:rPr>
          <w:rFonts w:ascii="Times New Roman" w:hAnsi="Times New Roman"/>
          <w:bCs/>
          <w:color w:val="FF0000"/>
        </w:rPr>
        <w:t xml:space="preserve">indicate </w:t>
      </w:r>
      <w:r w:rsidR="00F1507D" w:rsidRPr="002B5AEC">
        <w:rPr>
          <w:rFonts w:ascii="Times New Roman" w:hAnsi="Times New Roman"/>
          <w:bCs/>
          <w:color w:val="FF0000"/>
        </w:rPr>
        <w:t>high agreement in scoring between samples</w:t>
      </w:r>
      <w:r w:rsidRPr="002B5AEC">
        <w:rPr>
          <w:rFonts w:ascii="Times New Roman" w:hAnsi="Times New Roman"/>
          <w:bCs/>
          <w:color w:val="FF0000"/>
        </w:rPr>
        <w:t xml:space="preserve"> and </w:t>
      </w:r>
      <w:r w:rsidR="00F02A71" w:rsidRPr="002B5AEC">
        <w:rPr>
          <w:rFonts w:ascii="Times New Roman" w:hAnsi="Times New Roman"/>
          <w:bCs/>
          <w:color w:val="FF0000"/>
        </w:rPr>
        <w:t xml:space="preserve">suggest that </w:t>
      </w:r>
      <w:r w:rsidR="001D744F" w:rsidRPr="002B5AEC">
        <w:rPr>
          <w:rFonts w:ascii="Times New Roman" w:hAnsi="Times New Roman"/>
          <w:bCs/>
          <w:color w:val="FF0000"/>
        </w:rPr>
        <w:t>performance score</w:t>
      </w:r>
      <w:r w:rsidR="00293E5B" w:rsidRPr="002B5AEC">
        <w:rPr>
          <w:rFonts w:ascii="Times New Roman" w:hAnsi="Times New Roman"/>
          <w:bCs/>
          <w:color w:val="FF0000"/>
        </w:rPr>
        <w:t xml:space="preserve">s are identified </w:t>
      </w:r>
      <w:r w:rsidR="001D744F" w:rsidRPr="002B5AEC">
        <w:rPr>
          <w:rFonts w:ascii="Times New Roman" w:hAnsi="Times New Roman"/>
          <w:bCs/>
          <w:color w:val="FF0000"/>
        </w:rPr>
        <w:t xml:space="preserve">more </w:t>
      </w:r>
      <w:r w:rsidR="00293E5B" w:rsidRPr="002B5AEC">
        <w:rPr>
          <w:rFonts w:ascii="Times New Roman" w:hAnsi="Times New Roman"/>
          <w:bCs/>
          <w:color w:val="FF0000"/>
        </w:rPr>
        <w:t>by provider</w:t>
      </w:r>
      <w:r w:rsidR="001D744F" w:rsidRPr="002B5AEC">
        <w:rPr>
          <w:rFonts w:ascii="Times New Roman" w:hAnsi="Times New Roman"/>
          <w:bCs/>
          <w:color w:val="FF0000"/>
        </w:rPr>
        <w:t xml:space="preserve"> characteristics, like efficiency of care, than </w:t>
      </w:r>
      <w:r w:rsidR="00293E5B" w:rsidRPr="002B5AEC">
        <w:rPr>
          <w:rFonts w:ascii="Times New Roman" w:hAnsi="Times New Roman"/>
          <w:bCs/>
          <w:color w:val="FF0000"/>
        </w:rPr>
        <w:t xml:space="preserve">by </w:t>
      </w:r>
      <w:r w:rsidR="001D744F" w:rsidRPr="002B5AEC">
        <w:rPr>
          <w:rFonts w:ascii="Times New Roman" w:hAnsi="Times New Roman"/>
          <w:bCs/>
          <w:color w:val="FF0000"/>
        </w:rPr>
        <w:t xml:space="preserve">random variation. </w:t>
      </w:r>
    </w:p>
    <w:p w14:paraId="0B8A19A5" w14:textId="77777777" w:rsidR="00293E5B" w:rsidRDefault="00293E5B" w:rsidP="00150CD0">
      <w:pPr>
        <w:pStyle w:val="NoSpacing"/>
        <w:rPr>
          <w:bCs/>
          <w:color w:val="0070C0"/>
        </w:rPr>
      </w:pPr>
    </w:p>
    <w:p w14:paraId="30370C8B" w14:textId="2FFD3D1D" w:rsidR="006D0F8C" w:rsidRDefault="006D0F8C" w:rsidP="00150CD0">
      <w:pPr>
        <w:pStyle w:val="NoSpacing"/>
      </w:pPr>
      <w:r w:rsidRPr="00150CD0">
        <w:rPr>
          <w:iCs/>
          <w:u w:val="single"/>
        </w:rPr>
        <w:t>Previous Response (2016):</w:t>
      </w:r>
      <w:r w:rsidR="00666D77" w:rsidRPr="00666D77">
        <w:rPr>
          <w:b/>
          <w:bCs/>
          <w:iCs/>
        </w:rPr>
        <w:t xml:space="preserve"> </w:t>
      </w:r>
      <w:r w:rsidRPr="00CD6B52">
        <w:rPr>
          <w:i/>
        </w:rPr>
        <w:t>Data Element Reliability</w:t>
      </w:r>
      <w:r w:rsidRPr="00CD6B52">
        <w:t>: To construct the MSPB-Hospital measure, Acumen uses CMS claims data.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  Specifically, CMS works with Program Safeguard Contractors (PSCs)/Zone Program Integrity Contractors (ZPICs) to ensure program integrity; the agency also uses Comprehensive Error Rate Testing (CERT) Contractors to ensure that Medicare payments are correct.  Between 2005 and 2015, CERT estimates that proper payment, which is payments that met Medicare coverage, coding, and billing rules, ranged from 87.3 to 96.4 percent of total payments each year.</w:t>
      </w:r>
      <w:r w:rsidRPr="00CD6B52">
        <w:rPr>
          <w:rStyle w:val="FootnoteReference"/>
          <w:rFonts w:ascii="Times New Roman" w:hAnsi="Times New Roman"/>
        </w:rPr>
        <w:footnoteReference w:id="5"/>
      </w:r>
      <w:r w:rsidRPr="00CD6B52">
        <w:t xml:space="preserve">   CMS continues to perform successful corrective actions and give providers additional education to ensure accurate billing.  To </w:t>
      </w:r>
      <w:r w:rsidRPr="00CD6B52">
        <w:lastRenderedPageBreak/>
        <w:t>ensure claims completeness and inclusion of any corrections, the measure is calculated using data with a 3 month claims run-out from the end of the performance period.</w:t>
      </w:r>
    </w:p>
    <w:p w14:paraId="211E614C" w14:textId="77777777" w:rsidR="00150CD0" w:rsidRPr="00CD6B52" w:rsidRDefault="00150CD0" w:rsidP="00150CD0">
      <w:pPr>
        <w:pStyle w:val="NoSpacing"/>
        <w:rPr>
          <w:b/>
          <w:bCs/>
          <w:iCs/>
        </w:rPr>
      </w:pPr>
    </w:p>
    <w:p w14:paraId="66A4E4DA" w14:textId="25875955" w:rsidR="006D0F8C" w:rsidRDefault="006D0F8C" w:rsidP="00150CD0">
      <w:pPr>
        <w:pStyle w:val="NoSpacing"/>
      </w:pPr>
      <w:r w:rsidRPr="00CD6B52">
        <w:rPr>
          <w:i/>
        </w:rPr>
        <w:t>Measure Reliability</w:t>
      </w:r>
      <w:r w:rsidRPr="00CD6B52">
        <w:t xml:space="preserve">: Measure reliability is the degree to which repeated measurements of the same entity agree with each other.  For measures of hospital performance, the measured entity is the hospital, and reliability is the extent to which repeated measurements of the same hospital give similar results.  To estimate measure reliability, we utilize two approaches: (1) Test/Retest and (2) Reliability Score.  </w:t>
      </w:r>
    </w:p>
    <w:p w14:paraId="547AD89C" w14:textId="77777777" w:rsidR="00150CD0" w:rsidRPr="00CD6B52" w:rsidRDefault="00150CD0" w:rsidP="00150CD0">
      <w:pPr>
        <w:pStyle w:val="NoSpacing"/>
      </w:pPr>
    </w:p>
    <w:p w14:paraId="5EEC66BF" w14:textId="77777777" w:rsidR="006D0F8C" w:rsidRPr="00CD6B52" w:rsidRDefault="006D0F8C" w:rsidP="00150CD0">
      <w:pPr>
        <w:pStyle w:val="NoSpacing"/>
      </w:pPr>
      <w:r w:rsidRPr="00CD6B52">
        <w:t>Our first approach to assess reliability is to consider the extent to which assessments of a hospital using unique sets of episodes produce similar measures of hospital performance.  That is, we take a “test-retest” approach in which hospital performance is measured using two sets of episodes.  We examine the correlation and quintile rank stability between a hospital’s MSPB-Hospital scores calculated from both samples.  By comparing the correlation of a hospital’s MSPB measure calculated using the two mutually exclusive samples, one can identify the relationship of a hospital’s score across samples.  For this analysis, Acumen performed two separate test/retest investigations: comparing two random subsets of episodes from 2015, and comparing the set of 2015 episodes to the set of 2014 episodes.  Both investigations sought to identify the reliability of a hospital’s score across samples.</w:t>
      </w:r>
    </w:p>
    <w:p w14:paraId="2E2E8847" w14:textId="07D4C47F" w:rsidR="006D0F8C" w:rsidRDefault="006D0F8C" w:rsidP="00150CD0">
      <w:pPr>
        <w:pStyle w:val="NoSpacing"/>
      </w:pPr>
      <w:r w:rsidRPr="00CD6B52">
        <w:t xml:space="preserve">Our second approach calculates reliability scores as: </w:t>
      </w:r>
      <w:r w:rsidR="00855B66">
        <w:rPr>
          <w:noProof/>
        </w:rPr>
        <w:drawing>
          <wp:inline distT="0" distB="0" distL="0" distR="0" wp14:anchorId="1E8816A5" wp14:editId="725E80F7">
            <wp:extent cx="1376624" cy="222341"/>
            <wp:effectExtent l="0" t="0" r="0" b="6350"/>
            <wp:docPr id="5" name="Picture 5" descr="The reliability score for hospital j is the ratio of the between hospital variance and the sum of the between and within hospital vari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52432" cy="234585"/>
                    </a:xfrm>
                    <a:prstGeom prst="rect">
                      <a:avLst/>
                    </a:prstGeom>
                  </pic:spPr>
                </pic:pic>
              </a:graphicData>
            </a:graphic>
          </wp:inline>
        </w:drawing>
      </w:r>
      <w:r w:rsidRPr="00CD6B52">
        <w:t xml:space="preserve">where </w:t>
      </w:r>
      <w:proofErr w:type="gramStart"/>
      <w:r w:rsidRPr="00CD6B52">
        <w:rPr>
          <w:i/>
        </w:rPr>
        <w:t>R</w:t>
      </w:r>
      <w:r w:rsidRPr="00CD6B52">
        <w:rPr>
          <w:i/>
          <w:vertAlign w:val="subscript"/>
        </w:rPr>
        <w:t>j</w:t>
      </w:r>
      <w:proofErr w:type="gramEnd"/>
      <w:r w:rsidRPr="00CD6B52">
        <w:t xml:space="preserve"> is the reliability for hospital </w:t>
      </w:r>
      <w:r w:rsidRPr="00CD6B52">
        <w:rPr>
          <w:i/>
        </w:rPr>
        <w:t>j</w:t>
      </w:r>
      <w:r w:rsidRPr="00CD6B52">
        <w:t xml:space="preserve">, </w:t>
      </w:r>
      <w:r w:rsidRPr="00CD6B52">
        <w:rPr>
          <w:i/>
        </w:rPr>
        <w:t>V</w:t>
      </w:r>
      <w:r w:rsidRPr="00CD6B52">
        <w:rPr>
          <w:i/>
          <w:vertAlign w:val="subscript"/>
        </w:rPr>
        <w:t>b</w:t>
      </w:r>
      <w:r w:rsidRPr="00CD6B52">
        <w:t xml:space="preserve"> is the between hospital variance, </w:t>
      </w:r>
      <w:r w:rsidR="00B12B8A">
        <w:rPr>
          <w:noProof/>
        </w:rPr>
        <w:drawing>
          <wp:inline distT="0" distB="0" distL="0" distR="0" wp14:anchorId="04727461" wp14:editId="293D2952">
            <wp:extent cx="175847" cy="193003"/>
            <wp:effectExtent l="0" t="0" r="0" b="0"/>
            <wp:docPr id="7" name="Picture 7" descr="term for the within hospital variance of hospital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3561" cy="201469"/>
                    </a:xfrm>
                    <a:prstGeom prst="rect">
                      <a:avLst/>
                    </a:prstGeom>
                  </pic:spPr>
                </pic:pic>
              </a:graphicData>
            </a:graphic>
          </wp:inline>
        </w:drawing>
      </w:r>
      <w:r w:rsidRPr="00CD6B52">
        <w:t xml:space="preserve">is the within hospital variance for hospital </w:t>
      </w:r>
      <w:r w:rsidRPr="00CD6B52">
        <w:rPr>
          <w:i/>
        </w:rPr>
        <w:t>j</w:t>
      </w:r>
      <w:r w:rsidRPr="00CD6B52">
        <w:t xml:space="preserve">, and </w:t>
      </w:r>
      <w:r w:rsidRPr="00CD6B52">
        <w:rPr>
          <w:i/>
        </w:rPr>
        <w:t>n</w:t>
      </w:r>
      <w:r w:rsidRPr="00CD6B52">
        <w:rPr>
          <w:i/>
          <w:vertAlign w:val="subscript"/>
        </w:rPr>
        <w:t>j</w:t>
      </w:r>
      <w:r w:rsidRPr="00CD6B52">
        <w:t xml:space="preserve"> is the number of MSPB episodes for hospital </w:t>
      </w:r>
      <w:r w:rsidRPr="00CD6B52">
        <w:rPr>
          <w:i/>
        </w:rPr>
        <w:t>j</w:t>
      </w:r>
      <w:r w:rsidRPr="00CD6B52">
        <w:t xml:space="preserve">.  This analysis seeks to determine the extent to which variation in the measure is due to true, underlying hospital performance rather than random variation (i.e. statistical noise) within hospitals due to the sample of cases observed.  </w:t>
      </w:r>
    </w:p>
    <w:p w14:paraId="0882FE3A" w14:textId="77777777" w:rsidR="00150CD0" w:rsidRPr="00CD6B52" w:rsidRDefault="00150CD0" w:rsidP="00150CD0">
      <w:pPr>
        <w:pStyle w:val="NoSpacing"/>
      </w:pPr>
    </w:p>
    <w:p w14:paraId="005255E3" w14:textId="245FB27E" w:rsidR="006D0F8C" w:rsidRDefault="006D0F8C" w:rsidP="00150CD0">
      <w:pPr>
        <w:pStyle w:val="NoSpacing"/>
        <w:rPr>
          <w:iCs/>
        </w:rPr>
      </w:pPr>
      <w:r w:rsidRPr="00150CD0">
        <w:rPr>
          <w:bCs/>
          <w:iCs/>
          <w:u w:val="single"/>
        </w:rPr>
        <w:t>Previous response (2013):</w:t>
      </w:r>
      <w:r w:rsidRPr="00CD6B52">
        <w:rPr>
          <w:b/>
          <w:iCs/>
          <w:u w:val="single"/>
        </w:rPr>
        <w:t xml:space="preserve"> </w:t>
      </w:r>
      <w:r w:rsidRPr="00CD6B52">
        <w:rPr>
          <w:iCs/>
        </w:rPr>
        <w:t xml:space="preserve">Data Element Reliability: Due to CMS’s extensive auditing program, we believe that patient demographics, diagnostic information, and payment information are very reliable.  As described in F.4., CMS uses various auditing programs used to assess overall claims code accuracy, to ensure appropriate billing, and for overpayment recoupment.  CMS also routinely conducts data analysis to identify potential problem areas and detect fraud, and audits important data fields used in our measures. </w:t>
      </w:r>
    </w:p>
    <w:p w14:paraId="064F40D4" w14:textId="77777777" w:rsidR="00150CD0" w:rsidRPr="00CD6B52" w:rsidRDefault="00150CD0" w:rsidP="00150CD0">
      <w:pPr>
        <w:pStyle w:val="NoSpacing"/>
        <w:rPr>
          <w:iCs/>
        </w:rPr>
      </w:pPr>
    </w:p>
    <w:p w14:paraId="71B59292" w14:textId="77777777" w:rsidR="006D0F8C" w:rsidRPr="00CD6B52" w:rsidRDefault="006D0F8C" w:rsidP="00150CD0">
      <w:pPr>
        <w:pStyle w:val="NoSpacing"/>
        <w:rPr>
          <w:iCs/>
        </w:rPr>
      </w:pPr>
      <w:r w:rsidRPr="00CD6B52">
        <w:rPr>
          <w:iCs/>
        </w:rPr>
        <w:t xml:space="preserve">Measure Reliability: 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To estimate measure reliability, we utilize four approaches: (1) Test/Retest, (2) Seasonality, (3) Reliability Score, and (4) </w:t>
      </w:r>
      <w:proofErr w:type="gramStart"/>
      <w:r w:rsidRPr="00CD6B52">
        <w:rPr>
          <w:iCs/>
        </w:rPr>
        <w:t>Bootstrapping</w:t>
      </w:r>
      <w:proofErr w:type="gramEnd"/>
      <w:r w:rsidRPr="00CD6B52">
        <w:rPr>
          <w:iCs/>
        </w:rPr>
        <w:t xml:space="preserve">.  </w:t>
      </w:r>
    </w:p>
    <w:p w14:paraId="5DC4D237" w14:textId="2976A935" w:rsidR="006D0F8C" w:rsidRDefault="006D0F8C" w:rsidP="00150CD0">
      <w:pPr>
        <w:pStyle w:val="NoSpacing"/>
        <w:rPr>
          <w:iCs/>
        </w:rPr>
      </w:pPr>
      <w:r w:rsidRPr="00CD6B52">
        <w:rPr>
          <w:iCs/>
        </w:rPr>
        <w:t xml:space="preserve">Our first approach to assessing reliability is to consider the extent to which assessments of a hospital using different but randomly selected subsets of patients produces similar measures of hospital performance.  That is, we take a “test-retest” approach in which hospital performance is measured once using a random subset of patients, then measured again using a second subset (over the same time period) that excludes the MSPB episodes chosen for the first sample.  We examine the correlation, and quintile rank stability between a hospital’s MSPB scores calculated from both samples.  </w:t>
      </w:r>
    </w:p>
    <w:p w14:paraId="484625D4" w14:textId="77777777" w:rsidR="00150CD0" w:rsidRPr="00CD6B52" w:rsidRDefault="00150CD0" w:rsidP="00150CD0">
      <w:pPr>
        <w:pStyle w:val="NoSpacing"/>
        <w:rPr>
          <w:iCs/>
        </w:rPr>
      </w:pPr>
    </w:p>
    <w:p w14:paraId="22583F0C" w14:textId="77777777" w:rsidR="00666D77" w:rsidRDefault="006D0F8C" w:rsidP="00150CD0">
      <w:pPr>
        <w:pStyle w:val="NoSpacing"/>
        <w:rPr>
          <w:iCs/>
        </w:rPr>
      </w:pPr>
      <w:r w:rsidRPr="00CD6B52">
        <w:rPr>
          <w:iCs/>
        </w:rPr>
        <w:t xml:space="preserve">Second, because the MSPB Measure values reported on Hospital Compare in April 2012 use Medicare claims data from May through February, Acumen conducted a seasonality analysis to examine how MS-DRGs change within a year.  Providers that efficiently treat specific DRGs may receive higher MSPB Measure values during a season where the DRG occurs frequently and lower MSPB Measure values </w:t>
      </w:r>
      <w:r w:rsidRPr="00CD6B52">
        <w:rPr>
          <w:iCs/>
        </w:rPr>
        <w:lastRenderedPageBreak/>
        <w:t>during a season where the DRG occurs less frequently.  For this specific analysis, we split inpatient claims data with through date in 2010 into two categories: claims with through dates from January through April and claims with through dates from May through December.</w:t>
      </w:r>
      <w:r w:rsidR="00666D77">
        <w:rPr>
          <w:iCs/>
        </w:rPr>
        <w:t xml:space="preserve"> </w:t>
      </w:r>
    </w:p>
    <w:p w14:paraId="3CAB5CB2" w14:textId="77777777" w:rsidR="00150CD0" w:rsidRDefault="00150CD0" w:rsidP="00150CD0">
      <w:pPr>
        <w:pStyle w:val="NoSpacing"/>
        <w:rPr>
          <w:iCs/>
        </w:rPr>
      </w:pPr>
    </w:p>
    <w:p w14:paraId="32ACA61D" w14:textId="46260C1C" w:rsidR="006D0F8C" w:rsidRPr="00CD6B52" w:rsidRDefault="006D0F8C" w:rsidP="00150CD0">
      <w:pPr>
        <w:pStyle w:val="NoSpacing"/>
        <w:rPr>
          <w:iCs/>
        </w:rPr>
      </w:pPr>
      <w:r w:rsidRPr="00CD6B52">
        <w:rPr>
          <w:iCs/>
        </w:rPr>
        <w:t xml:space="preserve">Our third approach calculates reliability scores as: </w:t>
      </w:r>
      <w:r w:rsidR="00855B66">
        <w:rPr>
          <w:noProof/>
        </w:rPr>
        <w:drawing>
          <wp:inline distT="0" distB="0" distL="0" distR="0" wp14:anchorId="02E427FD" wp14:editId="05DED19B">
            <wp:extent cx="1376624" cy="222341"/>
            <wp:effectExtent l="0" t="0" r="0" b="6350"/>
            <wp:docPr id="6" name="Picture 6" descr="The reliability score for hospital j is the ratio of the between hospital variance and the sum of the between and within hospital vari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452432" cy="234585"/>
                    </a:xfrm>
                    <a:prstGeom prst="rect">
                      <a:avLst/>
                    </a:prstGeom>
                  </pic:spPr>
                </pic:pic>
              </a:graphicData>
            </a:graphic>
          </wp:inline>
        </w:drawing>
      </w:r>
      <w:r w:rsidRPr="00CD6B52">
        <w:rPr>
          <w:iCs/>
        </w:rPr>
        <w:t xml:space="preserve">where </w:t>
      </w:r>
      <w:proofErr w:type="gramStart"/>
      <w:r w:rsidRPr="00CD6B52">
        <w:rPr>
          <w:iCs/>
        </w:rPr>
        <w:t>R</w:t>
      </w:r>
      <w:r w:rsidRPr="00CD6B52">
        <w:rPr>
          <w:iCs/>
          <w:vertAlign w:val="subscript"/>
        </w:rPr>
        <w:t>j</w:t>
      </w:r>
      <w:proofErr w:type="gramEnd"/>
      <w:r w:rsidRPr="00CD6B52">
        <w:rPr>
          <w:iCs/>
        </w:rPr>
        <w:t xml:space="preserve"> is the reliability for Hospital j, V</w:t>
      </w:r>
      <w:r w:rsidRPr="00CD6B52">
        <w:rPr>
          <w:iCs/>
          <w:vertAlign w:val="subscript"/>
        </w:rPr>
        <w:t>b</w:t>
      </w:r>
      <w:r w:rsidRPr="00CD6B52">
        <w:rPr>
          <w:iCs/>
        </w:rPr>
        <w:t xml:space="preserve"> is the between hospital variance, </w:t>
      </w:r>
      <w:r w:rsidR="00B12B8A">
        <w:rPr>
          <w:noProof/>
        </w:rPr>
        <w:drawing>
          <wp:inline distT="0" distB="0" distL="0" distR="0" wp14:anchorId="6E776089" wp14:editId="74BF6A5E">
            <wp:extent cx="175847" cy="193003"/>
            <wp:effectExtent l="0" t="0" r="0" b="0"/>
            <wp:docPr id="8" name="Picture 8" descr="term for the within hospital variance of hospital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3561" cy="201469"/>
                    </a:xfrm>
                    <a:prstGeom prst="rect">
                      <a:avLst/>
                    </a:prstGeom>
                  </pic:spPr>
                </pic:pic>
              </a:graphicData>
            </a:graphic>
          </wp:inline>
        </w:drawing>
      </w:r>
      <w:r w:rsidRPr="00CD6B52">
        <w:rPr>
          <w:iCs/>
        </w:rPr>
        <w:t>is the within hospital variance for hospital j, and n</w:t>
      </w:r>
      <w:r w:rsidRPr="00CD6B52">
        <w:rPr>
          <w:iCs/>
          <w:vertAlign w:val="subscript"/>
        </w:rPr>
        <w:t>j</w:t>
      </w:r>
      <w:r w:rsidRPr="00CD6B52">
        <w:rPr>
          <w:iCs/>
        </w:rPr>
        <w:t xml:space="preserve"> is the number of MSPB episodes for hospital j.</w:t>
      </w:r>
    </w:p>
    <w:p w14:paraId="001E656F" w14:textId="77777777" w:rsidR="00150CD0" w:rsidRDefault="00150CD0" w:rsidP="00150CD0">
      <w:pPr>
        <w:pStyle w:val="NoSpacing"/>
        <w:rPr>
          <w:iCs/>
        </w:rPr>
      </w:pPr>
    </w:p>
    <w:p w14:paraId="246D74FD" w14:textId="5B3E4D0A" w:rsidR="006D0F8C" w:rsidRPr="00CD6B52" w:rsidRDefault="006D0F8C" w:rsidP="00150CD0">
      <w:pPr>
        <w:pStyle w:val="NoSpacing"/>
        <w:rPr>
          <w:iCs/>
        </w:rPr>
      </w:pPr>
      <w:r w:rsidRPr="00CD6B52">
        <w:rPr>
          <w:iCs/>
        </w:rPr>
        <w:t>Fourth, Acumen measured how reliability varies based on the number of MSPB episodes a hospital is assigned.  This fourth analysis is divided into two parts.  The first evaluates how the number of MSPB episodes a hospital receives affects its 95 percent confidence interval. This analysis also informs how CMS should set the minimum number of episode required for public reporting purposes.  When increasing the threshold for the minimum number of cases (or hereafter referred to as ‘episode’), one decreases the likelihood an outlier episode</w:t>
      </w:r>
      <w:r w:rsidRPr="00CD6B52">
        <w:rPr>
          <w:rStyle w:val="FootnoteReference"/>
          <w:rFonts w:ascii="Times New Roman" w:hAnsi="Times New Roman"/>
          <w:iCs/>
        </w:rPr>
        <w:footnoteReference w:id="6"/>
      </w:r>
      <w:r w:rsidRPr="00CD6B52">
        <w:rPr>
          <w:iCs/>
        </w:rPr>
        <w:t xml:space="preserve"> materially affects a hospital’s MSPB score, but also decreases the number of hospitals able to publicly report their MSPB Measure.</w:t>
      </w:r>
    </w:p>
    <w:p w14:paraId="162DC835" w14:textId="1510004B" w:rsidR="006D0F8C" w:rsidRDefault="006D0F8C" w:rsidP="00150CD0">
      <w:pPr>
        <w:pStyle w:val="NoSpacing"/>
        <w:rPr>
          <w:iCs/>
        </w:rPr>
      </w:pPr>
      <w:r w:rsidRPr="00CD6B52">
        <w:rPr>
          <w:iCs/>
        </w:rPr>
        <w:t>Whereas determining the number of hospitals that would be dropped when the minimum episode threshold increases is straight-forward, our second approach for measuring the effect of the minimum episode threshold on the MSPB confidence interval requires additional explanation.  Typically, confidence intervals are constructed for commonly used quantities, such as the sample mean in which the distribution of the sample quantity is known, and can be used in the interval calculation.  However, the MSPB score is a ratio of weighted means and does not have an easily identifiable statistic that corresponds to dispersion.  Further, the MSPB score is not normally distributed, and typical measures of the dispersion of a distribution—such as the standard deviation—will not fully characterize the variation in the MSPB distribution.</w:t>
      </w:r>
    </w:p>
    <w:p w14:paraId="21E7F8BE" w14:textId="77777777" w:rsidR="00150CD0" w:rsidRPr="00CD6B52" w:rsidRDefault="00150CD0" w:rsidP="00150CD0">
      <w:pPr>
        <w:pStyle w:val="NoSpacing"/>
        <w:rPr>
          <w:iCs/>
        </w:rPr>
      </w:pPr>
    </w:p>
    <w:p w14:paraId="756658DD" w14:textId="2925FCE9" w:rsidR="006D0F8C" w:rsidRDefault="006D0F8C" w:rsidP="00150CD0">
      <w:pPr>
        <w:pStyle w:val="NoSpacing"/>
        <w:rPr>
          <w:iCs/>
        </w:rPr>
      </w:pPr>
      <w:r w:rsidRPr="00CD6B52">
        <w:rPr>
          <w:iCs/>
        </w:rPr>
        <w:t>In this analysis, Acumen instead uses a non-parametric bootstrap methodology to measure how the confidence interval of the MSPB score changes when the minimum episode threshold increases.  This analysis measures the MSPB score for an ‘average’ hospital, where the ‘average’ hospital case is considered to be one whose MSPB episode distribution mimics that of the entire population of MSPB episodes.  The bootstrap simulates the process of randomly drawing MSPB episodes from the population, and thus approximates the actual shape of the MSPB score distribution from which confidence intervals are determined.  By repeatedly calculating an MSPB score for this simulated hospital under differing assumptions on the number of episodes observed, one can create a confidence interval for the MSPB score of this ‘average’ hospital.</w:t>
      </w:r>
    </w:p>
    <w:p w14:paraId="31644938" w14:textId="77777777" w:rsidR="00150CD0" w:rsidRPr="00CD6B52" w:rsidRDefault="00150CD0" w:rsidP="00150CD0">
      <w:pPr>
        <w:pStyle w:val="NoSpacing"/>
        <w:rPr>
          <w:iCs/>
        </w:rPr>
      </w:pPr>
    </w:p>
    <w:p w14:paraId="726C1EA7" w14:textId="77777777" w:rsidR="006D0F8C" w:rsidRPr="00CD6B52" w:rsidRDefault="006D0F8C" w:rsidP="00150CD0">
      <w:pPr>
        <w:pStyle w:val="NoSpacing"/>
        <w:rPr>
          <w:iCs/>
        </w:rPr>
      </w:pPr>
      <w:r w:rsidRPr="00CD6B52">
        <w:rPr>
          <w:iCs/>
        </w:rPr>
        <w:t xml:space="preserve">To implement the bootstrap procedure, this analysis examines cases where the ‘average’ hospital has X episodes, where X = 1, 2, 3, 5, 10, 25, and 100.  The five step methodology used to implement this analysis is as follows: (1) Draw 10,000 random samples (with replacement) each with X number of episodes from the original dataset containing MSPB episodes; (2) Calculate MSPB Amount for each </w:t>
      </w:r>
      <w:r w:rsidRPr="00CD6B52">
        <w:rPr>
          <w:iCs/>
        </w:rPr>
        <w:lastRenderedPageBreak/>
        <w:t>sample; (3) Calculate MSPB Measure—normalization of the MSPB Amount—as the MSPB Amount for the hospital divided by the median MSPB Amount across all hospitals; (4) Calculate the 95 percent confidence interval using the 2.5th and 97.5th percentiles of the MSPB Measure distribution;</w:t>
      </w:r>
      <w:r w:rsidRPr="00CD6B52">
        <w:rPr>
          <w:rStyle w:val="FootnoteReference"/>
          <w:rFonts w:ascii="Times New Roman" w:hAnsi="Times New Roman"/>
          <w:iCs/>
        </w:rPr>
        <w:footnoteReference w:id="7"/>
      </w:r>
      <w:r w:rsidRPr="00CD6B52">
        <w:rPr>
          <w:iCs/>
        </w:rPr>
        <w:t xml:space="preserve"> and (5) Divide the width of this confidence interval by the width of the confidence interval for X = 100 episodes.</w:t>
      </w:r>
    </w:p>
    <w:p w14:paraId="239A29DD" w14:textId="77777777" w:rsidR="00931FB5" w:rsidRPr="007B0444" w:rsidRDefault="00931FB5" w:rsidP="008C54A9">
      <w:pPr>
        <w:autoSpaceDE w:val="0"/>
        <w:autoSpaceDN w:val="0"/>
        <w:adjustRightInd w:val="0"/>
        <w:spacing w:after="0" w:line="240" w:lineRule="auto"/>
        <w:rPr>
          <w:rFonts w:cstheme="minorHAnsi"/>
          <w:bCs/>
        </w:rPr>
      </w:pPr>
    </w:p>
    <w:p w14:paraId="7E640F66" w14:textId="77777777" w:rsidR="00621F8D" w:rsidRPr="007B0444" w:rsidRDefault="00092566" w:rsidP="008C54A9">
      <w:pPr>
        <w:autoSpaceDE w:val="0"/>
        <w:autoSpaceDN w:val="0"/>
        <w:adjustRightInd w:val="0"/>
        <w:spacing w:after="0" w:line="240" w:lineRule="auto"/>
        <w:rPr>
          <w:rFonts w:cstheme="minorHAnsi"/>
          <w:bCs/>
        </w:rPr>
      </w:pPr>
      <w:r w:rsidRPr="007B0444">
        <w:rPr>
          <w:rFonts w:cstheme="minorHAnsi"/>
          <w:b/>
          <w:bCs/>
        </w:rPr>
        <w:t>2a2.</w:t>
      </w:r>
      <w:r w:rsidR="008C54A9" w:rsidRPr="007B0444">
        <w:rPr>
          <w:rFonts w:cstheme="minorHAnsi"/>
          <w:b/>
          <w:bCs/>
        </w:rPr>
        <w:t xml:space="preserve">3. </w:t>
      </w:r>
      <w:proofErr w:type="gramStart"/>
      <w:r w:rsidR="008C54A9" w:rsidRPr="007B0444">
        <w:rPr>
          <w:rFonts w:cstheme="minorHAnsi"/>
          <w:b/>
          <w:bCs/>
        </w:rPr>
        <w:t>For</w:t>
      </w:r>
      <w:proofErr w:type="gramEnd"/>
      <w:r w:rsidR="008C54A9" w:rsidRPr="007B0444">
        <w:rPr>
          <w:rFonts w:cstheme="minorHAnsi"/>
          <w:b/>
          <w:bCs/>
        </w:rPr>
        <w:t xml:space="preserve"> each level </w:t>
      </w:r>
      <w:r w:rsidR="008F7E67" w:rsidRPr="007B0444">
        <w:rPr>
          <w:rFonts w:cstheme="minorHAnsi"/>
          <w:b/>
          <w:bCs/>
        </w:rPr>
        <w:t xml:space="preserve">of testing </w:t>
      </w:r>
      <w:r w:rsidR="008C54A9" w:rsidRPr="007B0444">
        <w:rPr>
          <w:rFonts w:cstheme="minorHAnsi"/>
          <w:b/>
          <w:bCs/>
        </w:rPr>
        <w:t>checked above, w</w:t>
      </w:r>
      <w:r w:rsidR="00900DBF" w:rsidRPr="007B0444">
        <w:rPr>
          <w:rFonts w:cstheme="minorHAnsi"/>
          <w:b/>
          <w:bCs/>
        </w:rPr>
        <w:t>hat were the statistical results</w:t>
      </w:r>
      <w:r w:rsidR="007422FD" w:rsidRPr="007B0444">
        <w:rPr>
          <w:rFonts w:cstheme="minorHAnsi"/>
          <w:b/>
          <w:bCs/>
        </w:rPr>
        <w:t xml:space="preserve"> from reliability testing</w:t>
      </w:r>
      <w:r w:rsidR="00900DBF" w:rsidRPr="007B0444">
        <w:rPr>
          <w:rFonts w:cstheme="minorHAnsi"/>
          <w:bCs/>
        </w:rPr>
        <w:t>?</w:t>
      </w:r>
      <w:r w:rsidR="00B037BA" w:rsidRPr="007B0444">
        <w:rPr>
          <w:rFonts w:cstheme="minorHAnsi"/>
          <w:bCs/>
        </w:rPr>
        <w:t xml:space="preserve"> </w:t>
      </w:r>
      <w:r w:rsidR="00AA5213" w:rsidRPr="007B0444">
        <w:rPr>
          <w:rFonts w:cstheme="minorHAnsi"/>
          <w:bCs/>
        </w:rPr>
        <w:t xml:space="preserve"> (e</w:t>
      </w:r>
      <w:r w:rsidR="00AA5213" w:rsidRPr="007B0444">
        <w:rPr>
          <w:rFonts w:cstheme="minorHAnsi"/>
          <w:bCs/>
          <w:i/>
        </w:rPr>
        <w:t>.g., percent agreement and kappa for the critical data elements; distribution of reliability statistics from a signal-to-noise analysis</w:t>
      </w:r>
      <w:r w:rsidR="00AA5213" w:rsidRPr="007B0444">
        <w:rPr>
          <w:rFonts w:cstheme="minorHAnsi"/>
          <w:bCs/>
        </w:rPr>
        <w:t>)</w:t>
      </w:r>
    </w:p>
    <w:p w14:paraId="6AA65A9A" w14:textId="4BD7032C" w:rsidR="000E2575" w:rsidRPr="002B5AEC" w:rsidRDefault="00C6663E" w:rsidP="00150CD0">
      <w:pPr>
        <w:rPr>
          <w:rFonts w:ascii="Times New Roman" w:hAnsi="Times New Roman" w:cs="Times New Roman"/>
          <w:b/>
          <w:bCs/>
          <w:color w:val="FF0000"/>
        </w:rPr>
      </w:pPr>
      <w:r w:rsidRPr="002B5AEC">
        <w:rPr>
          <w:rFonts w:ascii="Times New Roman" w:hAnsi="Times New Roman" w:cs="Times New Roman"/>
          <w:b/>
          <w:bCs/>
          <w:color w:val="FF0000"/>
        </w:rPr>
        <w:t>Reliability Score</w:t>
      </w:r>
      <w:r w:rsidR="00FB7C20" w:rsidRPr="002B5AEC">
        <w:rPr>
          <w:rFonts w:ascii="Times New Roman" w:hAnsi="Times New Roman" w:cs="Times New Roman"/>
          <w:b/>
          <w:bCs/>
          <w:color w:val="FF0000"/>
        </w:rPr>
        <w:t xml:space="preserve"> Results</w:t>
      </w:r>
      <w:r w:rsidRPr="002B5AEC">
        <w:rPr>
          <w:rFonts w:ascii="Times New Roman" w:hAnsi="Times New Roman" w:cs="Times New Roman"/>
          <w:b/>
          <w:bCs/>
          <w:color w:val="FF0000"/>
        </w:rPr>
        <w:t xml:space="preserve">. </w:t>
      </w:r>
      <w:r w:rsidR="00F1507D" w:rsidRPr="002B5AEC">
        <w:rPr>
          <w:rFonts w:ascii="Times New Roman" w:hAnsi="Times New Roman" w:cs="Times New Roman"/>
          <w:color w:val="FF0000"/>
        </w:rPr>
        <w:t xml:space="preserve">The average reliability score of hospitals with at least 25 episodes was 0.92, </w:t>
      </w:r>
      <w:r w:rsidR="00366B49" w:rsidRPr="002B5AEC">
        <w:rPr>
          <w:rFonts w:ascii="Times New Roman" w:hAnsi="Times New Roman" w:cs="Times New Roman"/>
          <w:color w:val="FF0000"/>
        </w:rPr>
        <w:t>with 99.0 percent of providers meeting or exceeding a 0.4 reliability score, a standard generally considered as the threshold for ‘moderate’ reliability</w:t>
      </w:r>
      <w:r w:rsidR="00366B49" w:rsidRPr="002B5AEC">
        <w:rPr>
          <w:rFonts w:ascii="Times New Roman" w:hAnsi="Times New Roman" w:cs="Times New Roman"/>
          <w:color w:val="FF0000"/>
          <w:vertAlign w:val="superscript"/>
        </w:rPr>
        <w:footnoteReference w:id="8"/>
      </w:r>
      <w:r w:rsidR="00366B49" w:rsidRPr="002B5AEC">
        <w:rPr>
          <w:rFonts w:ascii="Times New Roman" w:hAnsi="Times New Roman" w:cs="Times New Roman"/>
          <w:color w:val="FF0000"/>
        </w:rPr>
        <w:t>, and 94.3 percent of providers meeting or exceeding a 0.7 reliability score (Appendix Table 2a23.a). While higher episode-minimums yield higher reliability results, the application of higher episode-minimums reduces the number of providers receiving a measure score. The median reliability score for hospitals with at least 25 episodes was 0.96 and the reliability score interquartile range spanned from 0.91 to 0.98 (Table 1).</w:t>
      </w:r>
      <w:r w:rsidR="00366B49" w:rsidRPr="002B5AEC" w:rsidDel="00366B49">
        <w:rPr>
          <w:rFonts w:ascii="Times New Roman" w:hAnsi="Times New Roman" w:cs="Times New Roman"/>
          <w:color w:val="FF0000"/>
        </w:rPr>
        <w:t xml:space="preserve"> </w:t>
      </w:r>
    </w:p>
    <w:p w14:paraId="6FD366EB" w14:textId="6AC6D445" w:rsidR="005D18D8" w:rsidRPr="002B5AEC" w:rsidRDefault="005D18D8" w:rsidP="002B5AEC">
      <w:pPr>
        <w:jc w:val="center"/>
        <w:rPr>
          <w:rFonts w:ascii="Times New Roman" w:hAnsi="Times New Roman" w:cs="Times New Roman"/>
          <w:bCs/>
          <w:color w:val="FF0000"/>
        </w:rPr>
      </w:pPr>
      <w:r w:rsidRPr="002B5AEC">
        <w:rPr>
          <w:rFonts w:ascii="Times New Roman" w:hAnsi="Times New Roman" w:cs="Times New Roman"/>
          <w:b/>
          <w:bCs/>
          <w:iCs/>
          <w:color w:val="FF0000"/>
        </w:rPr>
        <w:t xml:space="preserve">Table 1. Distribution of Reliability Scores for </w:t>
      </w:r>
      <w:r w:rsidR="00F1507D" w:rsidRPr="002B5AEC">
        <w:rPr>
          <w:rFonts w:ascii="Times New Roman" w:hAnsi="Times New Roman" w:cs="Times New Roman"/>
          <w:b/>
          <w:bCs/>
          <w:iCs/>
          <w:color w:val="FF0000"/>
        </w:rPr>
        <w:t>Providers</w:t>
      </w:r>
      <w:r w:rsidRPr="002B5AEC">
        <w:rPr>
          <w:rFonts w:ascii="Times New Roman" w:hAnsi="Times New Roman" w:cs="Times New Roman"/>
          <w:b/>
          <w:bCs/>
          <w:iCs/>
          <w:color w:val="FF0000"/>
        </w:rPr>
        <w:t xml:space="preserve"> </w:t>
      </w:r>
      <w:r w:rsidR="000C31A6" w:rsidRPr="002B5AEC">
        <w:rPr>
          <w:rFonts w:ascii="Times New Roman" w:hAnsi="Times New Roman" w:cs="Times New Roman"/>
          <w:b/>
          <w:bCs/>
          <w:iCs/>
          <w:color w:val="FF0000"/>
        </w:rPr>
        <w:t xml:space="preserve">with </w:t>
      </w:r>
      <w:r w:rsidR="002B5AEC">
        <w:rPr>
          <w:rFonts w:ascii="Times New Roman" w:hAnsi="Times New Roman" w:cs="Times New Roman"/>
          <w:b/>
          <w:bCs/>
          <w:iCs/>
          <w:color w:val="FF0000"/>
        </w:rPr>
        <w:t>a</w:t>
      </w:r>
      <w:r w:rsidR="000C31A6" w:rsidRPr="002B5AEC">
        <w:rPr>
          <w:rFonts w:ascii="Times New Roman" w:hAnsi="Times New Roman" w:cs="Times New Roman"/>
          <w:b/>
          <w:bCs/>
          <w:iCs/>
          <w:color w:val="FF0000"/>
        </w:rPr>
        <w:t>t Least 25 Episodes</w:t>
      </w:r>
    </w:p>
    <w:tbl>
      <w:tblPr>
        <w:tblStyle w:val="TableGrid"/>
        <w:tblW w:w="3799" w:type="pct"/>
        <w:jc w:val="center"/>
        <w:tblLook w:val="04A0" w:firstRow="1" w:lastRow="0" w:firstColumn="1" w:lastColumn="0" w:noHBand="0" w:noVBand="1"/>
      </w:tblPr>
      <w:tblGrid>
        <w:gridCol w:w="2338"/>
        <w:gridCol w:w="1802"/>
        <w:gridCol w:w="990"/>
        <w:gridCol w:w="989"/>
        <w:gridCol w:w="985"/>
      </w:tblGrid>
      <w:tr w:rsidR="000C31A6" w:rsidRPr="002B5AEC" w14:paraId="16C448A0" w14:textId="77777777" w:rsidTr="000C31A6">
        <w:trPr>
          <w:jc w:val="center"/>
        </w:trPr>
        <w:tc>
          <w:tcPr>
            <w:tcW w:w="1646" w:type="pct"/>
            <w:tcBorders>
              <w:bottom w:val="single" w:sz="4" w:space="0" w:color="auto"/>
            </w:tcBorders>
            <w:shd w:val="clear" w:color="auto" w:fill="305496"/>
          </w:tcPr>
          <w:p w14:paraId="0C7FF311" w14:textId="69E37C6E" w:rsidR="00F1507D" w:rsidRPr="002B5AEC" w:rsidRDefault="00F1507D" w:rsidP="00150CD0">
            <w:pPr>
              <w:rPr>
                <w:rFonts w:ascii="Times New Roman" w:hAnsi="Times New Roman" w:cs="Times New Roman"/>
                <w:b/>
                <w:color w:val="FFFFFF" w:themeColor="background1"/>
                <w:sz w:val="20"/>
                <w:szCs w:val="20"/>
              </w:rPr>
            </w:pPr>
            <w:r w:rsidRPr="002B5AEC">
              <w:rPr>
                <w:rFonts w:ascii="Times New Roman" w:hAnsi="Times New Roman" w:cs="Times New Roman"/>
                <w:b/>
                <w:color w:val="FFFFFF" w:themeColor="background1"/>
                <w:sz w:val="20"/>
                <w:szCs w:val="20"/>
              </w:rPr>
              <w:t xml:space="preserve">Number of Hospitals </w:t>
            </w:r>
          </w:p>
        </w:tc>
        <w:tc>
          <w:tcPr>
            <w:tcW w:w="1268" w:type="pct"/>
            <w:tcBorders>
              <w:bottom w:val="single" w:sz="4" w:space="0" w:color="auto"/>
            </w:tcBorders>
            <w:shd w:val="clear" w:color="auto" w:fill="305496"/>
          </w:tcPr>
          <w:p w14:paraId="239C7C04" w14:textId="77777777" w:rsidR="00F1507D" w:rsidRPr="002B5AEC" w:rsidRDefault="00F1507D" w:rsidP="00150CD0">
            <w:pPr>
              <w:rPr>
                <w:rFonts w:ascii="Times New Roman" w:hAnsi="Times New Roman" w:cs="Times New Roman"/>
                <w:b/>
                <w:color w:val="FFFFFF" w:themeColor="background1"/>
                <w:sz w:val="20"/>
                <w:szCs w:val="20"/>
              </w:rPr>
            </w:pPr>
            <w:r w:rsidRPr="002B5AEC">
              <w:rPr>
                <w:rFonts w:ascii="Times New Roman" w:hAnsi="Times New Roman" w:cs="Times New Roman"/>
                <w:b/>
                <w:color w:val="FFFFFF" w:themeColor="background1"/>
                <w:sz w:val="20"/>
                <w:szCs w:val="20"/>
              </w:rPr>
              <w:t>Mean (Std. Dev.)</w:t>
            </w:r>
          </w:p>
        </w:tc>
        <w:tc>
          <w:tcPr>
            <w:tcW w:w="697" w:type="pct"/>
            <w:tcBorders>
              <w:bottom w:val="single" w:sz="4" w:space="0" w:color="auto"/>
            </w:tcBorders>
            <w:shd w:val="clear" w:color="auto" w:fill="305496"/>
          </w:tcPr>
          <w:p w14:paraId="69ADD485" w14:textId="77777777" w:rsidR="00F1507D" w:rsidRPr="002B5AEC" w:rsidRDefault="00F1507D" w:rsidP="00150CD0">
            <w:pPr>
              <w:rPr>
                <w:rFonts w:ascii="Times New Roman" w:hAnsi="Times New Roman" w:cs="Times New Roman"/>
                <w:b/>
                <w:color w:val="FFFFFF" w:themeColor="background1"/>
                <w:sz w:val="20"/>
                <w:szCs w:val="20"/>
              </w:rPr>
            </w:pPr>
            <w:r w:rsidRPr="002B5AEC">
              <w:rPr>
                <w:rFonts w:ascii="Times New Roman" w:hAnsi="Times New Roman" w:cs="Times New Roman"/>
                <w:b/>
                <w:color w:val="FFFFFF" w:themeColor="background1"/>
                <w:sz w:val="20"/>
                <w:szCs w:val="20"/>
              </w:rPr>
              <w:t>25</w:t>
            </w:r>
            <w:r w:rsidRPr="002B5AEC">
              <w:rPr>
                <w:rFonts w:ascii="Times New Roman" w:hAnsi="Times New Roman" w:cs="Times New Roman"/>
                <w:b/>
                <w:color w:val="FFFFFF" w:themeColor="background1"/>
                <w:sz w:val="20"/>
                <w:szCs w:val="20"/>
                <w:vertAlign w:val="superscript"/>
              </w:rPr>
              <w:t>th</w:t>
            </w:r>
            <w:r w:rsidRPr="002B5AEC">
              <w:rPr>
                <w:rFonts w:ascii="Times New Roman" w:hAnsi="Times New Roman" w:cs="Times New Roman"/>
                <w:b/>
                <w:color w:val="FFFFFF" w:themeColor="background1"/>
                <w:sz w:val="20"/>
                <w:szCs w:val="20"/>
              </w:rPr>
              <w:t xml:space="preserve"> Pct.</w:t>
            </w:r>
          </w:p>
        </w:tc>
        <w:tc>
          <w:tcPr>
            <w:tcW w:w="696" w:type="pct"/>
            <w:tcBorders>
              <w:bottom w:val="single" w:sz="4" w:space="0" w:color="auto"/>
            </w:tcBorders>
            <w:shd w:val="clear" w:color="auto" w:fill="305496"/>
          </w:tcPr>
          <w:p w14:paraId="4CBED812" w14:textId="77777777" w:rsidR="00F1507D" w:rsidRPr="002B5AEC" w:rsidRDefault="00F1507D" w:rsidP="00150CD0">
            <w:pPr>
              <w:rPr>
                <w:rFonts w:ascii="Times New Roman" w:hAnsi="Times New Roman" w:cs="Times New Roman"/>
                <w:b/>
                <w:color w:val="FFFFFF" w:themeColor="background1"/>
                <w:sz w:val="20"/>
                <w:szCs w:val="20"/>
              </w:rPr>
            </w:pPr>
            <w:r w:rsidRPr="002B5AEC">
              <w:rPr>
                <w:rFonts w:ascii="Times New Roman" w:hAnsi="Times New Roman" w:cs="Times New Roman"/>
                <w:b/>
                <w:color w:val="FFFFFF" w:themeColor="background1"/>
                <w:sz w:val="20"/>
                <w:szCs w:val="20"/>
              </w:rPr>
              <w:t>50</w:t>
            </w:r>
            <w:r w:rsidRPr="002B5AEC">
              <w:rPr>
                <w:rFonts w:ascii="Times New Roman" w:hAnsi="Times New Roman" w:cs="Times New Roman"/>
                <w:b/>
                <w:color w:val="FFFFFF" w:themeColor="background1"/>
                <w:sz w:val="20"/>
                <w:szCs w:val="20"/>
                <w:vertAlign w:val="superscript"/>
              </w:rPr>
              <w:t>th</w:t>
            </w:r>
            <w:r w:rsidRPr="002B5AEC">
              <w:rPr>
                <w:rFonts w:ascii="Times New Roman" w:hAnsi="Times New Roman" w:cs="Times New Roman"/>
                <w:b/>
                <w:color w:val="FFFFFF" w:themeColor="background1"/>
                <w:sz w:val="20"/>
                <w:szCs w:val="20"/>
              </w:rPr>
              <w:t xml:space="preserve"> Pct.</w:t>
            </w:r>
          </w:p>
        </w:tc>
        <w:tc>
          <w:tcPr>
            <w:tcW w:w="693" w:type="pct"/>
            <w:tcBorders>
              <w:bottom w:val="single" w:sz="4" w:space="0" w:color="auto"/>
            </w:tcBorders>
            <w:shd w:val="clear" w:color="auto" w:fill="305496"/>
          </w:tcPr>
          <w:p w14:paraId="5073F7A4" w14:textId="77777777" w:rsidR="00F1507D" w:rsidRPr="002B5AEC" w:rsidRDefault="00F1507D" w:rsidP="00150CD0">
            <w:pPr>
              <w:rPr>
                <w:rFonts w:ascii="Times New Roman" w:hAnsi="Times New Roman" w:cs="Times New Roman"/>
                <w:b/>
                <w:color w:val="FFFFFF" w:themeColor="background1"/>
                <w:sz w:val="20"/>
                <w:szCs w:val="20"/>
              </w:rPr>
            </w:pPr>
            <w:r w:rsidRPr="002B5AEC">
              <w:rPr>
                <w:rFonts w:ascii="Times New Roman" w:hAnsi="Times New Roman" w:cs="Times New Roman"/>
                <w:b/>
                <w:color w:val="FFFFFF" w:themeColor="background1"/>
                <w:sz w:val="20"/>
                <w:szCs w:val="20"/>
              </w:rPr>
              <w:t>75</w:t>
            </w:r>
            <w:r w:rsidRPr="002B5AEC">
              <w:rPr>
                <w:rFonts w:ascii="Times New Roman" w:hAnsi="Times New Roman" w:cs="Times New Roman"/>
                <w:b/>
                <w:color w:val="FFFFFF" w:themeColor="background1"/>
                <w:sz w:val="20"/>
                <w:szCs w:val="20"/>
                <w:vertAlign w:val="superscript"/>
              </w:rPr>
              <w:t>th</w:t>
            </w:r>
            <w:r w:rsidRPr="002B5AEC">
              <w:rPr>
                <w:rFonts w:ascii="Times New Roman" w:hAnsi="Times New Roman" w:cs="Times New Roman"/>
                <w:b/>
                <w:color w:val="FFFFFF" w:themeColor="background1"/>
                <w:sz w:val="20"/>
                <w:szCs w:val="20"/>
              </w:rPr>
              <w:t xml:space="preserve"> Pct.</w:t>
            </w:r>
          </w:p>
        </w:tc>
      </w:tr>
      <w:tr w:rsidR="000C31A6" w:rsidRPr="002B5AEC" w14:paraId="49F84F94" w14:textId="77777777" w:rsidTr="000C31A6">
        <w:trPr>
          <w:jc w:val="center"/>
        </w:trPr>
        <w:tc>
          <w:tcPr>
            <w:tcW w:w="1646" w:type="pct"/>
            <w:tcBorders>
              <w:top w:val="single" w:sz="4" w:space="0" w:color="auto"/>
            </w:tcBorders>
            <w:vAlign w:val="bottom"/>
          </w:tcPr>
          <w:p w14:paraId="4E5B0331" w14:textId="12D82E4D" w:rsidR="00F1507D" w:rsidRPr="002B5AEC" w:rsidRDefault="00F1507D" w:rsidP="00986597">
            <w:pPr>
              <w:jc w:val="center"/>
              <w:rPr>
                <w:rFonts w:ascii="Times New Roman" w:hAnsi="Times New Roman" w:cs="Times New Roman"/>
                <w:color w:val="FF0000"/>
                <w:sz w:val="20"/>
                <w:szCs w:val="20"/>
              </w:rPr>
            </w:pPr>
            <w:r w:rsidRPr="002B5AEC">
              <w:rPr>
                <w:rFonts w:ascii="Times New Roman" w:hAnsi="Times New Roman" w:cs="Times New Roman"/>
                <w:color w:val="FF0000"/>
                <w:sz w:val="20"/>
                <w:szCs w:val="20"/>
              </w:rPr>
              <w:t>3,148</w:t>
            </w:r>
          </w:p>
        </w:tc>
        <w:tc>
          <w:tcPr>
            <w:tcW w:w="1268" w:type="pct"/>
            <w:tcBorders>
              <w:top w:val="single" w:sz="4" w:space="0" w:color="auto"/>
            </w:tcBorders>
            <w:vAlign w:val="center"/>
          </w:tcPr>
          <w:p w14:paraId="1496408D" w14:textId="517549E3" w:rsidR="00F1507D" w:rsidRPr="002B5AEC" w:rsidRDefault="00F1507D" w:rsidP="00986597">
            <w:pPr>
              <w:jc w:val="center"/>
              <w:rPr>
                <w:rFonts w:ascii="Times New Roman" w:hAnsi="Times New Roman" w:cs="Times New Roman"/>
                <w:color w:val="FF0000"/>
                <w:sz w:val="20"/>
                <w:szCs w:val="20"/>
              </w:rPr>
            </w:pPr>
            <w:r w:rsidRPr="002B5AEC">
              <w:rPr>
                <w:rFonts w:ascii="Times New Roman" w:hAnsi="Times New Roman" w:cs="Times New Roman"/>
                <w:color w:val="FF0000"/>
                <w:sz w:val="20"/>
                <w:szCs w:val="20"/>
              </w:rPr>
              <w:t>0.92 (0.12)</w:t>
            </w:r>
          </w:p>
        </w:tc>
        <w:tc>
          <w:tcPr>
            <w:tcW w:w="697" w:type="pct"/>
            <w:tcBorders>
              <w:top w:val="single" w:sz="4" w:space="0" w:color="auto"/>
            </w:tcBorders>
            <w:vAlign w:val="center"/>
          </w:tcPr>
          <w:p w14:paraId="541BFD72" w14:textId="6682A29C" w:rsidR="00F1507D" w:rsidRPr="002B5AEC" w:rsidRDefault="00F1507D" w:rsidP="00986597">
            <w:pPr>
              <w:jc w:val="center"/>
              <w:rPr>
                <w:rFonts w:ascii="Times New Roman" w:hAnsi="Times New Roman" w:cs="Times New Roman"/>
                <w:color w:val="FF0000"/>
                <w:sz w:val="20"/>
                <w:szCs w:val="20"/>
              </w:rPr>
            </w:pPr>
            <w:r w:rsidRPr="002B5AEC">
              <w:rPr>
                <w:rFonts w:ascii="Times New Roman" w:hAnsi="Times New Roman" w:cs="Times New Roman"/>
                <w:color w:val="FF0000"/>
                <w:sz w:val="20"/>
                <w:szCs w:val="20"/>
              </w:rPr>
              <w:t>0.</w:t>
            </w:r>
            <w:r w:rsidR="000C31A6" w:rsidRPr="002B5AEC">
              <w:rPr>
                <w:rFonts w:ascii="Times New Roman" w:hAnsi="Times New Roman" w:cs="Times New Roman"/>
                <w:color w:val="FF0000"/>
                <w:sz w:val="20"/>
                <w:szCs w:val="20"/>
              </w:rPr>
              <w:t>91</w:t>
            </w:r>
          </w:p>
        </w:tc>
        <w:tc>
          <w:tcPr>
            <w:tcW w:w="696" w:type="pct"/>
            <w:tcBorders>
              <w:top w:val="single" w:sz="4" w:space="0" w:color="auto"/>
            </w:tcBorders>
            <w:vAlign w:val="center"/>
          </w:tcPr>
          <w:p w14:paraId="50D6F0E7" w14:textId="7926892A" w:rsidR="00F1507D" w:rsidRPr="002B5AEC" w:rsidRDefault="00F1507D" w:rsidP="00986597">
            <w:pPr>
              <w:jc w:val="center"/>
              <w:rPr>
                <w:rFonts w:ascii="Times New Roman" w:hAnsi="Times New Roman" w:cs="Times New Roman"/>
                <w:color w:val="FF0000"/>
                <w:sz w:val="20"/>
                <w:szCs w:val="20"/>
              </w:rPr>
            </w:pPr>
            <w:r w:rsidRPr="002B5AEC">
              <w:rPr>
                <w:rFonts w:ascii="Times New Roman" w:hAnsi="Times New Roman" w:cs="Times New Roman"/>
                <w:color w:val="FF0000"/>
                <w:sz w:val="20"/>
                <w:szCs w:val="20"/>
              </w:rPr>
              <w:t>0.</w:t>
            </w:r>
            <w:r w:rsidR="000C31A6" w:rsidRPr="002B5AEC">
              <w:rPr>
                <w:rFonts w:ascii="Times New Roman" w:hAnsi="Times New Roman" w:cs="Times New Roman"/>
                <w:color w:val="FF0000"/>
                <w:sz w:val="20"/>
                <w:szCs w:val="20"/>
              </w:rPr>
              <w:t>96</w:t>
            </w:r>
          </w:p>
        </w:tc>
        <w:tc>
          <w:tcPr>
            <w:tcW w:w="693" w:type="pct"/>
            <w:tcBorders>
              <w:top w:val="single" w:sz="4" w:space="0" w:color="auto"/>
            </w:tcBorders>
            <w:vAlign w:val="center"/>
          </w:tcPr>
          <w:p w14:paraId="60E4BCBC" w14:textId="49FB2208" w:rsidR="00F1507D" w:rsidRPr="002B5AEC" w:rsidRDefault="00F1507D" w:rsidP="00986597">
            <w:pPr>
              <w:jc w:val="center"/>
              <w:rPr>
                <w:rFonts w:ascii="Times New Roman" w:hAnsi="Times New Roman" w:cs="Times New Roman"/>
                <w:color w:val="FF0000"/>
                <w:sz w:val="20"/>
                <w:szCs w:val="20"/>
              </w:rPr>
            </w:pPr>
            <w:r w:rsidRPr="002B5AEC">
              <w:rPr>
                <w:rFonts w:ascii="Times New Roman" w:hAnsi="Times New Roman" w:cs="Times New Roman"/>
                <w:color w:val="FF0000"/>
                <w:sz w:val="20"/>
                <w:szCs w:val="20"/>
              </w:rPr>
              <w:t>0.</w:t>
            </w:r>
            <w:r w:rsidR="000C31A6" w:rsidRPr="002B5AEC">
              <w:rPr>
                <w:rFonts w:ascii="Times New Roman" w:hAnsi="Times New Roman" w:cs="Times New Roman"/>
                <w:color w:val="FF0000"/>
                <w:sz w:val="20"/>
                <w:szCs w:val="20"/>
              </w:rPr>
              <w:t>98</w:t>
            </w:r>
          </w:p>
        </w:tc>
      </w:tr>
    </w:tbl>
    <w:p w14:paraId="3E397CE6" w14:textId="73D56E67" w:rsidR="00B668DA" w:rsidRPr="002B5AEC" w:rsidRDefault="002B5AEC" w:rsidP="002B5AEC">
      <w:pPr>
        <w:ind w:left="1440"/>
        <w:rPr>
          <w:rFonts w:ascii="Times New Roman" w:hAnsi="Times New Roman" w:cs="Times New Roman"/>
          <w:bCs/>
          <w:color w:val="FF0000"/>
        </w:rPr>
      </w:pPr>
      <w:r w:rsidRPr="002B5AEC">
        <w:rPr>
          <w:rFonts w:ascii="Times New Roman" w:hAnsi="Times New Roman" w:cs="Times New Roman"/>
          <w:bCs/>
          <w:color w:val="FF0000"/>
        </w:rPr>
        <w:t>* Pct. = percentile.</w:t>
      </w:r>
    </w:p>
    <w:p w14:paraId="5B015604" w14:textId="394EBA33" w:rsidR="00AD7675" w:rsidRPr="002B5AEC" w:rsidRDefault="00C5206F" w:rsidP="00150CD0">
      <w:pPr>
        <w:rPr>
          <w:rFonts w:ascii="Times New Roman" w:hAnsi="Times New Roman" w:cs="Times New Roman"/>
          <w:bCs/>
          <w:color w:val="FF0000"/>
        </w:rPr>
      </w:pPr>
      <w:r w:rsidRPr="002B5AEC">
        <w:rPr>
          <w:rFonts w:ascii="Times New Roman" w:hAnsi="Times New Roman" w:cs="Times New Roman"/>
          <w:b/>
          <w:bCs/>
          <w:color w:val="FF0000"/>
        </w:rPr>
        <w:t>Split-</w:t>
      </w:r>
      <w:r w:rsidR="00FB7C20" w:rsidRPr="002B5AEC">
        <w:rPr>
          <w:rFonts w:ascii="Times New Roman" w:hAnsi="Times New Roman" w:cs="Times New Roman"/>
          <w:b/>
          <w:bCs/>
          <w:color w:val="FF0000"/>
        </w:rPr>
        <w:t>s</w:t>
      </w:r>
      <w:r w:rsidR="00AD6178" w:rsidRPr="002B5AEC">
        <w:rPr>
          <w:rFonts w:ascii="Times New Roman" w:hAnsi="Times New Roman" w:cs="Times New Roman"/>
          <w:b/>
          <w:bCs/>
          <w:color w:val="FF0000"/>
        </w:rPr>
        <w:t>ample</w:t>
      </w:r>
      <w:r w:rsidR="00AD7675" w:rsidRPr="002B5AEC">
        <w:rPr>
          <w:rFonts w:ascii="Times New Roman" w:hAnsi="Times New Roman" w:cs="Times New Roman"/>
          <w:b/>
          <w:bCs/>
          <w:color w:val="FF0000"/>
        </w:rPr>
        <w:t xml:space="preserve"> </w:t>
      </w:r>
      <w:r w:rsidR="00FB7C20" w:rsidRPr="002B5AEC">
        <w:rPr>
          <w:rFonts w:ascii="Times New Roman" w:hAnsi="Times New Roman" w:cs="Times New Roman"/>
          <w:b/>
          <w:bCs/>
          <w:color w:val="FF0000"/>
        </w:rPr>
        <w:t>Reliability Testing Results.</w:t>
      </w:r>
      <w:r w:rsidR="00AD7675" w:rsidRPr="002B5AEC">
        <w:rPr>
          <w:rStyle w:val="Style1"/>
          <w:rFonts w:ascii="Times New Roman" w:hAnsi="Times New Roman" w:cs="Times New Roman"/>
          <w:color w:val="FF0000"/>
        </w:rPr>
        <w:t xml:space="preserve"> </w:t>
      </w:r>
      <w:r w:rsidR="000C31A6" w:rsidRPr="002B5AEC">
        <w:rPr>
          <w:rFonts w:ascii="Times New Roman" w:hAnsi="Times New Roman" w:cs="Times New Roman"/>
          <w:color w:val="FF0000"/>
        </w:rPr>
        <w:t>The Pearson correlation coefficient was 0.83 for the 2018 split-sample and 0.79 for the 2017 and 2018 sample (</w:t>
      </w:r>
      <w:r w:rsidR="00A31430" w:rsidRPr="002B5AEC">
        <w:rPr>
          <w:rFonts w:ascii="Times New Roman" w:hAnsi="Times New Roman" w:cs="Times New Roman"/>
          <w:color w:val="FF0000"/>
        </w:rPr>
        <w:t xml:space="preserve">Table 2, Appendix </w:t>
      </w:r>
      <w:r w:rsidR="000C31A6" w:rsidRPr="002B5AEC">
        <w:rPr>
          <w:rFonts w:ascii="Times New Roman" w:hAnsi="Times New Roman" w:cs="Times New Roman"/>
          <w:color w:val="FF0000"/>
        </w:rPr>
        <w:t xml:space="preserve">Table 2a23b). The </w:t>
      </w:r>
      <w:r w:rsidR="000C31A6" w:rsidRPr="002B5AEC">
        <w:rPr>
          <w:rFonts w:ascii="Times New Roman" w:hAnsi="Times New Roman" w:cs="Times New Roman"/>
          <w:bCs/>
          <w:color w:val="FF0000"/>
        </w:rPr>
        <w:t xml:space="preserve">Shrout-Fleiss intraclass correlation coefficients were similar at 0.83 and 0.79 for the 2018 split-sample and 2017 and 2018 sample. </w:t>
      </w:r>
    </w:p>
    <w:p w14:paraId="0E0F4EE4" w14:textId="05B607A8" w:rsidR="00AD7675" w:rsidRPr="002B5AEC" w:rsidRDefault="00AD7675" w:rsidP="002B5AEC">
      <w:pPr>
        <w:jc w:val="center"/>
        <w:rPr>
          <w:rFonts w:ascii="Times New Roman" w:hAnsi="Times New Roman" w:cs="Times New Roman"/>
          <w:bCs/>
          <w:color w:val="FF0000"/>
        </w:rPr>
      </w:pPr>
      <w:r w:rsidRPr="002B5AEC">
        <w:rPr>
          <w:rFonts w:ascii="Times New Roman" w:hAnsi="Times New Roman" w:cs="Times New Roman"/>
          <w:b/>
          <w:bCs/>
          <w:iCs/>
          <w:color w:val="FF0000"/>
        </w:rPr>
        <w:t xml:space="preserve">Table </w:t>
      </w:r>
      <w:r w:rsidR="000C31A6" w:rsidRPr="002B5AEC">
        <w:rPr>
          <w:rFonts w:ascii="Times New Roman" w:hAnsi="Times New Roman" w:cs="Times New Roman"/>
          <w:b/>
          <w:bCs/>
          <w:iCs/>
          <w:color w:val="FF0000"/>
        </w:rPr>
        <w:t>2</w:t>
      </w:r>
      <w:r w:rsidRPr="002B5AEC">
        <w:rPr>
          <w:rFonts w:ascii="Times New Roman" w:hAnsi="Times New Roman" w:cs="Times New Roman"/>
          <w:b/>
          <w:bCs/>
          <w:iCs/>
          <w:color w:val="FF0000"/>
        </w:rPr>
        <w:t xml:space="preserve">. </w:t>
      </w:r>
      <w:r w:rsidR="00FB7C20" w:rsidRPr="002B5AEC">
        <w:rPr>
          <w:rFonts w:ascii="Times New Roman" w:hAnsi="Times New Roman" w:cs="Times New Roman"/>
          <w:b/>
          <w:bCs/>
          <w:iCs/>
          <w:color w:val="FF0000"/>
        </w:rPr>
        <w:t>Split-s</w:t>
      </w:r>
      <w:r w:rsidR="00AD6178" w:rsidRPr="002B5AEC">
        <w:rPr>
          <w:rFonts w:ascii="Times New Roman" w:hAnsi="Times New Roman" w:cs="Times New Roman"/>
          <w:b/>
          <w:bCs/>
          <w:iCs/>
          <w:color w:val="FF0000"/>
        </w:rPr>
        <w:t>ample</w:t>
      </w:r>
      <w:r w:rsidRPr="002B5AEC">
        <w:rPr>
          <w:rFonts w:ascii="Times New Roman" w:hAnsi="Times New Roman" w:cs="Times New Roman"/>
          <w:b/>
          <w:bCs/>
          <w:iCs/>
          <w:color w:val="FF0000"/>
        </w:rPr>
        <w:t xml:space="preserve"> </w:t>
      </w:r>
      <w:r w:rsidR="00A31430" w:rsidRPr="002B5AEC">
        <w:rPr>
          <w:rFonts w:ascii="Times New Roman" w:hAnsi="Times New Roman" w:cs="Times New Roman"/>
          <w:b/>
          <w:bCs/>
          <w:iCs/>
          <w:color w:val="FF0000"/>
        </w:rPr>
        <w:t xml:space="preserve">and Two-Year Sample </w:t>
      </w:r>
      <w:r w:rsidRPr="002B5AEC">
        <w:rPr>
          <w:rFonts w:ascii="Times New Roman" w:hAnsi="Times New Roman" w:cs="Times New Roman"/>
          <w:b/>
          <w:bCs/>
          <w:iCs/>
          <w:color w:val="FF0000"/>
        </w:rPr>
        <w:t>Correlation Coefficients</w:t>
      </w:r>
      <w:r w:rsidR="00A31430" w:rsidRPr="002B5AEC">
        <w:rPr>
          <w:rFonts w:ascii="Times New Roman" w:hAnsi="Times New Roman" w:cs="Times New Roman"/>
          <w:b/>
          <w:bCs/>
          <w:iCs/>
          <w:color w:val="FF0000"/>
        </w:rPr>
        <w:t xml:space="preserve"> for Hospitals with At Least 25 Episodes</w:t>
      </w:r>
    </w:p>
    <w:tbl>
      <w:tblPr>
        <w:tblStyle w:val="TableGrid"/>
        <w:tblW w:w="3526" w:type="pct"/>
        <w:jc w:val="center"/>
        <w:tblLook w:val="04A0" w:firstRow="1" w:lastRow="0" w:firstColumn="1" w:lastColumn="0" w:noHBand="0" w:noVBand="1"/>
      </w:tblPr>
      <w:tblGrid>
        <w:gridCol w:w="2965"/>
        <w:gridCol w:w="1890"/>
        <w:gridCol w:w="1739"/>
      </w:tblGrid>
      <w:tr w:rsidR="00A31430" w:rsidRPr="002B5AEC" w14:paraId="6CA83B3E" w14:textId="77777777" w:rsidTr="00A468AE">
        <w:trPr>
          <w:trHeight w:val="260"/>
          <w:tblHeader/>
          <w:jc w:val="center"/>
        </w:trPr>
        <w:tc>
          <w:tcPr>
            <w:tcW w:w="2248" w:type="pct"/>
            <w:shd w:val="clear" w:color="auto" w:fill="17365D" w:themeFill="text2" w:themeFillShade="BF"/>
            <w:vAlign w:val="center"/>
          </w:tcPr>
          <w:p w14:paraId="4BF246C9" w14:textId="1152131A" w:rsidR="00A31430" w:rsidRPr="002B5AEC" w:rsidRDefault="00A31430" w:rsidP="00150CD0">
            <w:pPr>
              <w:rPr>
                <w:rFonts w:ascii="Times New Roman" w:hAnsi="Times New Roman" w:cs="Times New Roman"/>
                <w:b/>
                <w:bCs/>
                <w:color w:val="FFFFFF" w:themeColor="background1"/>
                <w:sz w:val="20"/>
                <w:szCs w:val="20"/>
              </w:rPr>
            </w:pPr>
            <w:r w:rsidRPr="002B5AEC">
              <w:rPr>
                <w:rFonts w:ascii="Times New Roman" w:hAnsi="Times New Roman" w:cs="Times New Roman"/>
                <w:b/>
                <w:bCs/>
                <w:color w:val="FFFFFF" w:themeColor="background1"/>
                <w:sz w:val="20"/>
                <w:szCs w:val="20"/>
              </w:rPr>
              <w:t>Sample</w:t>
            </w:r>
          </w:p>
        </w:tc>
        <w:tc>
          <w:tcPr>
            <w:tcW w:w="1433" w:type="pct"/>
            <w:shd w:val="clear" w:color="auto" w:fill="305496"/>
            <w:vAlign w:val="center"/>
          </w:tcPr>
          <w:p w14:paraId="2892759F" w14:textId="1C44D5CE" w:rsidR="00A31430" w:rsidRPr="002B5AEC" w:rsidRDefault="00A31430" w:rsidP="00150CD0">
            <w:pPr>
              <w:rPr>
                <w:rFonts w:ascii="Times New Roman" w:hAnsi="Times New Roman" w:cs="Times New Roman"/>
                <w:b/>
                <w:bCs/>
                <w:color w:val="FFFFFF" w:themeColor="background1"/>
                <w:sz w:val="20"/>
                <w:szCs w:val="20"/>
              </w:rPr>
            </w:pPr>
            <w:r w:rsidRPr="002B5AEC">
              <w:rPr>
                <w:rFonts w:ascii="Times New Roman" w:hAnsi="Times New Roman" w:cs="Times New Roman"/>
                <w:b/>
                <w:bCs/>
                <w:color w:val="FFFFFF" w:themeColor="background1"/>
                <w:sz w:val="20"/>
                <w:szCs w:val="20"/>
              </w:rPr>
              <w:t>Pearson Correlation Coefficient</w:t>
            </w:r>
          </w:p>
        </w:tc>
        <w:tc>
          <w:tcPr>
            <w:tcW w:w="1319" w:type="pct"/>
            <w:shd w:val="clear" w:color="auto" w:fill="305496"/>
            <w:vAlign w:val="center"/>
          </w:tcPr>
          <w:p w14:paraId="15B71E1F" w14:textId="2D800311" w:rsidR="00A31430" w:rsidRPr="002B5AEC" w:rsidRDefault="00A31430" w:rsidP="00150CD0">
            <w:pPr>
              <w:rPr>
                <w:rFonts w:ascii="Times New Roman" w:hAnsi="Times New Roman" w:cs="Times New Roman"/>
                <w:b/>
                <w:bCs/>
                <w:color w:val="FFFFFF" w:themeColor="background1"/>
                <w:sz w:val="20"/>
                <w:szCs w:val="20"/>
              </w:rPr>
            </w:pPr>
            <w:r w:rsidRPr="002B5AEC">
              <w:rPr>
                <w:rFonts w:ascii="Times New Roman" w:hAnsi="Times New Roman" w:cs="Times New Roman"/>
                <w:b/>
                <w:bCs/>
                <w:color w:val="FFFFFF" w:themeColor="background1"/>
                <w:sz w:val="20"/>
                <w:szCs w:val="20"/>
              </w:rPr>
              <w:t>ICC(2,1)</w:t>
            </w:r>
          </w:p>
        </w:tc>
      </w:tr>
      <w:tr w:rsidR="00A31430" w:rsidRPr="002B5AEC" w14:paraId="4DF801A0" w14:textId="77777777" w:rsidTr="00A468AE">
        <w:trPr>
          <w:trHeight w:val="395"/>
          <w:jc w:val="center"/>
        </w:trPr>
        <w:tc>
          <w:tcPr>
            <w:tcW w:w="2248" w:type="pct"/>
          </w:tcPr>
          <w:p w14:paraId="0CF5B229" w14:textId="047D7AC1" w:rsidR="00A31430" w:rsidRPr="002B5AEC" w:rsidRDefault="00A31430" w:rsidP="00150CD0">
            <w:pPr>
              <w:rPr>
                <w:rFonts w:ascii="Times New Roman" w:hAnsi="Times New Roman" w:cs="Times New Roman"/>
                <w:bCs/>
                <w:color w:val="FF0000"/>
                <w:sz w:val="20"/>
                <w:szCs w:val="20"/>
              </w:rPr>
            </w:pPr>
            <w:r w:rsidRPr="002B5AEC">
              <w:rPr>
                <w:rFonts w:ascii="Times New Roman" w:hAnsi="Times New Roman" w:cs="Times New Roman"/>
                <w:bCs/>
                <w:color w:val="FF0000"/>
                <w:sz w:val="20"/>
                <w:szCs w:val="20"/>
              </w:rPr>
              <w:t>2018 Random Split</w:t>
            </w:r>
          </w:p>
        </w:tc>
        <w:tc>
          <w:tcPr>
            <w:tcW w:w="1433" w:type="pct"/>
            <w:vAlign w:val="center"/>
          </w:tcPr>
          <w:p w14:paraId="48C09374" w14:textId="5EE32484" w:rsidR="00A31430" w:rsidRPr="002B5AEC" w:rsidRDefault="00A31430" w:rsidP="00150CD0">
            <w:pPr>
              <w:rPr>
                <w:rFonts w:ascii="Times New Roman" w:hAnsi="Times New Roman" w:cs="Times New Roman"/>
                <w:bCs/>
                <w:color w:val="FF0000"/>
                <w:sz w:val="20"/>
                <w:szCs w:val="20"/>
              </w:rPr>
            </w:pPr>
            <w:r w:rsidRPr="002B5AEC">
              <w:rPr>
                <w:rFonts w:ascii="Times New Roman" w:hAnsi="Times New Roman" w:cs="Times New Roman"/>
                <w:bCs/>
                <w:color w:val="FF0000"/>
                <w:sz w:val="20"/>
                <w:szCs w:val="20"/>
              </w:rPr>
              <w:t>0.8265</w:t>
            </w:r>
          </w:p>
        </w:tc>
        <w:tc>
          <w:tcPr>
            <w:tcW w:w="1319" w:type="pct"/>
            <w:vAlign w:val="center"/>
          </w:tcPr>
          <w:p w14:paraId="1EE5AAB3" w14:textId="04467B71" w:rsidR="00A31430" w:rsidRPr="002B5AEC" w:rsidRDefault="00A31430" w:rsidP="00150CD0">
            <w:pPr>
              <w:rPr>
                <w:rFonts w:ascii="Times New Roman" w:hAnsi="Times New Roman" w:cs="Times New Roman"/>
                <w:bCs/>
                <w:color w:val="FF0000"/>
                <w:sz w:val="20"/>
                <w:szCs w:val="20"/>
              </w:rPr>
            </w:pPr>
            <w:r w:rsidRPr="002B5AEC">
              <w:rPr>
                <w:rFonts w:ascii="Times New Roman" w:hAnsi="Times New Roman" w:cs="Times New Roman"/>
                <w:bCs/>
                <w:color w:val="FF0000"/>
                <w:sz w:val="20"/>
                <w:szCs w:val="20"/>
              </w:rPr>
              <w:t>0.826</w:t>
            </w:r>
            <w:r w:rsidR="00E15631" w:rsidRPr="002B5AEC">
              <w:rPr>
                <w:rFonts w:ascii="Times New Roman" w:hAnsi="Times New Roman" w:cs="Times New Roman"/>
                <w:bCs/>
                <w:color w:val="FF0000"/>
                <w:sz w:val="20"/>
                <w:szCs w:val="20"/>
              </w:rPr>
              <w:t>4</w:t>
            </w:r>
          </w:p>
        </w:tc>
      </w:tr>
      <w:tr w:rsidR="00A31430" w:rsidRPr="002B5AEC" w14:paraId="5D4CB69F" w14:textId="77777777" w:rsidTr="00A468AE">
        <w:trPr>
          <w:jc w:val="center"/>
        </w:trPr>
        <w:tc>
          <w:tcPr>
            <w:tcW w:w="2248" w:type="pct"/>
          </w:tcPr>
          <w:p w14:paraId="3E632460" w14:textId="39146506" w:rsidR="00A31430" w:rsidRPr="002B5AEC" w:rsidRDefault="00A31430" w:rsidP="00150CD0">
            <w:pPr>
              <w:rPr>
                <w:rFonts w:ascii="Times New Roman" w:hAnsi="Times New Roman" w:cs="Times New Roman"/>
                <w:bCs/>
                <w:color w:val="FF0000"/>
                <w:sz w:val="20"/>
                <w:szCs w:val="20"/>
              </w:rPr>
            </w:pPr>
            <w:r w:rsidRPr="002B5AEC">
              <w:rPr>
                <w:rFonts w:ascii="Times New Roman" w:hAnsi="Times New Roman" w:cs="Times New Roman"/>
                <w:bCs/>
                <w:color w:val="FF0000"/>
                <w:sz w:val="20"/>
                <w:szCs w:val="20"/>
              </w:rPr>
              <w:t xml:space="preserve">2018 and 2017 performance periods </w:t>
            </w:r>
          </w:p>
        </w:tc>
        <w:tc>
          <w:tcPr>
            <w:tcW w:w="1433" w:type="pct"/>
            <w:vAlign w:val="center"/>
          </w:tcPr>
          <w:p w14:paraId="7C775B20" w14:textId="13B865D6" w:rsidR="00A31430" w:rsidRPr="002B5AEC" w:rsidRDefault="00A31430" w:rsidP="00150CD0">
            <w:pPr>
              <w:rPr>
                <w:rFonts w:ascii="Times New Roman" w:hAnsi="Times New Roman" w:cs="Times New Roman"/>
                <w:bCs/>
                <w:color w:val="FF0000"/>
                <w:sz w:val="20"/>
                <w:szCs w:val="20"/>
              </w:rPr>
            </w:pPr>
            <w:r w:rsidRPr="002B5AEC">
              <w:rPr>
                <w:rFonts w:ascii="Times New Roman" w:hAnsi="Times New Roman" w:cs="Times New Roman"/>
                <w:bCs/>
                <w:color w:val="FF0000"/>
                <w:sz w:val="20"/>
                <w:szCs w:val="20"/>
              </w:rPr>
              <w:t>0.7910</w:t>
            </w:r>
          </w:p>
        </w:tc>
        <w:tc>
          <w:tcPr>
            <w:tcW w:w="1319" w:type="pct"/>
            <w:vAlign w:val="center"/>
          </w:tcPr>
          <w:p w14:paraId="09EFDC2E" w14:textId="0A3214F3" w:rsidR="00A31430" w:rsidRPr="002B5AEC" w:rsidRDefault="00A31430" w:rsidP="00150CD0">
            <w:pPr>
              <w:rPr>
                <w:rFonts w:ascii="Times New Roman" w:hAnsi="Times New Roman" w:cs="Times New Roman"/>
                <w:bCs/>
                <w:color w:val="FF0000"/>
                <w:sz w:val="20"/>
                <w:szCs w:val="20"/>
              </w:rPr>
            </w:pPr>
            <w:r w:rsidRPr="002B5AEC">
              <w:rPr>
                <w:rFonts w:ascii="Times New Roman" w:hAnsi="Times New Roman" w:cs="Times New Roman"/>
                <w:bCs/>
                <w:color w:val="FF0000"/>
                <w:sz w:val="20"/>
                <w:szCs w:val="20"/>
              </w:rPr>
              <w:t>0.7873</w:t>
            </w:r>
          </w:p>
        </w:tc>
      </w:tr>
    </w:tbl>
    <w:p w14:paraId="57DBA4E7" w14:textId="1C49FF23" w:rsidR="006D0F8C" w:rsidRDefault="006D0F8C" w:rsidP="00064B02">
      <w:pPr>
        <w:autoSpaceDE w:val="0"/>
        <w:autoSpaceDN w:val="0"/>
        <w:adjustRightInd w:val="0"/>
        <w:spacing w:after="0" w:line="240" w:lineRule="auto"/>
        <w:rPr>
          <w:rFonts w:cstheme="minorHAnsi"/>
          <w:bCs/>
          <w:color w:val="0070C0"/>
        </w:rPr>
      </w:pPr>
    </w:p>
    <w:p w14:paraId="07F89360" w14:textId="41CAA7E2" w:rsidR="006D0F8C" w:rsidRPr="006F3256" w:rsidRDefault="006D0F8C" w:rsidP="006F3256">
      <w:pPr>
        <w:pStyle w:val="NoSpacing"/>
        <w:rPr>
          <w:u w:val="single"/>
        </w:rPr>
      </w:pPr>
      <w:r w:rsidRPr="006F3256">
        <w:rPr>
          <w:u w:val="single"/>
        </w:rPr>
        <w:t>Previous Response (2016):</w:t>
      </w:r>
    </w:p>
    <w:p w14:paraId="130E2868" w14:textId="77777777" w:rsidR="00150CD0" w:rsidRDefault="006D0F8C" w:rsidP="00E340DE">
      <w:pPr>
        <w:pStyle w:val="NoSpacing"/>
        <w:numPr>
          <w:ilvl w:val="0"/>
          <w:numId w:val="7"/>
        </w:numPr>
      </w:pPr>
      <w:r w:rsidRPr="00CD6B52">
        <w:rPr>
          <w:bCs/>
        </w:rPr>
        <w:t xml:space="preserve">Test/Re-Test: </w:t>
      </w:r>
      <w:r w:rsidRPr="00CD6B52">
        <w:t xml:space="preserve">For the 2014 and 2015 sample (i.e., comparing 2015 data to 2014 data),  over 75 percent of hospitals in the lowest-spending quintile in one year are in the lowest-spending quintile in the other; similarly, over 74 percent of hospitals in the highest-spending quintile in one year are in the highest-spending quintile in the other.  Moreover, over 91 percent of </w:t>
      </w:r>
      <w:r w:rsidRPr="00CD6B52">
        <w:lastRenderedPageBreak/>
        <w:t xml:space="preserve">hospitals in the highest-spending quintile in one year are in one of the top two highest spending quintiles in the other year.  Quintiles results are listed in Appendix Table 2a2-1.  The Spearman rank correlation for a hospital across the two years is 0.85, and the Pearson correlation coefficient is 0.81.  As a point of comparison, in a standard moving-average time series process with one lag (i.e., an </w:t>
      </w:r>
      <w:proofErr w:type="gramStart"/>
      <w:r w:rsidRPr="00CD6B52">
        <w:t>MA(</w:t>
      </w:r>
      <w:proofErr w:type="gramEnd"/>
      <w:r w:rsidRPr="00CD6B52">
        <w:t>1) process), the maximum possible Pearson correlation is 0.50.</w:t>
      </w:r>
      <w:r w:rsidRPr="00CD6B52">
        <w:rPr>
          <w:rStyle w:val="FootnoteReference"/>
          <w:rFonts w:ascii="Times New Roman" w:hAnsi="Times New Roman"/>
        </w:rPr>
        <w:footnoteReference w:id="9"/>
      </w:r>
      <w:r w:rsidRPr="00CD6B52">
        <w:t xml:space="preserve">  Therefore, the value of 0.81 is remarkably high in relation to a relevant statistical benchmark.    </w:t>
      </w:r>
      <w:r w:rsidRPr="00150CD0">
        <w:rPr>
          <w:bCs/>
        </w:rPr>
        <w:t xml:space="preserve">For the 2015 sample (i.e., comparing two random subsets of episodes from 2015), over </w:t>
      </w:r>
      <w:r w:rsidRPr="00CD6B52">
        <w:t>72 percent of hospitals in the lowest-spending quintile in one sample are in the lowest-spending quintile in the next; similarly, over 71 percent of hospitals in the highest-spending quintile in one sample are in the highest-spending quintile in the next.  Moreover, over 90 percent of hospitals in the highest-spending quintile in one sample are in one of the top two highest spending quintiles in the next.  The Spearman rank correlation for a hospital across samples is 0.82, and the Pearson correlation coefficient is 0.70.  In a simple econometric model where two outcomes share a mean and each have two additive error terms (one in common, and one distinct), the Pearson correlation is 0.50.</w:t>
      </w:r>
      <w:r w:rsidRPr="00150CD0">
        <w:rPr>
          <w:rStyle w:val="FootnoteReference"/>
          <w:rFonts w:ascii="Times New Roman" w:hAnsi="Times New Roman"/>
        </w:rPr>
        <w:t xml:space="preserve"> </w:t>
      </w:r>
      <w:r w:rsidRPr="00CD6B52">
        <w:rPr>
          <w:rStyle w:val="FootnoteReference"/>
          <w:rFonts w:ascii="Times New Roman" w:hAnsi="Times New Roman"/>
        </w:rPr>
        <w:footnoteReference w:id="10"/>
      </w:r>
      <w:r w:rsidRPr="00CD6B52">
        <w:t xml:space="preserve">  The value of 0.70 is high relative to this statistical benchmark in which the expected value of the two outcomes are completely identical.  </w:t>
      </w:r>
    </w:p>
    <w:p w14:paraId="591440E7" w14:textId="6DD9E3A0" w:rsidR="006D0F8C" w:rsidRDefault="006D0F8C" w:rsidP="00E340DE">
      <w:pPr>
        <w:pStyle w:val="NoSpacing"/>
        <w:numPr>
          <w:ilvl w:val="0"/>
          <w:numId w:val="7"/>
        </w:numPr>
      </w:pPr>
      <w:r w:rsidRPr="00150CD0">
        <w:rPr>
          <w:bCs/>
        </w:rPr>
        <w:t xml:space="preserve">Reliability Score: </w:t>
      </w:r>
      <w:r w:rsidRPr="00CD6B52">
        <w:t>Using a minimum episode threshold of 25 MSPB-Hospital episodes, over 99 percent of hospitals have a reliability score greater than 0.4 and 67.9 percent of hospitals have a reliability score greater than 0.9.  Additionally, the average reliability score for hospitals with at least 25 episodes is 0.897.  Previous work supported that 0.4 is the lower limit of “moderate” reliability</w:t>
      </w:r>
      <w:proofErr w:type="gramStart"/>
      <w:r w:rsidRPr="00CD6B52">
        <w:t>;</w:t>
      </w:r>
      <w:proofErr w:type="gramEnd"/>
      <w:r w:rsidR="00121638" w:rsidRPr="00121638">
        <w:rPr>
          <w:rFonts w:ascii="Times New Roman" w:hAnsi="Times New Roman"/>
          <w:vertAlign w:val="superscript"/>
        </w:rPr>
        <w:fldChar w:fldCharType="begin"/>
      </w:r>
      <w:r w:rsidR="00121638" w:rsidRPr="00121638">
        <w:rPr>
          <w:vertAlign w:val="superscript"/>
        </w:rPr>
        <w:instrText xml:space="preserve"> NOTEREF _Ref46425364 \h </w:instrText>
      </w:r>
      <w:r w:rsidR="00121638">
        <w:rPr>
          <w:rFonts w:ascii="Times New Roman" w:hAnsi="Times New Roman"/>
          <w:vertAlign w:val="superscript"/>
        </w:rPr>
        <w:instrText xml:space="preserve"> \* MERGEFORMAT </w:instrText>
      </w:r>
      <w:r w:rsidR="00121638" w:rsidRPr="00121638">
        <w:rPr>
          <w:rFonts w:ascii="Times New Roman" w:hAnsi="Times New Roman"/>
          <w:vertAlign w:val="superscript"/>
        </w:rPr>
      </w:r>
      <w:r w:rsidR="00121638" w:rsidRPr="00121638">
        <w:rPr>
          <w:rFonts w:ascii="Times New Roman" w:hAnsi="Times New Roman"/>
          <w:vertAlign w:val="superscript"/>
        </w:rPr>
        <w:fldChar w:fldCharType="separate"/>
      </w:r>
      <w:r w:rsidR="00121638" w:rsidRPr="00121638">
        <w:rPr>
          <w:vertAlign w:val="superscript"/>
        </w:rPr>
        <w:t>8</w:t>
      </w:r>
      <w:r w:rsidR="00121638" w:rsidRPr="00121638">
        <w:rPr>
          <w:rFonts w:ascii="Times New Roman" w:hAnsi="Times New Roman"/>
          <w:vertAlign w:val="superscript"/>
        </w:rPr>
        <w:fldChar w:fldCharType="end"/>
      </w:r>
      <w:r w:rsidRPr="00CD6B52">
        <w:t xml:space="preserve"> the MSPB-Hospital measure exceeds this threshold for over 99 percent of hospitals.</w:t>
      </w:r>
    </w:p>
    <w:p w14:paraId="5AFE5B13" w14:textId="6AF8BBBF" w:rsidR="0082307D" w:rsidRDefault="0082307D" w:rsidP="0082307D">
      <w:pPr>
        <w:pStyle w:val="NoSpacing"/>
      </w:pPr>
    </w:p>
    <w:p w14:paraId="46EED9F3" w14:textId="77777777" w:rsidR="0082307D" w:rsidRDefault="0082307D" w:rsidP="0082307D">
      <w:pPr>
        <w:pStyle w:val="NoSpacing"/>
      </w:pPr>
      <w:r w:rsidRPr="006F3256">
        <w:rPr>
          <w:bCs/>
          <w:u w:val="single"/>
        </w:rPr>
        <w:t>Previous Response (2016) Appendix A</w:t>
      </w:r>
      <w:r>
        <w:rPr>
          <w:bCs/>
          <w:u w:val="single"/>
        </w:rPr>
        <w:t xml:space="preserve">: </w:t>
      </w:r>
      <w:r w:rsidRPr="00CD6B52">
        <w:t xml:space="preserve">The original MSPB-Hospital measure submission demonstrated measure score reliability using two analyses: calculation of measure reliability scores and a test-retest analysis.  The measure reliability score calculation showed the percentage of hospitals with a reliability score greater than 0.4 and a reliability score greater than 0.9 for hospitals with at least 25 MSPB-hospital episodes, and the original test-retest analysis compared movement of hospital measure scores across quintiles. </w:t>
      </w:r>
    </w:p>
    <w:p w14:paraId="542C23D5" w14:textId="77777777" w:rsidR="0082307D" w:rsidRPr="00CD6B52" w:rsidRDefault="0082307D" w:rsidP="0082307D">
      <w:pPr>
        <w:pStyle w:val="NoSpacing"/>
      </w:pPr>
    </w:p>
    <w:p w14:paraId="3C677314" w14:textId="77777777" w:rsidR="0082307D" w:rsidRDefault="0082307D" w:rsidP="0082307D">
      <w:pPr>
        <w:pStyle w:val="NoSpacing"/>
      </w:pPr>
      <w:r w:rsidRPr="006F3256">
        <w:rPr>
          <w:rFonts w:ascii="Times New Roman" w:hAnsi="Times New Roman"/>
          <w:i/>
          <w:iCs/>
        </w:rPr>
        <w:t>NQF Committee Feedback:</w:t>
      </w:r>
      <w:r>
        <w:rPr>
          <w:rFonts w:ascii="Times New Roman" w:hAnsi="Times New Roman"/>
        </w:rPr>
        <w:t xml:space="preserve"> </w:t>
      </w:r>
      <w:r w:rsidRPr="00CD6B52">
        <w:t xml:space="preserve">The NQF committee commented on two aspects of the original submission’s reliability analyses.  First, some committee members requested a more granular breakdown of reliability, citing a reliability threshold of 0.7 and asking about the effect of case minimums on measure reliability.  Second, regarding the test-retest analysis, a committee member noted that approximately 30% of hospitals in the lowest spending quintile in one sample were not in the lowest spending quintile in the other sample.  </w:t>
      </w:r>
    </w:p>
    <w:p w14:paraId="67B691CB" w14:textId="77777777" w:rsidR="0082307D" w:rsidRPr="00CD6B52" w:rsidRDefault="0082307D" w:rsidP="0082307D">
      <w:pPr>
        <w:pStyle w:val="NoSpacing"/>
      </w:pPr>
    </w:p>
    <w:p w14:paraId="6203F62E" w14:textId="77777777" w:rsidR="0082307D" w:rsidRPr="00CD6B52" w:rsidRDefault="0082307D" w:rsidP="0082307D">
      <w:pPr>
        <w:pStyle w:val="NoSpacing"/>
      </w:pPr>
      <w:r w:rsidRPr="006F3256">
        <w:rPr>
          <w:rFonts w:ascii="Times New Roman" w:hAnsi="Times New Roman"/>
          <w:i/>
          <w:iCs/>
        </w:rPr>
        <w:t>Methods:</w:t>
      </w:r>
      <w:r>
        <w:rPr>
          <w:rFonts w:ascii="Times New Roman" w:hAnsi="Times New Roman"/>
        </w:rPr>
        <w:t xml:space="preserve"> </w:t>
      </w:r>
      <w:r w:rsidRPr="00CD6B52">
        <w:t>To address the committee feedback, Acumen performed two additional analyses: (i)</w:t>
      </w:r>
      <w:bookmarkStart w:id="0" w:name="_GoBack"/>
      <w:bookmarkEnd w:id="0"/>
      <w:r w:rsidRPr="00CD6B52">
        <w:t xml:space="preserve"> calculation of reliability numbers at additional thresholds, and (ii) an expansion of the test-retest analysis. For the reliability analysis, Acumen calculated reliability using the same methodology as the original submission.  Supplementary Table 1 below shows the percentage of hospitals with reliability greater than the 0.4 and 0.7 thresholds for case minimums of 25 episodes, 40 episodes, 60 episodes, </w:t>
      </w:r>
      <w:r w:rsidRPr="00CD6B52">
        <w:lastRenderedPageBreak/>
        <w:t>and 80 episodes.  For the test-retest analysis, Acumen used the same methodology as in the original submission.  However, the updated analysis shows movement of providers in the lowest 40</w:t>
      </w:r>
      <w:r w:rsidRPr="00CD6B52">
        <w:rPr>
          <w:vertAlign w:val="superscript"/>
        </w:rPr>
        <w:t>th</w:t>
      </w:r>
      <w:r w:rsidRPr="00CD6B52">
        <w:t xml:space="preserve"> percentile of spending, rather than analyzing movement across quintiles.  </w:t>
      </w:r>
    </w:p>
    <w:p w14:paraId="4D082FF5" w14:textId="77777777" w:rsidR="0082307D" w:rsidRDefault="0082307D" w:rsidP="0082307D">
      <w:pPr>
        <w:pStyle w:val="NoSpacing"/>
      </w:pPr>
      <w:r w:rsidRPr="006F3256">
        <w:rPr>
          <w:rFonts w:ascii="Times New Roman" w:hAnsi="Times New Roman"/>
          <w:i/>
          <w:iCs/>
        </w:rPr>
        <w:t>Results:</w:t>
      </w:r>
      <w:r>
        <w:rPr>
          <w:rFonts w:ascii="Times New Roman" w:hAnsi="Times New Roman"/>
          <w:i/>
          <w:iCs/>
        </w:rPr>
        <w:t xml:space="preserve"> </w:t>
      </w:r>
      <w:r w:rsidRPr="00CD6B52">
        <w:t>Supplementary Table 1 shows the percentage of providers with reliability greater than or equal to 0.4 and 0.7, for episode case minimums of 25, 40, 60, and 80.</w:t>
      </w:r>
      <w:r>
        <w:t xml:space="preserve"> </w:t>
      </w:r>
      <w:r w:rsidRPr="00CD6B52">
        <w:t>Of the 3,211 providers meeting the 25 episode case minimum, 99.1% have reliability greater than or equal to 0.4.  This number is also high for reliability greater than or equal to 0.7, where 93.1% of providers meet the threshold.  In addition, the percentage of providers meeting the reliability thresholds of 0.4 and 0.7 increases very little as the case minimum increases from 25.</w:t>
      </w:r>
    </w:p>
    <w:p w14:paraId="4E249D66" w14:textId="77777777" w:rsidR="0082307D" w:rsidRPr="00CD6B52" w:rsidRDefault="0082307D" w:rsidP="0082307D">
      <w:pPr>
        <w:pStyle w:val="NoSpacing"/>
      </w:pPr>
    </w:p>
    <w:p w14:paraId="6DB73243" w14:textId="77777777" w:rsidR="0082307D" w:rsidRDefault="0082307D" w:rsidP="0082307D">
      <w:pPr>
        <w:pStyle w:val="NoSpacing"/>
      </w:pPr>
      <w:r w:rsidRPr="00CD6B52">
        <w:t>The test-retest analysis shows that, when comparing 2014 and 2015 data, 84% of providers in the lowest 40th percentile of spending for one sample are also in the lowest 40th percentile of spending for the other sample.  Supplementary Table 2 shows full results for the test-retest analysis.</w:t>
      </w:r>
    </w:p>
    <w:p w14:paraId="281016DF" w14:textId="77777777" w:rsidR="0082307D" w:rsidRPr="00CD6B52" w:rsidRDefault="0082307D" w:rsidP="0082307D">
      <w:pPr>
        <w:pStyle w:val="NoSpacing"/>
      </w:pPr>
    </w:p>
    <w:p w14:paraId="0C4A3D76" w14:textId="77777777" w:rsidR="0082307D" w:rsidRPr="00F42A0A" w:rsidRDefault="0082307D" w:rsidP="00F42A0A">
      <w:pPr>
        <w:pStyle w:val="NoSpacing"/>
        <w:jc w:val="center"/>
        <w:rPr>
          <w:rFonts w:ascii="Times New Roman" w:hAnsi="Times New Roman"/>
          <w:b/>
        </w:rPr>
      </w:pPr>
      <w:r w:rsidRPr="00F42A0A">
        <w:rPr>
          <w:rFonts w:ascii="Times New Roman" w:hAnsi="Times New Roman"/>
          <w:b/>
        </w:rPr>
        <w:t>Supplementary Table 1: Provider Measure Reliability Breakdown</w:t>
      </w:r>
    </w:p>
    <w:tbl>
      <w:tblPr>
        <w:tblW w:w="9612" w:type="dxa"/>
        <w:jc w:val="center"/>
        <w:tblLook w:val="04A0" w:firstRow="1" w:lastRow="0" w:firstColumn="1" w:lastColumn="0" w:noHBand="0" w:noVBand="1"/>
      </w:tblPr>
      <w:tblGrid>
        <w:gridCol w:w="2477"/>
        <w:gridCol w:w="1883"/>
        <w:gridCol w:w="1982"/>
        <w:gridCol w:w="1595"/>
        <w:gridCol w:w="1675"/>
      </w:tblGrid>
      <w:tr w:rsidR="0082307D" w:rsidRPr="00666D77" w14:paraId="0AD3844A" w14:textId="77777777" w:rsidTr="0082307D">
        <w:trPr>
          <w:trHeight w:val="953"/>
          <w:tblHeader/>
          <w:jc w:val="center"/>
        </w:trPr>
        <w:tc>
          <w:tcPr>
            <w:tcW w:w="2477" w:type="dxa"/>
            <w:tcBorders>
              <w:top w:val="single" w:sz="8" w:space="0" w:color="auto"/>
              <w:left w:val="single" w:sz="8" w:space="0" w:color="auto"/>
              <w:bottom w:val="single" w:sz="4" w:space="0" w:color="auto"/>
              <w:right w:val="single" w:sz="4" w:space="0" w:color="auto"/>
            </w:tcBorders>
            <w:shd w:val="clear" w:color="000000" w:fill="203764"/>
            <w:vAlign w:val="center"/>
            <w:hideMark/>
          </w:tcPr>
          <w:p w14:paraId="1724802E"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of Threshold Episodes </w:t>
            </w:r>
          </w:p>
        </w:tc>
        <w:tc>
          <w:tcPr>
            <w:tcW w:w="1883" w:type="dxa"/>
            <w:tcBorders>
              <w:top w:val="single" w:sz="8" w:space="0" w:color="auto"/>
              <w:left w:val="single" w:sz="8" w:space="0" w:color="auto"/>
              <w:bottom w:val="single" w:sz="4" w:space="0" w:color="auto"/>
              <w:right w:val="single" w:sz="4" w:space="0" w:color="auto"/>
            </w:tcBorders>
            <w:shd w:val="clear" w:color="000000" w:fill="203764"/>
            <w:vAlign w:val="center"/>
            <w:hideMark/>
          </w:tcPr>
          <w:p w14:paraId="6E5633E8"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 of Providers</w:t>
            </w:r>
            <w:r w:rsidRPr="00CD6B52">
              <w:rPr>
                <w:rFonts w:ascii="Times New Roman" w:eastAsia="Times New Roman" w:hAnsi="Times New Roman"/>
                <w:b/>
                <w:color w:val="FFFFFF"/>
              </w:rPr>
              <w:br/>
              <w:t>with Greater than or Equal to 0.4</w:t>
            </w:r>
            <w:r w:rsidRPr="00CD6B52">
              <w:rPr>
                <w:rFonts w:ascii="Times New Roman" w:eastAsia="Times New Roman" w:hAnsi="Times New Roman"/>
                <w:b/>
                <w:color w:val="FFFFFF"/>
              </w:rPr>
              <w:br/>
              <w:t xml:space="preserve">Reliability </w:t>
            </w:r>
          </w:p>
        </w:tc>
        <w:tc>
          <w:tcPr>
            <w:tcW w:w="1982" w:type="dxa"/>
            <w:tcBorders>
              <w:top w:val="single" w:sz="8" w:space="0" w:color="auto"/>
              <w:left w:val="single" w:sz="8" w:space="0" w:color="auto"/>
              <w:bottom w:val="single" w:sz="4" w:space="0" w:color="auto"/>
              <w:right w:val="single" w:sz="4" w:space="0" w:color="auto"/>
            </w:tcBorders>
            <w:shd w:val="clear" w:color="000000" w:fill="203764"/>
            <w:vAlign w:val="center"/>
            <w:hideMark/>
          </w:tcPr>
          <w:p w14:paraId="7C124B41"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 of Providers</w:t>
            </w:r>
            <w:r w:rsidRPr="00CD6B52">
              <w:rPr>
                <w:rFonts w:ascii="Times New Roman" w:eastAsia="Times New Roman" w:hAnsi="Times New Roman"/>
                <w:b/>
                <w:color w:val="FFFFFF"/>
              </w:rPr>
              <w:br/>
              <w:t>with Greater than or Equal to 0.7</w:t>
            </w:r>
            <w:r w:rsidRPr="00CD6B52">
              <w:rPr>
                <w:rFonts w:ascii="Times New Roman" w:eastAsia="Times New Roman" w:hAnsi="Times New Roman"/>
                <w:b/>
                <w:color w:val="FFFFFF"/>
              </w:rPr>
              <w:br/>
              <w:t xml:space="preserve">Reliability </w:t>
            </w:r>
          </w:p>
        </w:tc>
        <w:tc>
          <w:tcPr>
            <w:tcW w:w="1595" w:type="dxa"/>
            <w:tcBorders>
              <w:top w:val="single" w:sz="8" w:space="0" w:color="auto"/>
              <w:left w:val="nil"/>
              <w:bottom w:val="single" w:sz="4" w:space="0" w:color="auto"/>
              <w:right w:val="single" w:sz="4" w:space="0" w:color="auto"/>
            </w:tcBorders>
            <w:shd w:val="clear" w:color="000000" w:fill="203764"/>
            <w:vAlign w:val="center"/>
            <w:hideMark/>
          </w:tcPr>
          <w:p w14:paraId="64DE061B"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 of</w:t>
            </w:r>
            <w:r w:rsidRPr="00CD6B52">
              <w:rPr>
                <w:rFonts w:ascii="Times New Roman" w:eastAsia="Times New Roman" w:hAnsi="Times New Roman"/>
                <w:b/>
                <w:color w:val="FFFFFF"/>
              </w:rPr>
              <w:br/>
              <w:t>Providers</w:t>
            </w:r>
            <w:r w:rsidRPr="00CD6B52">
              <w:rPr>
                <w:rFonts w:ascii="Times New Roman" w:eastAsia="Times New Roman" w:hAnsi="Times New Roman"/>
                <w:b/>
                <w:color w:val="FFFFFF"/>
              </w:rPr>
              <w:br/>
              <w:t xml:space="preserve">With This Many Episodes </w:t>
            </w:r>
          </w:p>
        </w:tc>
        <w:tc>
          <w:tcPr>
            <w:tcW w:w="1675" w:type="dxa"/>
            <w:tcBorders>
              <w:top w:val="single" w:sz="8" w:space="0" w:color="auto"/>
              <w:left w:val="nil"/>
              <w:bottom w:val="single" w:sz="4" w:space="0" w:color="auto"/>
              <w:right w:val="single" w:sz="8" w:space="0" w:color="auto"/>
            </w:tcBorders>
            <w:shd w:val="clear" w:color="000000" w:fill="203764"/>
            <w:vAlign w:val="center"/>
            <w:hideMark/>
          </w:tcPr>
          <w:p w14:paraId="349D1FA3"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 of</w:t>
            </w:r>
            <w:r w:rsidRPr="00CD6B52">
              <w:rPr>
                <w:rFonts w:ascii="Times New Roman" w:eastAsia="Times New Roman" w:hAnsi="Times New Roman"/>
                <w:b/>
                <w:color w:val="FFFFFF"/>
              </w:rPr>
              <w:br/>
              <w:t>Providers</w:t>
            </w:r>
            <w:r w:rsidRPr="00CD6B52">
              <w:rPr>
                <w:rFonts w:ascii="Times New Roman" w:eastAsia="Times New Roman" w:hAnsi="Times New Roman"/>
                <w:b/>
                <w:color w:val="FFFFFF"/>
              </w:rPr>
              <w:br/>
              <w:t>With This Many</w:t>
            </w:r>
            <w:r w:rsidRPr="00CD6B52">
              <w:rPr>
                <w:rFonts w:ascii="Times New Roman" w:eastAsia="Times New Roman" w:hAnsi="Times New Roman"/>
                <w:b/>
                <w:color w:val="FFFFFF"/>
              </w:rPr>
              <w:br/>
              <w:t xml:space="preserve">Episodes </w:t>
            </w:r>
          </w:p>
        </w:tc>
      </w:tr>
      <w:tr w:rsidR="0082307D" w:rsidRPr="00666D77" w14:paraId="76AF17B7" w14:textId="77777777" w:rsidTr="0082307D">
        <w:trPr>
          <w:trHeight w:val="222"/>
          <w:jc w:val="center"/>
        </w:trPr>
        <w:tc>
          <w:tcPr>
            <w:tcW w:w="2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6B6B7"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Greater Than or Equal to 25 Episodes</w:t>
            </w:r>
          </w:p>
        </w:tc>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C6E4A" w14:textId="77777777" w:rsidR="0082307D" w:rsidRPr="00CD6B52" w:rsidRDefault="0082307D" w:rsidP="0082307D">
            <w:pPr>
              <w:pStyle w:val="NoSpacing"/>
              <w:rPr>
                <w:rFonts w:ascii="Times New Roman" w:eastAsia="Times New Roman" w:hAnsi="Times New Roman"/>
              </w:rPr>
            </w:pPr>
            <w:r w:rsidRPr="00CD6B52">
              <w:rPr>
                <w:rFonts w:ascii="Times New Roman" w:hAnsi="Times New Roman"/>
              </w:rPr>
              <w:t>99.1%</w:t>
            </w:r>
          </w:p>
        </w:tc>
        <w:tc>
          <w:tcPr>
            <w:tcW w:w="1982" w:type="dxa"/>
            <w:tcBorders>
              <w:top w:val="single" w:sz="4" w:space="0" w:color="auto"/>
              <w:left w:val="nil"/>
              <w:bottom w:val="single" w:sz="4" w:space="0" w:color="auto"/>
              <w:right w:val="single" w:sz="4" w:space="0" w:color="auto"/>
            </w:tcBorders>
            <w:shd w:val="clear" w:color="auto" w:fill="auto"/>
            <w:noWrap/>
            <w:vAlign w:val="center"/>
            <w:hideMark/>
          </w:tcPr>
          <w:p w14:paraId="43BFBE43" w14:textId="77777777" w:rsidR="0082307D" w:rsidRPr="00CD6B52" w:rsidRDefault="0082307D" w:rsidP="0082307D">
            <w:pPr>
              <w:pStyle w:val="NoSpacing"/>
              <w:rPr>
                <w:rFonts w:ascii="Times New Roman" w:eastAsia="Times New Roman" w:hAnsi="Times New Roman"/>
              </w:rPr>
            </w:pPr>
            <w:r w:rsidRPr="00CD6B52">
              <w:rPr>
                <w:rFonts w:ascii="Times New Roman" w:hAnsi="Times New Roman"/>
              </w:rPr>
              <w:t>93.1%</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2DF2DEB7"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3,211</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6EC2B"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97%</w:t>
            </w:r>
          </w:p>
        </w:tc>
      </w:tr>
      <w:tr w:rsidR="0082307D" w:rsidRPr="00666D77" w14:paraId="3C805BA8" w14:textId="77777777" w:rsidTr="0082307D">
        <w:trPr>
          <w:trHeight w:val="222"/>
          <w:jc w:val="center"/>
        </w:trPr>
        <w:tc>
          <w:tcPr>
            <w:tcW w:w="2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DCF7A"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Greater Than or Equal to 40 Episodes</w:t>
            </w:r>
          </w:p>
        </w:tc>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D48E0" w14:textId="77777777" w:rsidR="0082307D" w:rsidRPr="00CD6B52" w:rsidRDefault="0082307D" w:rsidP="0082307D">
            <w:pPr>
              <w:pStyle w:val="NoSpacing"/>
              <w:rPr>
                <w:rFonts w:ascii="Times New Roman" w:eastAsia="Times New Roman" w:hAnsi="Times New Roman"/>
              </w:rPr>
            </w:pPr>
            <w:r w:rsidRPr="00CD6B52">
              <w:rPr>
                <w:rFonts w:ascii="Times New Roman" w:hAnsi="Times New Roman"/>
              </w:rPr>
              <w:t>99.5%</w:t>
            </w:r>
          </w:p>
        </w:tc>
        <w:tc>
          <w:tcPr>
            <w:tcW w:w="1982" w:type="dxa"/>
            <w:tcBorders>
              <w:top w:val="single" w:sz="4" w:space="0" w:color="auto"/>
              <w:left w:val="nil"/>
              <w:bottom w:val="single" w:sz="4" w:space="0" w:color="auto"/>
              <w:right w:val="single" w:sz="4" w:space="0" w:color="auto"/>
            </w:tcBorders>
            <w:shd w:val="clear" w:color="auto" w:fill="auto"/>
            <w:noWrap/>
            <w:vAlign w:val="center"/>
            <w:hideMark/>
          </w:tcPr>
          <w:p w14:paraId="5F616CC6" w14:textId="77777777" w:rsidR="0082307D" w:rsidRPr="00CD6B52" w:rsidRDefault="0082307D" w:rsidP="0082307D">
            <w:pPr>
              <w:pStyle w:val="NoSpacing"/>
              <w:rPr>
                <w:rFonts w:ascii="Times New Roman" w:eastAsia="Times New Roman" w:hAnsi="Times New Roman"/>
              </w:rPr>
            </w:pPr>
            <w:r w:rsidRPr="00CD6B52">
              <w:rPr>
                <w:rFonts w:ascii="Times New Roman" w:hAnsi="Times New Roman"/>
              </w:rPr>
              <w:t>93.3%</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3796D8FF"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3,182</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F8C26"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96%</w:t>
            </w:r>
          </w:p>
        </w:tc>
      </w:tr>
      <w:tr w:rsidR="0082307D" w:rsidRPr="00666D77" w14:paraId="5056FE84" w14:textId="77777777" w:rsidTr="0082307D">
        <w:trPr>
          <w:trHeight w:val="222"/>
          <w:jc w:val="center"/>
        </w:trPr>
        <w:tc>
          <w:tcPr>
            <w:tcW w:w="2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90B4F"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Greater Than or Equal to 60 Episodes</w:t>
            </w:r>
          </w:p>
        </w:tc>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38FEB" w14:textId="77777777" w:rsidR="0082307D" w:rsidRPr="00CD6B52" w:rsidRDefault="0082307D" w:rsidP="0082307D">
            <w:pPr>
              <w:pStyle w:val="NoSpacing"/>
              <w:rPr>
                <w:rFonts w:ascii="Times New Roman" w:eastAsia="Times New Roman" w:hAnsi="Times New Roman"/>
              </w:rPr>
            </w:pPr>
            <w:r w:rsidRPr="00CD6B52">
              <w:rPr>
                <w:rFonts w:ascii="Times New Roman" w:hAnsi="Times New Roman"/>
              </w:rPr>
              <w:t>99.6%</w:t>
            </w:r>
          </w:p>
        </w:tc>
        <w:tc>
          <w:tcPr>
            <w:tcW w:w="1982" w:type="dxa"/>
            <w:tcBorders>
              <w:top w:val="single" w:sz="4" w:space="0" w:color="auto"/>
              <w:left w:val="nil"/>
              <w:bottom w:val="single" w:sz="4" w:space="0" w:color="auto"/>
              <w:right w:val="single" w:sz="4" w:space="0" w:color="auto"/>
            </w:tcBorders>
            <w:shd w:val="clear" w:color="auto" w:fill="auto"/>
            <w:noWrap/>
            <w:vAlign w:val="center"/>
            <w:hideMark/>
          </w:tcPr>
          <w:p w14:paraId="6EF50961" w14:textId="77777777" w:rsidR="0082307D" w:rsidRPr="00CD6B52" w:rsidRDefault="0082307D" w:rsidP="0082307D">
            <w:pPr>
              <w:pStyle w:val="NoSpacing"/>
              <w:rPr>
                <w:rFonts w:ascii="Times New Roman" w:eastAsia="Times New Roman" w:hAnsi="Times New Roman"/>
              </w:rPr>
            </w:pPr>
            <w:r w:rsidRPr="00CD6B52">
              <w:rPr>
                <w:rFonts w:ascii="Times New Roman" w:hAnsi="Times New Roman"/>
              </w:rPr>
              <w:t>93.3%</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4975B45E"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3,144</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543CE"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95%</w:t>
            </w:r>
          </w:p>
        </w:tc>
      </w:tr>
      <w:tr w:rsidR="0082307D" w:rsidRPr="00666D77" w14:paraId="2861483C" w14:textId="77777777" w:rsidTr="0082307D">
        <w:trPr>
          <w:trHeight w:val="235"/>
          <w:jc w:val="center"/>
        </w:trPr>
        <w:tc>
          <w:tcPr>
            <w:tcW w:w="2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EEF23"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Greater Than or Equal to 80 Episodes</w:t>
            </w:r>
          </w:p>
        </w:tc>
        <w:tc>
          <w:tcPr>
            <w:tcW w:w="1883" w:type="dxa"/>
            <w:tcBorders>
              <w:top w:val="single" w:sz="4" w:space="0" w:color="auto"/>
              <w:left w:val="nil"/>
              <w:bottom w:val="single" w:sz="4" w:space="0" w:color="auto"/>
              <w:right w:val="single" w:sz="4" w:space="0" w:color="auto"/>
            </w:tcBorders>
            <w:shd w:val="clear" w:color="auto" w:fill="auto"/>
            <w:noWrap/>
            <w:vAlign w:val="center"/>
            <w:hideMark/>
          </w:tcPr>
          <w:p w14:paraId="1ED8DBBF" w14:textId="77777777" w:rsidR="0082307D" w:rsidRPr="00CD6B52" w:rsidRDefault="0082307D" w:rsidP="0082307D">
            <w:pPr>
              <w:pStyle w:val="NoSpacing"/>
              <w:rPr>
                <w:rFonts w:ascii="Times New Roman" w:eastAsia="Times New Roman" w:hAnsi="Times New Roman"/>
              </w:rPr>
            </w:pPr>
            <w:r w:rsidRPr="00CD6B52">
              <w:rPr>
                <w:rFonts w:ascii="Times New Roman" w:hAnsi="Times New Roman"/>
              </w:rPr>
              <w:t>99.8%</w:t>
            </w:r>
          </w:p>
        </w:tc>
        <w:tc>
          <w:tcPr>
            <w:tcW w:w="1982" w:type="dxa"/>
            <w:tcBorders>
              <w:top w:val="single" w:sz="4" w:space="0" w:color="auto"/>
              <w:left w:val="nil"/>
              <w:bottom w:val="single" w:sz="4" w:space="0" w:color="auto"/>
              <w:right w:val="single" w:sz="4" w:space="0" w:color="auto"/>
            </w:tcBorders>
            <w:shd w:val="clear" w:color="auto" w:fill="auto"/>
            <w:noWrap/>
            <w:vAlign w:val="center"/>
            <w:hideMark/>
          </w:tcPr>
          <w:p w14:paraId="0072F38D" w14:textId="77777777" w:rsidR="0082307D" w:rsidRPr="00CD6B52" w:rsidRDefault="0082307D" w:rsidP="0082307D">
            <w:pPr>
              <w:pStyle w:val="NoSpacing"/>
              <w:rPr>
                <w:rFonts w:ascii="Times New Roman" w:eastAsia="Times New Roman" w:hAnsi="Times New Roman"/>
              </w:rPr>
            </w:pPr>
            <w:r w:rsidRPr="00CD6B52">
              <w:rPr>
                <w:rFonts w:ascii="Times New Roman" w:hAnsi="Times New Roman"/>
              </w:rPr>
              <w:t>93.5%</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54F60E6F"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3,100</w:t>
            </w:r>
          </w:p>
        </w:tc>
        <w:tc>
          <w:tcPr>
            <w:tcW w:w="1675" w:type="dxa"/>
            <w:tcBorders>
              <w:top w:val="single" w:sz="4" w:space="0" w:color="auto"/>
              <w:left w:val="nil"/>
              <w:bottom w:val="single" w:sz="4" w:space="0" w:color="auto"/>
              <w:right w:val="single" w:sz="4" w:space="0" w:color="auto"/>
            </w:tcBorders>
            <w:shd w:val="clear" w:color="auto" w:fill="auto"/>
            <w:noWrap/>
            <w:vAlign w:val="center"/>
            <w:hideMark/>
          </w:tcPr>
          <w:p w14:paraId="7E94AA96"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94%</w:t>
            </w:r>
          </w:p>
        </w:tc>
      </w:tr>
    </w:tbl>
    <w:p w14:paraId="371CF67F" w14:textId="77777777" w:rsidR="0082307D" w:rsidRDefault="0082307D" w:rsidP="0082307D">
      <w:pPr>
        <w:pStyle w:val="NoSpacing"/>
      </w:pPr>
    </w:p>
    <w:p w14:paraId="6D2931A9" w14:textId="77777777" w:rsidR="0082307D" w:rsidRPr="00CD6B52" w:rsidRDefault="0082307D" w:rsidP="0082307D">
      <w:pPr>
        <w:pStyle w:val="NoSpacing"/>
      </w:pPr>
    </w:p>
    <w:p w14:paraId="60632431" w14:textId="77777777" w:rsidR="0082307D" w:rsidRPr="00F42A0A" w:rsidRDefault="0082307D" w:rsidP="00F42A0A">
      <w:pPr>
        <w:pStyle w:val="NoSpacing"/>
        <w:jc w:val="center"/>
        <w:rPr>
          <w:rFonts w:ascii="Times New Roman" w:hAnsi="Times New Roman"/>
          <w:b/>
        </w:rPr>
      </w:pPr>
      <w:r w:rsidRPr="00F42A0A">
        <w:rPr>
          <w:rFonts w:ascii="Times New Roman" w:hAnsi="Times New Roman"/>
          <w:b/>
        </w:rPr>
        <w:t>Supplementary Table 2: Test-Retest Measure Score Movement</w:t>
      </w:r>
    </w:p>
    <w:tbl>
      <w:tblPr>
        <w:tblW w:w="10790" w:type="dxa"/>
        <w:jc w:val="center"/>
        <w:tblLook w:val="04A0" w:firstRow="1" w:lastRow="0" w:firstColumn="1" w:lastColumn="0" w:noHBand="0" w:noVBand="1"/>
      </w:tblPr>
      <w:tblGrid>
        <w:gridCol w:w="2247"/>
        <w:gridCol w:w="1626"/>
        <w:gridCol w:w="1779"/>
        <w:gridCol w:w="1581"/>
        <w:gridCol w:w="1779"/>
        <w:gridCol w:w="1778"/>
      </w:tblGrid>
      <w:tr w:rsidR="0082307D" w:rsidRPr="00666D77" w14:paraId="34A63D92" w14:textId="77777777" w:rsidTr="0082307D">
        <w:trPr>
          <w:trHeight w:val="1500"/>
          <w:tblHeader/>
          <w:jc w:val="center"/>
        </w:trPr>
        <w:tc>
          <w:tcPr>
            <w:tcW w:w="2247"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5670591F"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Method &amp; Number of Episodes Restriction </w:t>
            </w:r>
          </w:p>
        </w:tc>
        <w:tc>
          <w:tcPr>
            <w:tcW w:w="1626" w:type="dxa"/>
            <w:tcBorders>
              <w:top w:val="single" w:sz="8" w:space="0" w:color="auto"/>
              <w:left w:val="nil"/>
              <w:bottom w:val="single" w:sz="4" w:space="0" w:color="auto"/>
              <w:right w:val="single" w:sz="4" w:space="0" w:color="auto"/>
            </w:tcBorders>
            <w:shd w:val="clear" w:color="000000" w:fill="305496"/>
            <w:vAlign w:val="center"/>
            <w:hideMark/>
          </w:tcPr>
          <w:p w14:paraId="2F17D4A0"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 of Providers in Lowest 40th Percentile of Measures 1 &amp; 2 </w:t>
            </w:r>
          </w:p>
        </w:tc>
        <w:tc>
          <w:tcPr>
            <w:tcW w:w="1779" w:type="dxa"/>
            <w:tcBorders>
              <w:top w:val="single" w:sz="8" w:space="0" w:color="auto"/>
              <w:left w:val="nil"/>
              <w:bottom w:val="single" w:sz="4" w:space="0" w:color="auto"/>
              <w:right w:val="single" w:sz="4" w:space="0" w:color="auto"/>
            </w:tcBorders>
            <w:shd w:val="clear" w:color="000000" w:fill="305496"/>
            <w:vAlign w:val="center"/>
            <w:hideMark/>
          </w:tcPr>
          <w:p w14:paraId="4044DA36"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 of Providers in Lowest 40th Percentile of Measure 1 </w:t>
            </w:r>
          </w:p>
        </w:tc>
        <w:tc>
          <w:tcPr>
            <w:tcW w:w="1581" w:type="dxa"/>
            <w:tcBorders>
              <w:top w:val="single" w:sz="8" w:space="0" w:color="auto"/>
              <w:left w:val="nil"/>
              <w:bottom w:val="single" w:sz="4" w:space="0" w:color="auto"/>
              <w:right w:val="single" w:sz="4" w:space="0" w:color="auto"/>
            </w:tcBorders>
            <w:shd w:val="clear" w:color="000000" w:fill="305496"/>
            <w:vAlign w:val="center"/>
            <w:hideMark/>
          </w:tcPr>
          <w:p w14:paraId="2C742C86"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 of Providers in Lowest 40th Percentile of Measure 2</w:t>
            </w:r>
          </w:p>
        </w:tc>
        <w:tc>
          <w:tcPr>
            <w:tcW w:w="1779" w:type="dxa"/>
            <w:tcBorders>
              <w:top w:val="single" w:sz="8" w:space="0" w:color="auto"/>
              <w:left w:val="nil"/>
              <w:bottom w:val="single" w:sz="4" w:space="0" w:color="auto"/>
              <w:right w:val="nil"/>
            </w:tcBorders>
            <w:shd w:val="clear" w:color="000000" w:fill="305496"/>
            <w:vAlign w:val="center"/>
            <w:hideMark/>
          </w:tcPr>
          <w:p w14:paraId="7FDCE186"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 of Providers in Lowest 40th Percentile of Measure 1 that Are In Lowest 40th Percentile of Measures 1 &amp; 2 </w:t>
            </w:r>
          </w:p>
        </w:tc>
        <w:tc>
          <w:tcPr>
            <w:tcW w:w="1778" w:type="dxa"/>
            <w:tcBorders>
              <w:top w:val="single" w:sz="8" w:space="0" w:color="auto"/>
              <w:left w:val="single" w:sz="4" w:space="0" w:color="auto"/>
              <w:bottom w:val="single" w:sz="4" w:space="0" w:color="auto"/>
              <w:right w:val="single" w:sz="4" w:space="0" w:color="auto"/>
            </w:tcBorders>
            <w:shd w:val="clear" w:color="000000" w:fill="305496"/>
            <w:vAlign w:val="center"/>
            <w:hideMark/>
          </w:tcPr>
          <w:p w14:paraId="57C4D182" w14:textId="77777777" w:rsidR="0082307D" w:rsidRPr="00CD6B52" w:rsidRDefault="0082307D" w:rsidP="0082307D">
            <w:pPr>
              <w:pStyle w:val="NoSpacing"/>
              <w:rPr>
                <w:rFonts w:ascii="Times New Roman" w:eastAsia="Times New Roman" w:hAnsi="Times New Roman"/>
                <w:b/>
                <w:color w:val="FFFFFF"/>
              </w:rPr>
            </w:pPr>
            <w:r w:rsidRPr="00CD6B52">
              <w:rPr>
                <w:rFonts w:ascii="Times New Roman" w:eastAsia="Times New Roman" w:hAnsi="Times New Roman"/>
                <w:b/>
                <w:color w:val="FFFFFF"/>
              </w:rPr>
              <w:t xml:space="preserve"> % of Providers in Lowest 40th Percentile of Measure 2 that Are In Lowest 40th Percentile of Measures 1 &amp; 2 </w:t>
            </w:r>
          </w:p>
        </w:tc>
      </w:tr>
      <w:tr w:rsidR="0082307D" w:rsidRPr="00666D77" w14:paraId="23CA507E" w14:textId="77777777" w:rsidTr="0082307D">
        <w:trPr>
          <w:trHeight w:val="255"/>
          <w:jc w:val="center"/>
        </w:trPr>
        <w:tc>
          <w:tcPr>
            <w:tcW w:w="2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4DF9B"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All Providers in 2014 &amp; 2015 Data</w:t>
            </w:r>
          </w:p>
        </w:tc>
        <w:tc>
          <w:tcPr>
            <w:tcW w:w="1626" w:type="dxa"/>
            <w:tcBorders>
              <w:top w:val="single" w:sz="4" w:space="0" w:color="auto"/>
              <w:left w:val="nil"/>
              <w:bottom w:val="single" w:sz="4" w:space="0" w:color="auto"/>
              <w:right w:val="single" w:sz="4" w:space="0" w:color="auto"/>
            </w:tcBorders>
            <w:shd w:val="clear" w:color="auto" w:fill="auto"/>
            <w:noWrap/>
            <w:vAlign w:val="center"/>
            <w:hideMark/>
          </w:tcPr>
          <w:p w14:paraId="325327C8"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1,098</w:t>
            </w:r>
          </w:p>
        </w:tc>
        <w:tc>
          <w:tcPr>
            <w:tcW w:w="1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01C4"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1,309</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55929B70"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1,309</w:t>
            </w:r>
          </w:p>
        </w:tc>
        <w:tc>
          <w:tcPr>
            <w:tcW w:w="1779" w:type="dxa"/>
            <w:tcBorders>
              <w:top w:val="single" w:sz="4" w:space="0" w:color="auto"/>
              <w:left w:val="nil"/>
              <w:bottom w:val="single" w:sz="4" w:space="0" w:color="auto"/>
              <w:right w:val="nil"/>
            </w:tcBorders>
            <w:shd w:val="clear" w:color="auto" w:fill="auto"/>
            <w:noWrap/>
            <w:vAlign w:val="center"/>
            <w:hideMark/>
          </w:tcPr>
          <w:p w14:paraId="7461EC5B"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84%</w:t>
            </w:r>
          </w:p>
        </w:tc>
        <w:tc>
          <w:tcPr>
            <w:tcW w:w="17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542A3"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84%</w:t>
            </w:r>
          </w:p>
        </w:tc>
      </w:tr>
      <w:tr w:rsidR="0082307D" w:rsidRPr="00666D77" w14:paraId="5A4CBBDE" w14:textId="77777777" w:rsidTr="0082307D">
        <w:trPr>
          <w:trHeight w:val="270"/>
          <w:jc w:val="center"/>
        </w:trPr>
        <w:tc>
          <w:tcPr>
            <w:tcW w:w="224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37EAD32"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All Providers with At Least 25 Episodes in 2014 &amp; 2015 Data</w:t>
            </w:r>
          </w:p>
        </w:tc>
        <w:tc>
          <w:tcPr>
            <w:tcW w:w="1626" w:type="dxa"/>
            <w:tcBorders>
              <w:top w:val="single" w:sz="4" w:space="0" w:color="auto"/>
              <w:left w:val="nil"/>
              <w:bottom w:val="single" w:sz="8" w:space="0" w:color="auto"/>
              <w:right w:val="single" w:sz="4" w:space="0" w:color="auto"/>
            </w:tcBorders>
            <w:shd w:val="clear" w:color="auto" w:fill="auto"/>
            <w:noWrap/>
            <w:vAlign w:val="center"/>
            <w:hideMark/>
          </w:tcPr>
          <w:p w14:paraId="4DC70C36"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1,073</w:t>
            </w:r>
          </w:p>
        </w:tc>
        <w:tc>
          <w:tcPr>
            <w:tcW w:w="1779" w:type="dxa"/>
            <w:tcBorders>
              <w:top w:val="single" w:sz="4" w:space="0" w:color="auto"/>
              <w:left w:val="nil"/>
              <w:bottom w:val="single" w:sz="8" w:space="0" w:color="auto"/>
              <w:right w:val="single" w:sz="4" w:space="0" w:color="auto"/>
            </w:tcBorders>
            <w:shd w:val="clear" w:color="auto" w:fill="auto"/>
            <w:noWrap/>
            <w:vAlign w:val="center"/>
            <w:hideMark/>
          </w:tcPr>
          <w:p w14:paraId="682C6488"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1,275</w:t>
            </w:r>
          </w:p>
        </w:tc>
        <w:tc>
          <w:tcPr>
            <w:tcW w:w="1581" w:type="dxa"/>
            <w:tcBorders>
              <w:top w:val="single" w:sz="4" w:space="0" w:color="auto"/>
              <w:left w:val="nil"/>
              <w:bottom w:val="single" w:sz="8" w:space="0" w:color="auto"/>
              <w:right w:val="single" w:sz="4" w:space="0" w:color="auto"/>
            </w:tcBorders>
            <w:shd w:val="clear" w:color="auto" w:fill="auto"/>
            <w:noWrap/>
            <w:vAlign w:val="center"/>
            <w:hideMark/>
          </w:tcPr>
          <w:p w14:paraId="0A19AB59"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1,275</w:t>
            </w:r>
          </w:p>
        </w:tc>
        <w:tc>
          <w:tcPr>
            <w:tcW w:w="1779" w:type="dxa"/>
            <w:tcBorders>
              <w:top w:val="single" w:sz="4" w:space="0" w:color="auto"/>
              <w:left w:val="nil"/>
              <w:bottom w:val="single" w:sz="8" w:space="0" w:color="auto"/>
              <w:right w:val="nil"/>
            </w:tcBorders>
            <w:shd w:val="clear" w:color="auto" w:fill="auto"/>
            <w:noWrap/>
            <w:vAlign w:val="center"/>
            <w:hideMark/>
          </w:tcPr>
          <w:p w14:paraId="15CF2510"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84%</w:t>
            </w:r>
          </w:p>
        </w:tc>
        <w:tc>
          <w:tcPr>
            <w:tcW w:w="1778"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6CDA556" w14:textId="77777777" w:rsidR="0082307D" w:rsidRPr="00CD6B52" w:rsidRDefault="0082307D" w:rsidP="0082307D">
            <w:pPr>
              <w:pStyle w:val="NoSpacing"/>
              <w:rPr>
                <w:rFonts w:ascii="Times New Roman" w:eastAsia="Times New Roman" w:hAnsi="Times New Roman"/>
              </w:rPr>
            </w:pPr>
            <w:r w:rsidRPr="00CD6B52">
              <w:rPr>
                <w:rFonts w:ascii="Times New Roman" w:eastAsia="Times New Roman" w:hAnsi="Times New Roman"/>
              </w:rPr>
              <w:t>84%</w:t>
            </w:r>
          </w:p>
        </w:tc>
      </w:tr>
    </w:tbl>
    <w:p w14:paraId="6347720A" w14:textId="77777777" w:rsidR="0082307D" w:rsidRDefault="0082307D" w:rsidP="006739ED">
      <w:pPr>
        <w:pStyle w:val="NoSpacing"/>
      </w:pPr>
    </w:p>
    <w:p w14:paraId="67FB4C9B" w14:textId="77777777" w:rsidR="00150CD0" w:rsidRPr="00150CD0" w:rsidRDefault="00150CD0" w:rsidP="00150CD0">
      <w:pPr>
        <w:pStyle w:val="NoSpacing"/>
        <w:ind w:left="720"/>
      </w:pPr>
    </w:p>
    <w:p w14:paraId="790AD4D3" w14:textId="147CF124" w:rsidR="006D0F8C" w:rsidRPr="006F3256" w:rsidRDefault="006D0F8C" w:rsidP="006F3256">
      <w:pPr>
        <w:pStyle w:val="NoSpacing"/>
        <w:rPr>
          <w:u w:val="single"/>
        </w:rPr>
      </w:pPr>
      <w:r w:rsidRPr="006F3256">
        <w:rPr>
          <w:u w:val="single"/>
        </w:rPr>
        <w:t>Previous Response (2013):</w:t>
      </w:r>
    </w:p>
    <w:p w14:paraId="2BA7FE24" w14:textId="66CD7D0C" w:rsidR="00150CD0" w:rsidRDefault="006D0F8C" w:rsidP="00E340DE">
      <w:pPr>
        <w:pStyle w:val="NoSpacing"/>
        <w:numPr>
          <w:ilvl w:val="0"/>
          <w:numId w:val="8"/>
        </w:numPr>
      </w:pPr>
      <w:r w:rsidRPr="00CD6B52">
        <w:t>Test/Re-Test: Over 70 percent of hospitals in the lowest-spending quintile in one sample are in the lowest-spending quintile in the next; similarly, over 70 percent of hospitals in the highest-</w:t>
      </w:r>
      <w:r w:rsidRPr="00CD6B52">
        <w:lastRenderedPageBreak/>
        <w:t>spending quintile in one sample are in the highest-spending quintile in the next.  The Spearman rank correlation for a hospital across samples is 0.835.</w:t>
      </w:r>
    </w:p>
    <w:p w14:paraId="67124B4A" w14:textId="77777777" w:rsidR="00150CD0" w:rsidRDefault="006D0F8C" w:rsidP="00E340DE">
      <w:pPr>
        <w:pStyle w:val="NoSpacing"/>
        <w:numPr>
          <w:ilvl w:val="0"/>
          <w:numId w:val="8"/>
        </w:numPr>
      </w:pPr>
      <w:r w:rsidRPr="00CD6B52">
        <w:t xml:space="preserve"> Seasonality Analysis: Between the January 2010 – April 2010 period and the May 2010 – December 2010 period, the average absolute change in the relative frequency of an MS-DRG index admission was 8.9%.  Certain lung-related admissions (e.g., pneumonia, COPD, asthma) appear more frequently in the winter.  </w:t>
      </w:r>
    </w:p>
    <w:p w14:paraId="6CD01500" w14:textId="17035072" w:rsidR="006F3256" w:rsidRDefault="006D0F8C" w:rsidP="00E340DE">
      <w:pPr>
        <w:pStyle w:val="NoSpacing"/>
        <w:numPr>
          <w:ilvl w:val="0"/>
          <w:numId w:val="8"/>
        </w:numPr>
      </w:pPr>
      <w:r w:rsidRPr="00CD6B52">
        <w:t>Reliability Score: The MSPB Measure’s overall reliability is 0.951.  Over 98 percent of hospitals have a reliability score greater than 0.4; 62 percent of hospitals have a reliability score greater than 0.9.  Previous work proposed that 0.4 is the lower limit of “moderate” reliability</w:t>
      </w:r>
      <w:proofErr w:type="gramStart"/>
      <w:r w:rsidRPr="00CD6B52">
        <w:t>;</w:t>
      </w:r>
      <w:proofErr w:type="gramEnd"/>
      <w:r w:rsidR="00121638" w:rsidRPr="00121638">
        <w:rPr>
          <w:vertAlign w:val="superscript"/>
        </w:rPr>
        <w:fldChar w:fldCharType="begin"/>
      </w:r>
      <w:r w:rsidR="00121638" w:rsidRPr="00121638">
        <w:rPr>
          <w:vertAlign w:val="superscript"/>
        </w:rPr>
        <w:instrText xml:space="preserve"> NOTEREF _Ref46425364 \h </w:instrText>
      </w:r>
      <w:r w:rsidR="00121638">
        <w:rPr>
          <w:vertAlign w:val="superscript"/>
        </w:rPr>
        <w:instrText xml:space="preserve"> \* MERGEFORMAT </w:instrText>
      </w:r>
      <w:r w:rsidR="00121638" w:rsidRPr="00121638">
        <w:rPr>
          <w:vertAlign w:val="superscript"/>
        </w:rPr>
      </w:r>
      <w:r w:rsidR="00121638" w:rsidRPr="00121638">
        <w:rPr>
          <w:vertAlign w:val="superscript"/>
        </w:rPr>
        <w:fldChar w:fldCharType="separate"/>
      </w:r>
      <w:r w:rsidR="00121638" w:rsidRPr="00121638">
        <w:rPr>
          <w:vertAlign w:val="superscript"/>
        </w:rPr>
        <w:t>8</w:t>
      </w:r>
      <w:r w:rsidR="00121638" w:rsidRPr="00121638">
        <w:rPr>
          <w:vertAlign w:val="superscript"/>
        </w:rPr>
        <w:fldChar w:fldCharType="end"/>
      </w:r>
      <w:r w:rsidRPr="00CD6B52">
        <w:t xml:space="preserve"> the MSPB measure exceeds this threshold.  </w:t>
      </w:r>
    </w:p>
    <w:p w14:paraId="3396A109" w14:textId="3946D116" w:rsidR="006D0F8C" w:rsidRPr="00CD6B52" w:rsidRDefault="006D0F8C" w:rsidP="00E340DE">
      <w:pPr>
        <w:pStyle w:val="NoSpacing"/>
        <w:numPr>
          <w:ilvl w:val="0"/>
          <w:numId w:val="8"/>
        </w:numPr>
      </w:pPr>
      <w:r w:rsidRPr="00CD6B52">
        <w:t>Minimum Number of Cases Required for the MSPB Measure: As the minimum episode threshold increases, there is a trade-off between the size of the confidence interval for the ‘average’ hospital and the number of hospitals receiving an MSPB score.  Table 1 in the appendix shows that as the minimum episode threshold, X, increases, the confidence interval becomes narrower and more reliable.  Specifically, the 95% confidence interval decreases by almost a third as cutoff number is moved from X = 5 to X = 50.  However, as the minimum episode threshold increases from X = 5 to X = 50, the number of hospitals that could publicly report this measure included decreases; in fact, at the cutoff X = 50 episodes, the share of hospitals included decreases to 95.9%.</w:t>
      </w:r>
    </w:p>
    <w:p w14:paraId="6C3B3F20" w14:textId="77777777" w:rsidR="006D0F8C" w:rsidRDefault="006D0F8C" w:rsidP="00064B02">
      <w:pPr>
        <w:autoSpaceDE w:val="0"/>
        <w:autoSpaceDN w:val="0"/>
        <w:adjustRightInd w:val="0"/>
        <w:spacing w:after="0" w:line="240" w:lineRule="auto"/>
        <w:rPr>
          <w:rFonts w:cstheme="minorHAnsi"/>
          <w:bCs/>
          <w:color w:val="0070C0"/>
        </w:rPr>
      </w:pPr>
    </w:p>
    <w:p w14:paraId="5C8BCE3C" w14:textId="77777777" w:rsidR="00621F8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6A7EC3B5" w14:textId="0DCF4C93" w:rsidR="00322F23" w:rsidRPr="002B5AEC" w:rsidRDefault="00476C86" w:rsidP="006F3256">
      <w:pPr>
        <w:pStyle w:val="NoSpacing"/>
        <w:rPr>
          <w:rFonts w:ascii="Times New Roman" w:hAnsi="Times New Roman"/>
          <w:color w:val="FF0000"/>
        </w:rPr>
      </w:pPr>
      <w:r w:rsidRPr="002B5AEC">
        <w:rPr>
          <w:rFonts w:ascii="Times New Roman" w:hAnsi="Times New Roman"/>
          <w:color w:val="FF0000"/>
        </w:rPr>
        <w:t>Overall, the reliability of the MSPB Hospital measure is high, including when its current 25-epis</w:t>
      </w:r>
      <w:r w:rsidR="002A625D" w:rsidRPr="002B5AEC">
        <w:rPr>
          <w:rFonts w:ascii="Times New Roman" w:hAnsi="Times New Roman"/>
          <w:color w:val="FF0000"/>
        </w:rPr>
        <w:t>o</w:t>
      </w:r>
      <w:r w:rsidRPr="002B5AEC">
        <w:rPr>
          <w:rFonts w:ascii="Times New Roman" w:hAnsi="Times New Roman"/>
          <w:color w:val="FF0000"/>
        </w:rPr>
        <w:t>de minimum is applied to balance measure reliability and inclusiveness.</w:t>
      </w:r>
      <w:r w:rsidR="00772163" w:rsidRPr="002B5AEC">
        <w:rPr>
          <w:rStyle w:val="FootnoteReference"/>
          <w:rFonts w:ascii="Times New Roman" w:hAnsi="Times New Roman"/>
          <w:bCs/>
          <w:color w:val="FF0000"/>
        </w:rPr>
        <w:footnoteReference w:id="11"/>
      </w:r>
      <w:r w:rsidRPr="002B5AEC">
        <w:rPr>
          <w:rFonts w:ascii="Times New Roman" w:hAnsi="Times New Roman"/>
          <w:color w:val="FF0000"/>
        </w:rPr>
        <w:t xml:space="preserve"> The MSPB Hospital measure performance period episode minimum is 25 for the HVBP program, and the signal-to-noise analysis indicates that this </w:t>
      </w:r>
      <w:r w:rsidR="00E263FC" w:rsidRPr="002B5AEC">
        <w:rPr>
          <w:rFonts w:ascii="Times New Roman" w:hAnsi="Times New Roman"/>
          <w:color w:val="FF0000"/>
        </w:rPr>
        <w:t>episode minimum</w:t>
      </w:r>
      <w:r w:rsidRPr="002B5AEC">
        <w:rPr>
          <w:rFonts w:ascii="Times New Roman" w:hAnsi="Times New Roman"/>
          <w:color w:val="FF0000"/>
        </w:rPr>
        <w:t xml:space="preserve"> maintains the measure’s high reliability. </w:t>
      </w:r>
    </w:p>
    <w:p w14:paraId="19031E8C" w14:textId="77777777" w:rsidR="00322F23" w:rsidRPr="002B5AEC" w:rsidRDefault="00322F23" w:rsidP="006F3256">
      <w:pPr>
        <w:pStyle w:val="NoSpacing"/>
        <w:rPr>
          <w:rFonts w:ascii="Times New Roman" w:hAnsi="Times New Roman"/>
          <w:color w:val="FF0000"/>
        </w:rPr>
      </w:pPr>
    </w:p>
    <w:p w14:paraId="1A3B743B" w14:textId="64D64187" w:rsidR="00197317" w:rsidRPr="002B5AEC" w:rsidRDefault="00476C86" w:rsidP="006F3256">
      <w:pPr>
        <w:pStyle w:val="NoSpacing"/>
        <w:rPr>
          <w:rFonts w:ascii="Times New Roman" w:hAnsi="Times New Roman"/>
          <w:color w:val="FF0000"/>
        </w:rPr>
      </w:pPr>
      <w:r w:rsidRPr="002B5AEC">
        <w:rPr>
          <w:rFonts w:ascii="Times New Roman" w:hAnsi="Times New Roman"/>
          <w:color w:val="FF0000"/>
        </w:rPr>
        <w:t xml:space="preserve">The </w:t>
      </w:r>
      <w:r w:rsidR="00322F23" w:rsidRPr="002B5AEC">
        <w:rPr>
          <w:rFonts w:ascii="Times New Roman" w:hAnsi="Times New Roman"/>
          <w:color w:val="FF0000"/>
        </w:rPr>
        <w:t>correlation</w:t>
      </w:r>
      <w:r w:rsidRPr="002B5AEC">
        <w:rPr>
          <w:rFonts w:ascii="Times New Roman" w:hAnsi="Times New Roman"/>
          <w:color w:val="FF0000"/>
        </w:rPr>
        <w:t xml:space="preserve"> coefficient</w:t>
      </w:r>
      <w:r w:rsidR="00322F23" w:rsidRPr="002B5AEC">
        <w:rPr>
          <w:rFonts w:ascii="Times New Roman" w:hAnsi="Times New Roman"/>
          <w:color w:val="FF0000"/>
        </w:rPr>
        <w:t>s</w:t>
      </w:r>
      <w:r w:rsidRPr="002B5AEC">
        <w:rPr>
          <w:rFonts w:ascii="Times New Roman" w:hAnsi="Times New Roman"/>
          <w:color w:val="FF0000"/>
        </w:rPr>
        <w:t xml:space="preserve"> for scores </w:t>
      </w:r>
      <w:r w:rsidR="00322F23" w:rsidRPr="002B5AEC">
        <w:rPr>
          <w:rFonts w:ascii="Times New Roman" w:hAnsi="Times New Roman"/>
          <w:color w:val="FF0000"/>
        </w:rPr>
        <w:t xml:space="preserve">across the </w:t>
      </w:r>
      <w:r w:rsidRPr="002B5AEC">
        <w:rPr>
          <w:rFonts w:ascii="Times New Roman" w:hAnsi="Times New Roman"/>
          <w:color w:val="FF0000"/>
        </w:rPr>
        <w:t>2018 and 2017 performance period</w:t>
      </w:r>
      <w:r w:rsidR="00322F23" w:rsidRPr="002B5AEC">
        <w:rPr>
          <w:rFonts w:ascii="Times New Roman" w:hAnsi="Times New Roman"/>
          <w:color w:val="FF0000"/>
        </w:rPr>
        <w:t>s</w:t>
      </w:r>
      <w:r w:rsidRPr="002B5AEC">
        <w:rPr>
          <w:rFonts w:ascii="Times New Roman" w:hAnsi="Times New Roman"/>
          <w:color w:val="FF0000"/>
        </w:rPr>
        <w:t xml:space="preserve"> were lower than scores compared across the randomly split 2018 performance period sample</w:t>
      </w:r>
      <w:r w:rsidR="00322F23" w:rsidRPr="002B5AEC">
        <w:rPr>
          <w:rFonts w:ascii="Times New Roman" w:hAnsi="Times New Roman"/>
          <w:color w:val="FF0000"/>
        </w:rPr>
        <w:t xml:space="preserve">. This </w:t>
      </w:r>
      <w:r w:rsidR="00E263FC" w:rsidRPr="002B5AEC">
        <w:rPr>
          <w:rFonts w:ascii="Times New Roman" w:hAnsi="Times New Roman"/>
          <w:color w:val="FF0000"/>
        </w:rPr>
        <w:t>difference</w:t>
      </w:r>
      <w:r w:rsidRPr="002B5AEC">
        <w:rPr>
          <w:rFonts w:ascii="Times New Roman" w:hAnsi="Times New Roman"/>
          <w:color w:val="FF0000"/>
        </w:rPr>
        <w:t xml:space="preserve"> is expected as the two-year sample may capture additional variation in hospital performance across performance period</w:t>
      </w:r>
      <w:r w:rsidR="00E263FC" w:rsidRPr="002B5AEC">
        <w:rPr>
          <w:rFonts w:ascii="Times New Roman" w:hAnsi="Times New Roman"/>
          <w:color w:val="FF0000"/>
        </w:rPr>
        <w:t xml:space="preserve">s. </w:t>
      </w:r>
      <w:r w:rsidRPr="002B5AEC">
        <w:rPr>
          <w:rFonts w:ascii="Times New Roman" w:hAnsi="Times New Roman"/>
          <w:color w:val="FF0000"/>
        </w:rPr>
        <w:t xml:space="preserve">The Shrout-Fleiss intraclass correlation coefficients were similar </w:t>
      </w:r>
      <w:r w:rsidR="0085326E" w:rsidRPr="002B5AEC">
        <w:rPr>
          <w:rFonts w:ascii="Times New Roman" w:hAnsi="Times New Roman"/>
          <w:color w:val="FF0000"/>
        </w:rPr>
        <w:t xml:space="preserve">to </w:t>
      </w:r>
      <w:r w:rsidRPr="002B5AEC">
        <w:rPr>
          <w:rFonts w:ascii="Times New Roman" w:hAnsi="Times New Roman"/>
          <w:color w:val="FF0000"/>
        </w:rPr>
        <w:t xml:space="preserve">the Pearson correlation coefficients at 0.83 and 0.79 for the 2018 split-sample and 2017 and 2018 sample. As </w:t>
      </w:r>
      <w:proofErr w:type="gramStart"/>
      <w:r w:rsidRPr="002B5AEC">
        <w:rPr>
          <w:rFonts w:ascii="Times New Roman" w:hAnsi="Times New Roman"/>
          <w:color w:val="FF0000"/>
        </w:rPr>
        <w:t>ICC(</w:t>
      </w:r>
      <w:proofErr w:type="gramEnd"/>
      <w:r w:rsidRPr="002B5AEC">
        <w:rPr>
          <w:rFonts w:ascii="Times New Roman" w:hAnsi="Times New Roman"/>
          <w:color w:val="FF0000"/>
        </w:rPr>
        <w:t>2,1)  imposes a common variance for provider across samples, it</w:t>
      </w:r>
      <w:r w:rsidR="005B7B96" w:rsidRPr="002B5AEC">
        <w:rPr>
          <w:rFonts w:ascii="Times New Roman" w:hAnsi="Times New Roman"/>
          <w:color w:val="FF0000"/>
        </w:rPr>
        <w:t xml:space="preserve">s use is most appropriate in assessing the reliability of the </w:t>
      </w:r>
      <w:r w:rsidRPr="002B5AEC">
        <w:rPr>
          <w:rFonts w:ascii="Times New Roman" w:hAnsi="Times New Roman"/>
          <w:color w:val="FF0000"/>
        </w:rPr>
        <w:t xml:space="preserve">2018 </w:t>
      </w:r>
      <w:r w:rsidR="00E263FC" w:rsidRPr="002B5AEC">
        <w:rPr>
          <w:rFonts w:ascii="Times New Roman" w:hAnsi="Times New Roman"/>
          <w:color w:val="FF0000"/>
        </w:rPr>
        <w:t xml:space="preserve">performance period random </w:t>
      </w:r>
      <w:r w:rsidRPr="002B5AEC">
        <w:rPr>
          <w:rFonts w:ascii="Times New Roman" w:hAnsi="Times New Roman"/>
          <w:color w:val="FF0000"/>
        </w:rPr>
        <w:t>split-sample</w:t>
      </w:r>
      <w:r w:rsidR="005B7B96" w:rsidRPr="002B5AEC">
        <w:rPr>
          <w:rFonts w:ascii="Times New Roman" w:hAnsi="Times New Roman"/>
          <w:color w:val="FF0000"/>
        </w:rPr>
        <w:t>.</w:t>
      </w:r>
    </w:p>
    <w:p w14:paraId="32613712" w14:textId="381FCD76" w:rsidR="00A962AE" w:rsidRPr="006F3256" w:rsidRDefault="00A962AE" w:rsidP="006F3256">
      <w:pPr>
        <w:pStyle w:val="NoSpacing"/>
        <w:rPr>
          <w:color w:val="FF0000"/>
        </w:rPr>
      </w:pPr>
    </w:p>
    <w:p w14:paraId="1B2229CB" w14:textId="634BED3C" w:rsidR="00A962AE" w:rsidRPr="006F3256" w:rsidRDefault="006D0F8C" w:rsidP="006F3256">
      <w:pPr>
        <w:pStyle w:val="NoSpacing"/>
        <w:rPr>
          <w:bCs/>
          <w:color w:val="0070C0"/>
          <w:u w:val="single"/>
        </w:rPr>
      </w:pPr>
      <w:r w:rsidRPr="006F3256">
        <w:rPr>
          <w:bCs/>
          <w:u w:val="single"/>
        </w:rPr>
        <w:t>Previous Response (2016):</w:t>
      </w:r>
    </w:p>
    <w:p w14:paraId="70C8D75C" w14:textId="77777777" w:rsidR="006F3256" w:rsidRDefault="006D0F8C" w:rsidP="00E340DE">
      <w:pPr>
        <w:pStyle w:val="NoSpacing"/>
        <w:numPr>
          <w:ilvl w:val="0"/>
          <w:numId w:val="9"/>
        </w:numPr>
      </w:pPr>
      <w:r w:rsidRPr="00CD6B52">
        <w:rPr>
          <w:i/>
        </w:rPr>
        <w:lastRenderedPageBreak/>
        <w:t>Test/Retest</w:t>
      </w:r>
      <w:r w:rsidRPr="00CD6B52">
        <w:t>:  Sample selection does not have a material effect on a hospital’s MSPB-Hospital measure for different data samples drawn from the same period, or for data samples drawn from different periods.  .  In other words, hospitals have similar MSPB-Hospital measure quintile ranks regardless of which MSPB-Hospital episodes are used to calculate the MSPB-Hospital measure scores.  This indicates that the MSPB-Hospital measure score is a reliable measure of a hospital’s risk-adjusted Medicare spending compared to other hospitals.</w:t>
      </w:r>
    </w:p>
    <w:p w14:paraId="22A5C591" w14:textId="0C89A7D6" w:rsidR="006D0F8C" w:rsidRDefault="006D0F8C" w:rsidP="00E340DE">
      <w:pPr>
        <w:pStyle w:val="NoSpacing"/>
        <w:numPr>
          <w:ilvl w:val="0"/>
          <w:numId w:val="9"/>
        </w:numPr>
      </w:pPr>
      <w:r w:rsidRPr="006F3256">
        <w:rPr>
          <w:i/>
        </w:rPr>
        <w:t>Reliability Score</w:t>
      </w:r>
      <w:r w:rsidRPr="00CD6B52">
        <w:t>: Overall reliability of the MSPB-Hospital measure is extremely high due to the large number of MSPB-Hospital episodes attributed to most hospitals.  Reporting the MSPB-Hospital measure for hospitals that have at least 25 attributed episodes provides a balance between reliability and measure inclusiveness.</w:t>
      </w:r>
    </w:p>
    <w:p w14:paraId="26C64E65" w14:textId="77777777" w:rsidR="0082307D" w:rsidRDefault="0082307D" w:rsidP="0082307D">
      <w:pPr>
        <w:pStyle w:val="NoSpacing"/>
        <w:rPr>
          <w:rFonts w:ascii="Times New Roman" w:hAnsi="Times New Roman"/>
          <w:i/>
          <w:iCs/>
        </w:rPr>
      </w:pPr>
      <w:r w:rsidRPr="006F3256">
        <w:rPr>
          <w:bCs/>
          <w:u w:val="single"/>
        </w:rPr>
        <w:t>Previous Response (2016) Appendix A</w:t>
      </w:r>
      <w:r>
        <w:rPr>
          <w:bCs/>
          <w:u w:val="single"/>
        </w:rPr>
        <w:t xml:space="preserve">:  </w:t>
      </w:r>
    </w:p>
    <w:p w14:paraId="30C22858" w14:textId="20BA3A7B" w:rsidR="0082307D" w:rsidRDefault="0082307D" w:rsidP="00C93347">
      <w:pPr>
        <w:pStyle w:val="NoSpacing"/>
        <w:ind w:left="720"/>
      </w:pPr>
      <w:r w:rsidRPr="00CD6B52">
        <w:t>The updated reliability analysis shows that the overall reliability of the MSPB-Hospital measure is high, with roughly 93% of hospitals meeting the 0.7 reliability threshold even at the lowest case minimum.  The 0.7 reliability threshold was mentioned by the NQF committee as an appropriate threshold for high reliability.</w:t>
      </w:r>
    </w:p>
    <w:p w14:paraId="23624698" w14:textId="77777777" w:rsidR="0082307D" w:rsidRDefault="0082307D" w:rsidP="006739ED">
      <w:pPr>
        <w:pStyle w:val="NoSpacing"/>
        <w:ind w:left="720"/>
      </w:pPr>
    </w:p>
    <w:p w14:paraId="487D890B" w14:textId="3816EBA6" w:rsidR="0082307D" w:rsidRDefault="0082307D" w:rsidP="00C93347">
      <w:pPr>
        <w:pStyle w:val="NoSpacing"/>
        <w:ind w:left="720"/>
      </w:pPr>
      <w:r w:rsidRPr="00CD6B52">
        <w:t>The MSPB-Hospital measure scores are stable across years when reviewing the hospitals in the lowest 40% of spending.  Together with the original analysis demonstrating high correlation of the measure across samples and stability across quintiles for the large majority of hospitals, this further supports measure reliability.</w:t>
      </w:r>
    </w:p>
    <w:p w14:paraId="625B103A" w14:textId="77777777" w:rsidR="0082307D" w:rsidRPr="00CD6B52" w:rsidRDefault="0082307D" w:rsidP="006739ED">
      <w:pPr>
        <w:pStyle w:val="NoSpacing"/>
      </w:pPr>
    </w:p>
    <w:p w14:paraId="17F86EDF" w14:textId="77777777" w:rsidR="0082307D" w:rsidRPr="00CD6B52" w:rsidRDefault="0082307D" w:rsidP="006739ED">
      <w:pPr>
        <w:pStyle w:val="NoSpacing"/>
      </w:pPr>
    </w:p>
    <w:p w14:paraId="4C991C4C" w14:textId="109B5C9B" w:rsidR="006D0F8C" w:rsidRPr="006F3256" w:rsidRDefault="006D0F8C" w:rsidP="006F3256">
      <w:pPr>
        <w:pStyle w:val="NoSpacing"/>
        <w:rPr>
          <w:bCs/>
          <w:iCs/>
          <w:u w:val="single"/>
        </w:rPr>
      </w:pPr>
      <w:r w:rsidRPr="006F3256">
        <w:rPr>
          <w:bCs/>
          <w:iCs/>
          <w:u w:val="single"/>
        </w:rPr>
        <w:t xml:space="preserve">Previous </w:t>
      </w:r>
      <w:r w:rsidR="00666D77" w:rsidRPr="006F3256">
        <w:rPr>
          <w:bCs/>
          <w:iCs/>
          <w:u w:val="single"/>
        </w:rPr>
        <w:t>R</w:t>
      </w:r>
      <w:r w:rsidRPr="006F3256">
        <w:rPr>
          <w:bCs/>
          <w:iCs/>
          <w:u w:val="single"/>
        </w:rPr>
        <w:t>esponse (201</w:t>
      </w:r>
      <w:r w:rsidR="00F0695E" w:rsidRPr="006F3256">
        <w:rPr>
          <w:bCs/>
          <w:iCs/>
          <w:u w:val="single"/>
        </w:rPr>
        <w:t>3</w:t>
      </w:r>
      <w:r w:rsidRPr="006F3256">
        <w:rPr>
          <w:bCs/>
          <w:iCs/>
          <w:u w:val="single"/>
        </w:rPr>
        <w:t>):</w:t>
      </w:r>
    </w:p>
    <w:p w14:paraId="33857083" w14:textId="213A1B3F" w:rsidR="006F3256" w:rsidRDefault="006D0F8C" w:rsidP="00E340DE">
      <w:pPr>
        <w:pStyle w:val="NoSpacing"/>
        <w:numPr>
          <w:ilvl w:val="0"/>
          <w:numId w:val="10"/>
        </w:numPr>
        <w:rPr>
          <w:iCs/>
        </w:rPr>
      </w:pPr>
      <w:r w:rsidRPr="00CD6B52">
        <w:rPr>
          <w:iCs/>
        </w:rPr>
        <w:t xml:space="preserve">Quintile Rank Stability </w:t>
      </w:r>
      <w:proofErr w:type="gramStart"/>
      <w:r w:rsidRPr="00CD6B52">
        <w:rPr>
          <w:iCs/>
        </w:rPr>
        <w:t>Across</w:t>
      </w:r>
      <w:proofErr w:type="gramEnd"/>
      <w:r w:rsidRPr="00CD6B52">
        <w:rPr>
          <w:iCs/>
        </w:rPr>
        <w:t xml:space="preserve"> Groups:  Sample selection does not have a material effect on a hospital’s MSPB score for different data samples drawn from the same period.  </w:t>
      </w:r>
    </w:p>
    <w:p w14:paraId="4E8D5FC3" w14:textId="77777777" w:rsidR="006F3256" w:rsidRDefault="006D0F8C" w:rsidP="00E340DE">
      <w:pPr>
        <w:pStyle w:val="NoSpacing"/>
        <w:numPr>
          <w:ilvl w:val="0"/>
          <w:numId w:val="10"/>
        </w:numPr>
        <w:rPr>
          <w:iCs/>
        </w:rPr>
      </w:pPr>
      <w:r w:rsidRPr="00CD6B52">
        <w:rPr>
          <w:iCs/>
        </w:rPr>
        <w:t xml:space="preserve">Seasonality Analysis: The seasonality analysis indicates that the incidence of different types of hospitalizations (i.e., MS-DRGs) varies across the year, but this variability for the most part is concentrated in DRGs lung-related diseases.  </w:t>
      </w:r>
    </w:p>
    <w:p w14:paraId="0DB66D87" w14:textId="77777777" w:rsidR="006F3256" w:rsidRDefault="006D0F8C" w:rsidP="00E340DE">
      <w:pPr>
        <w:pStyle w:val="NoSpacing"/>
        <w:numPr>
          <w:ilvl w:val="0"/>
          <w:numId w:val="10"/>
        </w:numPr>
        <w:rPr>
          <w:iCs/>
        </w:rPr>
      </w:pPr>
      <w:r w:rsidRPr="006F3256">
        <w:rPr>
          <w:iCs/>
        </w:rPr>
        <w:t>Reliability Score: Overall reliability of the MSPB score is extremely high due to the large number of MSPB episodes attributed to most hospitals.  Reporting the MSPB Measure for hospitals that have at least 25 attributed episodes provides a balance between reliability and measure inclusiveness.</w:t>
      </w:r>
    </w:p>
    <w:p w14:paraId="6AAC9113" w14:textId="779AEE57" w:rsidR="006D0F8C" w:rsidRPr="006F3256" w:rsidRDefault="006D0F8C" w:rsidP="00E340DE">
      <w:pPr>
        <w:pStyle w:val="NoSpacing"/>
        <w:numPr>
          <w:ilvl w:val="0"/>
          <w:numId w:val="10"/>
        </w:numPr>
        <w:rPr>
          <w:iCs/>
        </w:rPr>
      </w:pPr>
      <w:r w:rsidRPr="006F3256">
        <w:rPr>
          <w:iCs/>
        </w:rPr>
        <w:t xml:space="preserve">Minimum Number of Cases Required for the MSPB Measure: Based on the empirical results presented in </w:t>
      </w:r>
      <w:proofErr w:type="gramStart"/>
      <w:r w:rsidRPr="006F3256">
        <w:rPr>
          <w:iCs/>
        </w:rPr>
        <w:t>2a2.3.,</w:t>
      </w:r>
      <w:proofErr w:type="gramEnd"/>
      <w:r w:rsidRPr="006F3256">
        <w:rPr>
          <w:iCs/>
        </w:rPr>
        <w:t xml:space="preserve"> reporting the MSPB Measure as part of the Hospital VBP program for hospitals that have at least 25 attributed episodes provides a balance between the size of the confidence interval and the number of hospitals receiving and MSPB Measure score.</w:t>
      </w:r>
    </w:p>
    <w:p w14:paraId="7EA74268" w14:textId="71AB9ED1" w:rsidR="00A962AE" w:rsidRDefault="00A962AE" w:rsidP="00476C86">
      <w:pPr>
        <w:autoSpaceDE w:val="0"/>
        <w:autoSpaceDN w:val="0"/>
        <w:adjustRightInd w:val="0"/>
        <w:spacing w:after="0" w:line="240" w:lineRule="auto"/>
        <w:rPr>
          <w:rFonts w:ascii="Times New Roman" w:hAnsi="Times New Roman" w:cs="Times New Roman"/>
          <w:bCs/>
          <w:color w:val="0070C0"/>
        </w:rPr>
      </w:pPr>
    </w:p>
    <w:p w14:paraId="5FF8AEAF" w14:textId="77777777" w:rsidR="00A962AE" w:rsidRPr="004C5C9D" w:rsidRDefault="00A962AE" w:rsidP="00476C86">
      <w:pPr>
        <w:autoSpaceDE w:val="0"/>
        <w:autoSpaceDN w:val="0"/>
        <w:adjustRightInd w:val="0"/>
        <w:spacing w:after="0" w:line="240" w:lineRule="auto"/>
        <w:rPr>
          <w:rFonts w:ascii="Times New Roman" w:hAnsi="Times New Roman" w:cs="Times New Roman"/>
          <w:bCs/>
          <w:color w:val="0070C0"/>
        </w:rPr>
      </w:pPr>
    </w:p>
    <w:p w14:paraId="0CABCFD5" w14:textId="56F4F96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6CFCAB90"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C5C727B" w:rsidR="00696262" w:rsidRPr="00A25024" w:rsidRDefault="003759A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4547EDAE" w:rsidR="000574AB" w:rsidRPr="00A25024" w:rsidRDefault="003759A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r w:rsidR="0046138D">
        <w:rPr>
          <w:rFonts w:eastAsia="MS Gothic" w:cstheme="minorHAnsi"/>
          <w:bCs/>
          <w:i/>
        </w:rPr>
        <w:t>performance</w:t>
      </w:r>
      <w:r w:rsidR="0046138D" w:rsidRPr="00A25024">
        <w:rPr>
          <w:rFonts w:eastAsia="MS Gothic" w:cstheme="minorHAnsi"/>
          <w:bCs/>
        </w:rPr>
        <w:t>)</w:t>
      </w:r>
      <w:r w:rsidR="0046138D">
        <w:rPr>
          <w:rFonts w:eastAsia="MS Gothic" w:cstheme="minorHAnsi"/>
          <w:bCs/>
        </w:rPr>
        <w:t xml:space="preserve"> 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192AD2F8" w14:textId="7B152A7B" w:rsidR="00EC7291" w:rsidRDefault="009C7513" w:rsidP="00637DC6">
      <w:pPr>
        <w:autoSpaceDE w:val="0"/>
        <w:autoSpaceDN w:val="0"/>
        <w:adjustRightInd w:val="0"/>
        <w:spacing w:after="0" w:line="240" w:lineRule="auto"/>
        <w:rPr>
          <w:rFonts w:ascii="Times New Roman" w:hAnsi="Times New Roman" w:cs="Times New Roman"/>
          <w:b/>
          <w:bCs/>
          <w:color w:val="0070C0"/>
          <w:u w:val="single"/>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760B9C0E" w14:textId="4BC757EA" w:rsidR="001B2A06" w:rsidRPr="00C93347" w:rsidRDefault="001B2A06" w:rsidP="006F3256">
      <w:pPr>
        <w:pStyle w:val="NoSpacing"/>
        <w:rPr>
          <w:rFonts w:ascii="Times New Roman" w:hAnsi="Times New Roman"/>
          <w:color w:val="FF0000"/>
        </w:rPr>
      </w:pPr>
      <w:r w:rsidRPr="00C93347">
        <w:rPr>
          <w:rFonts w:ascii="Times New Roman" w:hAnsi="Times New Roman"/>
          <w:color w:val="FF0000"/>
        </w:rPr>
        <w:t xml:space="preserve">The MSPB Hospital measure went through the FY2012 rule-making cycle, receiving comment from public stakeholders, and was finalized in the FY2012 Final Rule. The MSPB Hospital measure was also endorsed by NQF, including across validity and reliability dimensions, in 2013 and 2016. In this section, we provide updated validity testing for the refined MSPB Hospital measure and detail on refinements that were considered. </w:t>
      </w:r>
    </w:p>
    <w:p w14:paraId="39847C55" w14:textId="77777777" w:rsidR="001B2A06" w:rsidRPr="00C93347" w:rsidRDefault="001B2A06" w:rsidP="006F3256">
      <w:pPr>
        <w:pStyle w:val="NoSpacing"/>
        <w:rPr>
          <w:rFonts w:ascii="Times New Roman" w:hAnsi="Times New Roman"/>
          <w:color w:val="FF0000"/>
          <w:u w:val="single"/>
        </w:rPr>
      </w:pPr>
    </w:p>
    <w:p w14:paraId="0C4EAF93" w14:textId="6D1D53F5" w:rsidR="00EC7291" w:rsidRPr="00C93347" w:rsidRDefault="0018368F" w:rsidP="006F3256">
      <w:pPr>
        <w:pStyle w:val="NoSpacing"/>
        <w:rPr>
          <w:rFonts w:ascii="Times New Roman" w:hAnsi="Times New Roman"/>
          <w:b/>
          <w:bCs/>
          <w:color w:val="FF0000"/>
        </w:rPr>
      </w:pPr>
      <w:r w:rsidRPr="00C93347">
        <w:rPr>
          <w:rFonts w:ascii="Times New Roman" w:hAnsi="Times New Roman"/>
          <w:b/>
          <w:bCs/>
          <w:color w:val="FF0000"/>
          <w:u w:val="single"/>
        </w:rPr>
        <w:t>Face validity</w:t>
      </w:r>
    </w:p>
    <w:p w14:paraId="6A9CDF62" w14:textId="7EAC7A93" w:rsidR="008F15ED" w:rsidRPr="00C93347" w:rsidRDefault="00A962AE" w:rsidP="006F3256">
      <w:pPr>
        <w:pStyle w:val="NoSpacing"/>
        <w:rPr>
          <w:rFonts w:ascii="Times New Roman" w:hAnsi="Times New Roman"/>
          <w:bCs/>
          <w:color w:val="FF0000"/>
        </w:rPr>
      </w:pPr>
      <w:r w:rsidRPr="00C93347">
        <w:rPr>
          <w:rFonts w:ascii="Times New Roman" w:hAnsi="Times New Roman"/>
          <w:bCs/>
          <w:color w:val="FF0000"/>
        </w:rPr>
        <w:t xml:space="preserve">Potential refinements </w:t>
      </w:r>
      <w:r w:rsidR="005B7B96" w:rsidRPr="00C93347">
        <w:rPr>
          <w:rFonts w:ascii="Times New Roman" w:hAnsi="Times New Roman"/>
          <w:bCs/>
          <w:color w:val="FF0000"/>
        </w:rPr>
        <w:t>to</w:t>
      </w:r>
      <w:r w:rsidRPr="00C93347">
        <w:rPr>
          <w:rFonts w:ascii="Times New Roman" w:hAnsi="Times New Roman"/>
          <w:bCs/>
          <w:color w:val="FF0000"/>
        </w:rPr>
        <w:t xml:space="preserve"> the MSPB Hospital measure </w:t>
      </w:r>
      <w:r w:rsidR="005B7B96" w:rsidRPr="00C93347">
        <w:rPr>
          <w:rFonts w:ascii="Times New Roman" w:hAnsi="Times New Roman"/>
          <w:bCs/>
          <w:color w:val="FF0000"/>
        </w:rPr>
        <w:t xml:space="preserve">methodology </w:t>
      </w:r>
      <w:r w:rsidR="00D92D63" w:rsidRPr="00C93347">
        <w:rPr>
          <w:rFonts w:ascii="Times New Roman" w:hAnsi="Times New Roman"/>
          <w:bCs/>
          <w:color w:val="FF0000"/>
        </w:rPr>
        <w:t xml:space="preserve">that is </w:t>
      </w:r>
      <w:r w:rsidR="0085326E" w:rsidRPr="00C93347">
        <w:rPr>
          <w:rFonts w:ascii="Times New Roman" w:hAnsi="Times New Roman"/>
          <w:bCs/>
          <w:color w:val="FF0000"/>
        </w:rPr>
        <w:t xml:space="preserve">in </w:t>
      </w:r>
      <w:r w:rsidR="00D92D63" w:rsidRPr="00C93347">
        <w:rPr>
          <w:rFonts w:ascii="Times New Roman" w:hAnsi="Times New Roman"/>
          <w:bCs/>
          <w:color w:val="FF0000"/>
        </w:rPr>
        <w:t>current use were identified from</w:t>
      </w:r>
      <w:r w:rsidRPr="00C93347">
        <w:rPr>
          <w:rFonts w:ascii="Times New Roman" w:hAnsi="Times New Roman"/>
          <w:bCs/>
          <w:color w:val="FF0000"/>
        </w:rPr>
        <w:t xml:space="preserve"> prior </w:t>
      </w:r>
      <w:r w:rsidR="008F15ED" w:rsidRPr="00C93347">
        <w:rPr>
          <w:rFonts w:ascii="Times New Roman" w:hAnsi="Times New Roman"/>
          <w:bCs/>
          <w:color w:val="FF0000"/>
        </w:rPr>
        <w:t xml:space="preserve">rule comments, </w:t>
      </w:r>
      <w:r w:rsidR="005B7B96" w:rsidRPr="00C93347">
        <w:rPr>
          <w:rFonts w:ascii="Times New Roman" w:hAnsi="Times New Roman"/>
          <w:bCs/>
          <w:color w:val="FF0000"/>
        </w:rPr>
        <w:t xml:space="preserve">past </w:t>
      </w:r>
      <w:r w:rsidR="008F15ED" w:rsidRPr="00C93347">
        <w:rPr>
          <w:rFonts w:ascii="Times New Roman" w:hAnsi="Times New Roman"/>
          <w:bCs/>
          <w:color w:val="FF0000"/>
        </w:rPr>
        <w:t>NQF endorsement cycles, and related measure development (e.g., MSPB Clinician).</w:t>
      </w:r>
      <w:r w:rsidR="00D92D63" w:rsidRPr="00C93347">
        <w:rPr>
          <w:rFonts w:ascii="Times New Roman" w:hAnsi="Times New Roman"/>
          <w:bCs/>
          <w:color w:val="FF0000"/>
        </w:rPr>
        <w:t xml:space="preserve"> These potential refinements were tested and reviewed by a technical expert panel in February 2020 as part of the MSPB Hospital measure’s re-evaluation. The TEP comprised </w:t>
      </w:r>
      <w:r w:rsidR="00A96E67" w:rsidRPr="00C93347">
        <w:rPr>
          <w:rFonts w:ascii="Times New Roman" w:hAnsi="Times New Roman"/>
          <w:bCs/>
          <w:color w:val="FF0000"/>
        </w:rPr>
        <w:t xml:space="preserve">20 </w:t>
      </w:r>
      <w:r w:rsidR="00D92D63" w:rsidRPr="00C93347">
        <w:rPr>
          <w:rFonts w:ascii="Times New Roman" w:hAnsi="Times New Roman"/>
          <w:bCs/>
          <w:color w:val="FF0000"/>
        </w:rPr>
        <w:t xml:space="preserve">members with expertise in cost measure development and evaluation and quality improvement from diverse backgrounds, including clinicians, healthcare providers, academia, and patient advocacy organizations.  </w:t>
      </w:r>
      <w:r w:rsidR="001B2A06" w:rsidRPr="00C93347">
        <w:rPr>
          <w:rFonts w:ascii="Times New Roman" w:hAnsi="Times New Roman"/>
          <w:bCs/>
          <w:color w:val="FF0000"/>
        </w:rPr>
        <w:t xml:space="preserve">Though no official vote was taken, panelists </w:t>
      </w:r>
      <w:r w:rsidR="008F15ED" w:rsidRPr="00C93347">
        <w:rPr>
          <w:rFonts w:ascii="Times New Roman" w:hAnsi="Times New Roman"/>
          <w:bCs/>
          <w:color w:val="FF0000"/>
        </w:rPr>
        <w:t>agreed that maintaining MSPB Hospital measure’s</w:t>
      </w:r>
      <w:r w:rsidR="00D92D63" w:rsidRPr="00C93347">
        <w:rPr>
          <w:rFonts w:ascii="Times New Roman" w:hAnsi="Times New Roman"/>
          <w:bCs/>
          <w:color w:val="FF0000"/>
        </w:rPr>
        <w:t xml:space="preserve"> holistic </w:t>
      </w:r>
      <w:r w:rsidR="008F15ED" w:rsidRPr="00C93347">
        <w:rPr>
          <w:rFonts w:ascii="Times New Roman" w:hAnsi="Times New Roman"/>
          <w:bCs/>
          <w:color w:val="FF0000"/>
        </w:rPr>
        <w:t>“all-cost” approach, allowing readmissions to trigger new MSPB Hospital episodes</w:t>
      </w:r>
      <w:r w:rsidR="005B7B96" w:rsidRPr="00C93347">
        <w:rPr>
          <w:rFonts w:ascii="Times New Roman" w:hAnsi="Times New Roman"/>
          <w:bCs/>
          <w:color w:val="FF0000"/>
        </w:rPr>
        <w:t xml:space="preserve"> to increase measure surveillance</w:t>
      </w:r>
      <w:r w:rsidR="008F15ED" w:rsidRPr="00C93347">
        <w:rPr>
          <w:rFonts w:ascii="Times New Roman" w:hAnsi="Times New Roman"/>
          <w:bCs/>
          <w:color w:val="FF0000"/>
        </w:rPr>
        <w:t xml:space="preserve">, and updating the MSPB Hospital measure’s MSPB Amount (score numerator) </w:t>
      </w:r>
      <w:r w:rsidR="005B7B96" w:rsidRPr="00C93347">
        <w:rPr>
          <w:rFonts w:ascii="Times New Roman" w:hAnsi="Times New Roman"/>
          <w:bCs/>
          <w:color w:val="FF0000"/>
        </w:rPr>
        <w:t>calculation t</w:t>
      </w:r>
      <w:r w:rsidR="008F15ED" w:rsidRPr="00C93347">
        <w:rPr>
          <w:rFonts w:ascii="Times New Roman" w:hAnsi="Times New Roman"/>
          <w:bCs/>
          <w:color w:val="FF0000"/>
        </w:rPr>
        <w:t xml:space="preserve">o evenly weight all of a hospital’s episodes were appropriate refinements. Panelists further provided additional considerations </w:t>
      </w:r>
      <w:r w:rsidR="005B7B96" w:rsidRPr="00C93347">
        <w:rPr>
          <w:rFonts w:ascii="Times New Roman" w:hAnsi="Times New Roman"/>
          <w:bCs/>
          <w:color w:val="FF0000"/>
        </w:rPr>
        <w:t>for</w:t>
      </w:r>
      <w:r w:rsidR="008F15ED" w:rsidRPr="00C93347">
        <w:rPr>
          <w:rFonts w:ascii="Times New Roman" w:hAnsi="Times New Roman"/>
          <w:bCs/>
          <w:color w:val="FF0000"/>
        </w:rPr>
        <w:t xml:space="preserve"> ongoing social risk factor testing</w:t>
      </w:r>
      <w:r w:rsidR="00D92D63" w:rsidRPr="00C93347">
        <w:rPr>
          <w:rFonts w:ascii="Times New Roman" w:hAnsi="Times New Roman"/>
          <w:bCs/>
          <w:color w:val="FF0000"/>
        </w:rPr>
        <w:t>, like examining the impact of controlling for the Area Deprivation Index</w:t>
      </w:r>
      <w:r w:rsidR="005D3B83" w:rsidRPr="00C93347">
        <w:rPr>
          <w:rFonts w:ascii="Times New Roman" w:hAnsi="Times New Roman"/>
          <w:bCs/>
          <w:color w:val="FF0000"/>
        </w:rPr>
        <w:t xml:space="preserve"> (Section 2b3.4.b details SRF testing)</w:t>
      </w:r>
      <w:r w:rsidR="00D92D63" w:rsidRPr="00C93347">
        <w:rPr>
          <w:rFonts w:ascii="Times New Roman" w:hAnsi="Times New Roman"/>
          <w:bCs/>
          <w:color w:val="FF0000"/>
        </w:rPr>
        <w:t xml:space="preserve">. </w:t>
      </w:r>
    </w:p>
    <w:p w14:paraId="5979C8AD" w14:textId="77777777" w:rsidR="00637DC6" w:rsidRPr="00C93347" w:rsidRDefault="00637DC6" w:rsidP="006F3256">
      <w:pPr>
        <w:pStyle w:val="NoSpacing"/>
        <w:rPr>
          <w:rFonts w:ascii="Times New Roman" w:hAnsi="Times New Roman"/>
          <w:bCs/>
          <w:color w:val="FF0000"/>
        </w:rPr>
      </w:pPr>
    </w:p>
    <w:p w14:paraId="49ED67C6" w14:textId="7053C07A" w:rsidR="00B22F87" w:rsidRPr="00C93347" w:rsidRDefault="00B22F87" w:rsidP="006F3256">
      <w:pPr>
        <w:pStyle w:val="NoSpacing"/>
        <w:rPr>
          <w:rFonts w:ascii="Times New Roman" w:hAnsi="Times New Roman"/>
          <w:color w:val="FF0000"/>
        </w:rPr>
      </w:pPr>
    </w:p>
    <w:p w14:paraId="4A6CCF63" w14:textId="580C0214" w:rsidR="00EC7291" w:rsidRPr="00C93347" w:rsidRDefault="008564E0" w:rsidP="006F3256">
      <w:pPr>
        <w:pStyle w:val="NoSpacing"/>
        <w:rPr>
          <w:rFonts w:ascii="Times New Roman" w:hAnsi="Times New Roman"/>
          <w:b/>
          <w:bCs/>
          <w:color w:val="FF0000"/>
        </w:rPr>
      </w:pPr>
      <w:r w:rsidRPr="00C93347">
        <w:rPr>
          <w:rFonts w:ascii="Times New Roman" w:hAnsi="Times New Roman"/>
          <w:b/>
          <w:bCs/>
          <w:color w:val="FF0000"/>
          <w:u w:val="single"/>
        </w:rPr>
        <w:t>Empirical Validity Testing</w:t>
      </w:r>
    </w:p>
    <w:p w14:paraId="08CA4E39" w14:textId="132579F3" w:rsidR="001133C4" w:rsidRPr="00C93347" w:rsidRDefault="00637DC6" w:rsidP="006F3256">
      <w:pPr>
        <w:pStyle w:val="NoSpacing"/>
        <w:rPr>
          <w:rFonts w:ascii="Times New Roman" w:hAnsi="Times New Roman"/>
          <w:bCs/>
          <w:color w:val="FF0000"/>
        </w:rPr>
      </w:pPr>
      <w:r w:rsidRPr="00C93347">
        <w:rPr>
          <w:rFonts w:ascii="Times New Roman" w:hAnsi="Times New Roman"/>
          <w:bCs/>
          <w:color w:val="FF0000"/>
        </w:rPr>
        <w:t xml:space="preserve">We undertook </w:t>
      </w:r>
      <w:r w:rsidR="00DC5810" w:rsidRPr="00C93347">
        <w:rPr>
          <w:rFonts w:ascii="Times New Roman" w:hAnsi="Times New Roman"/>
          <w:bCs/>
          <w:color w:val="FF0000"/>
        </w:rPr>
        <w:t xml:space="preserve">three approaches </w:t>
      </w:r>
      <w:r w:rsidRPr="00C93347">
        <w:rPr>
          <w:rFonts w:ascii="Times New Roman" w:hAnsi="Times New Roman"/>
          <w:bCs/>
          <w:color w:val="FF0000"/>
        </w:rPr>
        <w:t xml:space="preserve">to </w:t>
      </w:r>
      <w:r w:rsidR="00755872" w:rsidRPr="00C93347">
        <w:rPr>
          <w:rFonts w:ascii="Times New Roman" w:hAnsi="Times New Roman"/>
          <w:bCs/>
          <w:color w:val="FF0000"/>
        </w:rPr>
        <w:t xml:space="preserve">empirically examine the extent to which the </w:t>
      </w:r>
      <w:r w:rsidR="00D92D63" w:rsidRPr="00C93347">
        <w:rPr>
          <w:rFonts w:ascii="Times New Roman" w:hAnsi="Times New Roman"/>
          <w:bCs/>
          <w:color w:val="FF0000"/>
        </w:rPr>
        <w:t>MSPB Hospital measure</w:t>
      </w:r>
      <w:r w:rsidR="00755872" w:rsidRPr="00C93347">
        <w:rPr>
          <w:rFonts w:ascii="Times New Roman" w:hAnsi="Times New Roman"/>
          <w:bCs/>
          <w:color w:val="FF0000"/>
        </w:rPr>
        <w:t xml:space="preserve"> captures what it intends to capture</w:t>
      </w:r>
      <w:r w:rsidRPr="00C93347">
        <w:rPr>
          <w:rFonts w:ascii="Times New Roman" w:hAnsi="Times New Roman"/>
          <w:bCs/>
          <w:color w:val="FF0000"/>
        </w:rPr>
        <w:t xml:space="preserve">. </w:t>
      </w:r>
      <w:r w:rsidR="00DC5810" w:rsidRPr="00C93347">
        <w:rPr>
          <w:rFonts w:ascii="Times New Roman" w:hAnsi="Times New Roman"/>
          <w:bCs/>
          <w:color w:val="FF0000"/>
        </w:rPr>
        <w:t xml:space="preserve">First, </w:t>
      </w:r>
      <w:r w:rsidR="001133C4" w:rsidRPr="00C93347">
        <w:rPr>
          <w:rFonts w:ascii="Times New Roman" w:hAnsi="Times New Roman"/>
          <w:bCs/>
          <w:color w:val="FF0000"/>
        </w:rPr>
        <w:t>we examined the relationship between risk</w:t>
      </w:r>
      <w:r w:rsidR="0091518E" w:rsidRPr="00C93347">
        <w:rPr>
          <w:rFonts w:ascii="Times New Roman" w:hAnsi="Times New Roman"/>
          <w:bCs/>
          <w:color w:val="FF0000"/>
        </w:rPr>
        <w:t>-</w:t>
      </w:r>
      <w:r w:rsidR="001133C4" w:rsidRPr="00C93347">
        <w:rPr>
          <w:rFonts w:ascii="Times New Roman" w:hAnsi="Times New Roman"/>
          <w:bCs/>
          <w:color w:val="FF0000"/>
        </w:rPr>
        <w:t xml:space="preserve">adjusted </w:t>
      </w:r>
      <w:r w:rsidR="002D3C24" w:rsidRPr="00C93347">
        <w:rPr>
          <w:rFonts w:ascii="Times New Roman" w:hAnsi="Times New Roman"/>
          <w:bCs/>
          <w:color w:val="FF0000"/>
        </w:rPr>
        <w:t xml:space="preserve">episode </w:t>
      </w:r>
      <w:r w:rsidR="001133C4" w:rsidRPr="00C93347">
        <w:rPr>
          <w:rFonts w:ascii="Times New Roman" w:hAnsi="Times New Roman"/>
          <w:bCs/>
          <w:color w:val="FF0000"/>
        </w:rPr>
        <w:t xml:space="preserve">cost ratios and episodes with </w:t>
      </w:r>
      <w:r w:rsidR="002D3C24" w:rsidRPr="00C93347">
        <w:rPr>
          <w:rFonts w:ascii="Times New Roman" w:hAnsi="Times New Roman"/>
          <w:bCs/>
          <w:color w:val="FF0000"/>
        </w:rPr>
        <w:t xml:space="preserve">and without </w:t>
      </w:r>
      <w:r w:rsidR="001133C4" w:rsidRPr="00C93347">
        <w:rPr>
          <w:rFonts w:ascii="Times New Roman" w:hAnsi="Times New Roman"/>
          <w:bCs/>
          <w:color w:val="FF0000"/>
        </w:rPr>
        <w:t>post-admission events that are known indicators of high cost or intensive care. Specifically, we examined the observed to expected</w:t>
      </w:r>
      <w:r w:rsidR="00FD082E" w:rsidRPr="00C93347">
        <w:rPr>
          <w:rFonts w:ascii="Times New Roman" w:hAnsi="Times New Roman"/>
          <w:bCs/>
          <w:color w:val="FF0000"/>
        </w:rPr>
        <w:t xml:space="preserve"> cost</w:t>
      </w:r>
      <w:r w:rsidR="001133C4" w:rsidRPr="00C93347">
        <w:rPr>
          <w:rFonts w:ascii="Times New Roman" w:hAnsi="Times New Roman"/>
          <w:bCs/>
          <w:color w:val="FF0000"/>
        </w:rPr>
        <w:t xml:space="preserve"> (O/E) ratios of episodes with acute care readmissions, episodes with </w:t>
      </w:r>
      <w:r w:rsidR="005B7B96" w:rsidRPr="00C93347">
        <w:rPr>
          <w:rFonts w:ascii="Times New Roman" w:hAnsi="Times New Roman"/>
          <w:bCs/>
          <w:color w:val="FF0000"/>
        </w:rPr>
        <w:t xml:space="preserve">any </w:t>
      </w:r>
      <w:r w:rsidR="001133C4" w:rsidRPr="00C93347">
        <w:rPr>
          <w:rFonts w:ascii="Times New Roman" w:hAnsi="Times New Roman"/>
          <w:bCs/>
          <w:color w:val="FF0000"/>
        </w:rPr>
        <w:t>post-acute care (PAC) facility use, and episodes with PAC skilled nursing facility (SNF) use. We examined episodes with PAC-SNF use separately as such use has traditionally accounted for the largest share of Medicare’s fee-for-service PAC expenditures</w:t>
      </w:r>
      <w:r w:rsidR="005B7B96" w:rsidRPr="00C93347">
        <w:rPr>
          <w:rFonts w:ascii="Times New Roman" w:hAnsi="Times New Roman"/>
          <w:bCs/>
          <w:color w:val="FF0000"/>
        </w:rPr>
        <w:t>.</w:t>
      </w:r>
      <w:r w:rsidR="005B7B96" w:rsidRPr="00C93347">
        <w:rPr>
          <w:rStyle w:val="FootnoteReference"/>
          <w:rFonts w:ascii="Times New Roman" w:hAnsi="Times New Roman"/>
          <w:bCs/>
          <w:color w:val="FF0000"/>
        </w:rPr>
        <w:footnoteReference w:id="12"/>
      </w:r>
      <w:r w:rsidR="001133C4" w:rsidRPr="00C93347">
        <w:rPr>
          <w:rFonts w:ascii="Times New Roman" w:hAnsi="Times New Roman"/>
          <w:bCs/>
          <w:color w:val="FF0000"/>
        </w:rPr>
        <w:t xml:space="preserve"> As these post-index admission events are not </w:t>
      </w:r>
      <w:r w:rsidR="0082307D" w:rsidRPr="00C93347">
        <w:rPr>
          <w:rFonts w:ascii="Times New Roman" w:hAnsi="Times New Roman"/>
          <w:bCs/>
          <w:color w:val="FF0000"/>
        </w:rPr>
        <w:t xml:space="preserve">directly </w:t>
      </w:r>
      <w:r w:rsidR="001133C4" w:rsidRPr="00C93347">
        <w:rPr>
          <w:rFonts w:ascii="Times New Roman" w:hAnsi="Times New Roman"/>
          <w:bCs/>
          <w:color w:val="FF0000"/>
        </w:rPr>
        <w:t xml:space="preserve">controlled for </w:t>
      </w:r>
      <w:r w:rsidR="00FD082E" w:rsidRPr="00C93347">
        <w:rPr>
          <w:rFonts w:ascii="Times New Roman" w:hAnsi="Times New Roman"/>
          <w:bCs/>
          <w:color w:val="FF0000"/>
        </w:rPr>
        <w:t xml:space="preserve">through </w:t>
      </w:r>
      <w:r w:rsidR="001133C4" w:rsidRPr="00C93347">
        <w:rPr>
          <w:rFonts w:ascii="Times New Roman" w:hAnsi="Times New Roman"/>
          <w:bCs/>
          <w:color w:val="FF0000"/>
        </w:rPr>
        <w:t>risk adjustment</w:t>
      </w:r>
      <w:r w:rsidR="00E3551F">
        <w:rPr>
          <w:rFonts w:ascii="Times New Roman" w:hAnsi="Times New Roman"/>
          <w:bCs/>
          <w:color w:val="FF0000"/>
        </w:rPr>
        <w:t xml:space="preserve"> (although they are indirectly controlled for by the clinical risk adjustors such as MS-DRGs and LTI indicator)</w:t>
      </w:r>
      <w:r w:rsidR="001133C4" w:rsidRPr="00C93347">
        <w:rPr>
          <w:rFonts w:ascii="Times New Roman" w:hAnsi="Times New Roman"/>
          <w:bCs/>
          <w:color w:val="FF0000"/>
        </w:rPr>
        <w:t xml:space="preserve">, we would expect episodes </w:t>
      </w:r>
      <w:r w:rsidR="005B7B96" w:rsidRPr="00C93347">
        <w:rPr>
          <w:rFonts w:ascii="Times New Roman" w:hAnsi="Times New Roman"/>
          <w:bCs/>
          <w:color w:val="FF0000"/>
        </w:rPr>
        <w:t>that have such</w:t>
      </w:r>
      <w:r w:rsidR="001133C4" w:rsidRPr="00C93347">
        <w:rPr>
          <w:rFonts w:ascii="Times New Roman" w:hAnsi="Times New Roman"/>
          <w:bCs/>
          <w:color w:val="FF0000"/>
        </w:rPr>
        <w:t xml:space="preserve"> events </w:t>
      </w:r>
      <w:r w:rsidR="005B7B96" w:rsidRPr="00C93347">
        <w:rPr>
          <w:rFonts w:ascii="Times New Roman" w:hAnsi="Times New Roman"/>
          <w:bCs/>
          <w:color w:val="FF0000"/>
        </w:rPr>
        <w:t xml:space="preserve">will evidence </w:t>
      </w:r>
      <w:r w:rsidR="001133C4" w:rsidRPr="00C93347">
        <w:rPr>
          <w:rFonts w:ascii="Times New Roman" w:hAnsi="Times New Roman"/>
          <w:bCs/>
          <w:color w:val="FF0000"/>
        </w:rPr>
        <w:t xml:space="preserve">observed episode costs that are higher than the cost predicted by risk adjustment – that is, </w:t>
      </w:r>
      <w:r w:rsidR="005B7B96" w:rsidRPr="00C93347">
        <w:rPr>
          <w:rFonts w:ascii="Times New Roman" w:hAnsi="Times New Roman"/>
          <w:bCs/>
          <w:color w:val="FF0000"/>
        </w:rPr>
        <w:t xml:space="preserve">we </w:t>
      </w:r>
      <w:r w:rsidR="00D92D63" w:rsidRPr="00C93347">
        <w:rPr>
          <w:rFonts w:ascii="Times New Roman" w:hAnsi="Times New Roman"/>
          <w:bCs/>
          <w:color w:val="FF0000"/>
        </w:rPr>
        <w:t xml:space="preserve">would </w:t>
      </w:r>
      <w:r w:rsidR="005B7B96" w:rsidRPr="00C93347">
        <w:rPr>
          <w:rFonts w:ascii="Times New Roman" w:hAnsi="Times New Roman"/>
          <w:bCs/>
          <w:color w:val="FF0000"/>
        </w:rPr>
        <w:t xml:space="preserve">expect </w:t>
      </w:r>
      <w:r w:rsidR="00FD082E" w:rsidRPr="00C93347">
        <w:rPr>
          <w:rFonts w:ascii="Times New Roman" w:hAnsi="Times New Roman"/>
          <w:bCs/>
          <w:color w:val="FF0000"/>
        </w:rPr>
        <w:t xml:space="preserve">O/E </w:t>
      </w:r>
      <w:r w:rsidR="005B7B96" w:rsidRPr="00C93347">
        <w:rPr>
          <w:rFonts w:ascii="Times New Roman" w:hAnsi="Times New Roman"/>
          <w:bCs/>
          <w:color w:val="FF0000"/>
        </w:rPr>
        <w:t xml:space="preserve">cost </w:t>
      </w:r>
      <w:r w:rsidR="00FD082E" w:rsidRPr="00C93347">
        <w:rPr>
          <w:rFonts w:ascii="Times New Roman" w:hAnsi="Times New Roman"/>
          <w:bCs/>
          <w:color w:val="FF0000"/>
        </w:rPr>
        <w:t>ratios</w:t>
      </w:r>
      <w:r w:rsidR="005B7B96" w:rsidRPr="00C93347">
        <w:rPr>
          <w:rFonts w:ascii="Times New Roman" w:hAnsi="Times New Roman"/>
          <w:bCs/>
          <w:color w:val="FF0000"/>
        </w:rPr>
        <w:t xml:space="preserve"> for these episodes to be</w:t>
      </w:r>
      <w:r w:rsidR="00FD082E" w:rsidRPr="00C93347">
        <w:rPr>
          <w:rFonts w:ascii="Times New Roman" w:hAnsi="Times New Roman"/>
          <w:bCs/>
          <w:color w:val="FF0000"/>
        </w:rPr>
        <w:t xml:space="preserve"> greater than 1.0</w:t>
      </w:r>
      <w:r w:rsidR="003B2AE0" w:rsidRPr="00C93347">
        <w:rPr>
          <w:rFonts w:ascii="Times New Roman" w:hAnsi="Times New Roman"/>
          <w:bCs/>
          <w:color w:val="FF0000"/>
        </w:rPr>
        <w:t xml:space="preserve"> to the extent that the use of such post-admission services was not associated with clinical factors in the measure’s risk adjustment model (e.g., other patient and provider considerations).  </w:t>
      </w:r>
      <w:r w:rsidR="00FD082E" w:rsidRPr="00C93347">
        <w:rPr>
          <w:rFonts w:ascii="Times New Roman" w:hAnsi="Times New Roman"/>
          <w:bCs/>
          <w:color w:val="FF0000"/>
        </w:rPr>
        <w:t xml:space="preserve">Further, we </w:t>
      </w:r>
      <w:r w:rsidR="00D92D63" w:rsidRPr="00C93347">
        <w:rPr>
          <w:rFonts w:ascii="Times New Roman" w:hAnsi="Times New Roman"/>
          <w:bCs/>
          <w:color w:val="FF0000"/>
        </w:rPr>
        <w:t xml:space="preserve">would </w:t>
      </w:r>
      <w:r w:rsidR="00FD082E" w:rsidRPr="00C93347">
        <w:rPr>
          <w:rFonts w:ascii="Times New Roman" w:hAnsi="Times New Roman"/>
          <w:bCs/>
          <w:color w:val="FF0000"/>
        </w:rPr>
        <w:t>expect their counterpart episodes – episodes without such events</w:t>
      </w:r>
      <w:r w:rsidR="005B7B96" w:rsidRPr="00C93347">
        <w:rPr>
          <w:rFonts w:ascii="Times New Roman" w:hAnsi="Times New Roman"/>
          <w:bCs/>
          <w:color w:val="FF0000"/>
        </w:rPr>
        <w:t xml:space="preserve"> – to have O/E cost ratios</w:t>
      </w:r>
      <w:r w:rsidR="00FD082E" w:rsidRPr="00C93347">
        <w:rPr>
          <w:rFonts w:ascii="Times New Roman" w:hAnsi="Times New Roman"/>
          <w:bCs/>
          <w:color w:val="FF0000"/>
        </w:rPr>
        <w:t xml:space="preserve"> less than 1.0. </w:t>
      </w:r>
    </w:p>
    <w:p w14:paraId="7AAA0003" w14:textId="66CF7D2E" w:rsidR="00FD082E" w:rsidRPr="00C93347" w:rsidRDefault="00FD082E" w:rsidP="006F3256">
      <w:pPr>
        <w:pStyle w:val="NoSpacing"/>
        <w:rPr>
          <w:rFonts w:ascii="Times New Roman" w:hAnsi="Times New Roman"/>
          <w:bCs/>
          <w:color w:val="FF0000"/>
        </w:rPr>
      </w:pPr>
    </w:p>
    <w:p w14:paraId="428F44BA" w14:textId="481B532E" w:rsidR="00FD082E" w:rsidRPr="00C93347" w:rsidRDefault="00FD082E" w:rsidP="006F3256">
      <w:pPr>
        <w:pStyle w:val="NoSpacing"/>
        <w:rPr>
          <w:rFonts w:ascii="Times New Roman" w:hAnsi="Times New Roman"/>
          <w:bCs/>
          <w:color w:val="FF0000"/>
        </w:rPr>
      </w:pPr>
      <w:r w:rsidRPr="00C93347">
        <w:rPr>
          <w:rFonts w:ascii="Times New Roman" w:hAnsi="Times New Roman"/>
          <w:bCs/>
          <w:color w:val="FF0000"/>
        </w:rPr>
        <w:t xml:space="preserve">Second, we examined the relationship between a hospital’s average </w:t>
      </w:r>
      <w:r w:rsidR="00D92D63" w:rsidRPr="00C93347">
        <w:rPr>
          <w:rFonts w:ascii="Times New Roman" w:hAnsi="Times New Roman"/>
          <w:bCs/>
          <w:color w:val="FF0000"/>
        </w:rPr>
        <w:t>expected</w:t>
      </w:r>
      <w:r w:rsidRPr="00C93347">
        <w:rPr>
          <w:rFonts w:ascii="Times New Roman" w:hAnsi="Times New Roman"/>
          <w:bCs/>
          <w:color w:val="FF0000"/>
        </w:rPr>
        <w:t xml:space="preserve"> episode cost</w:t>
      </w:r>
      <w:r w:rsidR="00D92D63" w:rsidRPr="00C93347">
        <w:rPr>
          <w:rFonts w:ascii="Times New Roman" w:hAnsi="Times New Roman"/>
          <w:bCs/>
          <w:color w:val="FF0000"/>
        </w:rPr>
        <w:t xml:space="preserve"> (the average “E” in O/E cost ratios)</w:t>
      </w:r>
      <w:r w:rsidRPr="00C93347">
        <w:rPr>
          <w:rFonts w:ascii="Times New Roman" w:hAnsi="Times New Roman"/>
          <w:bCs/>
          <w:color w:val="FF0000"/>
        </w:rPr>
        <w:t xml:space="preserve"> and average episode rates of several service use categories. Per episode service use, particularly for higher cost events or events that require further care, like surgical procedures, may be positively correlated with </w:t>
      </w:r>
      <w:r w:rsidR="00D92D63" w:rsidRPr="00C93347">
        <w:rPr>
          <w:rFonts w:ascii="Times New Roman" w:hAnsi="Times New Roman"/>
          <w:bCs/>
          <w:color w:val="FF0000"/>
        </w:rPr>
        <w:t>expected</w:t>
      </w:r>
      <w:r w:rsidRPr="00C93347">
        <w:rPr>
          <w:rFonts w:ascii="Times New Roman" w:hAnsi="Times New Roman"/>
          <w:bCs/>
          <w:color w:val="FF0000"/>
        </w:rPr>
        <w:t xml:space="preserve"> episode costs if the regression model that the MSPB Hospital measure </w:t>
      </w:r>
      <w:r w:rsidRPr="00C93347">
        <w:rPr>
          <w:rFonts w:ascii="Times New Roman" w:hAnsi="Times New Roman"/>
          <w:bCs/>
          <w:color w:val="FF0000"/>
        </w:rPr>
        <w:lastRenderedPageBreak/>
        <w:t>uses for risk adjustment predicts patient need for such services</w:t>
      </w:r>
      <w:r w:rsidR="007049E5" w:rsidRPr="00C93347">
        <w:rPr>
          <w:rFonts w:ascii="Times New Roman" w:hAnsi="Times New Roman"/>
          <w:bCs/>
          <w:color w:val="FF0000"/>
        </w:rPr>
        <w:t xml:space="preserve"> well. Section </w:t>
      </w:r>
      <w:r w:rsidR="007049E5" w:rsidRPr="00C93347">
        <w:rPr>
          <w:rFonts w:ascii="Times New Roman" w:hAnsi="Times New Roman"/>
          <w:color w:val="FF0000"/>
        </w:rPr>
        <w:t>2b3.3a.</w:t>
      </w:r>
      <w:r w:rsidR="007049E5" w:rsidRPr="00C93347">
        <w:rPr>
          <w:rFonts w:ascii="Times New Roman" w:hAnsi="Times New Roman"/>
          <w:bCs/>
          <w:color w:val="FF0000"/>
        </w:rPr>
        <w:t xml:space="preserve"> </w:t>
      </w:r>
      <w:proofErr w:type="gramStart"/>
      <w:r w:rsidR="007049E5" w:rsidRPr="00C93347">
        <w:rPr>
          <w:rFonts w:ascii="Times New Roman" w:hAnsi="Times New Roman"/>
          <w:bCs/>
          <w:color w:val="FF0000"/>
        </w:rPr>
        <w:t>discusses</w:t>
      </w:r>
      <w:proofErr w:type="gramEnd"/>
      <w:r w:rsidR="007049E5" w:rsidRPr="00C93347">
        <w:rPr>
          <w:rFonts w:ascii="Times New Roman" w:hAnsi="Times New Roman"/>
          <w:bCs/>
          <w:color w:val="FF0000"/>
        </w:rPr>
        <w:t xml:space="preserve"> how the MSPB Hospital measure’s risk adjustment regression model, which is broadly based on the</w:t>
      </w:r>
      <w:r w:rsidRPr="00C93347">
        <w:rPr>
          <w:rFonts w:ascii="Times New Roman" w:hAnsi="Times New Roman"/>
          <w:bCs/>
          <w:color w:val="FF0000"/>
        </w:rPr>
        <w:t xml:space="preserve"> CMS HCC model</w:t>
      </w:r>
      <w:r w:rsidR="007049E5" w:rsidRPr="00C93347">
        <w:rPr>
          <w:rFonts w:ascii="Times New Roman" w:hAnsi="Times New Roman"/>
          <w:bCs/>
          <w:color w:val="FF0000"/>
        </w:rPr>
        <w:t xml:space="preserve">, meets this </w:t>
      </w:r>
      <w:r w:rsidR="00D92D63" w:rsidRPr="00C93347">
        <w:rPr>
          <w:rFonts w:ascii="Times New Roman" w:hAnsi="Times New Roman"/>
          <w:bCs/>
          <w:color w:val="FF0000"/>
        </w:rPr>
        <w:t>prediction need</w:t>
      </w:r>
      <w:r w:rsidR="007049E5" w:rsidRPr="00C93347">
        <w:rPr>
          <w:rFonts w:ascii="Times New Roman" w:hAnsi="Times New Roman"/>
          <w:bCs/>
          <w:color w:val="FF0000"/>
        </w:rPr>
        <w:t xml:space="preserve">. </w:t>
      </w:r>
      <w:r w:rsidR="00D92D63" w:rsidRPr="00C93347">
        <w:rPr>
          <w:rFonts w:ascii="Times New Roman" w:hAnsi="Times New Roman"/>
          <w:bCs/>
          <w:color w:val="FF0000"/>
        </w:rPr>
        <w:t>While we</w:t>
      </w:r>
      <w:r w:rsidR="00821546" w:rsidRPr="00C93347">
        <w:rPr>
          <w:rFonts w:ascii="Times New Roman" w:hAnsi="Times New Roman"/>
          <w:bCs/>
          <w:color w:val="FF0000"/>
        </w:rPr>
        <w:t xml:space="preserve"> acknowledge that the hypothesized positive relationship between a hospital’s average predicted episode cost and average episode rates of service use may not be linear or strong as high service use may </w:t>
      </w:r>
      <w:r w:rsidR="00AA657A" w:rsidRPr="00C93347">
        <w:rPr>
          <w:rFonts w:ascii="Times New Roman" w:hAnsi="Times New Roman"/>
          <w:bCs/>
          <w:color w:val="FF0000"/>
        </w:rPr>
        <w:t xml:space="preserve">be </w:t>
      </w:r>
      <w:r w:rsidR="00821546" w:rsidRPr="00C93347">
        <w:rPr>
          <w:rFonts w:ascii="Times New Roman" w:hAnsi="Times New Roman"/>
          <w:bCs/>
          <w:color w:val="FF0000"/>
        </w:rPr>
        <w:t>comprised of low-cost services relative to higher cost alternative services</w:t>
      </w:r>
      <w:r w:rsidR="00D92D63" w:rsidRPr="00C93347">
        <w:rPr>
          <w:rFonts w:ascii="Times New Roman" w:hAnsi="Times New Roman"/>
          <w:bCs/>
          <w:color w:val="FF0000"/>
        </w:rPr>
        <w:t>,</w:t>
      </w:r>
      <w:r w:rsidR="00821546" w:rsidRPr="00C93347">
        <w:rPr>
          <w:rStyle w:val="FootnoteReference"/>
          <w:rFonts w:ascii="Times New Roman" w:hAnsi="Times New Roman"/>
          <w:bCs/>
          <w:color w:val="FF0000"/>
        </w:rPr>
        <w:footnoteReference w:id="13"/>
      </w:r>
      <w:r w:rsidR="00D92D63" w:rsidRPr="00C93347">
        <w:rPr>
          <w:rFonts w:ascii="Times New Roman" w:hAnsi="Times New Roman"/>
          <w:bCs/>
          <w:color w:val="FF0000"/>
        </w:rPr>
        <w:t xml:space="preserve"> we would expect at least </w:t>
      </w:r>
      <w:r w:rsidR="00764DF6" w:rsidRPr="00C93347">
        <w:rPr>
          <w:rFonts w:ascii="Times New Roman" w:hAnsi="Times New Roman"/>
          <w:bCs/>
          <w:color w:val="FF0000"/>
        </w:rPr>
        <w:t>weakly positive rank relationships between a hospital</w:t>
      </w:r>
      <w:r w:rsidR="00C27CB4" w:rsidRPr="00C93347">
        <w:rPr>
          <w:rFonts w:ascii="Times New Roman" w:hAnsi="Times New Roman"/>
          <w:bCs/>
          <w:color w:val="FF0000"/>
        </w:rPr>
        <w:t>’</w:t>
      </w:r>
      <w:r w:rsidR="00764DF6" w:rsidRPr="00C93347">
        <w:rPr>
          <w:rFonts w:ascii="Times New Roman" w:hAnsi="Times New Roman"/>
          <w:bCs/>
          <w:color w:val="FF0000"/>
        </w:rPr>
        <w:t xml:space="preserve">s average expected episode cost and average per episode service use. </w:t>
      </w:r>
    </w:p>
    <w:p w14:paraId="0F63B7D7" w14:textId="7F906B4C" w:rsidR="007049E5" w:rsidRPr="00C93347" w:rsidRDefault="007049E5" w:rsidP="006F3256">
      <w:pPr>
        <w:pStyle w:val="NoSpacing"/>
        <w:rPr>
          <w:rFonts w:ascii="Times New Roman" w:hAnsi="Times New Roman"/>
          <w:bCs/>
          <w:color w:val="FF0000"/>
        </w:rPr>
      </w:pPr>
    </w:p>
    <w:p w14:paraId="34D1B3E8" w14:textId="3F3C822C" w:rsidR="001B5AB9" w:rsidRPr="00C93347" w:rsidRDefault="003A5D1A" w:rsidP="006F3256">
      <w:pPr>
        <w:pStyle w:val="NoSpacing"/>
        <w:rPr>
          <w:rFonts w:ascii="Times New Roman" w:hAnsi="Times New Roman"/>
          <w:bCs/>
          <w:color w:val="FF0000"/>
        </w:rPr>
      </w:pPr>
      <w:r w:rsidRPr="00C93347">
        <w:rPr>
          <w:rFonts w:ascii="Times New Roman" w:hAnsi="Times New Roman"/>
          <w:bCs/>
          <w:color w:val="FF0000"/>
        </w:rPr>
        <w:t>Finally</w:t>
      </w:r>
      <w:r w:rsidR="007049E5" w:rsidRPr="00C93347">
        <w:rPr>
          <w:rFonts w:ascii="Times New Roman" w:hAnsi="Times New Roman"/>
          <w:bCs/>
          <w:color w:val="FF0000"/>
        </w:rPr>
        <w:t xml:space="preserve">, we examined the relationship between the MSPB Hospital measure and other cost-specific measures, </w:t>
      </w:r>
      <w:r w:rsidR="00821546" w:rsidRPr="00C93347">
        <w:rPr>
          <w:rFonts w:ascii="Times New Roman" w:hAnsi="Times New Roman"/>
          <w:bCs/>
          <w:color w:val="FF0000"/>
        </w:rPr>
        <w:t>efficiency-</w:t>
      </w:r>
      <w:r w:rsidR="007049E5" w:rsidRPr="00C93347">
        <w:rPr>
          <w:rFonts w:ascii="Times New Roman" w:hAnsi="Times New Roman"/>
          <w:bCs/>
          <w:color w:val="FF0000"/>
        </w:rPr>
        <w:t xml:space="preserve">related measures, and </w:t>
      </w:r>
      <w:r w:rsidR="00DC107C" w:rsidRPr="00C93347">
        <w:rPr>
          <w:rFonts w:ascii="Times New Roman" w:hAnsi="Times New Roman"/>
          <w:bCs/>
          <w:color w:val="FF0000"/>
        </w:rPr>
        <w:t>measures in other</w:t>
      </w:r>
      <w:r w:rsidR="007049E5" w:rsidRPr="00C93347">
        <w:rPr>
          <w:rFonts w:ascii="Times New Roman" w:hAnsi="Times New Roman"/>
          <w:bCs/>
          <w:color w:val="FF0000"/>
        </w:rPr>
        <w:t xml:space="preserve"> HVBP program domains</w:t>
      </w:r>
      <w:r w:rsidR="00DC107C" w:rsidRPr="00C93347">
        <w:rPr>
          <w:rFonts w:ascii="Times New Roman" w:hAnsi="Times New Roman"/>
          <w:bCs/>
          <w:color w:val="FF0000"/>
        </w:rPr>
        <w:t>.</w:t>
      </w:r>
      <w:r w:rsidR="00DC107C" w:rsidRPr="00C93347">
        <w:rPr>
          <w:rStyle w:val="FootnoteReference"/>
          <w:rFonts w:ascii="Times New Roman" w:hAnsi="Times New Roman"/>
          <w:bCs/>
          <w:color w:val="FF0000"/>
        </w:rPr>
        <w:footnoteReference w:id="14"/>
      </w:r>
      <w:r w:rsidR="007049E5" w:rsidRPr="00C93347">
        <w:rPr>
          <w:rFonts w:ascii="Times New Roman" w:hAnsi="Times New Roman"/>
          <w:bCs/>
          <w:color w:val="FF0000"/>
        </w:rPr>
        <w:t xml:space="preserve"> Any relationship between the MSPB Hospital measure</w:t>
      </w:r>
      <w:r w:rsidR="002E692C" w:rsidRPr="00C93347">
        <w:rPr>
          <w:rFonts w:ascii="Times New Roman" w:hAnsi="Times New Roman"/>
          <w:bCs/>
          <w:color w:val="FF0000"/>
        </w:rPr>
        <w:t xml:space="preserve"> </w:t>
      </w:r>
      <w:r w:rsidR="007049E5" w:rsidRPr="00C93347">
        <w:rPr>
          <w:rFonts w:ascii="Times New Roman" w:hAnsi="Times New Roman"/>
          <w:bCs/>
          <w:color w:val="FF0000"/>
        </w:rPr>
        <w:t xml:space="preserve">and other measures may be obscured by many factors, including </w:t>
      </w:r>
      <w:r w:rsidR="002E692C" w:rsidRPr="00C93347">
        <w:rPr>
          <w:rFonts w:ascii="Times New Roman" w:hAnsi="Times New Roman"/>
          <w:bCs/>
          <w:color w:val="FF0000"/>
        </w:rPr>
        <w:t xml:space="preserve">different measurement periods, populations, </w:t>
      </w:r>
      <w:r w:rsidR="00DC107C" w:rsidRPr="00C93347">
        <w:rPr>
          <w:rFonts w:ascii="Times New Roman" w:hAnsi="Times New Roman"/>
          <w:bCs/>
          <w:color w:val="FF0000"/>
        </w:rPr>
        <w:t xml:space="preserve">risk adjustment methods, </w:t>
      </w:r>
      <w:r w:rsidR="002E692C" w:rsidRPr="00C93347">
        <w:rPr>
          <w:rFonts w:ascii="Times New Roman" w:hAnsi="Times New Roman"/>
          <w:bCs/>
          <w:color w:val="FF0000"/>
        </w:rPr>
        <w:t xml:space="preserve">or scoring methodologies. For example, while </w:t>
      </w:r>
      <w:r w:rsidR="00DC107C" w:rsidRPr="00C93347">
        <w:rPr>
          <w:rFonts w:ascii="Times New Roman" w:hAnsi="Times New Roman"/>
          <w:bCs/>
          <w:color w:val="FF0000"/>
        </w:rPr>
        <w:t>a</w:t>
      </w:r>
      <w:r w:rsidR="002E692C" w:rsidRPr="00C93347">
        <w:rPr>
          <w:rFonts w:ascii="Times New Roman" w:hAnsi="Times New Roman"/>
          <w:bCs/>
          <w:color w:val="FF0000"/>
        </w:rPr>
        <w:t xml:space="preserve"> MSPB Hospital measure performance period </w:t>
      </w:r>
      <w:r w:rsidR="00DC107C" w:rsidRPr="00C93347">
        <w:rPr>
          <w:rFonts w:ascii="Times New Roman" w:hAnsi="Times New Roman"/>
          <w:bCs/>
          <w:color w:val="FF0000"/>
        </w:rPr>
        <w:t>includes episodes from a</w:t>
      </w:r>
      <w:r w:rsidR="002E692C" w:rsidRPr="00C93347">
        <w:rPr>
          <w:rFonts w:ascii="Times New Roman" w:hAnsi="Times New Roman"/>
          <w:bCs/>
          <w:color w:val="FF0000"/>
        </w:rPr>
        <w:t xml:space="preserve"> single calendar year, measures in</w:t>
      </w:r>
      <w:r w:rsidR="003B2AE0" w:rsidRPr="00C93347">
        <w:rPr>
          <w:rFonts w:ascii="Times New Roman" w:hAnsi="Times New Roman"/>
          <w:bCs/>
          <w:color w:val="FF0000"/>
        </w:rPr>
        <w:t xml:space="preserve"> the</w:t>
      </w:r>
      <w:r w:rsidR="002E692C" w:rsidRPr="00C93347">
        <w:rPr>
          <w:rFonts w:ascii="Times New Roman" w:hAnsi="Times New Roman"/>
          <w:bCs/>
          <w:color w:val="FF0000"/>
        </w:rPr>
        <w:t xml:space="preserve"> HVBP</w:t>
      </w:r>
      <w:r w:rsidR="003B2AE0" w:rsidRPr="00C93347">
        <w:rPr>
          <w:rFonts w:ascii="Times New Roman" w:hAnsi="Times New Roman"/>
          <w:bCs/>
          <w:color w:val="FF0000"/>
        </w:rPr>
        <w:t xml:space="preserve"> program</w:t>
      </w:r>
      <w:r w:rsidR="002E692C" w:rsidRPr="00C93347">
        <w:rPr>
          <w:rFonts w:ascii="Times New Roman" w:hAnsi="Times New Roman"/>
          <w:bCs/>
          <w:color w:val="FF0000"/>
        </w:rPr>
        <w:t xml:space="preserve">’s </w:t>
      </w:r>
      <w:r w:rsidR="00DC107C" w:rsidRPr="00C93347">
        <w:rPr>
          <w:rFonts w:ascii="Times New Roman" w:hAnsi="Times New Roman"/>
          <w:bCs/>
          <w:color w:val="FF0000"/>
        </w:rPr>
        <w:t>C</w:t>
      </w:r>
      <w:r w:rsidR="002E692C" w:rsidRPr="00C93347">
        <w:rPr>
          <w:rFonts w:ascii="Times New Roman" w:hAnsi="Times New Roman"/>
          <w:bCs/>
          <w:color w:val="FF0000"/>
        </w:rPr>
        <w:t xml:space="preserve">linical </w:t>
      </w:r>
      <w:r w:rsidR="00DC107C" w:rsidRPr="00C93347">
        <w:rPr>
          <w:rFonts w:ascii="Times New Roman" w:hAnsi="Times New Roman"/>
          <w:bCs/>
          <w:color w:val="FF0000"/>
        </w:rPr>
        <w:t>O</w:t>
      </w:r>
      <w:r w:rsidR="002E692C" w:rsidRPr="00C93347">
        <w:rPr>
          <w:rFonts w:ascii="Times New Roman" w:hAnsi="Times New Roman"/>
          <w:bCs/>
          <w:color w:val="FF0000"/>
        </w:rPr>
        <w:t xml:space="preserve">utcome domain rely on a performance period that spans 4 years. Further, while the MSPB Hospital measure </w:t>
      </w:r>
      <w:r w:rsidR="00821546" w:rsidRPr="00C93347">
        <w:rPr>
          <w:rFonts w:ascii="Times New Roman" w:hAnsi="Times New Roman"/>
          <w:bCs/>
          <w:color w:val="FF0000"/>
        </w:rPr>
        <w:t xml:space="preserve">for a hospital </w:t>
      </w:r>
      <w:r w:rsidR="002E692C" w:rsidRPr="00C93347">
        <w:rPr>
          <w:rFonts w:ascii="Times New Roman" w:hAnsi="Times New Roman"/>
          <w:bCs/>
          <w:color w:val="FF0000"/>
        </w:rPr>
        <w:t>is scored relative to the episode-weighted median hospital</w:t>
      </w:r>
      <w:r w:rsidR="00821546" w:rsidRPr="00C93347">
        <w:rPr>
          <w:rFonts w:ascii="Times New Roman" w:hAnsi="Times New Roman"/>
          <w:bCs/>
          <w:color w:val="FF0000"/>
        </w:rPr>
        <w:t>’</w:t>
      </w:r>
      <w:r w:rsidR="002E692C" w:rsidRPr="00C93347">
        <w:rPr>
          <w:rFonts w:ascii="Times New Roman" w:hAnsi="Times New Roman"/>
          <w:bCs/>
          <w:color w:val="FF0000"/>
        </w:rPr>
        <w:t>s risk</w:t>
      </w:r>
      <w:r w:rsidR="0091518E" w:rsidRPr="00C93347">
        <w:rPr>
          <w:rFonts w:ascii="Times New Roman" w:hAnsi="Times New Roman"/>
          <w:bCs/>
          <w:color w:val="FF0000"/>
        </w:rPr>
        <w:t>-</w:t>
      </w:r>
      <w:r w:rsidR="002E692C" w:rsidRPr="00C93347">
        <w:rPr>
          <w:rFonts w:ascii="Times New Roman" w:hAnsi="Times New Roman"/>
          <w:bCs/>
          <w:color w:val="FF0000"/>
        </w:rPr>
        <w:t>adjust</w:t>
      </w:r>
      <w:r w:rsidR="00821546" w:rsidRPr="00C93347">
        <w:rPr>
          <w:rFonts w:ascii="Times New Roman" w:hAnsi="Times New Roman"/>
          <w:bCs/>
          <w:color w:val="FF0000"/>
        </w:rPr>
        <w:t xml:space="preserve">ed </w:t>
      </w:r>
      <w:r w:rsidR="002E692C" w:rsidRPr="00C93347">
        <w:rPr>
          <w:rFonts w:ascii="Times New Roman" w:hAnsi="Times New Roman"/>
          <w:bCs/>
          <w:color w:val="FF0000"/>
        </w:rPr>
        <w:t xml:space="preserve">cost, other measures </w:t>
      </w:r>
      <w:r w:rsidR="00821546" w:rsidRPr="00C93347">
        <w:rPr>
          <w:rFonts w:ascii="Times New Roman" w:hAnsi="Times New Roman"/>
          <w:bCs/>
          <w:color w:val="FF0000"/>
        </w:rPr>
        <w:t xml:space="preserve">in current use </w:t>
      </w:r>
      <w:r w:rsidR="002E692C" w:rsidRPr="00C93347">
        <w:rPr>
          <w:rFonts w:ascii="Times New Roman" w:hAnsi="Times New Roman"/>
          <w:bCs/>
          <w:color w:val="FF0000"/>
        </w:rPr>
        <w:t>are scored re</w:t>
      </w:r>
      <w:r w:rsidRPr="00C93347">
        <w:rPr>
          <w:rFonts w:ascii="Times New Roman" w:hAnsi="Times New Roman"/>
          <w:bCs/>
          <w:color w:val="FF0000"/>
        </w:rPr>
        <w:t xml:space="preserve">lative to the mean hospital performance or relative to the total number of survey questions answered. </w:t>
      </w:r>
    </w:p>
    <w:p w14:paraId="5FFB11D5" w14:textId="77777777" w:rsidR="001B5AB9" w:rsidRPr="00C93347" w:rsidRDefault="001B5AB9" w:rsidP="006F3256">
      <w:pPr>
        <w:pStyle w:val="NoSpacing"/>
        <w:rPr>
          <w:rFonts w:ascii="Times New Roman" w:hAnsi="Times New Roman"/>
          <w:bCs/>
          <w:color w:val="FF0000"/>
        </w:rPr>
      </w:pPr>
    </w:p>
    <w:p w14:paraId="37A6FE9C" w14:textId="54B561C8" w:rsidR="000E1594" w:rsidRPr="00C93347" w:rsidRDefault="003A5D1A" w:rsidP="006F3256">
      <w:pPr>
        <w:pStyle w:val="NoSpacing"/>
        <w:rPr>
          <w:rFonts w:ascii="Times New Roman" w:hAnsi="Times New Roman"/>
          <w:bCs/>
          <w:color w:val="FF0000"/>
        </w:rPr>
      </w:pPr>
      <w:r w:rsidRPr="00C93347">
        <w:rPr>
          <w:rFonts w:ascii="Times New Roman" w:hAnsi="Times New Roman"/>
          <w:bCs/>
          <w:color w:val="FF0000"/>
        </w:rPr>
        <w:t xml:space="preserve">Thus, </w:t>
      </w:r>
      <w:r w:rsidR="002A625D" w:rsidRPr="00C93347">
        <w:rPr>
          <w:rFonts w:ascii="Times New Roman" w:hAnsi="Times New Roman"/>
          <w:bCs/>
          <w:color w:val="FF0000"/>
        </w:rPr>
        <w:t xml:space="preserve">in this final analysis, we sought </w:t>
      </w:r>
      <w:r w:rsidRPr="00C93347">
        <w:rPr>
          <w:rFonts w:ascii="Times New Roman" w:hAnsi="Times New Roman"/>
          <w:bCs/>
          <w:color w:val="FF0000"/>
        </w:rPr>
        <w:t>to compare</w:t>
      </w:r>
      <w:r w:rsidR="00DC107C" w:rsidRPr="00C93347">
        <w:rPr>
          <w:rFonts w:ascii="Times New Roman" w:hAnsi="Times New Roman"/>
          <w:bCs/>
          <w:color w:val="FF0000"/>
        </w:rPr>
        <w:t xml:space="preserve"> </w:t>
      </w:r>
      <w:r w:rsidRPr="00C93347">
        <w:rPr>
          <w:rFonts w:ascii="Times New Roman" w:hAnsi="Times New Roman"/>
          <w:bCs/>
          <w:color w:val="FF0000"/>
        </w:rPr>
        <w:t xml:space="preserve">MSPB Hospital measure </w:t>
      </w:r>
      <w:r w:rsidR="007B73D9" w:rsidRPr="00C93347">
        <w:rPr>
          <w:rFonts w:ascii="Times New Roman" w:hAnsi="Times New Roman"/>
          <w:bCs/>
          <w:color w:val="FF0000"/>
        </w:rPr>
        <w:t xml:space="preserve">components </w:t>
      </w:r>
      <w:r w:rsidRPr="00C93347">
        <w:rPr>
          <w:rFonts w:ascii="Times New Roman" w:hAnsi="Times New Roman"/>
          <w:bCs/>
          <w:color w:val="FF0000"/>
        </w:rPr>
        <w:t>that may more closely relate to other measure scores and rates</w:t>
      </w:r>
      <w:r w:rsidR="007B73D9" w:rsidRPr="00C93347">
        <w:rPr>
          <w:rFonts w:ascii="Times New Roman" w:hAnsi="Times New Roman"/>
          <w:bCs/>
          <w:color w:val="FF0000"/>
        </w:rPr>
        <w:t xml:space="preserve">. Specifically, </w:t>
      </w:r>
      <w:r w:rsidR="00CF19E4" w:rsidRPr="00C93347">
        <w:rPr>
          <w:rFonts w:ascii="Times New Roman" w:hAnsi="Times New Roman"/>
          <w:bCs/>
          <w:color w:val="FF0000"/>
        </w:rPr>
        <w:t>we compared</w:t>
      </w:r>
      <w:r w:rsidR="007B73D9" w:rsidRPr="00C93347">
        <w:rPr>
          <w:rFonts w:ascii="Times New Roman" w:hAnsi="Times New Roman"/>
          <w:bCs/>
          <w:color w:val="FF0000"/>
        </w:rPr>
        <w:t xml:space="preserve"> the average </w:t>
      </w:r>
      <w:r w:rsidR="00CF19E4" w:rsidRPr="00C93347">
        <w:rPr>
          <w:rFonts w:ascii="Times New Roman" w:hAnsi="Times New Roman"/>
          <w:bCs/>
          <w:color w:val="FF0000"/>
        </w:rPr>
        <w:t xml:space="preserve">expected </w:t>
      </w:r>
      <w:r w:rsidR="007B73D9" w:rsidRPr="00C93347">
        <w:rPr>
          <w:rFonts w:ascii="Times New Roman" w:hAnsi="Times New Roman"/>
          <w:bCs/>
          <w:color w:val="FF0000"/>
        </w:rPr>
        <w:t xml:space="preserve">episode amount to other measure </w:t>
      </w:r>
      <w:r w:rsidR="00DC107C" w:rsidRPr="00C93347">
        <w:rPr>
          <w:rFonts w:ascii="Times New Roman" w:hAnsi="Times New Roman"/>
          <w:bCs/>
          <w:color w:val="FF0000"/>
        </w:rPr>
        <w:t xml:space="preserve">performance period rates, for measures that had a </w:t>
      </w:r>
      <w:r w:rsidR="007B73D9" w:rsidRPr="00C93347">
        <w:rPr>
          <w:rFonts w:ascii="Times New Roman" w:hAnsi="Times New Roman"/>
          <w:bCs/>
          <w:color w:val="FF0000"/>
        </w:rPr>
        <w:t>literature-</w:t>
      </w:r>
      <w:r w:rsidR="00CF19E4" w:rsidRPr="00C93347">
        <w:rPr>
          <w:rFonts w:ascii="Times New Roman" w:hAnsi="Times New Roman"/>
          <w:bCs/>
          <w:color w:val="FF0000"/>
        </w:rPr>
        <w:t xml:space="preserve">based </w:t>
      </w:r>
      <w:r w:rsidR="007B73D9" w:rsidRPr="00C93347">
        <w:rPr>
          <w:rFonts w:ascii="Times New Roman" w:hAnsi="Times New Roman"/>
          <w:bCs/>
          <w:color w:val="FF0000"/>
        </w:rPr>
        <w:t xml:space="preserve">or hypothesized conceptual relationship to the MSPB Hospital measure. </w:t>
      </w:r>
      <w:r w:rsidR="00CF19E4" w:rsidRPr="00C93347">
        <w:rPr>
          <w:rFonts w:ascii="Times New Roman" w:hAnsi="Times New Roman"/>
          <w:bCs/>
          <w:color w:val="FF0000"/>
        </w:rPr>
        <w:t>W</w:t>
      </w:r>
      <w:r w:rsidRPr="00C93347">
        <w:rPr>
          <w:rFonts w:ascii="Times New Roman" w:hAnsi="Times New Roman"/>
          <w:bCs/>
          <w:color w:val="FF0000"/>
        </w:rPr>
        <w:t xml:space="preserve">e </w:t>
      </w:r>
      <w:r w:rsidR="00041B68" w:rsidRPr="00C93347">
        <w:rPr>
          <w:rFonts w:ascii="Times New Roman" w:hAnsi="Times New Roman"/>
          <w:bCs/>
          <w:color w:val="FF0000"/>
        </w:rPr>
        <w:t xml:space="preserve">would </w:t>
      </w:r>
      <w:r w:rsidRPr="00C93347">
        <w:rPr>
          <w:rFonts w:ascii="Times New Roman" w:hAnsi="Times New Roman"/>
          <w:bCs/>
          <w:color w:val="FF0000"/>
        </w:rPr>
        <w:t>expect</w:t>
      </w:r>
      <w:r w:rsidR="00041B68" w:rsidRPr="00C93347">
        <w:rPr>
          <w:rFonts w:ascii="Times New Roman" w:hAnsi="Times New Roman"/>
          <w:bCs/>
          <w:color w:val="FF0000"/>
        </w:rPr>
        <w:t xml:space="preserve"> the</w:t>
      </w:r>
      <w:r w:rsidRPr="00C93347">
        <w:rPr>
          <w:rFonts w:ascii="Times New Roman" w:hAnsi="Times New Roman"/>
          <w:bCs/>
          <w:color w:val="FF0000"/>
        </w:rPr>
        <w:t xml:space="preserve"> hospitals’ average </w:t>
      </w:r>
      <w:r w:rsidR="001B5AB9" w:rsidRPr="00C93347">
        <w:rPr>
          <w:rFonts w:ascii="Times New Roman" w:hAnsi="Times New Roman"/>
          <w:bCs/>
          <w:color w:val="FF0000"/>
        </w:rPr>
        <w:t xml:space="preserve">expected </w:t>
      </w:r>
      <w:r w:rsidRPr="00C93347">
        <w:rPr>
          <w:rFonts w:ascii="Times New Roman" w:hAnsi="Times New Roman"/>
          <w:bCs/>
          <w:color w:val="FF0000"/>
        </w:rPr>
        <w:t>episode cost to be positively correlated with another cost-specific measure if th</w:t>
      </w:r>
      <w:r w:rsidR="00041B68" w:rsidRPr="00C93347">
        <w:rPr>
          <w:rFonts w:ascii="Times New Roman" w:hAnsi="Times New Roman"/>
          <w:bCs/>
          <w:color w:val="FF0000"/>
        </w:rPr>
        <w:t xml:space="preserve">e other </w:t>
      </w:r>
      <w:r w:rsidRPr="00C93347">
        <w:rPr>
          <w:rFonts w:ascii="Times New Roman" w:hAnsi="Times New Roman"/>
          <w:bCs/>
          <w:color w:val="FF0000"/>
        </w:rPr>
        <w:t xml:space="preserve">measure’s population is significant in terms of size or average costliness. </w:t>
      </w:r>
      <w:r w:rsidR="00CF19E4" w:rsidRPr="00C93347">
        <w:rPr>
          <w:rFonts w:ascii="Times New Roman" w:hAnsi="Times New Roman"/>
          <w:bCs/>
          <w:color w:val="FF0000"/>
        </w:rPr>
        <w:t>Based on these characteristics, we examine</w:t>
      </w:r>
      <w:r w:rsidR="001B5AB9" w:rsidRPr="00C93347">
        <w:rPr>
          <w:rFonts w:ascii="Times New Roman" w:hAnsi="Times New Roman"/>
          <w:bCs/>
          <w:color w:val="FF0000"/>
        </w:rPr>
        <w:t>d</w:t>
      </w:r>
      <w:r w:rsidR="00CF19E4" w:rsidRPr="00C93347">
        <w:rPr>
          <w:rFonts w:ascii="Times New Roman" w:hAnsi="Times New Roman"/>
          <w:bCs/>
          <w:color w:val="FF0000"/>
        </w:rPr>
        <w:t xml:space="preserve"> the relationship between the MSPB Hospital measure’s </w:t>
      </w:r>
      <w:r w:rsidR="001B5AB9" w:rsidRPr="00C93347">
        <w:rPr>
          <w:rFonts w:ascii="Times New Roman" w:hAnsi="Times New Roman"/>
          <w:bCs/>
          <w:color w:val="FF0000"/>
        </w:rPr>
        <w:t xml:space="preserve">average expected episode cost </w:t>
      </w:r>
      <w:r w:rsidR="00CF19E4" w:rsidRPr="00C93347">
        <w:rPr>
          <w:rFonts w:ascii="Times New Roman" w:hAnsi="Times New Roman"/>
          <w:bCs/>
          <w:color w:val="FF0000"/>
        </w:rPr>
        <w:t>and condition-specific Medicare cost measures that are also defined by inpatient hospitalization. W</w:t>
      </w:r>
      <w:r w:rsidRPr="00C93347">
        <w:rPr>
          <w:rFonts w:ascii="Times New Roman" w:hAnsi="Times New Roman"/>
          <w:bCs/>
          <w:color w:val="FF0000"/>
        </w:rPr>
        <w:t>e</w:t>
      </w:r>
      <w:r w:rsidR="00041B68" w:rsidRPr="00C93347">
        <w:rPr>
          <w:rFonts w:ascii="Times New Roman" w:hAnsi="Times New Roman"/>
          <w:bCs/>
          <w:color w:val="FF0000"/>
        </w:rPr>
        <w:t xml:space="preserve"> would</w:t>
      </w:r>
      <w:r w:rsidRPr="00C93347">
        <w:rPr>
          <w:rFonts w:ascii="Times New Roman" w:hAnsi="Times New Roman"/>
          <w:bCs/>
          <w:color w:val="FF0000"/>
        </w:rPr>
        <w:t xml:space="preserve"> </w:t>
      </w:r>
      <w:r w:rsidR="00B6754B" w:rsidRPr="00C93347">
        <w:rPr>
          <w:rFonts w:ascii="Times New Roman" w:hAnsi="Times New Roman"/>
          <w:bCs/>
          <w:color w:val="FF0000"/>
        </w:rPr>
        <w:t>also expect</w:t>
      </w:r>
      <w:r w:rsidRPr="00C93347">
        <w:rPr>
          <w:rFonts w:ascii="Times New Roman" w:hAnsi="Times New Roman"/>
          <w:bCs/>
          <w:color w:val="FF0000"/>
        </w:rPr>
        <w:t xml:space="preserve"> hospitals’ average </w:t>
      </w:r>
      <w:r w:rsidR="001B5AB9" w:rsidRPr="00C93347">
        <w:rPr>
          <w:rFonts w:ascii="Times New Roman" w:hAnsi="Times New Roman"/>
          <w:bCs/>
          <w:color w:val="FF0000"/>
        </w:rPr>
        <w:t xml:space="preserve">expected </w:t>
      </w:r>
      <w:r w:rsidRPr="00C93347">
        <w:rPr>
          <w:rFonts w:ascii="Times New Roman" w:hAnsi="Times New Roman"/>
          <w:bCs/>
          <w:color w:val="FF0000"/>
        </w:rPr>
        <w:t xml:space="preserve">episode cost </w:t>
      </w:r>
      <w:r w:rsidR="00B6754B" w:rsidRPr="00C93347">
        <w:rPr>
          <w:rFonts w:ascii="Times New Roman" w:hAnsi="Times New Roman"/>
          <w:bCs/>
          <w:color w:val="FF0000"/>
        </w:rPr>
        <w:t xml:space="preserve">to be positively correlated with </w:t>
      </w:r>
      <w:r w:rsidRPr="00C93347">
        <w:rPr>
          <w:rFonts w:ascii="Times New Roman" w:hAnsi="Times New Roman"/>
          <w:bCs/>
          <w:color w:val="FF0000"/>
        </w:rPr>
        <w:t xml:space="preserve">non-cost </w:t>
      </w:r>
      <w:r w:rsidR="00B6754B" w:rsidRPr="00C93347">
        <w:rPr>
          <w:rFonts w:ascii="Times New Roman" w:hAnsi="Times New Roman"/>
          <w:bCs/>
          <w:color w:val="FF0000"/>
        </w:rPr>
        <w:t xml:space="preserve">hospital </w:t>
      </w:r>
      <w:r w:rsidRPr="00C93347">
        <w:rPr>
          <w:rFonts w:ascii="Times New Roman" w:hAnsi="Times New Roman"/>
          <w:bCs/>
          <w:color w:val="FF0000"/>
        </w:rPr>
        <w:t>measures</w:t>
      </w:r>
      <w:r w:rsidR="00B6754B" w:rsidRPr="00C93347">
        <w:rPr>
          <w:rFonts w:ascii="Times New Roman" w:hAnsi="Times New Roman"/>
          <w:bCs/>
          <w:color w:val="FF0000"/>
        </w:rPr>
        <w:t xml:space="preserve"> </w:t>
      </w:r>
      <w:r w:rsidRPr="00C93347">
        <w:rPr>
          <w:rFonts w:ascii="Times New Roman" w:hAnsi="Times New Roman"/>
          <w:bCs/>
          <w:color w:val="FF0000"/>
        </w:rPr>
        <w:t>that might speak to broader hospital efficienc</w:t>
      </w:r>
      <w:r w:rsidR="00B6754B" w:rsidRPr="00C93347">
        <w:rPr>
          <w:rFonts w:ascii="Times New Roman" w:hAnsi="Times New Roman"/>
          <w:bCs/>
          <w:color w:val="FF0000"/>
        </w:rPr>
        <w:t xml:space="preserve">y. </w:t>
      </w:r>
      <w:r w:rsidR="00CF19E4" w:rsidRPr="00C93347">
        <w:rPr>
          <w:rFonts w:ascii="Times New Roman" w:hAnsi="Times New Roman"/>
          <w:bCs/>
          <w:color w:val="FF0000"/>
        </w:rPr>
        <w:t>To test this expectation, we examine</w:t>
      </w:r>
      <w:r w:rsidR="00041B68" w:rsidRPr="00C93347">
        <w:rPr>
          <w:rFonts w:ascii="Times New Roman" w:hAnsi="Times New Roman"/>
          <w:bCs/>
          <w:color w:val="FF0000"/>
        </w:rPr>
        <w:t>d</w:t>
      </w:r>
      <w:r w:rsidR="00CF19E4" w:rsidRPr="00C93347">
        <w:rPr>
          <w:rFonts w:ascii="Times New Roman" w:hAnsi="Times New Roman"/>
          <w:bCs/>
          <w:color w:val="FF0000"/>
        </w:rPr>
        <w:t xml:space="preserve"> the relationship between</w:t>
      </w:r>
      <w:r w:rsidR="001B5AB9" w:rsidRPr="00C93347">
        <w:rPr>
          <w:rFonts w:ascii="Times New Roman" w:hAnsi="Times New Roman"/>
          <w:bCs/>
          <w:color w:val="FF0000"/>
        </w:rPr>
        <w:t xml:space="preserve"> </w:t>
      </w:r>
      <w:r w:rsidR="00041B68" w:rsidRPr="00C93347">
        <w:rPr>
          <w:rFonts w:ascii="Times New Roman" w:hAnsi="Times New Roman"/>
          <w:bCs/>
          <w:color w:val="FF0000"/>
        </w:rPr>
        <w:t xml:space="preserve">a hospital’s averaged expected episode cost and </w:t>
      </w:r>
      <w:r w:rsidR="001B5AB9" w:rsidRPr="00C93347">
        <w:rPr>
          <w:rFonts w:ascii="Times New Roman" w:hAnsi="Times New Roman"/>
          <w:bCs/>
          <w:color w:val="FF0000"/>
        </w:rPr>
        <w:t xml:space="preserve">emergency department wait times that patients’ face. </w:t>
      </w:r>
      <w:r w:rsidR="00B6754B" w:rsidRPr="00C93347">
        <w:rPr>
          <w:rFonts w:ascii="Times New Roman" w:hAnsi="Times New Roman"/>
          <w:bCs/>
          <w:color w:val="FF0000"/>
        </w:rPr>
        <w:t xml:space="preserve">Third, we </w:t>
      </w:r>
      <w:r w:rsidR="00041B68" w:rsidRPr="00C93347">
        <w:rPr>
          <w:rFonts w:ascii="Times New Roman" w:hAnsi="Times New Roman"/>
          <w:bCs/>
          <w:color w:val="FF0000"/>
        </w:rPr>
        <w:t xml:space="preserve">would </w:t>
      </w:r>
      <w:r w:rsidR="00B6754B" w:rsidRPr="00C93347">
        <w:rPr>
          <w:rFonts w:ascii="Times New Roman" w:hAnsi="Times New Roman"/>
          <w:bCs/>
          <w:color w:val="FF0000"/>
        </w:rPr>
        <w:t xml:space="preserve">expect </w:t>
      </w:r>
      <w:r w:rsidR="001B5AB9" w:rsidRPr="00C93347">
        <w:rPr>
          <w:rFonts w:ascii="Times New Roman" w:hAnsi="Times New Roman"/>
          <w:bCs/>
          <w:color w:val="FF0000"/>
        </w:rPr>
        <w:t xml:space="preserve">measures in other </w:t>
      </w:r>
      <w:r w:rsidR="00B6754B" w:rsidRPr="00C93347">
        <w:rPr>
          <w:rFonts w:ascii="Times New Roman" w:hAnsi="Times New Roman"/>
          <w:bCs/>
          <w:color w:val="FF0000"/>
        </w:rPr>
        <w:t xml:space="preserve">HVBP domains to relate to the MSPB Hospital </w:t>
      </w:r>
      <w:r w:rsidR="001B5AB9" w:rsidRPr="00C93347">
        <w:rPr>
          <w:rFonts w:ascii="Times New Roman" w:hAnsi="Times New Roman"/>
          <w:bCs/>
          <w:color w:val="FF0000"/>
        </w:rPr>
        <w:t xml:space="preserve">measure’s average expected episode cost </w:t>
      </w:r>
      <w:r w:rsidR="00B6754B" w:rsidRPr="00C93347">
        <w:rPr>
          <w:rFonts w:ascii="Times New Roman" w:hAnsi="Times New Roman"/>
          <w:bCs/>
          <w:color w:val="FF0000"/>
        </w:rPr>
        <w:t xml:space="preserve">positively in as much as </w:t>
      </w:r>
      <w:r w:rsidR="001B5AB9" w:rsidRPr="00C93347">
        <w:rPr>
          <w:rFonts w:ascii="Times New Roman" w:hAnsi="Times New Roman"/>
          <w:bCs/>
          <w:color w:val="FF0000"/>
        </w:rPr>
        <w:t xml:space="preserve">measures in these other </w:t>
      </w:r>
      <w:r w:rsidR="00B6754B" w:rsidRPr="00C93347">
        <w:rPr>
          <w:rFonts w:ascii="Times New Roman" w:hAnsi="Times New Roman"/>
          <w:bCs/>
          <w:color w:val="FF0000"/>
        </w:rPr>
        <w:t>domains imply inefficiency</w:t>
      </w:r>
      <w:r w:rsidR="001B5AB9" w:rsidRPr="00C93347">
        <w:rPr>
          <w:rFonts w:ascii="Times New Roman" w:hAnsi="Times New Roman"/>
          <w:bCs/>
          <w:color w:val="FF0000"/>
        </w:rPr>
        <w:t xml:space="preserve"> or an excess of resources provided</w:t>
      </w:r>
      <w:r w:rsidR="00B6754B" w:rsidRPr="00C93347">
        <w:rPr>
          <w:rFonts w:ascii="Times New Roman" w:hAnsi="Times New Roman"/>
          <w:bCs/>
          <w:color w:val="FF0000"/>
        </w:rPr>
        <w:t xml:space="preserve">. </w:t>
      </w:r>
    </w:p>
    <w:p w14:paraId="4D7523E0" w14:textId="21EE29A2" w:rsidR="00F0695E" w:rsidRDefault="00F0695E" w:rsidP="007B73D9">
      <w:pPr>
        <w:autoSpaceDE w:val="0"/>
        <w:autoSpaceDN w:val="0"/>
        <w:adjustRightInd w:val="0"/>
        <w:spacing w:after="0" w:line="240" w:lineRule="auto"/>
        <w:rPr>
          <w:rFonts w:ascii="Times New Roman" w:hAnsi="Times New Roman" w:cs="Times New Roman"/>
          <w:bCs/>
          <w:color w:val="FF0000"/>
        </w:rPr>
      </w:pPr>
    </w:p>
    <w:p w14:paraId="0853F83D" w14:textId="2F8F479C" w:rsidR="00F0695E" w:rsidRDefault="00F0695E" w:rsidP="006F3256">
      <w:pPr>
        <w:pStyle w:val="NoSpacing"/>
      </w:pPr>
      <w:r w:rsidRPr="006F3256">
        <w:rPr>
          <w:u w:val="single"/>
        </w:rPr>
        <w:t>Previous Response (2016):</w:t>
      </w:r>
      <w:r w:rsidRPr="00CD6B52">
        <w:t xml:space="preserve"> Acumen utilized three tests to evaluate the validity of the MSPB-Hospital measure: (1) correlation with another measure of Medicare spending, specifically CMS’ measure of risk-adjusted, standardized total Medicare spending at the Hospital Referral Regions (HRR) level, (2) correlation with service utilization rates, and (3) cost variation by time period.  The first two correlations seek to confirm the validity of the MSPB-Hospital measure by comparing it with other measures of resource use, while the third test seeks to confirm the measure’s validity by determining if cost variation by time period is consistent with expectations.</w:t>
      </w:r>
    </w:p>
    <w:p w14:paraId="26BAF6AD" w14:textId="77777777" w:rsidR="006F3256" w:rsidRPr="00CD6B52" w:rsidRDefault="006F3256" w:rsidP="006F3256">
      <w:pPr>
        <w:pStyle w:val="NoSpacing"/>
      </w:pPr>
    </w:p>
    <w:p w14:paraId="1866E2C0" w14:textId="5615A716" w:rsidR="00F0695E" w:rsidRDefault="00F0695E" w:rsidP="006F3256">
      <w:pPr>
        <w:pStyle w:val="NoSpacing"/>
      </w:pPr>
      <w:r w:rsidRPr="00CD6B52">
        <w:t xml:space="preserve">The first test examined the correlation between the MSPB-Hospital measure and the measure of risk-adjusted, aggregated annual per-capita spending for all Medicare beneficiaries produced by CMS at the </w:t>
      </w:r>
      <w:r w:rsidRPr="00CD6B52">
        <w:lastRenderedPageBreak/>
        <w:t>HRR level.</w:t>
      </w:r>
      <w:r w:rsidRPr="00CD6B52">
        <w:rPr>
          <w:rStyle w:val="FootnoteReference"/>
          <w:bCs/>
        </w:rPr>
        <w:footnoteReference w:id="15"/>
      </w:r>
      <w:r w:rsidRPr="00CD6B52">
        <w:t xml:space="preserve">  This measure included all Medicare beneficiaries that had no months of Medicare Advantage enrollment and had both Part A and Part B for the portion of the year that they were covered by Medicare.  Data on this measure of Medicare spending were available for 2007 – 2014, and Acumen performed correlation analyses for each of those years.  For each HRR, Acumen found the mean MSPB-Hospital measure and correlated with the risk-adjusted, standardized, per capita HRR-level measure of total Medicare spending.  This analysis sought to confirm the accuracy of the MSPB-Hospital measure by comparing its findings to a measure of Medicare spending.</w:t>
      </w:r>
    </w:p>
    <w:p w14:paraId="17B7D076" w14:textId="77777777" w:rsidR="006F3256" w:rsidRPr="00CD6B52" w:rsidRDefault="006F3256" w:rsidP="006F3256">
      <w:pPr>
        <w:pStyle w:val="NoSpacing"/>
      </w:pPr>
    </w:p>
    <w:p w14:paraId="3E15A822" w14:textId="01C4EDB4" w:rsidR="00F0695E" w:rsidRDefault="00F0695E" w:rsidP="006F3256">
      <w:pPr>
        <w:pStyle w:val="NoSpacing"/>
      </w:pPr>
      <w:r w:rsidRPr="00CD6B52">
        <w:t>The second test examined the correlation between the MSPB-Hospital measure and a measure of service utilization constructed by Acumen.  To construct the service utilization measure, Acumen constructed hospital-level averages of services billed during the MSPB-Hospital episode across various categories (professional Evaluation &amp; Management (E&amp;M), post-acute, etc.).  Acumen subsequently correlated these averages with the MSPB-Hospital measure.  This analysis sought to confirm the expectation that the MSPB-Hospital measure correlates with service utilization rates.</w:t>
      </w:r>
    </w:p>
    <w:p w14:paraId="7ADFB3A8" w14:textId="77777777" w:rsidR="006F3256" w:rsidRPr="00CD6B52" w:rsidRDefault="006F3256" w:rsidP="006F3256">
      <w:pPr>
        <w:pStyle w:val="NoSpacing"/>
      </w:pPr>
    </w:p>
    <w:p w14:paraId="5FDFE5A9" w14:textId="47A2C08A" w:rsidR="00F0695E" w:rsidRPr="00666D77" w:rsidRDefault="00F0695E" w:rsidP="006F3256">
      <w:pPr>
        <w:pStyle w:val="NoSpacing"/>
      </w:pPr>
      <w:r w:rsidRPr="00CD6B52">
        <w:t>The third test examined cost variation by time period.  To do so, we broke down the total variance in risk-adjusted cost by time period, namely the period 3 days prior to and during the index admission and the period post-discharge.  Because the risk adjustment model controls for MS-DRG, and because the MS-DRG of the index admission is the primary driver of costs from 3 days prior and during the index admission, the expected result of this analysis is that risk-adjusted episode cost should be strongly driven by post-discharge cost.</w:t>
      </w:r>
    </w:p>
    <w:p w14:paraId="70FAC756" w14:textId="77777777" w:rsidR="00666D77" w:rsidRPr="00CD6B52" w:rsidRDefault="00666D77" w:rsidP="006F3256">
      <w:pPr>
        <w:pStyle w:val="NoSpacing"/>
        <w:rPr>
          <w:b/>
          <w:iCs/>
          <w:u w:val="single"/>
        </w:rPr>
      </w:pPr>
    </w:p>
    <w:p w14:paraId="1097D44F" w14:textId="1F285872" w:rsidR="00F0695E" w:rsidRPr="00CD6B52" w:rsidRDefault="00F0695E" w:rsidP="006F3256">
      <w:pPr>
        <w:pStyle w:val="NoSpacing"/>
        <w:rPr>
          <w:iCs/>
        </w:rPr>
      </w:pPr>
      <w:r w:rsidRPr="006F3256">
        <w:rPr>
          <w:bCs/>
          <w:iCs/>
          <w:u w:val="single"/>
        </w:rPr>
        <w:t xml:space="preserve">Previous </w:t>
      </w:r>
      <w:r w:rsidR="00666D77" w:rsidRPr="006F3256">
        <w:rPr>
          <w:bCs/>
          <w:iCs/>
          <w:u w:val="single"/>
        </w:rPr>
        <w:t>R</w:t>
      </w:r>
      <w:r w:rsidRPr="006F3256">
        <w:rPr>
          <w:bCs/>
          <w:iCs/>
          <w:u w:val="single"/>
        </w:rPr>
        <w:t>esponse (2013)</w:t>
      </w:r>
      <w:r w:rsidR="00666D77" w:rsidRPr="006F3256">
        <w:rPr>
          <w:bCs/>
          <w:iCs/>
          <w:u w:val="single"/>
        </w:rPr>
        <w:t>:</w:t>
      </w:r>
      <w:r w:rsidR="00666D77">
        <w:rPr>
          <w:b/>
          <w:iCs/>
        </w:rPr>
        <w:t xml:space="preserve"> </w:t>
      </w:r>
      <w:r w:rsidRPr="00CD6B52">
        <w:rPr>
          <w:iCs/>
        </w:rPr>
        <w:t xml:space="preserve">The first validity test examines the correlation between hospitals’ MSPB scores and the percent of beneficiaries with multiple episodes.  This analysis examines whether high-cost hospitals may have below average (i.e., efficient) MSPB Measure values if the MSPB episode definition separates a single episode of care into two or more MSPB episodes.  Division of a single episode of care into multiple MSPB episodes occurs when a hospital admission takes place more than 30 days after the initial discharge.  </w:t>
      </w:r>
    </w:p>
    <w:p w14:paraId="1B95F95B" w14:textId="77777777" w:rsidR="00666D77" w:rsidRPr="00CD6B52" w:rsidRDefault="00666D77" w:rsidP="006F3256">
      <w:pPr>
        <w:pStyle w:val="NoSpacing"/>
        <w:rPr>
          <w:iCs/>
        </w:rPr>
      </w:pPr>
    </w:p>
    <w:p w14:paraId="2BB88F00" w14:textId="5FBE1E1C" w:rsidR="00F0695E" w:rsidRPr="00CD6B52" w:rsidRDefault="00F0695E" w:rsidP="006F3256">
      <w:pPr>
        <w:pStyle w:val="NoSpacing"/>
        <w:rPr>
          <w:iCs/>
        </w:rPr>
      </w:pPr>
      <w:r w:rsidRPr="00CD6B52">
        <w:rPr>
          <w:iCs/>
        </w:rPr>
        <w:t>The second test of the validity of the MSPB Measure compares the MSPB Measure against other related outcome measures.  Specifically, we will examine whether hospitals with low MSPB scores (i.e., efficient hospitals) are also less likely to have various types of hospital readmissions.</w:t>
      </w:r>
    </w:p>
    <w:p w14:paraId="48BFFCD9" w14:textId="77777777" w:rsidR="00F0695E" w:rsidRPr="00CD6B52" w:rsidRDefault="00F0695E" w:rsidP="007B73D9">
      <w:pPr>
        <w:autoSpaceDE w:val="0"/>
        <w:autoSpaceDN w:val="0"/>
        <w:adjustRightInd w:val="0"/>
        <w:spacing w:after="0" w:line="240" w:lineRule="auto"/>
        <w:rPr>
          <w:rFonts w:ascii="Times New Roman" w:hAnsi="Times New Roman" w:cs="Times New Roman"/>
          <w:bCs/>
          <w:color w:val="FF0000"/>
        </w:rPr>
      </w:pPr>
    </w:p>
    <w:p w14:paraId="054D4EFF" w14:textId="4B21F019" w:rsidR="00794FD6" w:rsidRDefault="00BD5261" w:rsidP="00356CEB">
      <w:pPr>
        <w:tabs>
          <w:tab w:val="left" w:pos="8280"/>
        </w:tabs>
        <w:autoSpaceDE w:val="0"/>
        <w:autoSpaceDN w:val="0"/>
        <w:adjustRightInd w:val="0"/>
        <w:spacing w:after="0" w:line="240" w:lineRule="auto"/>
        <w:rPr>
          <w:rFonts w:cstheme="minorHAnsi"/>
          <w:bCs/>
          <w:color w:val="0070C0"/>
        </w:rPr>
      </w:pPr>
      <w:r>
        <w:rPr>
          <w:rFonts w:cstheme="minorHAnsi"/>
          <w:bCs/>
          <w:color w:val="0070C0"/>
        </w:rPr>
        <w:tab/>
      </w:r>
    </w:p>
    <w:p w14:paraId="6B9D3C29" w14:textId="77777777" w:rsidR="00047193"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1E3826EA" w14:textId="77777777" w:rsidR="00EC7291" w:rsidRDefault="00EC7291" w:rsidP="00637DC6">
      <w:pPr>
        <w:autoSpaceDE w:val="0"/>
        <w:autoSpaceDN w:val="0"/>
        <w:adjustRightInd w:val="0"/>
        <w:spacing w:after="0" w:line="240" w:lineRule="auto"/>
        <w:rPr>
          <w:rFonts w:ascii="Times New Roman" w:hAnsi="Times New Roman" w:cs="Times New Roman"/>
          <w:b/>
          <w:bCs/>
          <w:color w:val="0070C0"/>
          <w:u w:val="single"/>
        </w:rPr>
      </w:pPr>
    </w:p>
    <w:p w14:paraId="3E9860A8" w14:textId="12C15720" w:rsidR="00EC7291" w:rsidRPr="00C93347" w:rsidRDefault="00EC7291" w:rsidP="006F3256">
      <w:pPr>
        <w:pStyle w:val="NoSpacing"/>
        <w:rPr>
          <w:rFonts w:ascii="Times New Roman" w:hAnsi="Times New Roman"/>
          <w:color w:val="FF0000"/>
          <w:u w:val="single"/>
        </w:rPr>
      </w:pPr>
      <w:r w:rsidRPr="00C93347">
        <w:rPr>
          <w:rFonts w:ascii="Times New Roman" w:hAnsi="Times New Roman"/>
          <w:color w:val="FF0000"/>
          <w:u w:val="single"/>
        </w:rPr>
        <w:t xml:space="preserve">Empirical Validity </w:t>
      </w:r>
    </w:p>
    <w:p w14:paraId="24ED8AA0" w14:textId="6645CA79" w:rsidR="00D22929" w:rsidRDefault="00644AC6" w:rsidP="006F3256">
      <w:pPr>
        <w:pStyle w:val="NoSpacing"/>
        <w:rPr>
          <w:rFonts w:ascii="Times New Roman" w:hAnsi="Times New Roman"/>
          <w:color w:val="FF0000"/>
        </w:rPr>
      </w:pPr>
      <w:r w:rsidRPr="00C93347">
        <w:rPr>
          <w:rFonts w:ascii="Times New Roman" w:hAnsi="Times New Roman"/>
          <w:color w:val="FF0000"/>
        </w:rPr>
        <w:t xml:space="preserve">Observed to Expected Cost Ratios. </w:t>
      </w:r>
      <w:r w:rsidR="00D22929" w:rsidRPr="00C93347">
        <w:rPr>
          <w:rFonts w:ascii="Times New Roman" w:hAnsi="Times New Roman"/>
          <w:color w:val="FF0000"/>
        </w:rPr>
        <w:t xml:space="preserve">The mean, standard deviation, and percentile distribution of observed to </w:t>
      </w:r>
      <w:proofErr w:type="gramStart"/>
      <w:r w:rsidR="00D22929" w:rsidRPr="00C93347">
        <w:rPr>
          <w:rFonts w:ascii="Times New Roman" w:hAnsi="Times New Roman"/>
          <w:color w:val="FF0000"/>
        </w:rPr>
        <w:t>expected</w:t>
      </w:r>
      <w:proofErr w:type="gramEnd"/>
      <w:r w:rsidR="00D22929" w:rsidRPr="00C93347">
        <w:rPr>
          <w:rFonts w:ascii="Times New Roman" w:hAnsi="Times New Roman"/>
          <w:color w:val="FF0000"/>
        </w:rPr>
        <w:t xml:space="preserve"> episode cost ratios for episodes with high-cost </w:t>
      </w:r>
      <w:r w:rsidR="0082307D" w:rsidRPr="00C93347">
        <w:rPr>
          <w:rFonts w:ascii="Times New Roman" w:hAnsi="Times New Roman"/>
          <w:color w:val="FF0000"/>
        </w:rPr>
        <w:t xml:space="preserve">post-admission </w:t>
      </w:r>
      <w:r w:rsidR="00D22929" w:rsidRPr="00C93347">
        <w:rPr>
          <w:rFonts w:ascii="Times New Roman" w:hAnsi="Times New Roman"/>
          <w:color w:val="FF0000"/>
        </w:rPr>
        <w:t>events were higher than their counter parts (Table 3, Appendix Table 2b1.3a). For example, episodes with an acute care rehospitalization an average O/E ratio of 1.55 and an interquartile range of 1.07 to 1.85, while episodes without such readmissions had an average O/E ratio of 0.89 and an interquartile range of 0.60 to 1.02.</w:t>
      </w:r>
    </w:p>
    <w:p w14:paraId="1E7562BE" w14:textId="77777777" w:rsidR="00C93347" w:rsidRPr="00C93347" w:rsidRDefault="00C93347" w:rsidP="006F3256">
      <w:pPr>
        <w:pStyle w:val="NoSpacing"/>
        <w:rPr>
          <w:rFonts w:ascii="Times New Roman" w:hAnsi="Times New Roman"/>
          <w:color w:val="FF0000"/>
        </w:rPr>
      </w:pPr>
    </w:p>
    <w:p w14:paraId="77272CE6" w14:textId="77777777" w:rsidR="006755C9" w:rsidRDefault="006755C9" w:rsidP="00C93347">
      <w:pPr>
        <w:pStyle w:val="NoSpacing"/>
        <w:jc w:val="center"/>
        <w:rPr>
          <w:rFonts w:ascii="Times New Roman" w:hAnsi="Times New Roman"/>
          <w:b/>
          <w:iCs/>
          <w:color w:val="FF0000"/>
        </w:rPr>
      </w:pPr>
    </w:p>
    <w:p w14:paraId="53EDEF9F" w14:textId="77777777" w:rsidR="006755C9" w:rsidRDefault="006755C9" w:rsidP="00C93347">
      <w:pPr>
        <w:pStyle w:val="NoSpacing"/>
        <w:jc w:val="center"/>
        <w:rPr>
          <w:rFonts w:ascii="Times New Roman" w:hAnsi="Times New Roman"/>
          <w:b/>
          <w:iCs/>
          <w:color w:val="FF0000"/>
        </w:rPr>
      </w:pPr>
    </w:p>
    <w:p w14:paraId="342B1323" w14:textId="34F27136" w:rsidR="008716FA" w:rsidRPr="00C93347" w:rsidRDefault="008716FA" w:rsidP="00C93347">
      <w:pPr>
        <w:pStyle w:val="NoSpacing"/>
        <w:jc w:val="center"/>
        <w:rPr>
          <w:rFonts w:ascii="Times New Roman" w:hAnsi="Times New Roman"/>
          <w:b/>
          <w:iCs/>
          <w:color w:val="FF0000"/>
        </w:rPr>
      </w:pPr>
      <w:r w:rsidRPr="00C93347">
        <w:rPr>
          <w:rFonts w:ascii="Times New Roman" w:hAnsi="Times New Roman"/>
          <w:b/>
          <w:iCs/>
          <w:color w:val="FF0000"/>
        </w:rPr>
        <w:lastRenderedPageBreak/>
        <w:t>Table 3. Distribution of Observed to Expected Ratios</w:t>
      </w:r>
    </w:p>
    <w:p w14:paraId="4B961AD4" w14:textId="77777777" w:rsidR="00C93347" w:rsidRPr="00C93347" w:rsidRDefault="00C93347" w:rsidP="00C93347">
      <w:pPr>
        <w:pStyle w:val="NoSpacing"/>
        <w:jc w:val="center"/>
        <w:rPr>
          <w:rFonts w:ascii="Times New Roman" w:hAnsi="Times New Roman"/>
          <w:b/>
          <w:iCs/>
          <w:color w:val="FF0000"/>
        </w:rPr>
      </w:pPr>
    </w:p>
    <w:tbl>
      <w:tblPr>
        <w:tblStyle w:val="AcuSPHERE1"/>
        <w:tblW w:w="9365" w:type="dxa"/>
        <w:jc w:val="center"/>
        <w:tblLayout w:type="fixed"/>
        <w:tblLook w:val="04A0" w:firstRow="1" w:lastRow="0" w:firstColumn="1" w:lastColumn="0" w:noHBand="0" w:noVBand="1"/>
      </w:tblPr>
      <w:tblGrid>
        <w:gridCol w:w="2695"/>
        <w:gridCol w:w="855"/>
        <w:gridCol w:w="855"/>
        <w:gridCol w:w="992"/>
        <w:gridCol w:w="992"/>
        <w:gridCol w:w="992"/>
        <w:gridCol w:w="992"/>
        <w:gridCol w:w="992"/>
      </w:tblGrid>
      <w:tr w:rsidR="008716FA" w:rsidRPr="00C93347" w14:paraId="033F3597" w14:textId="77777777" w:rsidTr="008716FA">
        <w:trPr>
          <w:trHeight w:val="283"/>
          <w:jc w:val="center"/>
        </w:trPr>
        <w:tc>
          <w:tcPr>
            <w:tcW w:w="2695" w:type="dxa"/>
            <w:vMerge w:val="restart"/>
            <w:shd w:val="clear" w:color="auto" w:fill="17365D" w:themeFill="text2" w:themeFillShade="BF"/>
            <w:vAlign w:val="center"/>
          </w:tcPr>
          <w:p w14:paraId="7389FF67" w14:textId="77777777" w:rsidR="008716FA" w:rsidRPr="00C93347" w:rsidRDefault="008716FA" w:rsidP="006F3256">
            <w:pPr>
              <w:pStyle w:val="NoSpacing"/>
              <w:rPr>
                <w:rFonts w:ascii="Times New Roman" w:hAnsi="Times New Roman"/>
                <w:iCs/>
                <w:color w:val="FFFFFF" w:themeColor="background1"/>
                <w:sz w:val="20"/>
                <w:szCs w:val="20"/>
              </w:rPr>
            </w:pPr>
            <w:r w:rsidRPr="00C93347">
              <w:rPr>
                <w:rFonts w:ascii="Times New Roman" w:hAnsi="Times New Roman"/>
                <w:color w:val="FFFFFF" w:themeColor="background1"/>
                <w:sz w:val="20"/>
                <w:szCs w:val="20"/>
              </w:rPr>
              <w:t>Cost Driver Category</w:t>
            </w:r>
          </w:p>
        </w:tc>
        <w:tc>
          <w:tcPr>
            <w:tcW w:w="6670" w:type="dxa"/>
            <w:gridSpan w:val="7"/>
            <w:shd w:val="clear" w:color="auto" w:fill="17365D" w:themeFill="text2" w:themeFillShade="BF"/>
            <w:vAlign w:val="center"/>
          </w:tcPr>
          <w:p w14:paraId="1017FC85" w14:textId="77777777" w:rsidR="008716FA" w:rsidRPr="00C93347" w:rsidRDefault="008716FA" w:rsidP="006F3256">
            <w:pPr>
              <w:pStyle w:val="NoSpacing"/>
              <w:rPr>
                <w:rFonts w:ascii="Times New Roman" w:hAnsi="Times New Roman"/>
                <w:iCs/>
                <w:color w:val="FFFFFF" w:themeColor="background1"/>
                <w:sz w:val="20"/>
                <w:szCs w:val="20"/>
              </w:rPr>
            </w:pPr>
            <w:r w:rsidRPr="00C93347">
              <w:rPr>
                <w:rFonts w:ascii="Times New Roman" w:hAnsi="Times New Roman"/>
                <w:color w:val="FFFFFF" w:themeColor="background1"/>
                <w:sz w:val="20"/>
                <w:szCs w:val="20"/>
              </w:rPr>
              <w:t>Observed to Expected Ratios</w:t>
            </w:r>
          </w:p>
        </w:tc>
      </w:tr>
      <w:tr w:rsidR="008716FA" w:rsidRPr="00C93347" w14:paraId="17737884" w14:textId="77777777" w:rsidTr="008716FA">
        <w:trPr>
          <w:trHeight w:val="283"/>
          <w:jc w:val="center"/>
        </w:trPr>
        <w:tc>
          <w:tcPr>
            <w:tcW w:w="2695" w:type="dxa"/>
            <w:vMerge/>
            <w:shd w:val="clear" w:color="auto" w:fill="17365D" w:themeFill="text2" w:themeFillShade="BF"/>
            <w:vAlign w:val="center"/>
          </w:tcPr>
          <w:p w14:paraId="2AF788F8" w14:textId="77777777" w:rsidR="008716FA" w:rsidRPr="00C93347" w:rsidRDefault="008716FA" w:rsidP="006F3256">
            <w:pPr>
              <w:pStyle w:val="NoSpacing"/>
              <w:rPr>
                <w:rFonts w:ascii="Times New Roman" w:hAnsi="Times New Roman"/>
                <w:iCs/>
                <w:color w:val="FFFFFF" w:themeColor="background1"/>
                <w:sz w:val="20"/>
                <w:szCs w:val="20"/>
              </w:rPr>
            </w:pPr>
          </w:p>
        </w:tc>
        <w:tc>
          <w:tcPr>
            <w:tcW w:w="855" w:type="dxa"/>
            <w:vMerge w:val="restart"/>
            <w:shd w:val="clear" w:color="auto" w:fill="365F91" w:themeFill="accent1" w:themeFillShade="BF"/>
            <w:vAlign w:val="center"/>
          </w:tcPr>
          <w:p w14:paraId="754E64E4" w14:textId="77777777" w:rsidR="008716FA" w:rsidRPr="00C93347" w:rsidRDefault="008716FA" w:rsidP="006F3256">
            <w:pPr>
              <w:pStyle w:val="NoSpacing"/>
              <w:rPr>
                <w:rFonts w:ascii="Times New Roman" w:hAnsi="Times New Roman"/>
                <w:iCs/>
                <w:color w:val="FFFFFF" w:themeColor="background1"/>
                <w:sz w:val="20"/>
                <w:szCs w:val="20"/>
              </w:rPr>
            </w:pPr>
            <w:r w:rsidRPr="00C93347">
              <w:rPr>
                <w:rFonts w:ascii="Times New Roman" w:hAnsi="Times New Roman"/>
                <w:iCs/>
                <w:color w:val="FFFFFF" w:themeColor="background1"/>
                <w:sz w:val="20"/>
                <w:szCs w:val="20"/>
              </w:rPr>
              <w:t>Mean</w:t>
            </w:r>
          </w:p>
        </w:tc>
        <w:tc>
          <w:tcPr>
            <w:tcW w:w="855" w:type="dxa"/>
            <w:vMerge w:val="restart"/>
            <w:shd w:val="clear" w:color="auto" w:fill="365F91" w:themeFill="accent1" w:themeFillShade="BF"/>
            <w:vAlign w:val="center"/>
          </w:tcPr>
          <w:p w14:paraId="5B8164A8" w14:textId="77777777" w:rsidR="008716FA" w:rsidRPr="00C93347" w:rsidRDefault="008716FA" w:rsidP="006F3256">
            <w:pPr>
              <w:pStyle w:val="NoSpacing"/>
              <w:rPr>
                <w:rFonts w:ascii="Times New Roman" w:hAnsi="Times New Roman"/>
                <w:iCs/>
                <w:color w:val="FFFFFF" w:themeColor="background1"/>
                <w:sz w:val="20"/>
                <w:szCs w:val="20"/>
              </w:rPr>
            </w:pPr>
            <w:r w:rsidRPr="00C93347">
              <w:rPr>
                <w:rFonts w:ascii="Times New Roman" w:hAnsi="Times New Roman"/>
                <w:iCs/>
                <w:color w:val="FFFFFF" w:themeColor="background1"/>
                <w:sz w:val="20"/>
                <w:szCs w:val="20"/>
              </w:rPr>
              <w:t>Std. Dev.</w:t>
            </w:r>
          </w:p>
        </w:tc>
        <w:tc>
          <w:tcPr>
            <w:tcW w:w="4960" w:type="dxa"/>
            <w:gridSpan w:val="5"/>
            <w:shd w:val="clear" w:color="auto" w:fill="365F91" w:themeFill="accent1" w:themeFillShade="BF"/>
            <w:vAlign w:val="center"/>
          </w:tcPr>
          <w:p w14:paraId="0DFF552E" w14:textId="77777777" w:rsidR="008716FA" w:rsidRPr="00C93347" w:rsidRDefault="008716FA" w:rsidP="00A468AE">
            <w:pPr>
              <w:pStyle w:val="NoSpacing"/>
              <w:jc w:val="center"/>
              <w:rPr>
                <w:rFonts w:ascii="Times New Roman" w:hAnsi="Times New Roman"/>
                <w:iCs/>
                <w:color w:val="FFFFFF" w:themeColor="background1"/>
                <w:sz w:val="20"/>
                <w:szCs w:val="20"/>
              </w:rPr>
            </w:pPr>
            <w:r w:rsidRPr="00C93347">
              <w:rPr>
                <w:rFonts w:ascii="Times New Roman" w:hAnsi="Times New Roman"/>
                <w:iCs/>
                <w:color w:val="FFFFFF" w:themeColor="background1"/>
                <w:sz w:val="20"/>
                <w:szCs w:val="20"/>
              </w:rPr>
              <w:t>Percentiles</w:t>
            </w:r>
          </w:p>
        </w:tc>
      </w:tr>
      <w:tr w:rsidR="008716FA" w:rsidRPr="00C93347" w14:paraId="003113BF" w14:textId="77777777" w:rsidTr="008716FA">
        <w:trPr>
          <w:trHeight w:val="467"/>
          <w:jc w:val="center"/>
        </w:trPr>
        <w:tc>
          <w:tcPr>
            <w:tcW w:w="2695" w:type="dxa"/>
            <w:vMerge/>
            <w:shd w:val="clear" w:color="auto" w:fill="17365D" w:themeFill="text2" w:themeFillShade="BF"/>
            <w:vAlign w:val="center"/>
          </w:tcPr>
          <w:p w14:paraId="43E31946" w14:textId="77777777" w:rsidR="008716FA" w:rsidRPr="00C93347" w:rsidRDefault="008716FA" w:rsidP="006F3256">
            <w:pPr>
              <w:pStyle w:val="NoSpacing"/>
              <w:rPr>
                <w:rFonts w:ascii="Times New Roman" w:hAnsi="Times New Roman"/>
                <w:iCs/>
                <w:color w:val="FFFFFF" w:themeColor="background1"/>
                <w:sz w:val="20"/>
                <w:szCs w:val="20"/>
              </w:rPr>
            </w:pPr>
          </w:p>
        </w:tc>
        <w:tc>
          <w:tcPr>
            <w:tcW w:w="855" w:type="dxa"/>
            <w:vMerge/>
            <w:shd w:val="clear" w:color="auto" w:fill="17365D" w:themeFill="text2" w:themeFillShade="BF"/>
            <w:vAlign w:val="center"/>
          </w:tcPr>
          <w:p w14:paraId="7A4D6A8B" w14:textId="77777777" w:rsidR="008716FA" w:rsidRPr="00C93347" w:rsidRDefault="008716FA" w:rsidP="006F3256">
            <w:pPr>
              <w:pStyle w:val="NoSpacing"/>
              <w:rPr>
                <w:rFonts w:ascii="Times New Roman" w:hAnsi="Times New Roman"/>
                <w:iCs/>
                <w:color w:val="FFFFFF" w:themeColor="background1"/>
                <w:sz w:val="20"/>
                <w:szCs w:val="20"/>
              </w:rPr>
            </w:pPr>
          </w:p>
        </w:tc>
        <w:tc>
          <w:tcPr>
            <w:tcW w:w="855" w:type="dxa"/>
            <w:vMerge/>
            <w:shd w:val="clear" w:color="auto" w:fill="17365D" w:themeFill="text2" w:themeFillShade="BF"/>
            <w:vAlign w:val="center"/>
          </w:tcPr>
          <w:p w14:paraId="06FD47B7" w14:textId="77777777" w:rsidR="008716FA" w:rsidRPr="00C93347" w:rsidRDefault="008716FA" w:rsidP="006F3256">
            <w:pPr>
              <w:pStyle w:val="NoSpacing"/>
              <w:rPr>
                <w:rFonts w:ascii="Times New Roman" w:hAnsi="Times New Roman"/>
                <w:iCs/>
                <w:color w:val="FFFFFF" w:themeColor="background1"/>
                <w:sz w:val="20"/>
                <w:szCs w:val="20"/>
              </w:rPr>
            </w:pPr>
          </w:p>
        </w:tc>
        <w:tc>
          <w:tcPr>
            <w:tcW w:w="992" w:type="dxa"/>
            <w:shd w:val="clear" w:color="auto" w:fill="C6D9F1" w:themeFill="text2" w:themeFillTint="33"/>
            <w:vAlign w:val="center"/>
          </w:tcPr>
          <w:p w14:paraId="3DB4FCA4" w14:textId="77777777" w:rsidR="008716FA" w:rsidRPr="00C93347" w:rsidRDefault="008716FA" w:rsidP="00A468AE">
            <w:pPr>
              <w:pStyle w:val="NoSpacing"/>
              <w:jc w:val="center"/>
              <w:rPr>
                <w:rFonts w:ascii="Times New Roman" w:hAnsi="Times New Roman"/>
                <w:iCs/>
                <w:sz w:val="20"/>
                <w:szCs w:val="20"/>
              </w:rPr>
            </w:pPr>
            <w:r w:rsidRPr="00C93347">
              <w:rPr>
                <w:rFonts w:ascii="Times New Roman" w:hAnsi="Times New Roman"/>
                <w:iCs/>
                <w:sz w:val="20"/>
                <w:szCs w:val="20"/>
              </w:rPr>
              <w:t>10th</w:t>
            </w:r>
          </w:p>
        </w:tc>
        <w:tc>
          <w:tcPr>
            <w:tcW w:w="992" w:type="dxa"/>
            <w:shd w:val="clear" w:color="auto" w:fill="C6D9F1" w:themeFill="text2" w:themeFillTint="33"/>
            <w:vAlign w:val="center"/>
          </w:tcPr>
          <w:p w14:paraId="634CEC27" w14:textId="77777777" w:rsidR="008716FA" w:rsidRPr="00C93347" w:rsidRDefault="008716FA" w:rsidP="00A468AE">
            <w:pPr>
              <w:pStyle w:val="NoSpacing"/>
              <w:jc w:val="center"/>
              <w:rPr>
                <w:rFonts w:ascii="Times New Roman" w:hAnsi="Times New Roman"/>
                <w:iCs/>
                <w:sz w:val="20"/>
                <w:szCs w:val="20"/>
              </w:rPr>
            </w:pPr>
            <w:r w:rsidRPr="00C93347">
              <w:rPr>
                <w:rFonts w:ascii="Times New Roman" w:hAnsi="Times New Roman"/>
                <w:iCs/>
                <w:sz w:val="20"/>
                <w:szCs w:val="20"/>
              </w:rPr>
              <w:t>25th</w:t>
            </w:r>
          </w:p>
        </w:tc>
        <w:tc>
          <w:tcPr>
            <w:tcW w:w="992" w:type="dxa"/>
            <w:shd w:val="clear" w:color="auto" w:fill="C6D9F1" w:themeFill="text2" w:themeFillTint="33"/>
            <w:vAlign w:val="center"/>
          </w:tcPr>
          <w:p w14:paraId="190C8670" w14:textId="77777777" w:rsidR="008716FA" w:rsidRPr="00C93347" w:rsidRDefault="008716FA" w:rsidP="00A468AE">
            <w:pPr>
              <w:pStyle w:val="NoSpacing"/>
              <w:jc w:val="center"/>
              <w:rPr>
                <w:rFonts w:ascii="Times New Roman" w:hAnsi="Times New Roman"/>
                <w:iCs/>
                <w:sz w:val="20"/>
                <w:szCs w:val="20"/>
              </w:rPr>
            </w:pPr>
            <w:r w:rsidRPr="00C93347">
              <w:rPr>
                <w:rFonts w:ascii="Times New Roman" w:hAnsi="Times New Roman"/>
                <w:iCs/>
                <w:sz w:val="20"/>
                <w:szCs w:val="20"/>
              </w:rPr>
              <w:t>50th</w:t>
            </w:r>
          </w:p>
        </w:tc>
        <w:tc>
          <w:tcPr>
            <w:tcW w:w="992" w:type="dxa"/>
            <w:shd w:val="clear" w:color="auto" w:fill="C6D9F1" w:themeFill="text2" w:themeFillTint="33"/>
            <w:vAlign w:val="center"/>
          </w:tcPr>
          <w:p w14:paraId="108E2A3E" w14:textId="77777777" w:rsidR="008716FA" w:rsidRPr="00C93347" w:rsidRDefault="008716FA" w:rsidP="00A468AE">
            <w:pPr>
              <w:pStyle w:val="NoSpacing"/>
              <w:jc w:val="center"/>
              <w:rPr>
                <w:rFonts w:ascii="Times New Roman" w:hAnsi="Times New Roman"/>
                <w:iCs/>
                <w:sz w:val="20"/>
                <w:szCs w:val="20"/>
              </w:rPr>
            </w:pPr>
            <w:r w:rsidRPr="00C93347">
              <w:rPr>
                <w:rFonts w:ascii="Times New Roman" w:hAnsi="Times New Roman"/>
                <w:iCs/>
                <w:sz w:val="20"/>
                <w:szCs w:val="20"/>
              </w:rPr>
              <w:t>75th</w:t>
            </w:r>
          </w:p>
        </w:tc>
        <w:tc>
          <w:tcPr>
            <w:tcW w:w="992" w:type="dxa"/>
            <w:shd w:val="clear" w:color="auto" w:fill="C6D9F1" w:themeFill="text2" w:themeFillTint="33"/>
            <w:vAlign w:val="center"/>
          </w:tcPr>
          <w:p w14:paraId="38F73ECD" w14:textId="77777777" w:rsidR="008716FA" w:rsidRPr="00C93347" w:rsidRDefault="008716FA" w:rsidP="00A468AE">
            <w:pPr>
              <w:pStyle w:val="NoSpacing"/>
              <w:jc w:val="center"/>
              <w:rPr>
                <w:rFonts w:ascii="Times New Roman" w:hAnsi="Times New Roman"/>
                <w:iCs/>
                <w:sz w:val="20"/>
                <w:szCs w:val="20"/>
              </w:rPr>
            </w:pPr>
            <w:r w:rsidRPr="00C93347">
              <w:rPr>
                <w:rFonts w:ascii="Times New Roman" w:hAnsi="Times New Roman"/>
                <w:iCs/>
                <w:sz w:val="20"/>
                <w:szCs w:val="20"/>
              </w:rPr>
              <w:t>90th</w:t>
            </w:r>
          </w:p>
        </w:tc>
      </w:tr>
      <w:tr w:rsidR="008716FA" w:rsidRPr="00C93347" w14:paraId="48271865" w14:textId="77777777" w:rsidTr="008716FA">
        <w:trPr>
          <w:trHeight w:val="283"/>
          <w:jc w:val="center"/>
        </w:trPr>
        <w:tc>
          <w:tcPr>
            <w:tcW w:w="2695" w:type="dxa"/>
            <w:vAlign w:val="center"/>
          </w:tcPr>
          <w:p w14:paraId="75CF2E9F"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All Final Episodes</w:t>
            </w:r>
          </w:p>
        </w:tc>
        <w:tc>
          <w:tcPr>
            <w:tcW w:w="855" w:type="dxa"/>
            <w:vAlign w:val="center"/>
          </w:tcPr>
          <w:p w14:paraId="283C785C"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1.00</w:t>
            </w:r>
          </w:p>
        </w:tc>
        <w:tc>
          <w:tcPr>
            <w:tcW w:w="855" w:type="dxa"/>
            <w:vAlign w:val="center"/>
          </w:tcPr>
          <w:p w14:paraId="32E2272E"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0.56</w:t>
            </w:r>
          </w:p>
        </w:tc>
        <w:tc>
          <w:tcPr>
            <w:tcW w:w="992" w:type="dxa"/>
            <w:vAlign w:val="center"/>
          </w:tcPr>
          <w:p w14:paraId="2905EDAC"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0.51</w:t>
            </w:r>
          </w:p>
        </w:tc>
        <w:tc>
          <w:tcPr>
            <w:tcW w:w="992" w:type="dxa"/>
            <w:vAlign w:val="center"/>
          </w:tcPr>
          <w:p w14:paraId="637BB0C8"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0.63</w:t>
            </w:r>
          </w:p>
        </w:tc>
        <w:tc>
          <w:tcPr>
            <w:tcW w:w="992" w:type="dxa"/>
            <w:vAlign w:val="center"/>
          </w:tcPr>
          <w:p w14:paraId="1B39C592"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0.84</w:t>
            </w:r>
          </w:p>
        </w:tc>
        <w:tc>
          <w:tcPr>
            <w:tcW w:w="992" w:type="dxa"/>
            <w:vAlign w:val="center"/>
          </w:tcPr>
          <w:p w14:paraId="125D2E82"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1.20</w:t>
            </w:r>
          </w:p>
        </w:tc>
        <w:tc>
          <w:tcPr>
            <w:tcW w:w="992" w:type="dxa"/>
            <w:vAlign w:val="center"/>
          </w:tcPr>
          <w:p w14:paraId="1BCDFB1C"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1.72</w:t>
            </w:r>
          </w:p>
        </w:tc>
      </w:tr>
      <w:tr w:rsidR="008716FA" w:rsidRPr="00C93347" w14:paraId="7405E980" w14:textId="77777777" w:rsidTr="008716FA">
        <w:trPr>
          <w:trHeight w:val="274"/>
          <w:jc w:val="center"/>
        </w:trPr>
        <w:tc>
          <w:tcPr>
            <w:tcW w:w="2695" w:type="dxa"/>
            <w:vAlign w:val="center"/>
          </w:tcPr>
          <w:p w14:paraId="1EDFAF83"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Episodes with downstream acute (re)admission</w:t>
            </w:r>
          </w:p>
        </w:tc>
        <w:tc>
          <w:tcPr>
            <w:tcW w:w="855" w:type="dxa"/>
            <w:vAlign w:val="center"/>
          </w:tcPr>
          <w:p w14:paraId="065CFFBF"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1.55</w:t>
            </w:r>
          </w:p>
        </w:tc>
        <w:tc>
          <w:tcPr>
            <w:tcW w:w="855" w:type="dxa"/>
            <w:vAlign w:val="center"/>
          </w:tcPr>
          <w:p w14:paraId="38CBFCFB"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0.69</w:t>
            </w:r>
          </w:p>
        </w:tc>
        <w:tc>
          <w:tcPr>
            <w:tcW w:w="992" w:type="dxa"/>
            <w:vAlign w:val="center"/>
          </w:tcPr>
          <w:p w14:paraId="04B504AD"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0.88</w:t>
            </w:r>
          </w:p>
        </w:tc>
        <w:tc>
          <w:tcPr>
            <w:tcW w:w="992" w:type="dxa"/>
            <w:vAlign w:val="center"/>
          </w:tcPr>
          <w:p w14:paraId="2F810C02"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1.07</w:t>
            </w:r>
          </w:p>
        </w:tc>
        <w:tc>
          <w:tcPr>
            <w:tcW w:w="992" w:type="dxa"/>
            <w:vAlign w:val="center"/>
          </w:tcPr>
          <w:p w14:paraId="04B6742F"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1.38</w:t>
            </w:r>
          </w:p>
        </w:tc>
        <w:tc>
          <w:tcPr>
            <w:tcW w:w="992" w:type="dxa"/>
            <w:vAlign w:val="center"/>
          </w:tcPr>
          <w:p w14:paraId="6693DF2D"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1.85</w:t>
            </w:r>
          </w:p>
        </w:tc>
        <w:tc>
          <w:tcPr>
            <w:tcW w:w="992" w:type="dxa"/>
            <w:vAlign w:val="center"/>
          </w:tcPr>
          <w:p w14:paraId="51E5B2B7"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2.44</w:t>
            </w:r>
          </w:p>
        </w:tc>
      </w:tr>
      <w:tr w:rsidR="008716FA" w:rsidRPr="00C93347" w14:paraId="414A31BF" w14:textId="77777777" w:rsidTr="008716FA">
        <w:trPr>
          <w:trHeight w:val="283"/>
          <w:jc w:val="center"/>
        </w:trPr>
        <w:tc>
          <w:tcPr>
            <w:tcW w:w="2695" w:type="dxa"/>
            <w:vAlign w:val="center"/>
          </w:tcPr>
          <w:p w14:paraId="21DBB73B"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Episodes without downstream acute (re)admission</w:t>
            </w:r>
          </w:p>
        </w:tc>
        <w:tc>
          <w:tcPr>
            <w:tcW w:w="855" w:type="dxa"/>
            <w:vAlign w:val="center"/>
          </w:tcPr>
          <w:p w14:paraId="05112349"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0.89</w:t>
            </w:r>
          </w:p>
        </w:tc>
        <w:tc>
          <w:tcPr>
            <w:tcW w:w="855" w:type="dxa"/>
            <w:vAlign w:val="center"/>
          </w:tcPr>
          <w:p w14:paraId="7D835A9E"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0.45</w:t>
            </w:r>
          </w:p>
        </w:tc>
        <w:tc>
          <w:tcPr>
            <w:tcW w:w="992" w:type="dxa"/>
            <w:vAlign w:val="center"/>
          </w:tcPr>
          <w:p w14:paraId="33385AF5"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0.49</w:t>
            </w:r>
          </w:p>
        </w:tc>
        <w:tc>
          <w:tcPr>
            <w:tcW w:w="992" w:type="dxa"/>
            <w:vAlign w:val="center"/>
          </w:tcPr>
          <w:p w14:paraId="140630B7"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0.60</w:t>
            </w:r>
          </w:p>
        </w:tc>
        <w:tc>
          <w:tcPr>
            <w:tcW w:w="992" w:type="dxa"/>
            <w:vAlign w:val="center"/>
          </w:tcPr>
          <w:p w14:paraId="4C878970"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0.77</w:t>
            </w:r>
          </w:p>
        </w:tc>
        <w:tc>
          <w:tcPr>
            <w:tcW w:w="992" w:type="dxa"/>
            <w:vAlign w:val="center"/>
          </w:tcPr>
          <w:p w14:paraId="06B066EE"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1.02</w:t>
            </w:r>
          </w:p>
        </w:tc>
        <w:tc>
          <w:tcPr>
            <w:tcW w:w="992" w:type="dxa"/>
            <w:vAlign w:val="center"/>
          </w:tcPr>
          <w:p w14:paraId="386978C0"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1.46</w:t>
            </w:r>
          </w:p>
        </w:tc>
      </w:tr>
      <w:tr w:rsidR="008716FA" w:rsidRPr="00C93347" w14:paraId="6DC2ABB1" w14:textId="77777777" w:rsidTr="008716FA">
        <w:trPr>
          <w:trHeight w:val="274"/>
          <w:jc w:val="center"/>
        </w:trPr>
        <w:tc>
          <w:tcPr>
            <w:tcW w:w="2695" w:type="dxa"/>
            <w:vAlign w:val="center"/>
          </w:tcPr>
          <w:p w14:paraId="5663379D"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 xml:space="preserve">Episodes with Post-Acute Care (IRF, LTCH, HH, SN) </w:t>
            </w:r>
          </w:p>
        </w:tc>
        <w:tc>
          <w:tcPr>
            <w:tcW w:w="855" w:type="dxa"/>
            <w:vAlign w:val="center"/>
          </w:tcPr>
          <w:p w14:paraId="375969F6"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1.25</w:t>
            </w:r>
          </w:p>
        </w:tc>
        <w:tc>
          <w:tcPr>
            <w:tcW w:w="855" w:type="dxa"/>
            <w:vAlign w:val="center"/>
          </w:tcPr>
          <w:p w14:paraId="7C42D9BB"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0.60</w:t>
            </w:r>
          </w:p>
        </w:tc>
        <w:tc>
          <w:tcPr>
            <w:tcW w:w="992" w:type="dxa"/>
            <w:vAlign w:val="center"/>
          </w:tcPr>
          <w:p w14:paraId="2BA7D332"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0.66</w:t>
            </w:r>
          </w:p>
        </w:tc>
        <w:tc>
          <w:tcPr>
            <w:tcW w:w="992" w:type="dxa"/>
            <w:vAlign w:val="center"/>
          </w:tcPr>
          <w:p w14:paraId="605DED2B"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0.83</w:t>
            </w:r>
          </w:p>
        </w:tc>
        <w:tc>
          <w:tcPr>
            <w:tcW w:w="992" w:type="dxa"/>
            <w:vAlign w:val="center"/>
          </w:tcPr>
          <w:p w14:paraId="0E6079D1"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1.10</w:t>
            </w:r>
          </w:p>
        </w:tc>
        <w:tc>
          <w:tcPr>
            <w:tcW w:w="992" w:type="dxa"/>
            <w:vAlign w:val="center"/>
          </w:tcPr>
          <w:p w14:paraId="262E0FAF"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1.52</w:t>
            </w:r>
          </w:p>
        </w:tc>
        <w:tc>
          <w:tcPr>
            <w:tcW w:w="992" w:type="dxa"/>
            <w:vAlign w:val="center"/>
          </w:tcPr>
          <w:p w14:paraId="501C6E5C"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2.03</w:t>
            </w:r>
          </w:p>
        </w:tc>
      </w:tr>
      <w:tr w:rsidR="008716FA" w:rsidRPr="00C93347" w14:paraId="397A6F58" w14:textId="77777777" w:rsidTr="008716FA">
        <w:trPr>
          <w:trHeight w:val="283"/>
          <w:jc w:val="center"/>
        </w:trPr>
        <w:tc>
          <w:tcPr>
            <w:tcW w:w="2695" w:type="dxa"/>
            <w:vAlign w:val="center"/>
          </w:tcPr>
          <w:p w14:paraId="60419132"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Episodes without Post-Acute Care (IRF, LTCH, HH, SN)</w:t>
            </w:r>
          </w:p>
        </w:tc>
        <w:tc>
          <w:tcPr>
            <w:tcW w:w="855" w:type="dxa"/>
            <w:vAlign w:val="center"/>
          </w:tcPr>
          <w:p w14:paraId="4E6C1A95"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0.78</w:t>
            </w:r>
          </w:p>
        </w:tc>
        <w:tc>
          <w:tcPr>
            <w:tcW w:w="855" w:type="dxa"/>
            <w:vAlign w:val="center"/>
          </w:tcPr>
          <w:p w14:paraId="2444A3CB"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0.41</w:t>
            </w:r>
          </w:p>
        </w:tc>
        <w:tc>
          <w:tcPr>
            <w:tcW w:w="992" w:type="dxa"/>
            <w:vAlign w:val="center"/>
          </w:tcPr>
          <w:p w14:paraId="784C582B"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0.46</w:t>
            </w:r>
          </w:p>
        </w:tc>
        <w:tc>
          <w:tcPr>
            <w:tcW w:w="992" w:type="dxa"/>
            <w:vAlign w:val="center"/>
          </w:tcPr>
          <w:p w14:paraId="23DF5705"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0.55</w:t>
            </w:r>
          </w:p>
        </w:tc>
        <w:tc>
          <w:tcPr>
            <w:tcW w:w="992" w:type="dxa"/>
            <w:vAlign w:val="center"/>
          </w:tcPr>
          <w:p w14:paraId="4A1A15C9"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0.69</w:t>
            </w:r>
          </w:p>
        </w:tc>
        <w:tc>
          <w:tcPr>
            <w:tcW w:w="992" w:type="dxa"/>
            <w:vAlign w:val="center"/>
          </w:tcPr>
          <w:p w14:paraId="65C297FC"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0.88</w:t>
            </w:r>
          </w:p>
        </w:tc>
        <w:tc>
          <w:tcPr>
            <w:tcW w:w="992" w:type="dxa"/>
            <w:vAlign w:val="center"/>
          </w:tcPr>
          <w:p w14:paraId="754D81D3"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1.18</w:t>
            </w:r>
          </w:p>
        </w:tc>
      </w:tr>
      <w:tr w:rsidR="008716FA" w:rsidRPr="00C93347" w14:paraId="1109C36C" w14:textId="77777777" w:rsidTr="008716FA">
        <w:trPr>
          <w:trHeight w:val="283"/>
          <w:jc w:val="center"/>
        </w:trPr>
        <w:tc>
          <w:tcPr>
            <w:tcW w:w="2695" w:type="dxa"/>
            <w:vAlign w:val="center"/>
          </w:tcPr>
          <w:p w14:paraId="290E47D4"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 xml:space="preserve">Episodes with Post-Acute Care SNF </w:t>
            </w:r>
          </w:p>
        </w:tc>
        <w:tc>
          <w:tcPr>
            <w:tcW w:w="855" w:type="dxa"/>
            <w:vAlign w:val="center"/>
          </w:tcPr>
          <w:p w14:paraId="23E66716"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1.43</w:t>
            </w:r>
          </w:p>
        </w:tc>
        <w:tc>
          <w:tcPr>
            <w:tcW w:w="855" w:type="dxa"/>
            <w:vAlign w:val="center"/>
          </w:tcPr>
          <w:p w14:paraId="590D6D04"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0.59</w:t>
            </w:r>
          </w:p>
        </w:tc>
        <w:tc>
          <w:tcPr>
            <w:tcW w:w="992" w:type="dxa"/>
            <w:vAlign w:val="center"/>
          </w:tcPr>
          <w:p w14:paraId="731C0ADE"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0.83</w:t>
            </w:r>
          </w:p>
        </w:tc>
        <w:tc>
          <w:tcPr>
            <w:tcW w:w="992" w:type="dxa"/>
            <w:vAlign w:val="center"/>
          </w:tcPr>
          <w:p w14:paraId="15D9CD61"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1.02</w:t>
            </w:r>
          </w:p>
        </w:tc>
        <w:tc>
          <w:tcPr>
            <w:tcW w:w="992" w:type="dxa"/>
            <w:vAlign w:val="center"/>
          </w:tcPr>
          <w:p w14:paraId="5FA8B6E9"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1.30</w:t>
            </w:r>
          </w:p>
        </w:tc>
        <w:tc>
          <w:tcPr>
            <w:tcW w:w="992" w:type="dxa"/>
            <w:vAlign w:val="center"/>
          </w:tcPr>
          <w:p w14:paraId="667DFD15"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1.69</w:t>
            </w:r>
          </w:p>
        </w:tc>
        <w:tc>
          <w:tcPr>
            <w:tcW w:w="992" w:type="dxa"/>
            <w:vAlign w:val="center"/>
          </w:tcPr>
          <w:p w14:paraId="0A62F2D0" w14:textId="77777777" w:rsidR="008716FA" w:rsidRPr="00C93347" w:rsidRDefault="008716FA" w:rsidP="006F3256">
            <w:pPr>
              <w:pStyle w:val="NoSpacing"/>
              <w:rPr>
                <w:rFonts w:ascii="Times New Roman" w:hAnsi="Times New Roman"/>
                <w:color w:val="FF0000"/>
                <w:sz w:val="20"/>
                <w:szCs w:val="20"/>
              </w:rPr>
            </w:pPr>
            <w:r w:rsidRPr="00C93347">
              <w:rPr>
                <w:rFonts w:ascii="Times New Roman" w:hAnsi="Times New Roman"/>
                <w:color w:val="FF0000"/>
                <w:sz w:val="20"/>
                <w:szCs w:val="20"/>
              </w:rPr>
              <w:t>2.18</w:t>
            </w:r>
          </w:p>
        </w:tc>
      </w:tr>
      <w:tr w:rsidR="008716FA" w:rsidRPr="00C93347" w14:paraId="72CC86E6" w14:textId="77777777" w:rsidTr="008716FA">
        <w:trPr>
          <w:trHeight w:val="283"/>
          <w:jc w:val="center"/>
        </w:trPr>
        <w:tc>
          <w:tcPr>
            <w:tcW w:w="2695" w:type="dxa"/>
            <w:vAlign w:val="center"/>
          </w:tcPr>
          <w:p w14:paraId="3E9AC001"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Episodes without Post-Acute Care SNF</w:t>
            </w:r>
          </w:p>
        </w:tc>
        <w:tc>
          <w:tcPr>
            <w:tcW w:w="855" w:type="dxa"/>
            <w:vAlign w:val="center"/>
          </w:tcPr>
          <w:p w14:paraId="51C4C1ED"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0.86</w:t>
            </w:r>
          </w:p>
        </w:tc>
        <w:tc>
          <w:tcPr>
            <w:tcW w:w="855" w:type="dxa"/>
            <w:vAlign w:val="center"/>
          </w:tcPr>
          <w:p w14:paraId="04507998" w14:textId="77777777" w:rsidR="008716FA" w:rsidRPr="00C93347" w:rsidRDefault="008716FA" w:rsidP="006F3256">
            <w:pPr>
              <w:pStyle w:val="NoSpacing"/>
              <w:rPr>
                <w:rFonts w:ascii="Times New Roman" w:hAnsi="Times New Roman"/>
                <w:iCs/>
                <w:color w:val="FF0000"/>
                <w:sz w:val="20"/>
                <w:szCs w:val="20"/>
              </w:rPr>
            </w:pPr>
            <w:r w:rsidRPr="00C93347">
              <w:rPr>
                <w:rFonts w:ascii="Times New Roman" w:hAnsi="Times New Roman"/>
                <w:color w:val="FF0000"/>
                <w:sz w:val="20"/>
                <w:szCs w:val="20"/>
              </w:rPr>
              <w:t>0.47</w:t>
            </w:r>
          </w:p>
        </w:tc>
        <w:tc>
          <w:tcPr>
            <w:tcW w:w="992" w:type="dxa"/>
            <w:vAlign w:val="center"/>
          </w:tcPr>
          <w:p w14:paraId="1E555D31"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0.48</w:t>
            </w:r>
          </w:p>
        </w:tc>
        <w:tc>
          <w:tcPr>
            <w:tcW w:w="992" w:type="dxa"/>
            <w:vAlign w:val="center"/>
          </w:tcPr>
          <w:p w14:paraId="4BE4D147"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0.58</w:t>
            </w:r>
          </w:p>
        </w:tc>
        <w:tc>
          <w:tcPr>
            <w:tcW w:w="992" w:type="dxa"/>
            <w:vAlign w:val="center"/>
          </w:tcPr>
          <w:p w14:paraId="243D7EA4"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0.74</w:t>
            </w:r>
          </w:p>
        </w:tc>
        <w:tc>
          <w:tcPr>
            <w:tcW w:w="992" w:type="dxa"/>
            <w:vAlign w:val="center"/>
          </w:tcPr>
          <w:p w14:paraId="663017FE"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0.96</w:t>
            </w:r>
          </w:p>
        </w:tc>
        <w:tc>
          <w:tcPr>
            <w:tcW w:w="992" w:type="dxa"/>
            <w:vAlign w:val="center"/>
          </w:tcPr>
          <w:p w14:paraId="5E1550E0" w14:textId="77777777" w:rsidR="008716FA" w:rsidRPr="00C93347" w:rsidRDefault="008716FA" w:rsidP="006F3256">
            <w:pPr>
              <w:pStyle w:val="NoSpacing"/>
              <w:rPr>
                <w:rFonts w:ascii="Times New Roman" w:hAnsi="Times New Roman"/>
                <w:iCs/>
                <w:color w:val="FF0000"/>
                <w:sz w:val="20"/>
                <w:szCs w:val="20"/>
                <w:highlight w:val="yellow"/>
              </w:rPr>
            </w:pPr>
            <w:r w:rsidRPr="00C93347">
              <w:rPr>
                <w:rFonts w:ascii="Times New Roman" w:hAnsi="Times New Roman"/>
                <w:color w:val="FF0000"/>
                <w:sz w:val="20"/>
                <w:szCs w:val="20"/>
              </w:rPr>
              <w:t>1.39</w:t>
            </w:r>
          </w:p>
        </w:tc>
      </w:tr>
    </w:tbl>
    <w:p w14:paraId="2B602A7B" w14:textId="77777777" w:rsidR="008716FA" w:rsidRPr="00C93347" w:rsidRDefault="008716FA" w:rsidP="006F3256">
      <w:pPr>
        <w:pStyle w:val="NoSpacing"/>
        <w:rPr>
          <w:rFonts w:ascii="Times New Roman" w:hAnsi="Times New Roman"/>
          <w:iCs/>
          <w:color w:val="FF0000"/>
        </w:rPr>
      </w:pPr>
    </w:p>
    <w:p w14:paraId="36B80B14" w14:textId="364CDF89" w:rsidR="00D22929" w:rsidRPr="00C93347" w:rsidRDefault="00644AC6" w:rsidP="006F3256">
      <w:pPr>
        <w:pStyle w:val="NoSpacing"/>
        <w:rPr>
          <w:rFonts w:ascii="Times New Roman" w:hAnsi="Times New Roman"/>
          <w:color w:val="FF0000"/>
        </w:rPr>
      </w:pPr>
      <w:r w:rsidRPr="00C93347">
        <w:rPr>
          <w:rFonts w:ascii="Times New Roman" w:hAnsi="Times New Roman"/>
          <w:color w:val="FF0000"/>
          <w:u w:val="single"/>
        </w:rPr>
        <w:t>Service Utilization.</w:t>
      </w:r>
      <w:r w:rsidRPr="00C93347">
        <w:rPr>
          <w:rFonts w:ascii="Times New Roman" w:hAnsi="Times New Roman"/>
          <w:color w:val="FF0000"/>
        </w:rPr>
        <w:t xml:space="preserve"> </w:t>
      </w:r>
      <w:r w:rsidR="00D22929" w:rsidRPr="00C93347">
        <w:rPr>
          <w:rFonts w:ascii="Times New Roman" w:hAnsi="Times New Roman"/>
          <w:color w:val="FF0000"/>
        </w:rPr>
        <w:t xml:space="preserve">Most service use/setting categories </w:t>
      </w:r>
      <w:r w:rsidRPr="00C93347">
        <w:rPr>
          <w:rFonts w:ascii="Times New Roman" w:hAnsi="Times New Roman"/>
          <w:color w:val="FF0000"/>
        </w:rPr>
        <w:t>were</w:t>
      </w:r>
      <w:r w:rsidR="00D22929" w:rsidRPr="00C93347">
        <w:rPr>
          <w:rFonts w:ascii="Times New Roman" w:hAnsi="Times New Roman"/>
          <w:color w:val="FF0000"/>
        </w:rPr>
        <w:t xml:space="preserve"> moderately and positively correlated to the average predicted episode cost, with</w:t>
      </w:r>
      <w:r w:rsidR="0040013C" w:rsidRPr="00C93347">
        <w:rPr>
          <w:rFonts w:ascii="Times New Roman" w:hAnsi="Times New Roman"/>
          <w:color w:val="FF0000"/>
        </w:rPr>
        <w:t xml:space="preserve"> the correlations across all services categories average +0.487 and </w:t>
      </w:r>
      <w:r w:rsidR="00D22929" w:rsidRPr="00C93347">
        <w:rPr>
          <w:rFonts w:ascii="Times New Roman" w:hAnsi="Times New Roman"/>
          <w:color w:val="FF0000"/>
        </w:rPr>
        <w:t xml:space="preserve"> </w:t>
      </w:r>
      <w:r w:rsidR="006C5AF4" w:rsidRPr="00C93347">
        <w:rPr>
          <w:rFonts w:ascii="Times New Roman" w:hAnsi="Times New Roman"/>
          <w:color w:val="FF0000"/>
        </w:rPr>
        <w:t>p</w:t>
      </w:r>
      <w:r w:rsidR="00D22929" w:rsidRPr="00C93347">
        <w:rPr>
          <w:rFonts w:ascii="Times New Roman" w:hAnsi="Times New Roman"/>
          <w:color w:val="FF0000"/>
        </w:rPr>
        <w:t xml:space="preserve">rocedure use evidencing </w:t>
      </w:r>
      <w:r w:rsidR="006C5AF4" w:rsidRPr="00C93347">
        <w:rPr>
          <w:rFonts w:ascii="Times New Roman" w:hAnsi="Times New Roman"/>
          <w:color w:val="FF0000"/>
        </w:rPr>
        <w:t xml:space="preserve">the strongest </w:t>
      </w:r>
      <w:r w:rsidR="00D22929" w:rsidRPr="00C93347">
        <w:rPr>
          <w:rFonts w:ascii="Times New Roman" w:hAnsi="Times New Roman"/>
          <w:color w:val="FF0000"/>
        </w:rPr>
        <w:t>correlation (+0.721; Appendix Table 2b1.3b).</w:t>
      </w:r>
    </w:p>
    <w:p w14:paraId="04EAEE5C" w14:textId="44205C50" w:rsidR="00D22929" w:rsidRPr="00C93347" w:rsidRDefault="00D22929" w:rsidP="006F3256">
      <w:pPr>
        <w:pStyle w:val="NoSpacing"/>
        <w:rPr>
          <w:rFonts w:ascii="Times New Roman" w:hAnsi="Times New Roman"/>
          <w:color w:val="FF0000"/>
        </w:rPr>
      </w:pPr>
    </w:p>
    <w:p w14:paraId="13B8199B" w14:textId="2BBA3111" w:rsidR="0035541A" w:rsidRPr="00C93347" w:rsidRDefault="00644AC6" w:rsidP="006F3256">
      <w:pPr>
        <w:pStyle w:val="NoSpacing"/>
        <w:rPr>
          <w:rFonts w:ascii="Times New Roman" w:hAnsi="Times New Roman"/>
          <w:color w:val="FF0000"/>
        </w:rPr>
      </w:pPr>
      <w:r w:rsidRPr="00C93347">
        <w:rPr>
          <w:rFonts w:ascii="Times New Roman" w:hAnsi="Times New Roman"/>
          <w:color w:val="FF0000"/>
          <w:u w:val="single"/>
        </w:rPr>
        <w:t>Other Measures.</w:t>
      </w:r>
      <w:r w:rsidRPr="00C93347">
        <w:rPr>
          <w:rFonts w:ascii="Times New Roman" w:hAnsi="Times New Roman"/>
          <w:color w:val="FF0000"/>
        </w:rPr>
        <w:t xml:space="preserve"> </w:t>
      </w:r>
      <w:r w:rsidR="000C1F1C" w:rsidRPr="00C93347">
        <w:rPr>
          <w:rFonts w:ascii="Times New Roman" w:hAnsi="Times New Roman"/>
          <w:color w:val="FF0000"/>
        </w:rPr>
        <w:t>All three</w:t>
      </w:r>
      <w:r w:rsidR="00D22929" w:rsidRPr="00C93347">
        <w:rPr>
          <w:rFonts w:ascii="Times New Roman" w:hAnsi="Times New Roman"/>
          <w:color w:val="FF0000"/>
        </w:rPr>
        <w:t xml:space="preserve"> Payment &amp; Value of Care measures</w:t>
      </w:r>
      <w:r w:rsidR="000C1F1C" w:rsidRPr="00C93347">
        <w:rPr>
          <w:rFonts w:ascii="Times New Roman" w:hAnsi="Times New Roman"/>
          <w:color w:val="FF0000"/>
        </w:rPr>
        <w:t>, capturing 30-day Medicare payments for acute myocardial infarction, h</w:t>
      </w:r>
      <w:r w:rsidR="00D22929" w:rsidRPr="00C93347">
        <w:rPr>
          <w:rFonts w:ascii="Times New Roman" w:hAnsi="Times New Roman"/>
          <w:color w:val="FF0000"/>
        </w:rPr>
        <w:t xml:space="preserve">eart </w:t>
      </w:r>
      <w:r w:rsidR="000C1F1C" w:rsidRPr="00C93347">
        <w:rPr>
          <w:rFonts w:ascii="Times New Roman" w:hAnsi="Times New Roman"/>
          <w:color w:val="FF0000"/>
        </w:rPr>
        <w:t>f</w:t>
      </w:r>
      <w:r w:rsidR="00D22929" w:rsidRPr="00C93347">
        <w:rPr>
          <w:rFonts w:ascii="Times New Roman" w:hAnsi="Times New Roman"/>
          <w:color w:val="FF0000"/>
        </w:rPr>
        <w:t>ailure</w:t>
      </w:r>
      <w:r w:rsidR="000C1F1C" w:rsidRPr="00C93347">
        <w:rPr>
          <w:rFonts w:ascii="Times New Roman" w:hAnsi="Times New Roman"/>
          <w:color w:val="FF0000"/>
        </w:rPr>
        <w:t>,</w:t>
      </w:r>
      <w:r w:rsidR="00D22929" w:rsidRPr="00C93347">
        <w:rPr>
          <w:rFonts w:ascii="Times New Roman" w:hAnsi="Times New Roman"/>
          <w:color w:val="FF0000"/>
        </w:rPr>
        <w:t xml:space="preserve"> and </w:t>
      </w:r>
      <w:r w:rsidR="000C1F1C" w:rsidRPr="00C93347">
        <w:rPr>
          <w:rFonts w:ascii="Times New Roman" w:hAnsi="Times New Roman"/>
          <w:color w:val="FF0000"/>
        </w:rPr>
        <w:t>p</w:t>
      </w:r>
      <w:r w:rsidR="00D22929" w:rsidRPr="00C93347">
        <w:rPr>
          <w:rFonts w:ascii="Times New Roman" w:hAnsi="Times New Roman"/>
          <w:color w:val="FF0000"/>
        </w:rPr>
        <w:t>neumonia</w:t>
      </w:r>
      <w:r w:rsidR="000C1F1C" w:rsidRPr="00C93347">
        <w:rPr>
          <w:rFonts w:ascii="Times New Roman" w:hAnsi="Times New Roman"/>
          <w:color w:val="FF0000"/>
        </w:rPr>
        <w:t xml:space="preserve"> conditions, </w:t>
      </w:r>
      <w:r w:rsidR="00D22929" w:rsidRPr="00C93347">
        <w:rPr>
          <w:rFonts w:ascii="Times New Roman" w:hAnsi="Times New Roman"/>
          <w:color w:val="FF0000"/>
        </w:rPr>
        <w:t>were</w:t>
      </w:r>
      <w:r w:rsidR="000C1F1C" w:rsidRPr="00C93347">
        <w:rPr>
          <w:rFonts w:ascii="Times New Roman" w:hAnsi="Times New Roman"/>
          <w:color w:val="FF0000"/>
        </w:rPr>
        <w:t xml:space="preserve"> </w:t>
      </w:r>
      <w:r w:rsidR="00D22929" w:rsidRPr="00C93347">
        <w:rPr>
          <w:rFonts w:ascii="Times New Roman" w:hAnsi="Times New Roman"/>
          <w:color w:val="FF0000"/>
        </w:rPr>
        <w:t xml:space="preserve">positively </w:t>
      </w:r>
      <w:r w:rsidR="000C1F1C" w:rsidRPr="00C93347">
        <w:rPr>
          <w:rFonts w:ascii="Times New Roman" w:hAnsi="Times New Roman"/>
          <w:color w:val="FF0000"/>
        </w:rPr>
        <w:t xml:space="preserve">and weakly </w:t>
      </w:r>
      <w:r w:rsidRPr="00C93347">
        <w:rPr>
          <w:rFonts w:ascii="Times New Roman" w:hAnsi="Times New Roman"/>
          <w:color w:val="FF0000"/>
        </w:rPr>
        <w:t>(</w:t>
      </w:r>
      <w:r w:rsidR="000C1F1C" w:rsidRPr="00C93347">
        <w:rPr>
          <w:rFonts w:ascii="Times New Roman" w:hAnsi="Times New Roman"/>
          <w:color w:val="FF0000"/>
        </w:rPr>
        <w:t>or moderately</w:t>
      </w:r>
      <w:r w:rsidRPr="00C93347">
        <w:rPr>
          <w:rFonts w:ascii="Times New Roman" w:hAnsi="Times New Roman"/>
          <w:color w:val="FF0000"/>
        </w:rPr>
        <w:t>)</w:t>
      </w:r>
      <w:r w:rsidR="000C1F1C" w:rsidRPr="00C93347">
        <w:rPr>
          <w:rFonts w:ascii="Times New Roman" w:hAnsi="Times New Roman"/>
          <w:color w:val="FF0000"/>
        </w:rPr>
        <w:t xml:space="preserve"> </w:t>
      </w:r>
      <w:r w:rsidR="00D22929" w:rsidRPr="00C93347">
        <w:rPr>
          <w:rFonts w:ascii="Times New Roman" w:hAnsi="Times New Roman"/>
          <w:color w:val="FF0000"/>
        </w:rPr>
        <w:t xml:space="preserve">correlated with </w:t>
      </w:r>
      <w:r w:rsidR="00E128EE" w:rsidRPr="00C93347">
        <w:rPr>
          <w:rFonts w:ascii="Times New Roman" w:hAnsi="Times New Roman"/>
          <w:color w:val="FF0000"/>
        </w:rPr>
        <w:t xml:space="preserve">the hospital average predicted episode </w:t>
      </w:r>
      <w:r w:rsidR="0082307D" w:rsidRPr="00C93347">
        <w:rPr>
          <w:rFonts w:ascii="Times New Roman" w:hAnsi="Times New Roman"/>
          <w:color w:val="FF0000"/>
        </w:rPr>
        <w:t xml:space="preserve">cost </w:t>
      </w:r>
      <w:r w:rsidR="0035541A" w:rsidRPr="00C93347">
        <w:rPr>
          <w:rFonts w:ascii="Times New Roman" w:hAnsi="Times New Roman"/>
          <w:color w:val="FF0000"/>
        </w:rPr>
        <w:t>(</w:t>
      </w:r>
      <w:r w:rsidR="00E416A3" w:rsidRPr="00C93347">
        <w:rPr>
          <w:rFonts w:ascii="Times New Roman" w:hAnsi="Times New Roman"/>
          <w:color w:val="FF0000"/>
        </w:rPr>
        <w:t>Table 4, Appendix Table 2b1.3c</w:t>
      </w:r>
      <w:r w:rsidR="0035541A" w:rsidRPr="00C93347">
        <w:rPr>
          <w:rFonts w:ascii="Times New Roman" w:hAnsi="Times New Roman"/>
          <w:color w:val="FF0000"/>
        </w:rPr>
        <w:t>)</w:t>
      </w:r>
      <w:r w:rsidR="00E128EE" w:rsidRPr="00C93347">
        <w:rPr>
          <w:rFonts w:ascii="Times New Roman" w:hAnsi="Times New Roman"/>
          <w:color w:val="FF0000"/>
        </w:rPr>
        <w:t>.</w:t>
      </w:r>
      <w:r w:rsidR="000C1F1C" w:rsidRPr="00C93347">
        <w:rPr>
          <w:rFonts w:ascii="Times New Roman" w:hAnsi="Times New Roman"/>
          <w:color w:val="FF0000"/>
        </w:rPr>
        <w:t xml:space="preserve"> </w:t>
      </w:r>
      <w:r w:rsidR="003669EC" w:rsidRPr="00C93347">
        <w:rPr>
          <w:rFonts w:ascii="Times New Roman" w:hAnsi="Times New Roman"/>
          <w:color w:val="FF0000"/>
        </w:rPr>
        <w:t xml:space="preserve"> </w:t>
      </w:r>
      <w:r w:rsidR="0035541A" w:rsidRPr="00C93347">
        <w:rPr>
          <w:rFonts w:ascii="Times New Roman" w:hAnsi="Times New Roman"/>
          <w:color w:val="FF0000"/>
        </w:rPr>
        <w:t>All</w:t>
      </w:r>
      <w:r w:rsidR="003669EC" w:rsidRPr="00C93347">
        <w:rPr>
          <w:rFonts w:ascii="Times New Roman" w:hAnsi="Times New Roman"/>
          <w:color w:val="FF0000"/>
        </w:rPr>
        <w:t xml:space="preserve"> four Timely &amp; Effective Care measures</w:t>
      </w:r>
      <w:r w:rsidR="000C1F1C" w:rsidRPr="00C93347">
        <w:rPr>
          <w:rFonts w:ascii="Times New Roman" w:hAnsi="Times New Roman"/>
          <w:color w:val="FF0000"/>
        </w:rPr>
        <w:t xml:space="preserve">, capturing time spent in the ED before being sent home or admitted, </w:t>
      </w:r>
      <w:r w:rsidR="003669EC" w:rsidRPr="00C93347">
        <w:rPr>
          <w:rFonts w:ascii="Times New Roman" w:hAnsi="Times New Roman"/>
          <w:color w:val="FF0000"/>
        </w:rPr>
        <w:t xml:space="preserve">were </w:t>
      </w:r>
      <w:r w:rsidR="000C1F1C" w:rsidRPr="00C93347">
        <w:rPr>
          <w:rFonts w:ascii="Times New Roman" w:hAnsi="Times New Roman"/>
          <w:color w:val="FF0000"/>
        </w:rPr>
        <w:t>also positively and</w:t>
      </w:r>
      <w:r w:rsidR="003669EC" w:rsidRPr="00C93347">
        <w:rPr>
          <w:rFonts w:ascii="Times New Roman" w:hAnsi="Times New Roman"/>
          <w:color w:val="FF0000"/>
        </w:rPr>
        <w:t xml:space="preserve"> weakly or moderately correlated with average predicted episode </w:t>
      </w:r>
      <w:r w:rsidR="000C1F1C" w:rsidRPr="00C93347">
        <w:rPr>
          <w:rFonts w:ascii="Times New Roman" w:hAnsi="Times New Roman"/>
          <w:color w:val="FF0000"/>
        </w:rPr>
        <w:t>costs.</w:t>
      </w:r>
      <w:r w:rsidR="003669EC" w:rsidRPr="00C93347">
        <w:rPr>
          <w:rStyle w:val="FootnoteReference"/>
          <w:rFonts w:ascii="Times New Roman" w:hAnsi="Times New Roman"/>
          <w:color w:val="FF0000"/>
        </w:rPr>
        <w:footnoteReference w:id="16"/>
      </w:r>
      <w:r w:rsidR="0035541A" w:rsidRPr="00C93347">
        <w:rPr>
          <w:rFonts w:ascii="Times New Roman" w:hAnsi="Times New Roman"/>
          <w:color w:val="FF0000"/>
        </w:rPr>
        <w:t xml:space="preserve"> </w:t>
      </w:r>
    </w:p>
    <w:p w14:paraId="5BDF0E3D" w14:textId="77777777" w:rsidR="0035541A" w:rsidRPr="00C93347" w:rsidRDefault="0035541A" w:rsidP="006F3256">
      <w:pPr>
        <w:pStyle w:val="NoSpacing"/>
        <w:rPr>
          <w:rFonts w:ascii="Times New Roman" w:hAnsi="Times New Roman"/>
          <w:color w:val="FF0000"/>
        </w:rPr>
      </w:pPr>
    </w:p>
    <w:p w14:paraId="2AF44C21" w14:textId="18B505F0" w:rsidR="00D22929" w:rsidRPr="00C93347" w:rsidRDefault="00A2469A" w:rsidP="006F3256">
      <w:pPr>
        <w:pStyle w:val="NoSpacing"/>
        <w:rPr>
          <w:rFonts w:ascii="Times New Roman" w:hAnsi="Times New Roman"/>
          <w:color w:val="FF0000"/>
        </w:rPr>
      </w:pPr>
      <w:r w:rsidRPr="00C93347">
        <w:rPr>
          <w:rFonts w:ascii="Times New Roman" w:hAnsi="Times New Roman"/>
          <w:color w:val="FF0000"/>
        </w:rPr>
        <w:t xml:space="preserve">The interpretation of performance rates </w:t>
      </w:r>
      <w:r w:rsidR="00644AC6" w:rsidRPr="00C93347">
        <w:rPr>
          <w:rFonts w:ascii="Times New Roman" w:hAnsi="Times New Roman"/>
          <w:color w:val="FF0000"/>
        </w:rPr>
        <w:t xml:space="preserve">for measures included in HVBP program domains </w:t>
      </w:r>
      <w:r w:rsidRPr="00C93347">
        <w:rPr>
          <w:rFonts w:ascii="Times New Roman" w:hAnsi="Times New Roman"/>
          <w:color w:val="FF0000"/>
        </w:rPr>
        <w:t xml:space="preserve">varies by measure. In some cases, low performance rates are more desirable while in others high performance rates are better. </w:t>
      </w:r>
      <w:r w:rsidR="000955A0" w:rsidRPr="00C93347">
        <w:rPr>
          <w:rFonts w:ascii="Times New Roman" w:hAnsi="Times New Roman"/>
          <w:color w:val="FF0000"/>
        </w:rPr>
        <w:t xml:space="preserve">Lower </w:t>
      </w:r>
      <w:r w:rsidR="00254EA6" w:rsidRPr="00C93347">
        <w:rPr>
          <w:rFonts w:ascii="Times New Roman" w:hAnsi="Times New Roman"/>
          <w:color w:val="FF0000"/>
        </w:rPr>
        <w:t>performance rates</w:t>
      </w:r>
      <w:r w:rsidR="00551347" w:rsidRPr="00C93347">
        <w:rPr>
          <w:rFonts w:ascii="Times New Roman" w:hAnsi="Times New Roman"/>
          <w:color w:val="FF0000"/>
        </w:rPr>
        <w:t xml:space="preserve"> are </w:t>
      </w:r>
      <w:r w:rsidR="00644AC6" w:rsidRPr="00C93347">
        <w:rPr>
          <w:rFonts w:ascii="Times New Roman" w:hAnsi="Times New Roman"/>
          <w:color w:val="FF0000"/>
        </w:rPr>
        <w:t>better</w:t>
      </w:r>
      <w:r w:rsidR="000955A0" w:rsidRPr="00C93347">
        <w:rPr>
          <w:rFonts w:ascii="Times New Roman" w:hAnsi="Times New Roman"/>
          <w:color w:val="FF0000"/>
        </w:rPr>
        <w:t xml:space="preserve"> </w:t>
      </w:r>
      <w:r w:rsidR="00644AC6" w:rsidRPr="00C93347">
        <w:rPr>
          <w:rFonts w:ascii="Times New Roman" w:hAnsi="Times New Roman"/>
          <w:color w:val="FF0000"/>
        </w:rPr>
        <w:t>for</w:t>
      </w:r>
      <w:r w:rsidR="000955A0" w:rsidRPr="00C93347">
        <w:rPr>
          <w:rFonts w:ascii="Times New Roman" w:hAnsi="Times New Roman"/>
          <w:color w:val="FF0000"/>
        </w:rPr>
        <w:t xml:space="preserve"> HVBP Safety domain measures, which include rates of several healthcare-associated infections like catheter-associated urinary tract infections and </w:t>
      </w:r>
      <w:r w:rsidRPr="00C93347">
        <w:rPr>
          <w:rFonts w:ascii="Times New Roman" w:hAnsi="Times New Roman"/>
          <w:i/>
          <w:iCs/>
          <w:color w:val="FF0000"/>
        </w:rPr>
        <w:t>C</w:t>
      </w:r>
      <w:r w:rsidR="000955A0" w:rsidRPr="00C93347">
        <w:rPr>
          <w:rFonts w:ascii="Times New Roman" w:hAnsi="Times New Roman"/>
          <w:i/>
          <w:iCs/>
          <w:color w:val="FF0000"/>
        </w:rPr>
        <w:t>lostridium difficile</w:t>
      </w:r>
      <w:r w:rsidR="000955A0" w:rsidRPr="00C93347">
        <w:rPr>
          <w:rFonts w:ascii="Times New Roman" w:hAnsi="Times New Roman"/>
          <w:color w:val="FF0000"/>
        </w:rPr>
        <w:t xml:space="preserve"> infection. </w:t>
      </w:r>
      <w:r w:rsidR="00254EA6" w:rsidRPr="00C93347">
        <w:rPr>
          <w:rFonts w:ascii="Times New Roman" w:hAnsi="Times New Roman"/>
          <w:color w:val="FF0000"/>
        </w:rPr>
        <w:t xml:space="preserve">Higher performance rates </w:t>
      </w:r>
      <w:r w:rsidR="00551347" w:rsidRPr="00C93347">
        <w:rPr>
          <w:rFonts w:ascii="Times New Roman" w:hAnsi="Times New Roman"/>
          <w:color w:val="FF0000"/>
        </w:rPr>
        <w:t xml:space="preserve">are better </w:t>
      </w:r>
      <w:r w:rsidR="00644AC6" w:rsidRPr="00C93347">
        <w:rPr>
          <w:rFonts w:ascii="Times New Roman" w:hAnsi="Times New Roman"/>
          <w:color w:val="FF0000"/>
        </w:rPr>
        <w:t>for</w:t>
      </w:r>
      <w:r w:rsidR="00551347" w:rsidRPr="00C93347">
        <w:rPr>
          <w:rFonts w:ascii="Times New Roman" w:hAnsi="Times New Roman"/>
          <w:color w:val="FF0000"/>
        </w:rPr>
        <w:t xml:space="preserve"> </w:t>
      </w:r>
      <w:r w:rsidR="00254EA6" w:rsidRPr="00C93347">
        <w:rPr>
          <w:rFonts w:ascii="Times New Roman" w:hAnsi="Times New Roman"/>
          <w:color w:val="FF0000"/>
        </w:rPr>
        <w:t xml:space="preserve">HVBP Clinical Outcomes </w:t>
      </w:r>
      <w:r w:rsidR="00551347" w:rsidRPr="00C93347">
        <w:rPr>
          <w:rFonts w:ascii="Times New Roman" w:hAnsi="Times New Roman"/>
          <w:color w:val="FF0000"/>
        </w:rPr>
        <w:t>d</w:t>
      </w:r>
      <w:r w:rsidR="00254EA6" w:rsidRPr="00C93347">
        <w:rPr>
          <w:rFonts w:ascii="Times New Roman" w:hAnsi="Times New Roman"/>
          <w:color w:val="FF0000"/>
        </w:rPr>
        <w:t>omain</w:t>
      </w:r>
      <w:r w:rsidR="00551347" w:rsidRPr="00C93347">
        <w:rPr>
          <w:rFonts w:ascii="Times New Roman" w:hAnsi="Times New Roman"/>
          <w:color w:val="FF0000"/>
        </w:rPr>
        <w:t xml:space="preserve"> measure</w:t>
      </w:r>
      <w:r w:rsidR="00644AC6" w:rsidRPr="00C93347">
        <w:rPr>
          <w:rFonts w:ascii="Times New Roman" w:hAnsi="Times New Roman"/>
          <w:color w:val="FF0000"/>
        </w:rPr>
        <w:t>s</w:t>
      </w:r>
      <w:r w:rsidR="00551347" w:rsidRPr="00C93347">
        <w:rPr>
          <w:rFonts w:ascii="Times New Roman" w:hAnsi="Times New Roman"/>
          <w:color w:val="FF0000"/>
        </w:rPr>
        <w:t>,</w:t>
      </w:r>
      <w:r w:rsidR="00254EA6" w:rsidRPr="00C93347">
        <w:rPr>
          <w:rStyle w:val="FootnoteReference"/>
          <w:rFonts w:ascii="Times New Roman" w:hAnsi="Times New Roman"/>
          <w:color w:val="FF0000"/>
        </w:rPr>
        <w:footnoteReference w:id="17"/>
      </w:r>
      <w:r w:rsidR="00254EA6" w:rsidRPr="00C93347">
        <w:rPr>
          <w:rFonts w:ascii="Times New Roman" w:hAnsi="Times New Roman"/>
          <w:color w:val="FF0000"/>
        </w:rPr>
        <w:t xml:space="preserve"> which include 30-day condition-specific mortality </w:t>
      </w:r>
      <w:r w:rsidR="00644AC6" w:rsidRPr="00C93347">
        <w:rPr>
          <w:rFonts w:ascii="Times New Roman" w:hAnsi="Times New Roman"/>
          <w:color w:val="FF0000"/>
        </w:rPr>
        <w:t>measures, as these measures are</w:t>
      </w:r>
      <w:r w:rsidR="00254EA6" w:rsidRPr="00C93347">
        <w:rPr>
          <w:rFonts w:ascii="Times New Roman" w:hAnsi="Times New Roman"/>
          <w:color w:val="FF0000"/>
        </w:rPr>
        <w:t xml:space="preserve"> expressed in terms of survival rates. </w:t>
      </w:r>
      <w:r w:rsidR="000955A0" w:rsidRPr="00C93347">
        <w:rPr>
          <w:rFonts w:ascii="Times New Roman" w:hAnsi="Times New Roman"/>
          <w:color w:val="FF0000"/>
        </w:rPr>
        <w:t xml:space="preserve">Higher </w:t>
      </w:r>
      <w:r w:rsidR="00551347" w:rsidRPr="00C93347">
        <w:rPr>
          <w:rFonts w:ascii="Times New Roman" w:hAnsi="Times New Roman"/>
          <w:color w:val="FF0000"/>
        </w:rPr>
        <w:t xml:space="preserve">performance rates are also better </w:t>
      </w:r>
      <w:r w:rsidR="00644AC6" w:rsidRPr="00C93347">
        <w:rPr>
          <w:rFonts w:ascii="Times New Roman" w:hAnsi="Times New Roman"/>
          <w:color w:val="FF0000"/>
        </w:rPr>
        <w:t>for</w:t>
      </w:r>
      <w:r w:rsidR="000955A0" w:rsidRPr="00C93347">
        <w:rPr>
          <w:rFonts w:ascii="Times New Roman" w:hAnsi="Times New Roman"/>
          <w:color w:val="FF0000"/>
        </w:rPr>
        <w:t xml:space="preserve"> HVBP Patient Care &amp; Experience </w:t>
      </w:r>
      <w:r w:rsidR="00551347" w:rsidRPr="00C93347">
        <w:rPr>
          <w:rFonts w:ascii="Times New Roman" w:hAnsi="Times New Roman"/>
          <w:color w:val="FF0000"/>
        </w:rPr>
        <w:t xml:space="preserve">domain </w:t>
      </w:r>
      <w:r w:rsidR="000955A0" w:rsidRPr="00C93347">
        <w:rPr>
          <w:rFonts w:ascii="Times New Roman" w:hAnsi="Times New Roman"/>
          <w:color w:val="FF0000"/>
        </w:rPr>
        <w:t xml:space="preserve">measures, which include several HCAHPS questions on </w:t>
      </w:r>
      <w:r w:rsidR="00644AC6" w:rsidRPr="00C93347">
        <w:rPr>
          <w:rFonts w:ascii="Times New Roman" w:hAnsi="Times New Roman"/>
          <w:color w:val="FF0000"/>
        </w:rPr>
        <w:t xml:space="preserve">patient perceptions on </w:t>
      </w:r>
      <w:r w:rsidR="000955A0" w:rsidRPr="00C93347">
        <w:rPr>
          <w:rFonts w:ascii="Times New Roman" w:hAnsi="Times New Roman"/>
          <w:color w:val="FF0000"/>
        </w:rPr>
        <w:t>staff, nurse, and physician communicatio</w:t>
      </w:r>
      <w:r w:rsidR="00551347" w:rsidRPr="00C93347">
        <w:rPr>
          <w:rFonts w:ascii="Times New Roman" w:hAnsi="Times New Roman"/>
          <w:color w:val="FF0000"/>
        </w:rPr>
        <w:t xml:space="preserve">n, facility </w:t>
      </w:r>
      <w:r w:rsidR="000955A0" w:rsidRPr="00C93347">
        <w:rPr>
          <w:rFonts w:ascii="Times New Roman" w:hAnsi="Times New Roman"/>
          <w:color w:val="FF0000"/>
        </w:rPr>
        <w:t>cleanliness</w:t>
      </w:r>
      <w:r w:rsidR="00551347" w:rsidRPr="00C93347">
        <w:rPr>
          <w:rFonts w:ascii="Times New Roman" w:hAnsi="Times New Roman"/>
          <w:color w:val="FF0000"/>
        </w:rPr>
        <w:t>, and care transitions</w:t>
      </w:r>
      <w:r w:rsidR="000955A0" w:rsidRPr="00C93347">
        <w:rPr>
          <w:rFonts w:ascii="Times New Roman" w:hAnsi="Times New Roman"/>
          <w:color w:val="FF0000"/>
        </w:rPr>
        <w:t xml:space="preserve">. </w:t>
      </w:r>
      <w:r w:rsidR="00444336" w:rsidRPr="00C93347">
        <w:rPr>
          <w:rFonts w:ascii="Times New Roman" w:hAnsi="Times New Roman"/>
          <w:color w:val="FF0000"/>
        </w:rPr>
        <w:t xml:space="preserve">The MSPB Hospital measure’s average </w:t>
      </w:r>
      <w:r w:rsidR="00551347" w:rsidRPr="00C93347">
        <w:rPr>
          <w:rFonts w:ascii="Times New Roman" w:hAnsi="Times New Roman"/>
          <w:color w:val="FF0000"/>
        </w:rPr>
        <w:t xml:space="preserve">expected </w:t>
      </w:r>
      <w:r w:rsidR="00444336" w:rsidRPr="00C93347">
        <w:rPr>
          <w:rFonts w:ascii="Times New Roman" w:hAnsi="Times New Roman"/>
          <w:color w:val="FF0000"/>
        </w:rPr>
        <w:t xml:space="preserve">episode cost was </w:t>
      </w:r>
      <w:r w:rsidR="0035541A" w:rsidRPr="00C93347">
        <w:rPr>
          <w:rFonts w:ascii="Times New Roman" w:hAnsi="Times New Roman"/>
          <w:color w:val="FF0000"/>
        </w:rPr>
        <w:t>positively and weakly correlated with HVBP Safety domain measures</w:t>
      </w:r>
      <w:r w:rsidR="006C4E4B" w:rsidRPr="00C93347">
        <w:rPr>
          <w:rFonts w:ascii="Times New Roman" w:hAnsi="Times New Roman"/>
          <w:color w:val="FF0000"/>
        </w:rPr>
        <w:t xml:space="preserve"> (higher expected episode costs were positively related to HAI rates)</w:t>
      </w:r>
      <w:r w:rsidR="0035541A" w:rsidRPr="00C93347">
        <w:rPr>
          <w:rFonts w:ascii="Times New Roman" w:hAnsi="Times New Roman"/>
          <w:color w:val="FF0000"/>
        </w:rPr>
        <w:t>, positively and weakly correlated with HVBP Clinical Outcome survival rate measures</w:t>
      </w:r>
      <w:r w:rsidR="006C4E4B" w:rsidRPr="00C93347">
        <w:rPr>
          <w:rFonts w:ascii="Times New Roman" w:hAnsi="Times New Roman"/>
          <w:color w:val="FF0000"/>
        </w:rPr>
        <w:t xml:space="preserve"> (higher expected episode costs were positively related to condition-specific survival rates)</w:t>
      </w:r>
      <w:r w:rsidR="0035541A" w:rsidRPr="00C93347">
        <w:rPr>
          <w:rFonts w:ascii="Times New Roman" w:hAnsi="Times New Roman"/>
          <w:color w:val="FF0000"/>
        </w:rPr>
        <w:t xml:space="preserve">, and largely negatively and weakly correlated with patient perceptions, from HCAHPS survey questions, on hospital staff communications, cleanliness, and care transition planning </w:t>
      </w:r>
      <w:r w:rsidR="0035541A" w:rsidRPr="00C93347">
        <w:rPr>
          <w:rFonts w:ascii="Times New Roman" w:hAnsi="Times New Roman"/>
          <w:color w:val="FF0000"/>
        </w:rPr>
        <w:lastRenderedPageBreak/>
        <w:t>(</w:t>
      </w:r>
      <w:r w:rsidR="006C4E4B" w:rsidRPr="00C93347">
        <w:rPr>
          <w:rFonts w:ascii="Times New Roman" w:hAnsi="Times New Roman"/>
          <w:color w:val="FF0000"/>
        </w:rPr>
        <w:t>higher expected episode costs were negatively related to patient perceptions of hospital communication and efficiency</w:t>
      </w:r>
      <w:r w:rsidR="0035541A" w:rsidRPr="00C93347">
        <w:rPr>
          <w:rFonts w:ascii="Times New Roman" w:hAnsi="Times New Roman"/>
          <w:color w:val="FF0000"/>
        </w:rPr>
        <w:t xml:space="preserve">). </w:t>
      </w:r>
    </w:p>
    <w:p w14:paraId="0D57DEA0" w14:textId="77777777" w:rsidR="00637DC6" w:rsidRPr="00C93347" w:rsidRDefault="00637DC6" w:rsidP="006F3256">
      <w:pPr>
        <w:pStyle w:val="NoSpacing"/>
        <w:rPr>
          <w:rFonts w:ascii="Times New Roman" w:hAnsi="Times New Roman"/>
          <w:color w:val="FF0000"/>
        </w:rPr>
      </w:pPr>
    </w:p>
    <w:p w14:paraId="68CE1564" w14:textId="56AB6867" w:rsidR="00637DC6" w:rsidRPr="00C93347" w:rsidRDefault="007A573C" w:rsidP="00C93347">
      <w:pPr>
        <w:pStyle w:val="NoSpacing"/>
        <w:jc w:val="center"/>
        <w:rPr>
          <w:rFonts w:ascii="Times New Roman" w:hAnsi="Times New Roman"/>
          <w:b/>
          <w:iCs/>
          <w:color w:val="FF0000"/>
        </w:rPr>
      </w:pPr>
      <w:r w:rsidRPr="00C93347">
        <w:rPr>
          <w:rFonts w:ascii="Times New Roman" w:hAnsi="Times New Roman"/>
          <w:b/>
          <w:iCs/>
          <w:color w:val="FF0000"/>
        </w:rPr>
        <w:t xml:space="preserve">Table </w:t>
      </w:r>
      <w:r w:rsidR="00E416A3" w:rsidRPr="00C93347">
        <w:rPr>
          <w:rFonts w:ascii="Times New Roman" w:hAnsi="Times New Roman"/>
          <w:b/>
          <w:iCs/>
          <w:color w:val="FF0000"/>
        </w:rPr>
        <w:t>4</w:t>
      </w:r>
      <w:r w:rsidRPr="00C93347">
        <w:rPr>
          <w:rFonts w:ascii="Times New Roman" w:hAnsi="Times New Roman"/>
          <w:b/>
          <w:iCs/>
          <w:color w:val="FF0000"/>
        </w:rPr>
        <w:t xml:space="preserve">. </w:t>
      </w:r>
      <w:r w:rsidR="0035541A" w:rsidRPr="00C93347">
        <w:rPr>
          <w:rFonts w:ascii="Times New Roman" w:hAnsi="Times New Roman"/>
          <w:b/>
          <w:iCs/>
          <w:color w:val="FF0000"/>
        </w:rPr>
        <w:t>Spearman</w:t>
      </w:r>
      <w:r w:rsidR="00637DC6" w:rsidRPr="00C93347">
        <w:rPr>
          <w:rFonts w:ascii="Times New Roman" w:hAnsi="Times New Roman"/>
          <w:b/>
          <w:iCs/>
          <w:color w:val="FF0000"/>
        </w:rPr>
        <w:t xml:space="preserve"> Correlation Statistics between </w:t>
      </w:r>
      <w:r w:rsidR="0035541A" w:rsidRPr="00C93347">
        <w:rPr>
          <w:rFonts w:ascii="Times New Roman" w:hAnsi="Times New Roman"/>
          <w:b/>
          <w:iCs/>
          <w:color w:val="FF0000"/>
        </w:rPr>
        <w:t xml:space="preserve">Hospital Average Predicted Episode </w:t>
      </w:r>
      <w:r w:rsidR="00637DC6" w:rsidRPr="00C93347">
        <w:rPr>
          <w:rFonts w:ascii="Times New Roman" w:hAnsi="Times New Roman"/>
          <w:b/>
          <w:iCs/>
          <w:color w:val="FF0000"/>
        </w:rPr>
        <w:t>Cost</w:t>
      </w:r>
      <w:r w:rsidR="0035541A" w:rsidRPr="00C93347">
        <w:rPr>
          <w:rFonts w:ascii="Times New Roman" w:hAnsi="Times New Roman"/>
          <w:b/>
          <w:iCs/>
          <w:color w:val="FF0000"/>
        </w:rPr>
        <w:t xml:space="preserve"> and Other Measure Performance Rates</w:t>
      </w:r>
    </w:p>
    <w:tbl>
      <w:tblPr>
        <w:tblW w:w="5000" w:type="pct"/>
        <w:jc w:val="center"/>
        <w:tblLayout w:type="fixed"/>
        <w:tblLook w:val="04A0" w:firstRow="1" w:lastRow="0" w:firstColumn="1" w:lastColumn="0" w:noHBand="0" w:noVBand="1"/>
      </w:tblPr>
      <w:tblGrid>
        <w:gridCol w:w="6925"/>
        <w:gridCol w:w="2425"/>
      </w:tblGrid>
      <w:tr w:rsidR="000C1F1C" w:rsidRPr="00C93347" w14:paraId="366E1F67" w14:textId="77777777" w:rsidTr="00121638">
        <w:trPr>
          <w:trHeight w:val="196"/>
          <w:jc w:val="center"/>
        </w:trPr>
        <w:tc>
          <w:tcPr>
            <w:tcW w:w="3703" w:type="pct"/>
            <w:tcBorders>
              <w:top w:val="single" w:sz="8" w:space="0" w:color="auto"/>
              <w:left w:val="single" w:sz="4" w:space="0" w:color="auto"/>
              <w:bottom w:val="single" w:sz="4" w:space="0" w:color="000000"/>
              <w:right w:val="single" w:sz="4" w:space="0" w:color="auto"/>
            </w:tcBorders>
            <w:shd w:val="clear" w:color="000000" w:fill="203764"/>
            <w:vAlign w:val="center"/>
            <w:hideMark/>
          </w:tcPr>
          <w:p w14:paraId="6E357B32" w14:textId="6BC05AFC" w:rsidR="000C1F1C" w:rsidRPr="00C93347" w:rsidRDefault="000C1F1C" w:rsidP="006F3256">
            <w:pPr>
              <w:pStyle w:val="NoSpacing"/>
              <w:rPr>
                <w:rFonts w:ascii="Times New Roman" w:eastAsia="Times New Roman" w:hAnsi="Times New Roman"/>
                <w:color w:val="FFFFFF" w:themeColor="background1"/>
                <w:sz w:val="20"/>
                <w:szCs w:val="20"/>
              </w:rPr>
            </w:pPr>
            <w:r w:rsidRPr="00C93347">
              <w:rPr>
                <w:rFonts w:ascii="Times New Roman" w:eastAsia="Times New Roman" w:hAnsi="Times New Roman"/>
                <w:color w:val="FFFFFF" w:themeColor="background1"/>
                <w:sz w:val="20"/>
                <w:szCs w:val="20"/>
              </w:rPr>
              <w:t>Measure</w:t>
            </w:r>
          </w:p>
        </w:tc>
        <w:tc>
          <w:tcPr>
            <w:tcW w:w="1297" w:type="pct"/>
            <w:tcBorders>
              <w:top w:val="single" w:sz="8" w:space="0" w:color="auto"/>
              <w:left w:val="single" w:sz="4" w:space="0" w:color="auto"/>
              <w:bottom w:val="single" w:sz="4" w:space="0" w:color="000000"/>
              <w:right w:val="single" w:sz="4" w:space="0" w:color="auto"/>
            </w:tcBorders>
            <w:shd w:val="clear" w:color="000000" w:fill="203764"/>
            <w:vAlign w:val="center"/>
            <w:hideMark/>
          </w:tcPr>
          <w:p w14:paraId="14C427E6" w14:textId="20F93437" w:rsidR="000C1F1C" w:rsidRPr="00C93347" w:rsidRDefault="007702BB" w:rsidP="006F3256">
            <w:pPr>
              <w:pStyle w:val="NoSpacing"/>
              <w:rPr>
                <w:rFonts w:ascii="Times New Roman" w:eastAsia="Times New Roman" w:hAnsi="Times New Roman"/>
                <w:color w:val="FFFFFF" w:themeColor="background1"/>
                <w:sz w:val="20"/>
                <w:szCs w:val="20"/>
              </w:rPr>
            </w:pPr>
            <w:r w:rsidRPr="00C93347">
              <w:rPr>
                <w:rFonts w:ascii="Times New Roman" w:eastAsia="Times New Roman" w:hAnsi="Times New Roman"/>
                <w:color w:val="FFFFFF" w:themeColor="background1"/>
                <w:sz w:val="20"/>
                <w:szCs w:val="20"/>
              </w:rPr>
              <w:t xml:space="preserve">Range of Spearman Correlation Coefficient  </w:t>
            </w:r>
            <w:r w:rsidR="000C1F1C" w:rsidRPr="00C93347">
              <w:rPr>
                <w:rFonts w:ascii="Times New Roman" w:eastAsia="Times New Roman" w:hAnsi="Times New Roman"/>
                <w:color w:val="FFFFFF" w:themeColor="background1"/>
                <w:sz w:val="20"/>
                <w:szCs w:val="20"/>
              </w:rPr>
              <w:t xml:space="preserve"> </w:t>
            </w:r>
          </w:p>
        </w:tc>
      </w:tr>
      <w:tr w:rsidR="000C1F1C" w:rsidRPr="00C93347" w14:paraId="2C709479" w14:textId="77777777" w:rsidTr="000C1F1C">
        <w:trPr>
          <w:trHeight w:val="238"/>
          <w:jc w:val="center"/>
        </w:trPr>
        <w:tc>
          <w:tcPr>
            <w:tcW w:w="3703" w:type="pct"/>
            <w:tcBorders>
              <w:top w:val="single" w:sz="4" w:space="0" w:color="auto"/>
              <w:left w:val="single" w:sz="4" w:space="0" w:color="auto"/>
              <w:bottom w:val="dotted" w:sz="4" w:space="0" w:color="F2F2F2"/>
              <w:right w:val="single" w:sz="4" w:space="0" w:color="auto"/>
            </w:tcBorders>
            <w:shd w:val="clear" w:color="auto" w:fill="auto"/>
            <w:noWrap/>
            <w:vAlign w:val="center"/>
            <w:hideMark/>
          </w:tcPr>
          <w:p w14:paraId="0CDD62BD" w14:textId="5FCE3584" w:rsidR="000C1F1C" w:rsidRPr="00C93347" w:rsidRDefault="000C1F1C" w:rsidP="006F3256">
            <w:pPr>
              <w:pStyle w:val="NoSpacing"/>
              <w:rPr>
                <w:rFonts w:ascii="Times New Roman" w:eastAsia="Times New Roman" w:hAnsi="Times New Roman"/>
                <w:color w:val="FF0000"/>
                <w:sz w:val="20"/>
                <w:szCs w:val="20"/>
              </w:rPr>
            </w:pPr>
            <w:r w:rsidRPr="00C93347">
              <w:rPr>
                <w:rFonts w:ascii="Times New Roman" w:eastAsia="Times New Roman" w:hAnsi="Times New Roman"/>
                <w:color w:val="FF0000"/>
                <w:sz w:val="20"/>
                <w:szCs w:val="20"/>
              </w:rPr>
              <w:t>Payment &amp; Value of Care (AMI, HF, PN measures)</w:t>
            </w:r>
          </w:p>
        </w:tc>
        <w:tc>
          <w:tcPr>
            <w:tcW w:w="1297" w:type="pct"/>
            <w:tcBorders>
              <w:top w:val="single" w:sz="4" w:space="0" w:color="auto"/>
              <w:left w:val="nil"/>
              <w:bottom w:val="dotted" w:sz="4" w:space="0" w:color="F2F2F2"/>
              <w:right w:val="single" w:sz="4" w:space="0" w:color="auto"/>
            </w:tcBorders>
            <w:shd w:val="clear" w:color="auto" w:fill="auto"/>
            <w:noWrap/>
            <w:vAlign w:val="bottom"/>
          </w:tcPr>
          <w:p w14:paraId="24219AF8" w14:textId="28621BCF" w:rsidR="000C1F1C" w:rsidRPr="00C93347" w:rsidRDefault="000C1F1C" w:rsidP="006F3256">
            <w:pPr>
              <w:pStyle w:val="NoSpacing"/>
              <w:rPr>
                <w:rFonts w:ascii="Times New Roman" w:eastAsia="Times New Roman" w:hAnsi="Times New Roman"/>
                <w:color w:val="FF0000"/>
                <w:sz w:val="20"/>
                <w:szCs w:val="20"/>
              </w:rPr>
            </w:pPr>
            <w:r w:rsidRPr="00C93347">
              <w:rPr>
                <w:rFonts w:ascii="Times New Roman" w:eastAsia="Times New Roman" w:hAnsi="Times New Roman"/>
                <w:color w:val="FF0000"/>
                <w:sz w:val="20"/>
                <w:szCs w:val="20"/>
              </w:rPr>
              <w:t>+0.13 to +0.49</w:t>
            </w:r>
          </w:p>
        </w:tc>
      </w:tr>
      <w:tr w:rsidR="000C1F1C" w:rsidRPr="00C93347" w14:paraId="58B1D448" w14:textId="77777777" w:rsidTr="000C1F1C">
        <w:trPr>
          <w:trHeight w:val="238"/>
          <w:jc w:val="center"/>
        </w:trPr>
        <w:tc>
          <w:tcPr>
            <w:tcW w:w="3703" w:type="pct"/>
            <w:tcBorders>
              <w:top w:val="nil"/>
              <w:left w:val="single" w:sz="4" w:space="0" w:color="auto"/>
              <w:bottom w:val="dotted" w:sz="4" w:space="0" w:color="F2F2F2"/>
              <w:right w:val="single" w:sz="4" w:space="0" w:color="auto"/>
            </w:tcBorders>
            <w:shd w:val="clear" w:color="auto" w:fill="auto"/>
            <w:noWrap/>
            <w:vAlign w:val="center"/>
            <w:hideMark/>
          </w:tcPr>
          <w:p w14:paraId="75FCBAFF" w14:textId="5FD4A118" w:rsidR="000C1F1C" w:rsidRPr="00C93347" w:rsidRDefault="000C1F1C" w:rsidP="006F3256">
            <w:pPr>
              <w:pStyle w:val="NoSpacing"/>
              <w:rPr>
                <w:rFonts w:ascii="Times New Roman" w:eastAsia="Times New Roman" w:hAnsi="Times New Roman"/>
                <w:color w:val="FF0000"/>
                <w:sz w:val="20"/>
                <w:szCs w:val="20"/>
              </w:rPr>
            </w:pPr>
            <w:r w:rsidRPr="00C93347">
              <w:rPr>
                <w:rFonts w:ascii="Times New Roman" w:eastAsia="Times New Roman" w:hAnsi="Times New Roman"/>
                <w:color w:val="FF0000"/>
                <w:sz w:val="20"/>
                <w:szCs w:val="20"/>
              </w:rPr>
              <w:t>Timely and Effective Care: Average/Median Time Spent Before Being Sent Home or Admitted</w:t>
            </w:r>
          </w:p>
        </w:tc>
        <w:tc>
          <w:tcPr>
            <w:tcW w:w="1297" w:type="pct"/>
            <w:tcBorders>
              <w:top w:val="nil"/>
              <w:left w:val="nil"/>
              <w:bottom w:val="dotted" w:sz="4" w:space="0" w:color="F2F2F2"/>
              <w:right w:val="single" w:sz="4" w:space="0" w:color="auto"/>
            </w:tcBorders>
            <w:shd w:val="clear" w:color="auto" w:fill="auto"/>
            <w:noWrap/>
            <w:vAlign w:val="bottom"/>
            <w:hideMark/>
          </w:tcPr>
          <w:p w14:paraId="7B9ECF0E" w14:textId="734C773C" w:rsidR="000C1F1C" w:rsidRPr="00C93347" w:rsidRDefault="0040013C" w:rsidP="006F3256">
            <w:pPr>
              <w:pStyle w:val="NoSpacing"/>
              <w:rPr>
                <w:rFonts w:ascii="Times New Roman" w:eastAsia="Times New Roman" w:hAnsi="Times New Roman"/>
                <w:color w:val="FF0000"/>
                <w:sz w:val="20"/>
                <w:szCs w:val="20"/>
              </w:rPr>
            </w:pPr>
            <w:r w:rsidRPr="00C93347">
              <w:rPr>
                <w:rFonts w:ascii="Times New Roman" w:hAnsi="Times New Roman"/>
                <w:color w:val="FF0000"/>
                <w:sz w:val="20"/>
                <w:szCs w:val="20"/>
              </w:rPr>
              <w:t>+0.26 to +0.45</w:t>
            </w:r>
          </w:p>
        </w:tc>
      </w:tr>
      <w:tr w:rsidR="000C1F1C" w:rsidRPr="00C93347" w14:paraId="06AFC59A" w14:textId="77777777" w:rsidTr="000C1F1C">
        <w:trPr>
          <w:trHeight w:val="238"/>
          <w:jc w:val="center"/>
        </w:trPr>
        <w:tc>
          <w:tcPr>
            <w:tcW w:w="3703" w:type="pct"/>
            <w:tcBorders>
              <w:top w:val="nil"/>
              <w:left w:val="single" w:sz="4" w:space="0" w:color="auto"/>
              <w:bottom w:val="dotted" w:sz="4" w:space="0" w:color="F2F2F2"/>
              <w:right w:val="single" w:sz="4" w:space="0" w:color="auto"/>
            </w:tcBorders>
            <w:shd w:val="clear" w:color="auto" w:fill="auto"/>
            <w:noWrap/>
            <w:vAlign w:val="center"/>
            <w:hideMark/>
          </w:tcPr>
          <w:p w14:paraId="3929A54C" w14:textId="291205BB" w:rsidR="000C1F1C" w:rsidRPr="00C93347" w:rsidRDefault="000C1F1C" w:rsidP="006F3256">
            <w:pPr>
              <w:pStyle w:val="NoSpacing"/>
              <w:rPr>
                <w:rFonts w:ascii="Times New Roman" w:eastAsia="Times New Roman" w:hAnsi="Times New Roman"/>
                <w:color w:val="FF0000"/>
                <w:sz w:val="20"/>
                <w:szCs w:val="20"/>
              </w:rPr>
            </w:pPr>
            <w:r w:rsidRPr="00C93347">
              <w:rPr>
                <w:rFonts w:ascii="Times New Roman" w:eastAsia="Times New Roman" w:hAnsi="Times New Roman"/>
                <w:color w:val="FF0000"/>
                <w:sz w:val="20"/>
                <w:szCs w:val="20"/>
              </w:rPr>
              <w:t xml:space="preserve">HVBP Clinical Outcome Domain Measures (AMI, HF, PN survival performance period rates) </w:t>
            </w:r>
          </w:p>
        </w:tc>
        <w:tc>
          <w:tcPr>
            <w:tcW w:w="1297" w:type="pct"/>
            <w:tcBorders>
              <w:top w:val="nil"/>
              <w:left w:val="nil"/>
              <w:bottom w:val="dotted" w:sz="4" w:space="0" w:color="F2F2F2"/>
              <w:right w:val="single" w:sz="4" w:space="0" w:color="auto"/>
            </w:tcBorders>
            <w:shd w:val="clear" w:color="auto" w:fill="auto"/>
            <w:noWrap/>
            <w:vAlign w:val="bottom"/>
          </w:tcPr>
          <w:p w14:paraId="0DB737F8" w14:textId="5050751E" w:rsidR="000C1F1C" w:rsidRPr="00C93347" w:rsidRDefault="0040013C" w:rsidP="006F3256">
            <w:pPr>
              <w:pStyle w:val="NoSpacing"/>
              <w:rPr>
                <w:rFonts w:ascii="Times New Roman" w:eastAsia="Times New Roman" w:hAnsi="Times New Roman"/>
                <w:color w:val="FF0000"/>
                <w:sz w:val="20"/>
                <w:szCs w:val="20"/>
              </w:rPr>
            </w:pPr>
            <w:r w:rsidRPr="00C93347">
              <w:rPr>
                <w:rFonts w:ascii="Times New Roman" w:eastAsia="Times New Roman" w:hAnsi="Times New Roman"/>
                <w:color w:val="FF0000"/>
                <w:sz w:val="20"/>
                <w:szCs w:val="20"/>
              </w:rPr>
              <w:t>+0.13</w:t>
            </w:r>
            <w:r w:rsidR="000C1F1C" w:rsidRPr="00C93347">
              <w:rPr>
                <w:rFonts w:ascii="Times New Roman" w:eastAsia="Times New Roman" w:hAnsi="Times New Roman"/>
                <w:color w:val="FF0000"/>
                <w:sz w:val="20"/>
                <w:szCs w:val="20"/>
              </w:rPr>
              <w:t xml:space="preserve"> to +0.20</w:t>
            </w:r>
          </w:p>
        </w:tc>
      </w:tr>
      <w:tr w:rsidR="000C1F1C" w:rsidRPr="00C93347" w14:paraId="4D21DA71" w14:textId="77777777" w:rsidTr="000C1F1C">
        <w:trPr>
          <w:trHeight w:val="238"/>
          <w:jc w:val="center"/>
        </w:trPr>
        <w:tc>
          <w:tcPr>
            <w:tcW w:w="3703" w:type="pct"/>
            <w:tcBorders>
              <w:top w:val="nil"/>
              <w:left w:val="single" w:sz="4" w:space="0" w:color="auto"/>
              <w:bottom w:val="dotted" w:sz="4" w:space="0" w:color="F2F2F2"/>
              <w:right w:val="single" w:sz="4" w:space="0" w:color="auto"/>
            </w:tcBorders>
            <w:shd w:val="clear" w:color="auto" w:fill="auto"/>
            <w:noWrap/>
            <w:vAlign w:val="center"/>
            <w:hideMark/>
          </w:tcPr>
          <w:p w14:paraId="203C5786" w14:textId="3690B754" w:rsidR="000C1F1C" w:rsidRPr="00C93347" w:rsidRDefault="000C1F1C" w:rsidP="006F3256">
            <w:pPr>
              <w:pStyle w:val="NoSpacing"/>
              <w:rPr>
                <w:rFonts w:ascii="Times New Roman" w:eastAsia="Times New Roman" w:hAnsi="Times New Roman"/>
                <w:color w:val="FF0000"/>
                <w:sz w:val="20"/>
                <w:szCs w:val="20"/>
              </w:rPr>
            </w:pPr>
            <w:r w:rsidRPr="00C93347">
              <w:rPr>
                <w:rFonts w:ascii="Times New Roman" w:eastAsia="Times New Roman" w:hAnsi="Times New Roman"/>
                <w:color w:val="FF0000"/>
                <w:sz w:val="20"/>
                <w:szCs w:val="20"/>
              </w:rPr>
              <w:t>HVBP Patient Care and Experience Domain Measures (HCAHPS questions on communication cleanliness, and care transitions)</w:t>
            </w:r>
          </w:p>
        </w:tc>
        <w:tc>
          <w:tcPr>
            <w:tcW w:w="1297" w:type="pct"/>
            <w:tcBorders>
              <w:top w:val="nil"/>
              <w:left w:val="nil"/>
              <w:bottom w:val="dotted" w:sz="4" w:space="0" w:color="F2F2F2"/>
              <w:right w:val="single" w:sz="4" w:space="0" w:color="auto"/>
            </w:tcBorders>
            <w:shd w:val="clear" w:color="auto" w:fill="auto"/>
            <w:noWrap/>
            <w:vAlign w:val="bottom"/>
            <w:hideMark/>
          </w:tcPr>
          <w:p w14:paraId="45F67A75" w14:textId="47752705" w:rsidR="000C1F1C" w:rsidRPr="00C93347" w:rsidRDefault="007702BB" w:rsidP="006F3256">
            <w:pPr>
              <w:pStyle w:val="NoSpacing"/>
              <w:rPr>
                <w:rFonts w:ascii="Times New Roman" w:eastAsia="Times New Roman" w:hAnsi="Times New Roman"/>
                <w:color w:val="FF0000"/>
                <w:sz w:val="20"/>
                <w:szCs w:val="20"/>
              </w:rPr>
            </w:pPr>
            <w:r w:rsidRPr="00C93347">
              <w:rPr>
                <w:rFonts w:ascii="Times New Roman" w:hAnsi="Times New Roman"/>
                <w:color w:val="FF0000"/>
                <w:sz w:val="20"/>
                <w:szCs w:val="20"/>
              </w:rPr>
              <w:t>-0.38 to +0.04</w:t>
            </w:r>
          </w:p>
        </w:tc>
      </w:tr>
      <w:tr w:rsidR="000C1F1C" w:rsidRPr="00C93347" w14:paraId="66788E72" w14:textId="77777777" w:rsidTr="000C1F1C">
        <w:trPr>
          <w:trHeight w:val="257"/>
          <w:jc w:val="center"/>
        </w:trPr>
        <w:tc>
          <w:tcPr>
            <w:tcW w:w="3703" w:type="pct"/>
            <w:tcBorders>
              <w:top w:val="nil"/>
              <w:left w:val="single" w:sz="4" w:space="0" w:color="auto"/>
              <w:bottom w:val="single" w:sz="8" w:space="0" w:color="auto"/>
              <w:right w:val="single" w:sz="4" w:space="0" w:color="auto"/>
            </w:tcBorders>
            <w:shd w:val="clear" w:color="auto" w:fill="auto"/>
            <w:noWrap/>
            <w:vAlign w:val="center"/>
            <w:hideMark/>
          </w:tcPr>
          <w:p w14:paraId="3B09E70F" w14:textId="6AE3B302" w:rsidR="000C1F1C" w:rsidRPr="00C93347" w:rsidRDefault="000C1F1C" w:rsidP="006F3256">
            <w:pPr>
              <w:pStyle w:val="NoSpacing"/>
              <w:rPr>
                <w:rFonts w:ascii="Times New Roman" w:eastAsia="Times New Roman" w:hAnsi="Times New Roman"/>
                <w:color w:val="FF0000"/>
                <w:sz w:val="20"/>
                <w:szCs w:val="20"/>
              </w:rPr>
            </w:pPr>
            <w:r w:rsidRPr="00C93347">
              <w:rPr>
                <w:rFonts w:ascii="Times New Roman" w:eastAsia="Times New Roman" w:hAnsi="Times New Roman"/>
                <w:color w:val="FF0000"/>
                <w:sz w:val="20"/>
                <w:szCs w:val="20"/>
              </w:rPr>
              <w:t>HVBP Safety Domain Measures (HAI 01-06, PC01)</w:t>
            </w:r>
          </w:p>
        </w:tc>
        <w:tc>
          <w:tcPr>
            <w:tcW w:w="1297" w:type="pct"/>
            <w:tcBorders>
              <w:top w:val="nil"/>
              <w:left w:val="nil"/>
              <w:bottom w:val="single" w:sz="8" w:space="0" w:color="auto"/>
              <w:right w:val="single" w:sz="4" w:space="0" w:color="auto"/>
            </w:tcBorders>
            <w:shd w:val="clear" w:color="auto" w:fill="auto"/>
            <w:noWrap/>
            <w:vAlign w:val="bottom"/>
            <w:hideMark/>
          </w:tcPr>
          <w:p w14:paraId="05F20F28" w14:textId="7A982185" w:rsidR="000C1F1C" w:rsidRPr="00C93347" w:rsidRDefault="000C1F1C" w:rsidP="006F3256">
            <w:pPr>
              <w:pStyle w:val="NoSpacing"/>
              <w:rPr>
                <w:rFonts w:ascii="Times New Roman" w:eastAsia="Times New Roman" w:hAnsi="Times New Roman"/>
                <w:color w:val="FF0000"/>
                <w:sz w:val="20"/>
                <w:szCs w:val="20"/>
              </w:rPr>
            </w:pPr>
            <w:r w:rsidRPr="00C93347">
              <w:rPr>
                <w:rFonts w:ascii="Times New Roman" w:eastAsia="Times New Roman" w:hAnsi="Times New Roman"/>
                <w:color w:val="FF0000"/>
                <w:sz w:val="20"/>
                <w:szCs w:val="20"/>
              </w:rPr>
              <w:t>+0.06 to +0.17</w:t>
            </w:r>
          </w:p>
        </w:tc>
      </w:tr>
    </w:tbl>
    <w:p w14:paraId="6AA3C177" w14:textId="3D9D6D25" w:rsidR="00637DC6" w:rsidRPr="006F3256" w:rsidRDefault="00637DC6" w:rsidP="006F3256">
      <w:pPr>
        <w:pStyle w:val="NoSpacing"/>
        <w:rPr>
          <w:rFonts w:cstheme="minorHAnsi"/>
          <w:color w:val="FF0000"/>
        </w:rPr>
      </w:pPr>
    </w:p>
    <w:p w14:paraId="40D51ABC" w14:textId="159F60D0" w:rsidR="006F3256" w:rsidRDefault="006F3256" w:rsidP="00637DC6">
      <w:pPr>
        <w:autoSpaceDE w:val="0"/>
        <w:autoSpaceDN w:val="0"/>
        <w:adjustRightInd w:val="0"/>
        <w:spacing w:after="0" w:line="240" w:lineRule="auto"/>
        <w:rPr>
          <w:rFonts w:cstheme="minorHAnsi"/>
          <w:bCs/>
          <w:color w:val="0070C0"/>
        </w:rPr>
      </w:pPr>
    </w:p>
    <w:p w14:paraId="108E4CA5" w14:textId="730E634A" w:rsidR="00F0695E" w:rsidRPr="006F3256" w:rsidRDefault="00F0695E" w:rsidP="006F3256">
      <w:pPr>
        <w:pStyle w:val="NoSpacing"/>
        <w:rPr>
          <w:u w:val="single"/>
        </w:rPr>
      </w:pPr>
      <w:r w:rsidRPr="006F3256">
        <w:rPr>
          <w:u w:val="single"/>
        </w:rPr>
        <w:t>Previous Response (2016)</w:t>
      </w:r>
    </w:p>
    <w:p w14:paraId="07D966CA" w14:textId="51351CF1" w:rsidR="00F0695E" w:rsidRDefault="00F0695E" w:rsidP="006F3256">
      <w:pPr>
        <w:pStyle w:val="NoSpacing"/>
      </w:pPr>
      <w:r w:rsidRPr="009E7A71">
        <w:rPr>
          <w:i/>
        </w:rPr>
        <w:t xml:space="preserve">Correlation with Another Measure of Medicare Spending: </w:t>
      </w:r>
      <w:r w:rsidRPr="009E7A71">
        <w:t>For each year for which the risk-adjusted, standardized, per capita HRR-level measure data were available (2007 to 2014), the MSPB-Hospital measure had a positive correlation of at least 0.5 with the corresponding HRR-level measure.  From 2007 to 2014, the lowest Spearman rank correlation for a given year was 0.53 and the lowest Pearson correlation coefficient was 0.51; during the same period, the highest Spearman rank correlation was 0.63 and the highest Pearson correlation coefficient was 0.61.</w:t>
      </w:r>
    </w:p>
    <w:p w14:paraId="7DA4282F" w14:textId="77777777" w:rsidR="006F3256" w:rsidRPr="009E7A71" w:rsidRDefault="006F3256" w:rsidP="006F3256">
      <w:pPr>
        <w:pStyle w:val="NoSpacing"/>
      </w:pPr>
    </w:p>
    <w:p w14:paraId="3A4902E3" w14:textId="5A90AD42" w:rsidR="00F0695E" w:rsidRDefault="00F0695E" w:rsidP="006F3256">
      <w:pPr>
        <w:pStyle w:val="NoSpacing"/>
      </w:pPr>
      <w:r w:rsidRPr="009E7A71">
        <w:rPr>
          <w:i/>
        </w:rPr>
        <w:t>Correlation with Service Utilization Rates:</w:t>
      </w:r>
      <w:r w:rsidRPr="009E7A71">
        <w:t xml:space="preserve"> The MSPB-Hospital measure had a Pearson correlation of 0.42 with professional E&amp;M services per episode and a Pearson correlation of 0.52 with post-acute skilled nursing and inpatient services per episode.</w:t>
      </w:r>
    </w:p>
    <w:p w14:paraId="7B539982" w14:textId="77777777" w:rsidR="006F3256" w:rsidRPr="009E7A71" w:rsidRDefault="006F3256" w:rsidP="006F3256">
      <w:pPr>
        <w:pStyle w:val="NoSpacing"/>
      </w:pPr>
    </w:p>
    <w:p w14:paraId="1E009E73" w14:textId="55003189" w:rsidR="00F0695E" w:rsidRDefault="00F0695E" w:rsidP="006F3256">
      <w:pPr>
        <w:pStyle w:val="NoSpacing"/>
      </w:pPr>
      <w:r w:rsidRPr="009E7A71">
        <w:rPr>
          <w:i/>
        </w:rPr>
        <w:t>Cost Variation by Time Period:</w:t>
      </w:r>
      <w:r w:rsidRPr="009E7A71">
        <w:t xml:space="preserve"> For the MSPB-Hospital measure, costs during the post-discharge period account for over 84 percent of total MSPB-Hospital episode cost variance, while costs from the period 3 days prior to and during the index admission account for just over 11 percent of total episode cost variance.  These results are also shown in Appendix Table 2b2-1.</w:t>
      </w:r>
    </w:p>
    <w:p w14:paraId="03792BC4" w14:textId="77777777" w:rsidR="006F3256" w:rsidRDefault="006F3256" w:rsidP="006F3256">
      <w:pPr>
        <w:pStyle w:val="NoSpacing"/>
      </w:pPr>
    </w:p>
    <w:p w14:paraId="04B9A257" w14:textId="74BD6041" w:rsidR="00FC3C3C" w:rsidRPr="00CD6B52" w:rsidRDefault="00FC3C3C" w:rsidP="006F3256">
      <w:pPr>
        <w:pStyle w:val="NoSpacing"/>
      </w:pPr>
      <w:r w:rsidRPr="006F3256">
        <w:rPr>
          <w:u w:val="single"/>
        </w:rPr>
        <w:t>Previous Response (2016) Appendix A</w:t>
      </w:r>
      <w:r w:rsidR="006F3256" w:rsidRPr="006F3256">
        <w:rPr>
          <w:u w:val="single"/>
        </w:rPr>
        <w:t>:</w:t>
      </w:r>
      <w:r w:rsidR="006F3256">
        <w:t xml:space="preserve"> </w:t>
      </w:r>
      <w:r w:rsidRPr="00CD6B52">
        <w:t>The MSPB-Hospital measure submission demonstrated measure validity using three analyses.  The first analysis showed correlation of the MSPB-Hospital measure with a measure of per-capita spending at the Hospital Referral Region (HRR) level.  The second analysis showed correlation with a measure of hospital-level averages of service utilization.  Finally, the third analysis examined cost variation by time period in the MSPB-Hospital episode.</w:t>
      </w:r>
    </w:p>
    <w:p w14:paraId="12AB69A2" w14:textId="77777777" w:rsidR="006F3256" w:rsidRDefault="006F3256" w:rsidP="006F3256">
      <w:pPr>
        <w:pStyle w:val="NoSpacing"/>
        <w:rPr>
          <w:rFonts w:ascii="Times New Roman" w:hAnsi="Times New Roman"/>
          <w:i/>
          <w:iCs/>
        </w:rPr>
      </w:pPr>
    </w:p>
    <w:p w14:paraId="6353AF02" w14:textId="151646EB" w:rsidR="00FC3C3C" w:rsidRPr="006F3256" w:rsidRDefault="00FC3C3C" w:rsidP="006F3256">
      <w:pPr>
        <w:pStyle w:val="NoSpacing"/>
        <w:rPr>
          <w:rFonts w:ascii="Times New Roman" w:hAnsi="Times New Roman"/>
          <w:i/>
          <w:iCs/>
        </w:rPr>
      </w:pPr>
      <w:r w:rsidRPr="006F3256">
        <w:rPr>
          <w:rFonts w:ascii="Times New Roman" w:hAnsi="Times New Roman"/>
          <w:i/>
          <w:iCs/>
        </w:rPr>
        <w:t>NQF Committee Feedback</w:t>
      </w:r>
      <w:r w:rsidR="006F3256" w:rsidRPr="006F3256">
        <w:rPr>
          <w:rFonts w:ascii="Times New Roman" w:hAnsi="Times New Roman"/>
          <w:i/>
          <w:iCs/>
        </w:rPr>
        <w:t>:</w:t>
      </w:r>
      <w:r w:rsidR="006F3256">
        <w:rPr>
          <w:rFonts w:ascii="Times New Roman" w:hAnsi="Times New Roman"/>
          <w:i/>
          <w:iCs/>
        </w:rPr>
        <w:t xml:space="preserve"> </w:t>
      </w:r>
      <w:r w:rsidRPr="00CD6B52">
        <w:t>A committee member noted that the original 2012 submission of the MSPB-Hospital method included correlation analyses with condition-specific readmission measures.  The committee member asked why these analyses were not included in the current submission.</w:t>
      </w:r>
    </w:p>
    <w:p w14:paraId="3A3ACC23" w14:textId="77777777" w:rsidR="006F3256" w:rsidRDefault="006F3256" w:rsidP="006F3256">
      <w:pPr>
        <w:pStyle w:val="NoSpacing"/>
        <w:rPr>
          <w:rFonts w:ascii="Times New Roman" w:hAnsi="Times New Roman"/>
          <w:i/>
          <w:iCs/>
        </w:rPr>
      </w:pPr>
    </w:p>
    <w:p w14:paraId="3D4309FF" w14:textId="12B4B970" w:rsidR="00FC3C3C" w:rsidRDefault="00FC3C3C" w:rsidP="006F3256">
      <w:pPr>
        <w:pStyle w:val="NoSpacing"/>
      </w:pPr>
      <w:r w:rsidRPr="006F3256">
        <w:rPr>
          <w:rFonts w:ascii="Times New Roman" w:hAnsi="Times New Roman"/>
          <w:i/>
          <w:iCs/>
        </w:rPr>
        <w:t>Methods</w:t>
      </w:r>
      <w:r w:rsidR="006F3256" w:rsidRPr="006F3256">
        <w:rPr>
          <w:rFonts w:ascii="Times New Roman" w:hAnsi="Times New Roman"/>
          <w:i/>
          <w:iCs/>
        </w:rPr>
        <w:t>:</w:t>
      </w:r>
      <w:r w:rsidR="006F3256">
        <w:rPr>
          <w:rFonts w:ascii="Times New Roman" w:hAnsi="Times New Roman"/>
        </w:rPr>
        <w:t xml:space="preserve"> </w:t>
      </w:r>
      <w:r w:rsidRPr="00CD6B52">
        <w:t xml:space="preserve">Acumen appreciates the committee’s comment and looked into the impact of readmissions in general.  To examine the effects of readmission, Acumen calculated expected cost for episodes with and without an inpatient (IP) hospital readmission.  Specifically, the same MSPB-Hospital risk adjustment model was used to calculate expected cost with an additional flag included for whether an IP </w:t>
      </w:r>
      <w:r w:rsidRPr="00CD6B52">
        <w:lastRenderedPageBreak/>
        <w:t>readmission occurred in the episode window.  Acumen also calculated the measure score distribution for providers based on the percentage of a provider’s episodes that included an IP readmission.</w:t>
      </w:r>
    </w:p>
    <w:p w14:paraId="2058C4AD" w14:textId="77777777" w:rsidR="006F3256" w:rsidRPr="00CD6B52" w:rsidRDefault="006F3256" w:rsidP="006F3256">
      <w:pPr>
        <w:pStyle w:val="NoSpacing"/>
      </w:pPr>
    </w:p>
    <w:p w14:paraId="4FE355ED" w14:textId="77777777" w:rsidR="00FC3C3C" w:rsidRPr="00CD6B52" w:rsidRDefault="00FC3C3C" w:rsidP="006F3256">
      <w:pPr>
        <w:pStyle w:val="NoSpacing"/>
      </w:pPr>
      <w:r w:rsidRPr="00CD6B52">
        <w:t>Analyses comparing the MSPB-Hospital measure with the condition-specific readmission measures were excluded in the 2016 submission because the condition-specific readmission measures examine hospital performance on a specific set of conditions, while the MSPB-Hospital measure is intended to capture hospital performance across all acute conditions. Consequently, comparisons could be misleading. Since MSPB-Hospital is an all cost measure that includes all conditions, Acumen thought it would be more appropriate to look at the correlation between MSPB-Hospital and another broad-based all cost measure (i.e., the HRR measure).</w:t>
      </w:r>
    </w:p>
    <w:p w14:paraId="66414870" w14:textId="77777777" w:rsidR="006F3256" w:rsidRDefault="006F3256" w:rsidP="006F3256">
      <w:pPr>
        <w:pStyle w:val="NoSpacing"/>
        <w:rPr>
          <w:rFonts w:ascii="Times New Roman" w:hAnsi="Times New Roman"/>
          <w:i/>
          <w:iCs/>
        </w:rPr>
      </w:pPr>
    </w:p>
    <w:p w14:paraId="231A3702" w14:textId="00261677" w:rsidR="00FC3C3C" w:rsidRPr="006F3256" w:rsidRDefault="00FC3C3C" w:rsidP="006F3256">
      <w:pPr>
        <w:pStyle w:val="NoSpacing"/>
        <w:rPr>
          <w:rFonts w:ascii="Times New Roman" w:hAnsi="Times New Roman"/>
          <w:i/>
          <w:iCs/>
        </w:rPr>
      </w:pPr>
      <w:r w:rsidRPr="006F3256">
        <w:rPr>
          <w:rFonts w:ascii="Times New Roman" w:hAnsi="Times New Roman"/>
          <w:i/>
          <w:iCs/>
        </w:rPr>
        <w:t>Results</w:t>
      </w:r>
      <w:r w:rsidR="006F3256" w:rsidRPr="006F3256">
        <w:rPr>
          <w:rFonts w:ascii="Times New Roman" w:hAnsi="Times New Roman"/>
          <w:i/>
          <w:iCs/>
        </w:rPr>
        <w:t>:</w:t>
      </w:r>
      <w:r w:rsidR="006F3256">
        <w:rPr>
          <w:rFonts w:ascii="Times New Roman" w:hAnsi="Times New Roman"/>
          <w:i/>
          <w:iCs/>
        </w:rPr>
        <w:t xml:space="preserve"> </w:t>
      </w:r>
      <w:r w:rsidRPr="00CD6B52">
        <w:t>The mean expected episode cost for episodes with an IP readmission was $24,144, while the mean expected episode cost for episodes without an IP readmission was $19,617.  Supplementary Table 3 presents the mean expected cost for episodes with and without an IP readmission.</w:t>
      </w:r>
    </w:p>
    <w:p w14:paraId="77BA39FB" w14:textId="77777777" w:rsidR="006F3256" w:rsidRPr="00CD6B52" w:rsidRDefault="006F3256" w:rsidP="006F3256">
      <w:pPr>
        <w:pStyle w:val="NoSpacing"/>
      </w:pPr>
    </w:p>
    <w:p w14:paraId="3FBD1833" w14:textId="77777777" w:rsidR="00FC3C3C" w:rsidRPr="00CD6B52" w:rsidRDefault="00FC3C3C" w:rsidP="006F3256">
      <w:pPr>
        <w:pStyle w:val="NoSpacing"/>
        <w:rPr>
          <w:rFonts w:ascii="Times New Roman" w:hAnsi="Times New Roman"/>
        </w:rPr>
      </w:pPr>
      <w:r w:rsidRPr="00CD6B52">
        <w:rPr>
          <w:rFonts w:ascii="Times New Roman" w:hAnsi="Times New Roman"/>
        </w:rPr>
        <w:t>Supplementary Table 3: Expected Cost for Episodes with and without IP Readmission</w:t>
      </w:r>
    </w:p>
    <w:tbl>
      <w:tblPr>
        <w:tblW w:w="5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340"/>
        <w:gridCol w:w="1532"/>
      </w:tblGrid>
      <w:tr w:rsidR="00FC3C3C" w:rsidRPr="00FC3C3C" w14:paraId="1854E3F4" w14:textId="77777777" w:rsidTr="006C3944">
        <w:trPr>
          <w:trHeight w:val="509"/>
          <w:jc w:val="center"/>
        </w:trPr>
        <w:tc>
          <w:tcPr>
            <w:tcW w:w="2820" w:type="dxa"/>
            <w:vMerge w:val="restart"/>
            <w:shd w:val="clear" w:color="000000" w:fill="203764"/>
            <w:noWrap/>
            <w:vAlign w:val="center"/>
            <w:hideMark/>
          </w:tcPr>
          <w:p w14:paraId="54563983" w14:textId="77777777" w:rsidR="00FC3C3C" w:rsidRPr="00CD6B52" w:rsidRDefault="00FC3C3C" w:rsidP="006F3256">
            <w:pPr>
              <w:pStyle w:val="NoSpacing"/>
              <w:rPr>
                <w:rFonts w:ascii="Times New Roman" w:eastAsia="Times New Roman" w:hAnsi="Times New Roman"/>
                <w:b/>
                <w:color w:val="FFFFFF"/>
              </w:rPr>
            </w:pPr>
            <w:r w:rsidRPr="00CD6B52">
              <w:rPr>
                <w:rFonts w:ascii="Times New Roman" w:eastAsia="Times New Roman" w:hAnsi="Times New Roman"/>
                <w:b/>
                <w:color w:val="FFFFFF"/>
              </w:rPr>
              <w:t>Episode Includes IP Readmission</w:t>
            </w:r>
          </w:p>
        </w:tc>
        <w:tc>
          <w:tcPr>
            <w:tcW w:w="1340" w:type="dxa"/>
            <w:vMerge w:val="restart"/>
            <w:shd w:val="clear" w:color="000000" w:fill="203764"/>
            <w:noWrap/>
            <w:vAlign w:val="center"/>
            <w:hideMark/>
          </w:tcPr>
          <w:p w14:paraId="0AE94064" w14:textId="77777777" w:rsidR="00FC3C3C" w:rsidRPr="00CD6B52" w:rsidRDefault="00FC3C3C" w:rsidP="006F3256">
            <w:pPr>
              <w:pStyle w:val="NoSpacing"/>
              <w:rPr>
                <w:rFonts w:ascii="Times New Roman" w:eastAsia="Times New Roman" w:hAnsi="Times New Roman"/>
                <w:b/>
                <w:color w:val="FFFFFF"/>
              </w:rPr>
            </w:pPr>
            <w:r w:rsidRPr="00CD6B52">
              <w:rPr>
                <w:rFonts w:ascii="Times New Roman" w:eastAsia="Times New Roman" w:hAnsi="Times New Roman"/>
                <w:b/>
                <w:color w:val="FFFFFF"/>
              </w:rPr>
              <w:t># of Episodes</w:t>
            </w:r>
          </w:p>
        </w:tc>
        <w:tc>
          <w:tcPr>
            <w:tcW w:w="1532" w:type="dxa"/>
            <w:vMerge w:val="restart"/>
            <w:shd w:val="clear" w:color="000000" w:fill="203764"/>
            <w:noWrap/>
            <w:vAlign w:val="center"/>
            <w:hideMark/>
          </w:tcPr>
          <w:p w14:paraId="31580216" w14:textId="77777777" w:rsidR="00FC3C3C" w:rsidRPr="00CD6B52" w:rsidRDefault="00FC3C3C" w:rsidP="006F3256">
            <w:pPr>
              <w:pStyle w:val="NoSpacing"/>
              <w:rPr>
                <w:rFonts w:ascii="Times New Roman" w:eastAsia="Times New Roman" w:hAnsi="Times New Roman"/>
                <w:b/>
                <w:color w:val="FFFFFF"/>
              </w:rPr>
            </w:pPr>
            <w:r w:rsidRPr="00CD6B52">
              <w:rPr>
                <w:rFonts w:ascii="Times New Roman" w:eastAsia="Times New Roman" w:hAnsi="Times New Roman"/>
                <w:b/>
                <w:color w:val="FFFFFF"/>
              </w:rPr>
              <w:t>Mean Expected Cost</w:t>
            </w:r>
          </w:p>
        </w:tc>
      </w:tr>
      <w:tr w:rsidR="00FC3C3C" w:rsidRPr="00FC3C3C" w14:paraId="6D5C03F6" w14:textId="77777777" w:rsidTr="006C3944">
        <w:trPr>
          <w:trHeight w:val="509"/>
          <w:jc w:val="center"/>
        </w:trPr>
        <w:tc>
          <w:tcPr>
            <w:tcW w:w="2820" w:type="dxa"/>
            <w:vMerge/>
            <w:vAlign w:val="center"/>
            <w:hideMark/>
          </w:tcPr>
          <w:p w14:paraId="0BB9D8F1" w14:textId="77777777" w:rsidR="00FC3C3C" w:rsidRPr="00CD6B52" w:rsidRDefault="00FC3C3C" w:rsidP="006F3256">
            <w:pPr>
              <w:pStyle w:val="NoSpacing"/>
              <w:rPr>
                <w:rFonts w:ascii="Times New Roman" w:eastAsia="Times New Roman" w:hAnsi="Times New Roman"/>
                <w:b/>
                <w:color w:val="FFFFFF"/>
              </w:rPr>
            </w:pPr>
          </w:p>
        </w:tc>
        <w:tc>
          <w:tcPr>
            <w:tcW w:w="1340" w:type="dxa"/>
            <w:vMerge/>
            <w:vAlign w:val="center"/>
            <w:hideMark/>
          </w:tcPr>
          <w:p w14:paraId="73C44C19" w14:textId="77777777" w:rsidR="00FC3C3C" w:rsidRPr="00CD6B52" w:rsidRDefault="00FC3C3C" w:rsidP="006F3256">
            <w:pPr>
              <w:pStyle w:val="NoSpacing"/>
              <w:rPr>
                <w:rFonts w:ascii="Times New Roman" w:eastAsia="Times New Roman" w:hAnsi="Times New Roman"/>
                <w:b/>
                <w:color w:val="FFFFFF"/>
              </w:rPr>
            </w:pPr>
          </w:p>
        </w:tc>
        <w:tc>
          <w:tcPr>
            <w:tcW w:w="1532" w:type="dxa"/>
            <w:vMerge/>
            <w:vAlign w:val="center"/>
            <w:hideMark/>
          </w:tcPr>
          <w:p w14:paraId="4CA83DE9" w14:textId="77777777" w:rsidR="00FC3C3C" w:rsidRPr="00CD6B52" w:rsidRDefault="00FC3C3C" w:rsidP="006F3256">
            <w:pPr>
              <w:pStyle w:val="NoSpacing"/>
              <w:rPr>
                <w:rFonts w:ascii="Times New Roman" w:eastAsia="Times New Roman" w:hAnsi="Times New Roman"/>
                <w:b/>
                <w:color w:val="FFFFFF"/>
              </w:rPr>
            </w:pPr>
          </w:p>
        </w:tc>
      </w:tr>
      <w:tr w:rsidR="00FC3C3C" w:rsidRPr="00FC3C3C" w14:paraId="137A2B49" w14:textId="77777777" w:rsidTr="006C3944">
        <w:trPr>
          <w:trHeight w:val="255"/>
          <w:jc w:val="center"/>
        </w:trPr>
        <w:tc>
          <w:tcPr>
            <w:tcW w:w="2820" w:type="dxa"/>
            <w:shd w:val="clear" w:color="auto" w:fill="auto"/>
            <w:noWrap/>
            <w:vAlign w:val="bottom"/>
            <w:hideMark/>
          </w:tcPr>
          <w:p w14:paraId="7E10D8EB"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No</w:t>
            </w:r>
          </w:p>
        </w:tc>
        <w:tc>
          <w:tcPr>
            <w:tcW w:w="1340" w:type="dxa"/>
            <w:shd w:val="clear" w:color="auto" w:fill="auto"/>
            <w:noWrap/>
            <w:vAlign w:val="center"/>
            <w:hideMark/>
          </w:tcPr>
          <w:p w14:paraId="675EA694"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4,366,851</w:t>
            </w:r>
          </w:p>
        </w:tc>
        <w:tc>
          <w:tcPr>
            <w:tcW w:w="1532" w:type="dxa"/>
            <w:shd w:val="clear" w:color="auto" w:fill="auto"/>
            <w:noWrap/>
            <w:vAlign w:val="center"/>
            <w:hideMark/>
          </w:tcPr>
          <w:p w14:paraId="35297BAB"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$19,617</w:t>
            </w:r>
          </w:p>
        </w:tc>
      </w:tr>
      <w:tr w:rsidR="00FC3C3C" w:rsidRPr="00FC3C3C" w14:paraId="24C4CDF9" w14:textId="77777777" w:rsidTr="006C3944">
        <w:trPr>
          <w:trHeight w:val="270"/>
          <w:jc w:val="center"/>
        </w:trPr>
        <w:tc>
          <w:tcPr>
            <w:tcW w:w="2820" w:type="dxa"/>
            <w:shd w:val="clear" w:color="auto" w:fill="auto"/>
            <w:noWrap/>
            <w:vAlign w:val="bottom"/>
            <w:hideMark/>
          </w:tcPr>
          <w:p w14:paraId="50DB5307"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Yes</w:t>
            </w:r>
          </w:p>
        </w:tc>
        <w:tc>
          <w:tcPr>
            <w:tcW w:w="1340" w:type="dxa"/>
            <w:shd w:val="clear" w:color="auto" w:fill="auto"/>
            <w:noWrap/>
            <w:vAlign w:val="center"/>
            <w:hideMark/>
          </w:tcPr>
          <w:p w14:paraId="090D26A3"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1,053,782</w:t>
            </w:r>
          </w:p>
        </w:tc>
        <w:tc>
          <w:tcPr>
            <w:tcW w:w="1532" w:type="dxa"/>
            <w:shd w:val="clear" w:color="auto" w:fill="auto"/>
            <w:noWrap/>
            <w:vAlign w:val="center"/>
            <w:hideMark/>
          </w:tcPr>
          <w:p w14:paraId="588FEEB0"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$24,144</w:t>
            </w:r>
          </w:p>
        </w:tc>
      </w:tr>
    </w:tbl>
    <w:p w14:paraId="5B65930E" w14:textId="77777777" w:rsidR="00121638" w:rsidRDefault="00121638" w:rsidP="006F3256">
      <w:pPr>
        <w:pStyle w:val="NoSpacing"/>
      </w:pPr>
    </w:p>
    <w:p w14:paraId="2D1EA2D9" w14:textId="7670AB39" w:rsidR="00FC3C3C" w:rsidRDefault="00FC3C3C" w:rsidP="006F3256">
      <w:pPr>
        <w:pStyle w:val="NoSpacing"/>
      </w:pPr>
      <w:r w:rsidRPr="00CD6B52">
        <w:t>Supplementary Table 4 presents the measure score distribution across providers with varying percentages of episodes that include an IP readmission.</w:t>
      </w:r>
    </w:p>
    <w:p w14:paraId="0E5FF8F4" w14:textId="77777777" w:rsidR="006F3256" w:rsidRPr="00CD6B52" w:rsidRDefault="006F3256" w:rsidP="006F3256">
      <w:pPr>
        <w:pStyle w:val="NoSpacing"/>
      </w:pPr>
    </w:p>
    <w:p w14:paraId="0B5A2D10" w14:textId="77777777" w:rsidR="00FC3C3C" w:rsidRPr="00CD6B52" w:rsidRDefault="00FC3C3C" w:rsidP="006F3256">
      <w:pPr>
        <w:pStyle w:val="NoSpacing"/>
        <w:rPr>
          <w:rFonts w:ascii="Times New Roman" w:hAnsi="Times New Roman"/>
        </w:rPr>
      </w:pPr>
      <w:r w:rsidRPr="00CD6B52">
        <w:rPr>
          <w:rFonts w:ascii="Times New Roman" w:hAnsi="Times New Roman"/>
        </w:rPr>
        <w:t>Supplementary Table 4: MSPB-Hospital Measure Scores by % of IP Readmission Episodes</w:t>
      </w:r>
    </w:p>
    <w:tbl>
      <w:tblPr>
        <w:tblW w:w="7915" w:type="dxa"/>
        <w:jc w:val="center"/>
        <w:tblLook w:val="04A0" w:firstRow="1" w:lastRow="0" w:firstColumn="1" w:lastColumn="0" w:noHBand="0" w:noVBand="1"/>
      </w:tblPr>
      <w:tblGrid>
        <w:gridCol w:w="4475"/>
        <w:gridCol w:w="1340"/>
        <w:gridCol w:w="2100"/>
      </w:tblGrid>
      <w:tr w:rsidR="00FC3C3C" w:rsidRPr="00FC3C3C" w14:paraId="39E760ED" w14:textId="77777777" w:rsidTr="006C3944">
        <w:trPr>
          <w:trHeight w:val="509"/>
          <w:jc w:val="center"/>
        </w:trPr>
        <w:tc>
          <w:tcPr>
            <w:tcW w:w="4475" w:type="dxa"/>
            <w:vMerge w:val="restart"/>
            <w:tcBorders>
              <w:top w:val="single" w:sz="8" w:space="0" w:color="auto"/>
              <w:left w:val="single" w:sz="4" w:space="0" w:color="auto"/>
              <w:bottom w:val="single" w:sz="4" w:space="0" w:color="000000"/>
              <w:right w:val="single" w:sz="4" w:space="0" w:color="auto"/>
            </w:tcBorders>
            <w:shd w:val="clear" w:color="000000" w:fill="203764"/>
            <w:noWrap/>
            <w:vAlign w:val="center"/>
            <w:hideMark/>
          </w:tcPr>
          <w:p w14:paraId="1D7F6434" w14:textId="77777777" w:rsidR="00FC3C3C" w:rsidRPr="00CD6B52" w:rsidRDefault="00FC3C3C" w:rsidP="006F3256">
            <w:pPr>
              <w:pStyle w:val="NoSpacing"/>
              <w:rPr>
                <w:rFonts w:ascii="Times New Roman" w:eastAsia="Times New Roman" w:hAnsi="Times New Roman"/>
                <w:b/>
                <w:color w:val="FFFFFF"/>
              </w:rPr>
            </w:pPr>
            <w:r w:rsidRPr="00CD6B52">
              <w:rPr>
                <w:rFonts w:ascii="Times New Roman" w:eastAsia="Times New Roman" w:hAnsi="Times New Roman"/>
                <w:b/>
                <w:color w:val="FFFFFF"/>
              </w:rPr>
              <w:t>Range</w:t>
            </w:r>
          </w:p>
        </w:tc>
        <w:tc>
          <w:tcPr>
            <w:tcW w:w="1340" w:type="dxa"/>
            <w:vMerge w:val="restart"/>
            <w:tcBorders>
              <w:top w:val="single" w:sz="8" w:space="0" w:color="auto"/>
              <w:left w:val="single" w:sz="4" w:space="0" w:color="auto"/>
              <w:bottom w:val="single" w:sz="4" w:space="0" w:color="auto"/>
              <w:right w:val="single" w:sz="4" w:space="0" w:color="auto"/>
            </w:tcBorders>
            <w:shd w:val="clear" w:color="000000" w:fill="203764"/>
            <w:noWrap/>
            <w:vAlign w:val="center"/>
            <w:hideMark/>
          </w:tcPr>
          <w:p w14:paraId="3B33EADE" w14:textId="77777777" w:rsidR="00FC3C3C" w:rsidRPr="00CD6B52" w:rsidRDefault="00FC3C3C" w:rsidP="006F3256">
            <w:pPr>
              <w:pStyle w:val="NoSpacing"/>
              <w:rPr>
                <w:rFonts w:ascii="Times New Roman" w:eastAsia="Times New Roman" w:hAnsi="Times New Roman"/>
                <w:b/>
                <w:color w:val="FFFFFF"/>
              </w:rPr>
            </w:pPr>
            <w:r w:rsidRPr="00CD6B52">
              <w:rPr>
                <w:rFonts w:ascii="Times New Roman" w:eastAsia="Times New Roman" w:hAnsi="Times New Roman"/>
                <w:b/>
                <w:color w:val="FFFFFF"/>
              </w:rPr>
              <w:t># of Providers</w:t>
            </w:r>
          </w:p>
        </w:tc>
        <w:tc>
          <w:tcPr>
            <w:tcW w:w="2100" w:type="dxa"/>
            <w:vMerge w:val="restart"/>
            <w:tcBorders>
              <w:top w:val="single" w:sz="8" w:space="0" w:color="auto"/>
              <w:left w:val="single" w:sz="4" w:space="0" w:color="auto"/>
              <w:bottom w:val="single" w:sz="4" w:space="0" w:color="auto"/>
              <w:right w:val="single" w:sz="4" w:space="0" w:color="auto"/>
            </w:tcBorders>
            <w:shd w:val="clear" w:color="000000" w:fill="203764"/>
            <w:noWrap/>
            <w:vAlign w:val="center"/>
            <w:hideMark/>
          </w:tcPr>
          <w:p w14:paraId="51C62788" w14:textId="77777777" w:rsidR="00FC3C3C" w:rsidRPr="00CD6B52" w:rsidRDefault="00FC3C3C" w:rsidP="006F3256">
            <w:pPr>
              <w:pStyle w:val="NoSpacing"/>
              <w:rPr>
                <w:rFonts w:ascii="Times New Roman" w:eastAsia="Times New Roman" w:hAnsi="Times New Roman"/>
                <w:b/>
                <w:color w:val="FFFFFF"/>
              </w:rPr>
            </w:pPr>
            <w:r w:rsidRPr="00CD6B52">
              <w:rPr>
                <w:rFonts w:ascii="Times New Roman" w:eastAsia="Times New Roman" w:hAnsi="Times New Roman"/>
                <w:b/>
                <w:color w:val="FFFFFF"/>
              </w:rPr>
              <w:t>Mean MSPB-Hospital Measure Score</w:t>
            </w:r>
          </w:p>
        </w:tc>
      </w:tr>
      <w:tr w:rsidR="00FC3C3C" w:rsidRPr="00FC3C3C" w14:paraId="792C25AC" w14:textId="77777777" w:rsidTr="006C3944">
        <w:trPr>
          <w:trHeight w:val="509"/>
          <w:jc w:val="center"/>
        </w:trPr>
        <w:tc>
          <w:tcPr>
            <w:tcW w:w="4475" w:type="dxa"/>
            <w:vMerge/>
            <w:tcBorders>
              <w:top w:val="single" w:sz="8" w:space="0" w:color="auto"/>
              <w:left w:val="single" w:sz="4" w:space="0" w:color="auto"/>
              <w:bottom w:val="single" w:sz="4" w:space="0" w:color="auto"/>
              <w:right w:val="single" w:sz="4" w:space="0" w:color="auto"/>
            </w:tcBorders>
            <w:vAlign w:val="center"/>
            <w:hideMark/>
          </w:tcPr>
          <w:p w14:paraId="7C7E39BD" w14:textId="77777777" w:rsidR="00FC3C3C" w:rsidRPr="00CD6B52" w:rsidRDefault="00FC3C3C" w:rsidP="006F3256">
            <w:pPr>
              <w:pStyle w:val="NoSpacing"/>
              <w:rPr>
                <w:rFonts w:ascii="Times New Roman" w:eastAsia="Times New Roman" w:hAnsi="Times New Roman"/>
                <w:b/>
                <w:color w:val="FFFFFF"/>
              </w:rPr>
            </w:pPr>
          </w:p>
        </w:tc>
        <w:tc>
          <w:tcPr>
            <w:tcW w:w="1340" w:type="dxa"/>
            <w:vMerge/>
            <w:tcBorders>
              <w:top w:val="single" w:sz="8" w:space="0" w:color="auto"/>
              <w:left w:val="single" w:sz="4" w:space="0" w:color="auto"/>
              <w:bottom w:val="single" w:sz="4" w:space="0" w:color="auto"/>
              <w:right w:val="single" w:sz="4" w:space="0" w:color="auto"/>
            </w:tcBorders>
            <w:vAlign w:val="center"/>
            <w:hideMark/>
          </w:tcPr>
          <w:p w14:paraId="1179F91B" w14:textId="77777777" w:rsidR="00FC3C3C" w:rsidRPr="00CD6B52" w:rsidRDefault="00FC3C3C" w:rsidP="006F3256">
            <w:pPr>
              <w:pStyle w:val="NoSpacing"/>
              <w:rPr>
                <w:rFonts w:ascii="Times New Roman" w:eastAsia="Times New Roman" w:hAnsi="Times New Roman"/>
                <w:b/>
                <w:color w:val="FFFFFF"/>
              </w:rPr>
            </w:pPr>
          </w:p>
        </w:tc>
        <w:tc>
          <w:tcPr>
            <w:tcW w:w="2100" w:type="dxa"/>
            <w:vMerge/>
            <w:tcBorders>
              <w:top w:val="single" w:sz="8" w:space="0" w:color="auto"/>
              <w:left w:val="single" w:sz="4" w:space="0" w:color="auto"/>
              <w:bottom w:val="single" w:sz="4" w:space="0" w:color="auto"/>
              <w:right w:val="single" w:sz="4" w:space="0" w:color="auto"/>
            </w:tcBorders>
            <w:vAlign w:val="center"/>
            <w:hideMark/>
          </w:tcPr>
          <w:p w14:paraId="0F563496" w14:textId="77777777" w:rsidR="00FC3C3C" w:rsidRPr="00CD6B52" w:rsidRDefault="00FC3C3C" w:rsidP="006F3256">
            <w:pPr>
              <w:pStyle w:val="NoSpacing"/>
              <w:rPr>
                <w:rFonts w:ascii="Times New Roman" w:eastAsia="Times New Roman" w:hAnsi="Times New Roman"/>
                <w:b/>
                <w:color w:val="FFFFFF"/>
              </w:rPr>
            </w:pPr>
          </w:p>
        </w:tc>
      </w:tr>
      <w:tr w:rsidR="00FC3C3C" w:rsidRPr="00FC3C3C" w14:paraId="010D6E1B" w14:textId="77777777" w:rsidTr="006C3944">
        <w:trPr>
          <w:trHeight w:val="255"/>
          <w:jc w:val="center"/>
        </w:trPr>
        <w:tc>
          <w:tcPr>
            <w:tcW w:w="4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E26C1"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 0% &lt;= % of Episodes with Readmissions &lt;= 5%</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0D1189EA"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35</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74E49AA4"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0.888</w:t>
            </w:r>
          </w:p>
        </w:tc>
      </w:tr>
      <w:tr w:rsidR="00FC3C3C" w:rsidRPr="00FC3C3C" w14:paraId="20AF22AA" w14:textId="77777777" w:rsidTr="006C3944">
        <w:trPr>
          <w:trHeight w:val="255"/>
          <w:jc w:val="center"/>
        </w:trPr>
        <w:tc>
          <w:tcPr>
            <w:tcW w:w="4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5C444"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2) 5% &lt; % of Episodes with Readmissions &lt;= 10%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3E876954"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115</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6BE08DDC"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0.894</w:t>
            </w:r>
          </w:p>
        </w:tc>
      </w:tr>
      <w:tr w:rsidR="00FC3C3C" w:rsidRPr="00FC3C3C" w14:paraId="077B4BD5" w14:textId="77777777" w:rsidTr="006C3944">
        <w:trPr>
          <w:trHeight w:val="255"/>
          <w:jc w:val="center"/>
        </w:trPr>
        <w:tc>
          <w:tcPr>
            <w:tcW w:w="4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1A367"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3) 10% &lt; % of Episodes with Readmissions &lt;= 15%</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7A76A9D7"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661</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355E8E06"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0.937</w:t>
            </w:r>
          </w:p>
        </w:tc>
      </w:tr>
      <w:tr w:rsidR="00FC3C3C" w:rsidRPr="00FC3C3C" w14:paraId="114F219A" w14:textId="77777777" w:rsidTr="006C3944">
        <w:trPr>
          <w:trHeight w:val="255"/>
          <w:jc w:val="center"/>
        </w:trPr>
        <w:tc>
          <w:tcPr>
            <w:tcW w:w="4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8E114"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4) 15% &lt; % of Episodes with Readmissions &lt;= 20%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757F86AB"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1301</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385E361F"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0.975</w:t>
            </w:r>
          </w:p>
        </w:tc>
      </w:tr>
      <w:tr w:rsidR="00FC3C3C" w:rsidRPr="00FC3C3C" w14:paraId="44930110" w14:textId="77777777" w:rsidTr="006C3944">
        <w:trPr>
          <w:trHeight w:val="255"/>
          <w:jc w:val="center"/>
        </w:trPr>
        <w:tc>
          <w:tcPr>
            <w:tcW w:w="4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C8B85C"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5) 20% &lt; % of Episodes with Readmissions &lt;= 25%</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65569BA"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768</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75C5E945"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1.015</w:t>
            </w:r>
          </w:p>
        </w:tc>
      </w:tr>
      <w:tr w:rsidR="00FC3C3C" w:rsidRPr="00FC3C3C" w14:paraId="0E762DDA" w14:textId="77777777" w:rsidTr="006C3944">
        <w:trPr>
          <w:trHeight w:val="255"/>
          <w:jc w:val="center"/>
        </w:trPr>
        <w:tc>
          <w:tcPr>
            <w:tcW w:w="4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9CAC89"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6) 25% &lt; % of Episodes with Readmissions &lt;= 30%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5393E8EC"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251</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6C5B87D0"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1.070</w:t>
            </w:r>
          </w:p>
        </w:tc>
      </w:tr>
      <w:tr w:rsidR="00FC3C3C" w:rsidRPr="00FC3C3C" w14:paraId="049BC3CF" w14:textId="77777777" w:rsidTr="006C3944">
        <w:trPr>
          <w:trHeight w:val="255"/>
          <w:jc w:val="center"/>
        </w:trPr>
        <w:tc>
          <w:tcPr>
            <w:tcW w:w="4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9BE43"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7) 30% &lt; % of Episodes with Readmissions &lt;= 35%</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49507C6"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59</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4458254D"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1.133</w:t>
            </w:r>
          </w:p>
        </w:tc>
      </w:tr>
      <w:tr w:rsidR="00FC3C3C" w:rsidRPr="00FC3C3C" w14:paraId="378DC3C0" w14:textId="77777777" w:rsidTr="006C3944">
        <w:trPr>
          <w:trHeight w:val="255"/>
          <w:jc w:val="center"/>
        </w:trPr>
        <w:tc>
          <w:tcPr>
            <w:tcW w:w="4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37E97"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8) 35% &lt; % of Episodes with Readmissions &lt;= 40%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0F0C4F02"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15</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663FC5A2"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1.212</w:t>
            </w:r>
          </w:p>
        </w:tc>
      </w:tr>
      <w:tr w:rsidR="00FC3C3C" w:rsidRPr="00FC3C3C" w14:paraId="618B5721" w14:textId="77777777" w:rsidTr="006C3944">
        <w:trPr>
          <w:trHeight w:val="270"/>
          <w:jc w:val="center"/>
        </w:trPr>
        <w:tc>
          <w:tcPr>
            <w:tcW w:w="4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B65CE"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9) 40% &lt; % of Episodes with Readmissions</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89D6D7F"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6</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7A7E7CEC" w14:textId="77777777" w:rsidR="00FC3C3C" w:rsidRPr="00CD6B52" w:rsidRDefault="00FC3C3C" w:rsidP="006F3256">
            <w:pPr>
              <w:pStyle w:val="NoSpacing"/>
              <w:rPr>
                <w:rFonts w:ascii="Times New Roman" w:eastAsia="Times New Roman" w:hAnsi="Times New Roman"/>
                <w:color w:val="000000"/>
              </w:rPr>
            </w:pPr>
            <w:r w:rsidRPr="00CD6B52">
              <w:rPr>
                <w:rFonts w:ascii="Times New Roman" w:eastAsia="Times New Roman" w:hAnsi="Times New Roman"/>
                <w:color w:val="000000"/>
              </w:rPr>
              <w:t>1.309</w:t>
            </w:r>
          </w:p>
        </w:tc>
      </w:tr>
    </w:tbl>
    <w:p w14:paraId="2C834CCF" w14:textId="77777777" w:rsidR="006F3256" w:rsidRDefault="006F3256" w:rsidP="006F3256">
      <w:pPr>
        <w:pStyle w:val="NoSpacing"/>
      </w:pPr>
    </w:p>
    <w:p w14:paraId="399A6E52" w14:textId="3AAD7C38" w:rsidR="00FC3C3C" w:rsidRPr="00CD6B52" w:rsidRDefault="00FC3C3C" w:rsidP="006F3256">
      <w:pPr>
        <w:pStyle w:val="NoSpacing"/>
      </w:pPr>
      <w:r w:rsidRPr="00CD6B52">
        <w:lastRenderedPageBreak/>
        <w:t>This table shows that the MSPB-Hospital measure score tends to increase as a provider’s percentage of episodes that include an IP readmission increases.</w:t>
      </w:r>
    </w:p>
    <w:p w14:paraId="62C1AA41" w14:textId="77777777" w:rsidR="006F3256" w:rsidRDefault="006F3256" w:rsidP="006F3256">
      <w:pPr>
        <w:pStyle w:val="NoSpacing"/>
        <w:rPr>
          <w:rFonts w:ascii="Times New Roman" w:hAnsi="Times New Roman"/>
          <w:i/>
          <w:iCs/>
        </w:rPr>
      </w:pPr>
    </w:p>
    <w:p w14:paraId="7DA72A64" w14:textId="78013E58" w:rsidR="00FC3C3C" w:rsidRPr="00CD6B52" w:rsidRDefault="00FC3C3C" w:rsidP="006F3256">
      <w:pPr>
        <w:pStyle w:val="NoSpacing"/>
      </w:pPr>
      <w:r w:rsidRPr="006F3256">
        <w:rPr>
          <w:rFonts w:ascii="Times New Roman" w:hAnsi="Times New Roman"/>
          <w:i/>
          <w:iCs/>
        </w:rPr>
        <w:t>Interpretation</w:t>
      </w:r>
      <w:r w:rsidR="006F3256" w:rsidRPr="006F3256">
        <w:rPr>
          <w:rFonts w:ascii="Times New Roman" w:hAnsi="Times New Roman"/>
          <w:i/>
          <w:iCs/>
        </w:rPr>
        <w:t>:</w:t>
      </w:r>
      <w:r w:rsidR="006F3256">
        <w:rPr>
          <w:rFonts w:ascii="Times New Roman" w:hAnsi="Times New Roman"/>
        </w:rPr>
        <w:t xml:space="preserve"> </w:t>
      </w:r>
      <w:r w:rsidRPr="00CD6B52">
        <w:t>The two analyses looking at readmissions show that IP readmissions correlate with higher episode cost.  Episodes with IP readmissions have a higher expected cost for readmissions, and providers with more IP readmissions have the higher MSPB-Hospital scores on average.  This supports the validity of the MSPB-Hospital measure, as it accurately captures the higher resource use associated with IP readmissions.</w:t>
      </w:r>
    </w:p>
    <w:p w14:paraId="21EDC1A9" w14:textId="77777777" w:rsidR="00FC3C3C" w:rsidRPr="000076C8" w:rsidRDefault="00FC3C3C" w:rsidP="006F3256">
      <w:pPr>
        <w:pStyle w:val="NoSpacing"/>
        <w:rPr>
          <w:iCs/>
        </w:rPr>
      </w:pPr>
    </w:p>
    <w:p w14:paraId="18CB6F68" w14:textId="3B28592E" w:rsidR="00F0695E" w:rsidRPr="006F3256" w:rsidRDefault="00F0695E" w:rsidP="006F3256">
      <w:pPr>
        <w:pStyle w:val="NoSpacing"/>
        <w:rPr>
          <w:bCs/>
          <w:iCs/>
          <w:u w:val="single"/>
        </w:rPr>
      </w:pPr>
      <w:r w:rsidRPr="006F3256">
        <w:rPr>
          <w:bCs/>
          <w:iCs/>
          <w:u w:val="single"/>
        </w:rPr>
        <w:t>Previous response (2013):</w:t>
      </w:r>
    </w:p>
    <w:p w14:paraId="68D83B41" w14:textId="4A661DFB" w:rsidR="006F3256" w:rsidRDefault="00F0695E" w:rsidP="00E340DE">
      <w:pPr>
        <w:pStyle w:val="NoSpacing"/>
        <w:numPr>
          <w:ilvl w:val="0"/>
          <w:numId w:val="11"/>
        </w:numPr>
        <w:rPr>
          <w:iCs/>
        </w:rPr>
      </w:pPr>
      <w:r w:rsidRPr="006F3256">
        <w:rPr>
          <w:i/>
        </w:rPr>
        <w:t>Beneficiaries with Multiple Episodes:</w:t>
      </w:r>
      <w:r w:rsidRPr="00CD6B52">
        <w:rPr>
          <w:iCs/>
        </w:rPr>
        <w:t xml:space="preserve"> The analysis indicated a positive correlation between MSPB Measure values and the percent of beneficiaries with multiple episodes.  The hospital-level correlation between the MSPB Measure and the percent of beneficiaries with multiple episodes was 0.13; when accounting for variation in the MS-DRG of the index admission when measuring readmission rates, the correlation between readmissions and the MSPB Measure increases slightly to 0.16.</w:t>
      </w:r>
    </w:p>
    <w:p w14:paraId="21E8D5C1" w14:textId="1D33D753" w:rsidR="00F0695E" w:rsidRPr="00CD6B52" w:rsidRDefault="00F0695E" w:rsidP="00E340DE">
      <w:pPr>
        <w:pStyle w:val="NoSpacing"/>
        <w:numPr>
          <w:ilvl w:val="0"/>
          <w:numId w:val="11"/>
        </w:numPr>
        <w:rPr>
          <w:iCs/>
        </w:rPr>
      </w:pPr>
      <w:r w:rsidRPr="006F3256">
        <w:rPr>
          <w:i/>
        </w:rPr>
        <w:t>Correlation with Other Outcome Measures:</w:t>
      </w:r>
      <w:r w:rsidRPr="00CD6B52">
        <w:rPr>
          <w:iCs/>
        </w:rPr>
        <w:t xml:space="preserve"> The MSPB Measure exhibits a positive correlation with a number of hospital readmission measures.  The correlation between the MSPB Measure and Heart Attack, Heart Failure, and Pneumonia Readmission Rates are of 0.08, 0.07, and 0.06, respectively.</w:t>
      </w:r>
    </w:p>
    <w:p w14:paraId="3D4E81E1" w14:textId="77777777" w:rsidR="00F0695E" w:rsidRPr="000076C8" w:rsidRDefault="00F0695E" w:rsidP="00637DC6">
      <w:pPr>
        <w:autoSpaceDE w:val="0"/>
        <w:autoSpaceDN w:val="0"/>
        <w:adjustRightInd w:val="0"/>
        <w:spacing w:after="0" w:line="240" w:lineRule="auto"/>
        <w:rPr>
          <w:rFonts w:cstheme="minorHAnsi"/>
          <w:bCs/>
          <w:iCs/>
          <w:color w:val="0070C0"/>
        </w:rPr>
      </w:pPr>
    </w:p>
    <w:p w14:paraId="7CC18EEA" w14:textId="5A8579C5" w:rsidR="009A2ACD" w:rsidRPr="004B6B60" w:rsidRDefault="009C7513" w:rsidP="00637DC6">
      <w:pPr>
        <w:autoSpaceDE w:val="0"/>
        <w:autoSpaceDN w:val="0"/>
        <w:adjustRightInd w:val="0"/>
        <w:spacing w:after="0" w:line="240" w:lineRule="auto"/>
        <w:rPr>
          <w:rFonts w:cstheme="minorHAnsi"/>
          <w:bCs/>
        </w:rPr>
      </w:pPr>
      <w:r w:rsidRPr="007B0444">
        <w:rPr>
          <w:rFonts w:cstheme="minorHAnsi"/>
          <w:b/>
          <w:bCs/>
        </w:rPr>
        <w:t>2b1</w:t>
      </w:r>
      <w:r w:rsidR="00092566" w:rsidRPr="007B0444">
        <w:rPr>
          <w:rFonts w:cstheme="minorHAnsi"/>
          <w:b/>
          <w:bCs/>
        </w:rPr>
        <w:t>.</w:t>
      </w:r>
      <w:r w:rsidR="007757CE" w:rsidRPr="007B0444">
        <w:rPr>
          <w:rFonts w:cstheme="minorHAnsi"/>
          <w:b/>
          <w:bCs/>
        </w:rPr>
        <w:t xml:space="preserve">4. </w:t>
      </w:r>
      <w:proofErr w:type="gramStart"/>
      <w:r w:rsidR="000B2DF7" w:rsidRPr="007B0444">
        <w:rPr>
          <w:rFonts w:cstheme="minorHAnsi"/>
          <w:b/>
          <w:bCs/>
        </w:rPr>
        <w:t>What</w:t>
      </w:r>
      <w:proofErr w:type="gramEnd"/>
      <w:r w:rsidR="000B2DF7" w:rsidRPr="007B0444">
        <w:rPr>
          <w:rFonts w:cstheme="minorHAnsi"/>
          <w:b/>
          <w:bCs/>
        </w:rPr>
        <w:t xml:space="preserve"> is your interpretation of the results </w:t>
      </w:r>
      <w:r w:rsidR="007422FD" w:rsidRPr="007B0444">
        <w:rPr>
          <w:rFonts w:cstheme="minorHAnsi"/>
          <w:b/>
          <w:bCs/>
        </w:rPr>
        <w:t>in terms of demonstrating validity</w:t>
      </w:r>
      <w:r w:rsidR="007422FD" w:rsidRPr="007B0444">
        <w:rPr>
          <w:rFonts w:cstheme="minorHAnsi"/>
          <w:bCs/>
        </w:rPr>
        <w:t xml:space="preserve">? </w:t>
      </w:r>
      <w:r w:rsidR="000B2DF7" w:rsidRPr="007B0444">
        <w:rPr>
          <w:rFonts w:cstheme="minorHAnsi"/>
          <w:bCs/>
        </w:rPr>
        <w:t>(i</w:t>
      </w:r>
      <w:r w:rsidR="000B2DF7" w:rsidRPr="007B0444">
        <w:rPr>
          <w:rFonts w:cstheme="minorHAnsi"/>
          <w:bCs/>
          <w:i/>
        </w:rPr>
        <w:t>.e., what do the results mean and what are the norms for the test conducted</w:t>
      </w:r>
      <w:r w:rsidR="00A25024" w:rsidRPr="007B0444">
        <w:rPr>
          <w:rFonts w:cstheme="minorHAnsi"/>
          <w:bCs/>
          <w:i/>
        </w:rPr>
        <w:t>?</w:t>
      </w:r>
      <w:r w:rsidR="000B2DF7" w:rsidRPr="007B0444">
        <w:rPr>
          <w:rFonts w:cstheme="minorHAnsi"/>
          <w:bCs/>
        </w:rPr>
        <w:t>)</w:t>
      </w:r>
    </w:p>
    <w:p w14:paraId="668CBAA4" w14:textId="77777777" w:rsidR="009A2ACD" w:rsidRDefault="009A2ACD" w:rsidP="00637DC6">
      <w:pPr>
        <w:autoSpaceDE w:val="0"/>
        <w:autoSpaceDN w:val="0"/>
        <w:adjustRightInd w:val="0"/>
        <w:spacing w:after="0" w:line="240" w:lineRule="auto"/>
        <w:rPr>
          <w:rFonts w:ascii="Times New Roman" w:hAnsi="Times New Roman" w:cs="Times New Roman"/>
          <w:bCs/>
          <w:color w:val="0070C0"/>
        </w:rPr>
      </w:pPr>
    </w:p>
    <w:p w14:paraId="54C078CE" w14:textId="73860D92" w:rsidR="004B6B60" w:rsidRPr="00C93347" w:rsidRDefault="009A2ACD" w:rsidP="00A42F7D">
      <w:pPr>
        <w:pStyle w:val="NoSpacing"/>
        <w:rPr>
          <w:rFonts w:ascii="Times New Roman" w:hAnsi="Times New Roman"/>
          <w:color w:val="FF0000"/>
        </w:rPr>
      </w:pPr>
      <w:r w:rsidRPr="00C93347">
        <w:rPr>
          <w:rFonts w:ascii="Times New Roman" w:hAnsi="Times New Roman"/>
          <w:color w:val="FF0000"/>
        </w:rPr>
        <w:t>A</w:t>
      </w:r>
      <w:r w:rsidR="00637DC6" w:rsidRPr="00C93347">
        <w:rPr>
          <w:rFonts w:ascii="Times New Roman" w:hAnsi="Times New Roman"/>
          <w:color w:val="FF0000"/>
        </w:rPr>
        <w:t xml:space="preserve">s expected, the average O/E cost ratio for episodes with </w:t>
      </w:r>
      <w:r w:rsidR="004B6B60" w:rsidRPr="00C93347">
        <w:rPr>
          <w:rFonts w:ascii="Times New Roman" w:hAnsi="Times New Roman"/>
          <w:color w:val="FF0000"/>
        </w:rPr>
        <w:t>downstream</w:t>
      </w:r>
      <w:r w:rsidR="00341E82" w:rsidRPr="00C93347">
        <w:rPr>
          <w:rFonts w:ascii="Times New Roman" w:hAnsi="Times New Roman"/>
          <w:color w:val="FF0000"/>
        </w:rPr>
        <w:t xml:space="preserve"> events that are of</w:t>
      </w:r>
      <w:r w:rsidR="004B6B60" w:rsidRPr="00C93347">
        <w:rPr>
          <w:rFonts w:ascii="Times New Roman" w:hAnsi="Times New Roman"/>
          <w:color w:val="FF0000"/>
        </w:rPr>
        <w:t xml:space="preserve"> high resource</w:t>
      </w:r>
      <w:r w:rsidR="00341E82" w:rsidRPr="00C93347">
        <w:rPr>
          <w:rFonts w:ascii="Times New Roman" w:hAnsi="Times New Roman"/>
          <w:color w:val="FF0000"/>
        </w:rPr>
        <w:t>, like readmissions or PAC use,</w:t>
      </w:r>
      <w:r w:rsidR="004B6B60" w:rsidRPr="00C93347">
        <w:rPr>
          <w:rFonts w:ascii="Times New Roman" w:hAnsi="Times New Roman"/>
          <w:color w:val="FF0000"/>
        </w:rPr>
        <w:t xml:space="preserve"> are higher than </w:t>
      </w:r>
      <w:r w:rsidR="00341E82" w:rsidRPr="00C93347">
        <w:rPr>
          <w:rFonts w:ascii="Times New Roman" w:hAnsi="Times New Roman"/>
          <w:color w:val="FF0000"/>
        </w:rPr>
        <w:t>episodes without such events</w:t>
      </w:r>
      <w:r w:rsidR="004B6B60" w:rsidRPr="00C93347">
        <w:rPr>
          <w:rFonts w:ascii="Times New Roman" w:hAnsi="Times New Roman"/>
          <w:color w:val="FF0000"/>
        </w:rPr>
        <w:t>.</w:t>
      </w:r>
    </w:p>
    <w:p w14:paraId="6CD1E5FA" w14:textId="16104135" w:rsidR="00551347" w:rsidRPr="00C93347" w:rsidRDefault="00551347" w:rsidP="00A42F7D">
      <w:pPr>
        <w:pStyle w:val="NoSpacing"/>
        <w:rPr>
          <w:rFonts w:ascii="Times New Roman" w:hAnsi="Times New Roman"/>
          <w:color w:val="FF0000"/>
        </w:rPr>
      </w:pPr>
    </w:p>
    <w:p w14:paraId="48938F1E" w14:textId="79357EFB" w:rsidR="006C5AF4" w:rsidRPr="00C93347" w:rsidRDefault="002E5217" w:rsidP="00A42F7D">
      <w:pPr>
        <w:pStyle w:val="NoSpacing"/>
        <w:rPr>
          <w:rFonts w:ascii="Times New Roman" w:hAnsi="Times New Roman"/>
          <w:color w:val="FF0000"/>
        </w:rPr>
      </w:pPr>
      <w:r w:rsidRPr="00C93347">
        <w:rPr>
          <w:rFonts w:ascii="Times New Roman" w:hAnsi="Times New Roman"/>
          <w:color w:val="FF0000"/>
        </w:rPr>
        <w:t>While we</w:t>
      </w:r>
      <w:r w:rsidR="006C5AF4" w:rsidRPr="00C93347">
        <w:rPr>
          <w:rFonts w:ascii="Times New Roman" w:hAnsi="Times New Roman"/>
          <w:color w:val="FF0000"/>
        </w:rPr>
        <w:t xml:space="preserve"> acknowledged in Section 2b1.2 that our hypothesized positive relationship between a hospital’s average predicted episode cost and average episode rates of service use may not be linear or strong as high service use may be comprised of low-cost services relative to higher cost alternative services</w:t>
      </w:r>
      <w:r w:rsidRPr="00C93347">
        <w:rPr>
          <w:rFonts w:ascii="Times New Roman" w:hAnsi="Times New Roman"/>
          <w:color w:val="FF0000"/>
        </w:rPr>
        <w:t xml:space="preserve">, the positive correlations evidenced are in line with our </w:t>
      </w:r>
      <w:r w:rsidR="006C5AF4" w:rsidRPr="00C93347">
        <w:rPr>
          <w:rFonts w:ascii="Times New Roman" w:hAnsi="Times New Roman"/>
          <w:color w:val="FF0000"/>
        </w:rPr>
        <w:t>expectation</w:t>
      </w:r>
      <w:r w:rsidRPr="00C93347">
        <w:rPr>
          <w:rFonts w:ascii="Times New Roman" w:hAnsi="Times New Roman"/>
          <w:color w:val="FF0000"/>
        </w:rPr>
        <w:t>s</w:t>
      </w:r>
      <w:r w:rsidR="006C5AF4" w:rsidRPr="00C93347">
        <w:rPr>
          <w:rFonts w:ascii="Times New Roman" w:hAnsi="Times New Roman"/>
          <w:color w:val="FF0000"/>
        </w:rPr>
        <w:t xml:space="preserve">. </w:t>
      </w:r>
    </w:p>
    <w:p w14:paraId="3E1E9D29" w14:textId="77777777" w:rsidR="006C5AF4" w:rsidRPr="00C93347" w:rsidRDefault="006C5AF4" w:rsidP="00A42F7D">
      <w:pPr>
        <w:pStyle w:val="NoSpacing"/>
        <w:rPr>
          <w:rFonts w:ascii="Times New Roman" w:hAnsi="Times New Roman"/>
          <w:color w:val="FF0000"/>
        </w:rPr>
      </w:pPr>
    </w:p>
    <w:p w14:paraId="3AEDCB4F" w14:textId="1354F00F" w:rsidR="00551347" w:rsidRPr="00C93347" w:rsidRDefault="006C5AF4" w:rsidP="00A42F7D">
      <w:pPr>
        <w:pStyle w:val="NoSpacing"/>
        <w:rPr>
          <w:rFonts w:ascii="Times New Roman" w:hAnsi="Times New Roman"/>
          <w:color w:val="FF0000"/>
        </w:rPr>
      </w:pPr>
      <w:r w:rsidRPr="00C93347">
        <w:rPr>
          <w:rFonts w:ascii="Times New Roman" w:hAnsi="Times New Roman"/>
          <w:color w:val="FF0000"/>
        </w:rPr>
        <w:t>The relationship between the MSPB Hospital measure’s risk</w:t>
      </w:r>
      <w:r w:rsidR="0091518E" w:rsidRPr="00C93347">
        <w:rPr>
          <w:rFonts w:ascii="Times New Roman" w:hAnsi="Times New Roman"/>
          <w:color w:val="FF0000"/>
        </w:rPr>
        <w:t>-</w:t>
      </w:r>
      <w:r w:rsidRPr="00C93347">
        <w:rPr>
          <w:rFonts w:ascii="Times New Roman" w:hAnsi="Times New Roman"/>
          <w:color w:val="FF0000"/>
        </w:rPr>
        <w:t xml:space="preserve">adjusted episode cost and other cost, efficiency, outcome, and quality measures are largely in line with hypothesized and literature-based expectations. </w:t>
      </w:r>
      <w:r w:rsidR="00551347" w:rsidRPr="00C93347">
        <w:rPr>
          <w:rFonts w:ascii="Times New Roman" w:hAnsi="Times New Roman"/>
          <w:color w:val="FF0000"/>
        </w:rPr>
        <w:t xml:space="preserve">Like the MSPB Hospital measure, the three Payment &amp; Value of Care measures analyzed are triggered by an index hospitalization and consider standardized amounts. Unlike the MSPB Hospital measure, the episode window for these measures run 30-days </w:t>
      </w:r>
      <w:r w:rsidR="00A60FBF" w:rsidRPr="00C93347">
        <w:rPr>
          <w:rFonts w:ascii="Times New Roman" w:hAnsi="Times New Roman"/>
          <w:color w:val="FF0000"/>
        </w:rPr>
        <w:t>from</w:t>
      </w:r>
      <w:r w:rsidR="00551347" w:rsidRPr="00C93347">
        <w:rPr>
          <w:rFonts w:ascii="Times New Roman" w:hAnsi="Times New Roman"/>
          <w:color w:val="FF0000"/>
        </w:rPr>
        <w:t xml:space="preserve"> hospitalization – instead of 30-days after</w:t>
      </w:r>
      <w:r w:rsidR="00A60FBF" w:rsidRPr="00C93347">
        <w:rPr>
          <w:rFonts w:ascii="Times New Roman" w:hAnsi="Times New Roman"/>
          <w:color w:val="FF0000"/>
        </w:rPr>
        <w:t xml:space="preserve"> hospital</w:t>
      </w:r>
      <w:r w:rsidR="00551347" w:rsidRPr="00C93347">
        <w:rPr>
          <w:rFonts w:ascii="Times New Roman" w:hAnsi="Times New Roman"/>
          <w:color w:val="FF0000"/>
        </w:rPr>
        <w:t xml:space="preserve"> discharge and are specific to hospitalizations that have principal discharge diagnoses of AMI, HF, or PN. Importantly, these measures also prorate claim payments to their 30-day episode window and consider patient populations that expired, while the MSPB Hospital Measure does neither</w:t>
      </w:r>
      <w:r w:rsidR="00A60FBF" w:rsidRPr="00C93347">
        <w:rPr>
          <w:rFonts w:ascii="Times New Roman" w:hAnsi="Times New Roman"/>
          <w:color w:val="FF0000"/>
        </w:rPr>
        <w:t xml:space="preserve"> </w:t>
      </w:r>
      <w:r w:rsidR="00551347" w:rsidRPr="00C93347">
        <w:rPr>
          <w:rFonts w:ascii="Times New Roman" w:hAnsi="Times New Roman"/>
          <w:color w:val="FF0000"/>
        </w:rPr>
        <w:t xml:space="preserve">and </w:t>
      </w:r>
      <w:r w:rsidR="00A60FBF" w:rsidRPr="00C93347">
        <w:rPr>
          <w:rFonts w:ascii="Times New Roman" w:hAnsi="Times New Roman"/>
          <w:color w:val="FF0000"/>
        </w:rPr>
        <w:t xml:space="preserve">these measures </w:t>
      </w:r>
      <w:r w:rsidR="00551347" w:rsidRPr="00C93347">
        <w:rPr>
          <w:rFonts w:ascii="Times New Roman" w:hAnsi="Times New Roman"/>
          <w:color w:val="FF0000"/>
        </w:rPr>
        <w:t xml:space="preserve">differ in </w:t>
      </w:r>
      <w:r w:rsidR="00A60FBF" w:rsidRPr="00C93347">
        <w:rPr>
          <w:rFonts w:ascii="Times New Roman" w:hAnsi="Times New Roman"/>
          <w:color w:val="FF0000"/>
        </w:rPr>
        <w:t xml:space="preserve">their </w:t>
      </w:r>
      <w:r w:rsidR="00551347" w:rsidRPr="00C93347">
        <w:rPr>
          <w:rFonts w:ascii="Times New Roman" w:hAnsi="Times New Roman"/>
          <w:color w:val="FF0000"/>
        </w:rPr>
        <w:t>risk adjustment model methods.</w:t>
      </w:r>
      <w:r w:rsidR="00341E82" w:rsidRPr="00C93347">
        <w:rPr>
          <w:rStyle w:val="FootnoteReference"/>
          <w:rFonts w:ascii="Times New Roman" w:hAnsi="Times New Roman"/>
          <w:bCs/>
          <w:color w:val="FF0000"/>
        </w:rPr>
        <w:footnoteReference w:id="18"/>
      </w:r>
      <w:r w:rsidR="00551347" w:rsidRPr="00C93347">
        <w:rPr>
          <w:rFonts w:ascii="Times New Roman" w:hAnsi="Times New Roman"/>
          <w:color w:val="FF0000"/>
        </w:rPr>
        <w:t xml:space="preserve">  </w:t>
      </w:r>
      <w:r w:rsidR="00341E82" w:rsidRPr="00C93347">
        <w:rPr>
          <w:rFonts w:ascii="Times New Roman" w:hAnsi="Times New Roman"/>
          <w:color w:val="FF0000"/>
        </w:rPr>
        <w:t xml:space="preserve">With these differences, </w:t>
      </w:r>
      <w:r w:rsidR="00A60FBF" w:rsidRPr="00C93347">
        <w:rPr>
          <w:rFonts w:ascii="Times New Roman" w:hAnsi="Times New Roman"/>
          <w:color w:val="FF0000"/>
        </w:rPr>
        <w:t xml:space="preserve">however, </w:t>
      </w:r>
      <w:r w:rsidR="00341E82" w:rsidRPr="00C93347">
        <w:rPr>
          <w:rFonts w:ascii="Times New Roman" w:hAnsi="Times New Roman"/>
          <w:color w:val="FF0000"/>
        </w:rPr>
        <w:t xml:space="preserve">we capture an expected positive rank correlation with these condition-specific cost measures. </w:t>
      </w:r>
      <w:r w:rsidR="00551347" w:rsidRPr="00C93347">
        <w:rPr>
          <w:rFonts w:ascii="Times New Roman" w:hAnsi="Times New Roman"/>
          <w:color w:val="FF0000"/>
        </w:rPr>
        <w:t>Further, the positive rank correlation between a hospital’s average expected episode cost and non-cost measures of inefficiency (e.g. ED wait time) is in-line with existing literature.</w:t>
      </w:r>
      <w:r w:rsidR="00551347" w:rsidRPr="00C93347">
        <w:rPr>
          <w:rStyle w:val="FootnoteReference"/>
          <w:rFonts w:ascii="Times New Roman" w:hAnsi="Times New Roman"/>
          <w:bCs/>
          <w:color w:val="FF0000"/>
        </w:rPr>
        <w:footnoteReference w:id="19"/>
      </w:r>
    </w:p>
    <w:p w14:paraId="2A8A3B9A" w14:textId="135685EF" w:rsidR="00341E82" w:rsidRPr="00C93347" w:rsidRDefault="00341E82" w:rsidP="00A42F7D">
      <w:pPr>
        <w:pStyle w:val="NoSpacing"/>
        <w:rPr>
          <w:rFonts w:ascii="Times New Roman" w:hAnsi="Times New Roman"/>
          <w:color w:val="FF0000"/>
        </w:rPr>
      </w:pPr>
    </w:p>
    <w:p w14:paraId="1EB8BD3D" w14:textId="79AA2060" w:rsidR="00F0695E" w:rsidRPr="00C93347" w:rsidRDefault="00341E82" w:rsidP="00A42F7D">
      <w:pPr>
        <w:pStyle w:val="NoSpacing"/>
        <w:rPr>
          <w:rFonts w:ascii="Times New Roman" w:hAnsi="Times New Roman"/>
          <w:color w:val="FF0000"/>
        </w:rPr>
      </w:pPr>
      <w:r w:rsidRPr="00C93347">
        <w:rPr>
          <w:rFonts w:ascii="Times New Roman" w:hAnsi="Times New Roman"/>
          <w:color w:val="FF0000"/>
        </w:rPr>
        <w:t xml:space="preserve">The rank correlations with other measures used in the FY2019 HVBP program and the MSPB Hospital measure’s average expected cost </w:t>
      </w:r>
      <w:r w:rsidR="00A60FBF" w:rsidRPr="00C93347">
        <w:rPr>
          <w:rFonts w:ascii="Times New Roman" w:hAnsi="Times New Roman"/>
          <w:color w:val="FF0000"/>
        </w:rPr>
        <w:t>are</w:t>
      </w:r>
      <w:r w:rsidRPr="00C93347">
        <w:rPr>
          <w:rFonts w:ascii="Times New Roman" w:hAnsi="Times New Roman"/>
          <w:color w:val="FF0000"/>
        </w:rPr>
        <w:t xml:space="preserve"> also in line with expectations. Literature has found, for example, that hospital acquired infections are associated with higher Medicare costs</w:t>
      </w:r>
      <w:r w:rsidRPr="00C93347">
        <w:rPr>
          <w:rStyle w:val="FootnoteReference"/>
          <w:rFonts w:ascii="Times New Roman" w:hAnsi="Times New Roman"/>
          <w:bCs/>
          <w:color w:val="FF0000"/>
        </w:rPr>
        <w:footnoteReference w:id="20"/>
      </w:r>
      <w:r w:rsidRPr="00C93347">
        <w:rPr>
          <w:rFonts w:ascii="Times New Roman" w:hAnsi="Times New Roman"/>
          <w:color w:val="FF0000"/>
        </w:rPr>
        <w:t xml:space="preserve"> and this recognition is not new, with CMS ceasing payment for select HAIs in the past.</w:t>
      </w:r>
      <w:r w:rsidRPr="00C93347">
        <w:rPr>
          <w:rStyle w:val="FootnoteReference"/>
          <w:rFonts w:ascii="Times New Roman" w:hAnsi="Times New Roman"/>
          <w:bCs/>
          <w:color w:val="FF0000"/>
        </w:rPr>
        <w:footnoteReference w:id="21"/>
      </w:r>
      <w:r w:rsidRPr="00C93347">
        <w:rPr>
          <w:rFonts w:ascii="Times New Roman" w:hAnsi="Times New Roman"/>
          <w:color w:val="FF0000"/>
        </w:rPr>
        <w:t xml:space="preserve">  Other literature has also noted the positive relationship between reported p</w:t>
      </w:r>
      <w:r w:rsidR="004B6B60" w:rsidRPr="00C93347">
        <w:rPr>
          <w:rFonts w:ascii="Times New Roman" w:hAnsi="Times New Roman"/>
          <w:color w:val="FF0000"/>
        </w:rPr>
        <w:t>atient satisfaction</w:t>
      </w:r>
      <w:r w:rsidRPr="00C93347">
        <w:rPr>
          <w:rFonts w:ascii="Times New Roman" w:hAnsi="Times New Roman"/>
          <w:color w:val="FF0000"/>
        </w:rPr>
        <w:t xml:space="preserve"> and efficiency outcomes, like shorter stays, lower readmissions, and lower mortality </w:t>
      </w:r>
      <w:proofErr w:type="gramStart"/>
      <w:r w:rsidRPr="00C93347">
        <w:rPr>
          <w:rFonts w:ascii="Times New Roman" w:hAnsi="Times New Roman"/>
          <w:color w:val="FF0000"/>
        </w:rPr>
        <w:t>rates, that</w:t>
      </w:r>
      <w:proofErr w:type="gramEnd"/>
      <w:r w:rsidRPr="00C93347">
        <w:rPr>
          <w:rFonts w:ascii="Times New Roman" w:hAnsi="Times New Roman"/>
          <w:color w:val="FF0000"/>
        </w:rPr>
        <w:t xml:space="preserve"> can influence cost.</w:t>
      </w:r>
      <w:r w:rsidRPr="00C93347">
        <w:rPr>
          <w:rStyle w:val="FootnoteReference"/>
          <w:rFonts w:ascii="Times New Roman" w:hAnsi="Times New Roman"/>
          <w:bCs/>
          <w:color w:val="FF0000"/>
        </w:rPr>
        <w:footnoteReference w:id="22"/>
      </w:r>
      <w:r w:rsidRPr="00C93347">
        <w:rPr>
          <w:rFonts w:ascii="Times New Roman" w:hAnsi="Times New Roman"/>
          <w:color w:val="FF0000"/>
        </w:rPr>
        <w:t xml:space="preserve"> </w:t>
      </w:r>
    </w:p>
    <w:p w14:paraId="2F1B6D06" w14:textId="77777777" w:rsidR="00FC3C3C" w:rsidRDefault="00FC3C3C" w:rsidP="00FC3C3C">
      <w:pPr>
        <w:spacing w:after="120" w:line="240" w:lineRule="auto"/>
        <w:rPr>
          <w:rFonts w:ascii="Times New Roman" w:hAnsi="Times New Roman" w:cs="Times New Roman"/>
          <w:b/>
        </w:rPr>
      </w:pPr>
    </w:p>
    <w:p w14:paraId="0DDB94BB" w14:textId="15791193" w:rsidR="00F0695E" w:rsidRPr="00CD6B52" w:rsidRDefault="00F0695E" w:rsidP="00A42F7D">
      <w:pPr>
        <w:pStyle w:val="NoSpacing"/>
        <w:rPr>
          <w:b/>
        </w:rPr>
      </w:pPr>
      <w:r w:rsidRPr="00A42F7D">
        <w:rPr>
          <w:bCs/>
          <w:u w:val="single"/>
        </w:rPr>
        <w:t>Previous Response (2016):</w:t>
      </w:r>
      <w:r w:rsidR="00A42F7D">
        <w:rPr>
          <w:bCs/>
          <w:u w:val="single"/>
        </w:rPr>
        <w:t xml:space="preserve"> </w:t>
      </w:r>
      <w:r w:rsidRPr="00CD6B52">
        <w:rPr>
          <w:bCs/>
        </w:rPr>
        <w:t xml:space="preserve">The interpretation of correlation results can depend on the specific analysis.  </w:t>
      </w:r>
      <w:r w:rsidRPr="00CD6B52">
        <w:t>In a simple econometric model where two outcomes share a common mean with additive and identically distributed errors, the Pearson correlation is 0.5 (see previous footnotes in the reliability testing Section 2a2.3).</w:t>
      </w:r>
      <w:r w:rsidRPr="00CD6B52">
        <w:rPr>
          <w:rStyle w:val="FootnoteReference"/>
          <w:rFonts w:ascii="Times New Roman" w:hAnsi="Times New Roman"/>
          <w:bCs/>
        </w:rPr>
        <w:footnoteReference w:id="23"/>
      </w:r>
    </w:p>
    <w:p w14:paraId="60265216" w14:textId="77777777" w:rsidR="00A42F7D" w:rsidRDefault="00F0695E" w:rsidP="00E340DE">
      <w:pPr>
        <w:pStyle w:val="NoSpacing"/>
        <w:numPr>
          <w:ilvl w:val="0"/>
          <w:numId w:val="12"/>
        </w:numPr>
        <w:rPr>
          <w:bCs/>
        </w:rPr>
      </w:pPr>
      <w:r w:rsidRPr="00A42F7D">
        <w:rPr>
          <w:bCs/>
          <w:i/>
        </w:rPr>
        <w:t xml:space="preserve">Correlation with Another Measure of Medicare Spending: </w:t>
      </w:r>
      <w:r w:rsidRPr="00A42F7D">
        <w:rPr>
          <w:bCs/>
        </w:rPr>
        <w:t>The positive correlation between the MSPB-Hospital measure and the risk-adjusted, standardized, per capita HRR-level measure of Medicare spending indicates that the MSPB-Hospital measure’s identification of hospitals with high- or low risk-adjusted spending is consistent with a measure of Medicare spending.</w:t>
      </w:r>
    </w:p>
    <w:p w14:paraId="7928E726" w14:textId="77777777" w:rsidR="00A42F7D" w:rsidRDefault="00F0695E" w:rsidP="00E340DE">
      <w:pPr>
        <w:pStyle w:val="NoSpacing"/>
        <w:numPr>
          <w:ilvl w:val="0"/>
          <w:numId w:val="12"/>
        </w:numPr>
        <w:rPr>
          <w:bCs/>
        </w:rPr>
      </w:pPr>
      <w:r w:rsidRPr="00A42F7D">
        <w:rPr>
          <w:bCs/>
          <w:i/>
        </w:rPr>
        <w:t>Correlation with Service Utilization Rates:</w:t>
      </w:r>
      <w:r w:rsidRPr="00A42F7D">
        <w:rPr>
          <w:bCs/>
        </w:rPr>
        <w:t xml:space="preserve"> The positive correlation between the MSPB-Hospital measure and service utilization rates, specifically for E&amp;M services and post-acute nursing and inpatient services, indicates that the MSPB-Hospital measure accurately captures higher resource use.</w:t>
      </w:r>
    </w:p>
    <w:p w14:paraId="7622A8A7" w14:textId="1B727368" w:rsidR="00F0695E" w:rsidRPr="00A42F7D" w:rsidRDefault="00F0695E" w:rsidP="00E340DE">
      <w:pPr>
        <w:pStyle w:val="NoSpacing"/>
        <w:numPr>
          <w:ilvl w:val="0"/>
          <w:numId w:val="12"/>
        </w:numPr>
        <w:rPr>
          <w:bCs/>
        </w:rPr>
      </w:pPr>
      <w:r w:rsidRPr="00A42F7D">
        <w:rPr>
          <w:bCs/>
          <w:i/>
        </w:rPr>
        <w:t>Cost Variation by Time Period:</w:t>
      </w:r>
      <w:r w:rsidRPr="00A42F7D">
        <w:rPr>
          <w:bCs/>
        </w:rPr>
        <w:t xml:space="preserve"> Variance in costs during the post-discharge period makes up a larger portion of total variance than variance in costs during the period 3 days prior to and during the index admission does.  This finding is consistent with expectations.  The risk adjustment model predicts a certain level of post-discharge spending based upon the beneficiary’s prior health history and MS-DRG.  This analysis shows that of the cost variance left over after this risk adjustment, most of it is driven by post-discharge spending.  Variance in provider scores based on post-discharge spending </w:t>
      </w:r>
      <w:r w:rsidRPr="00CD6B52">
        <w:t>emphasizes the importance of care transitions and care coordination in improving patient care.</w:t>
      </w:r>
    </w:p>
    <w:p w14:paraId="10C217E7" w14:textId="77777777" w:rsidR="00A42F7D" w:rsidRPr="00A42F7D" w:rsidRDefault="00A42F7D" w:rsidP="00A42F7D">
      <w:pPr>
        <w:pStyle w:val="NoSpacing"/>
        <w:ind w:left="720"/>
        <w:rPr>
          <w:bCs/>
        </w:rPr>
      </w:pPr>
    </w:p>
    <w:p w14:paraId="2AAD0714" w14:textId="1F803B8B" w:rsidR="00F0695E" w:rsidRPr="00A42F7D" w:rsidRDefault="00F0695E" w:rsidP="00A42F7D">
      <w:pPr>
        <w:pStyle w:val="NoSpacing"/>
        <w:rPr>
          <w:bCs/>
          <w:iCs/>
          <w:u w:val="single"/>
        </w:rPr>
      </w:pPr>
      <w:r w:rsidRPr="00A42F7D">
        <w:rPr>
          <w:bCs/>
          <w:iCs/>
          <w:u w:val="single"/>
        </w:rPr>
        <w:t xml:space="preserve">Previous </w:t>
      </w:r>
      <w:r w:rsidR="00A42F7D">
        <w:rPr>
          <w:bCs/>
          <w:iCs/>
          <w:u w:val="single"/>
        </w:rPr>
        <w:t>R</w:t>
      </w:r>
      <w:r w:rsidRPr="00A42F7D">
        <w:rPr>
          <w:bCs/>
          <w:iCs/>
          <w:u w:val="single"/>
        </w:rPr>
        <w:t>esponse (2013):</w:t>
      </w:r>
    </w:p>
    <w:p w14:paraId="39EEDBC9" w14:textId="77777777" w:rsidR="00A42F7D" w:rsidRDefault="00F0695E" w:rsidP="00E340DE">
      <w:pPr>
        <w:pStyle w:val="NoSpacing"/>
        <w:numPr>
          <w:ilvl w:val="0"/>
          <w:numId w:val="13"/>
        </w:numPr>
        <w:rPr>
          <w:iCs/>
        </w:rPr>
      </w:pPr>
      <w:r w:rsidRPr="00CD6B52">
        <w:rPr>
          <w:iCs/>
        </w:rPr>
        <w:t xml:space="preserve">Beneficiaries with Multiple Episodes: Hospitals are not likely to be postponing necessary re-admissions—and thus creating a new episode—to improve their MSPB Measure values.  High-cost hospitals are not more likely to treat beneficiaries with multiple hospitalization episodes.  </w:t>
      </w:r>
    </w:p>
    <w:p w14:paraId="4278B835" w14:textId="4ECD6D81" w:rsidR="00F0695E" w:rsidRPr="00A42F7D" w:rsidRDefault="00F0695E" w:rsidP="00E340DE">
      <w:pPr>
        <w:pStyle w:val="NoSpacing"/>
        <w:numPr>
          <w:ilvl w:val="0"/>
          <w:numId w:val="13"/>
        </w:numPr>
        <w:rPr>
          <w:iCs/>
        </w:rPr>
      </w:pPr>
      <w:r w:rsidRPr="00A42F7D">
        <w:rPr>
          <w:iCs/>
        </w:rPr>
        <w:t xml:space="preserve">Correlation with Other Outcome Measures: The positive correlation between the MSPB Measure and Heart Attack, Heart Failure, and Pneumonia Readmission Rates indicate that hospitals that are more expensive generally have higher readmission rates.  The correlation, however, is weak for all three readmission rates.  A weak correlation can be explained by the fact that the MSPB Measure assesses the cost to Medicare of all services performed by hospitals </w:t>
      </w:r>
      <w:r w:rsidRPr="00A42F7D">
        <w:rPr>
          <w:iCs/>
        </w:rPr>
        <w:lastRenderedPageBreak/>
        <w:t xml:space="preserve">and other healthcare providers during an MSPB episode.  As a result, a hospital’s MSPB Measure value is driven by both acute and post-acute spending.  </w:t>
      </w:r>
    </w:p>
    <w:p w14:paraId="0CABCFE0" w14:textId="3040800A" w:rsidR="008A403A" w:rsidRPr="007B0444" w:rsidRDefault="00483E94" w:rsidP="00CD6B52">
      <w:pPr>
        <w:spacing w:after="120" w:line="240" w:lineRule="auto"/>
        <w:rPr>
          <w:rFonts w:cstheme="minorHAnsi"/>
          <w:bCs/>
        </w:rPr>
      </w:pPr>
      <w:r w:rsidRPr="007B0444">
        <w:rPr>
          <w:rFonts w:cstheme="minorHAnsi"/>
          <w:bCs/>
        </w:rPr>
        <w:t>_________________________</w:t>
      </w:r>
    </w:p>
    <w:p w14:paraId="0CABCFE1" w14:textId="5D7F87B5" w:rsidR="00097012" w:rsidRPr="007B0444" w:rsidRDefault="00021170" w:rsidP="00DB3627">
      <w:pPr>
        <w:autoSpaceDE w:val="0"/>
        <w:autoSpaceDN w:val="0"/>
        <w:adjustRightInd w:val="0"/>
        <w:spacing w:after="0" w:line="240" w:lineRule="auto"/>
        <w:rPr>
          <w:rFonts w:cstheme="minorHAnsi"/>
          <w:b/>
          <w:bCs/>
        </w:rPr>
      </w:pPr>
      <w:r w:rsidRPr="007B0444">
        <w:rPr>
          <w:rFonts w:cstheme="minorHAnsi"/>
          <w:b/>
          <w:bCs/>
        </w:rPr>
        <w:t>2</w:t>
      </w:r>
      <w:r w:rsidR="00EA5F47" w:rsidRPr="007B0444">
        <w:rPr>
          <w:rFonts w:cstheme="minorHAnsi"/>
          <w:b/>
          <w:bCs/>
        </w:rPr>
        <w:t>b</w:t>
      </w:r>
      <w:r w:rsidR="009C7513" w:rsidRPr="007B0444">
        <w:rPr>
          <w:rFonts w:cstheme="minorHAnsi"/>
          <w:b/>
          <w:bCs/>
        </w:rPr>
        <w:t>2.</w:t>
      </w:r>
      <w:r w:rsidRPr="007B0444">
        <w:rPr>
          <w:rFonts w:cstheme="minorHAnsi"/>
          <w:b/>
          <w:bCs/>
        </w:rPr>
        <w:t xml:space="preserve"> EXCLUSIONS</w:t>
      </w:r>
      <w:r w:rsidR="005333CC" w:rsidRPr="007B0444">
        <w:rPr>
          <w:rFonts w:cstheme="minorHAnsi"/>
          <w:b/>
          <w:bCs/>
        </w:rPr>
        <w:t xml:space="preserve"> </w:t>
      </w:r>
      <w:r w:rsidR="00356BAD" w:rsidRPr="007B0444">
        <w:rPr>
          <w:rFonts w:cstheme="minorHAnsi"/>
          <w:b/>
          <w:bCs/>
        </w:rPr>
        <w:t>ANALYSIS</w:t>
      </w:r>
    </w:p>
    <w:p w14:paraId="0CABCFE2" w14:textId="63B99CA0" w:rsidR="00B037BA" w:rsidRPr="007B0444" w:rsidRDefault="001E4DD4" w:rsidP="00DB3627">
      <w:pPr>
        <w:autoSpaceDE w:val="0"/>
        <w:autoSpaceDN w:val="0"/>
        <w:adjustRightInd w:val="0"/>
        <w:spacing w:after="0" w:line="240" w:lineRule="auto"/>
        <w:rPr>
          <w:rFonts w:cstheme="minorHAnsi"/>
          <w:b/>
          <w:bCs/>
        </w:rPr>
      </w:pPr>
      <w:r w:rsidRPr="007B0444">
        <w:rPr>
          <w:rFonts w:eastAsia="MS Gothic" w:cstheme="minorHAnsi"/>
          <w:b/>
          <w:bCs/>
        </w:rPr>
        <w:t>NA</w:t>
      </w:r>
      <w:r w:rsidRPr="007B044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7B0444">
            <w:rPr>
              <w:rFonts w:ascii="MS Gothic" w:eastAsia="MS Gothic" w:cstheme="minorHAnsi" w:hint="eastAsia"/>
              <w:bCs/>
              <w:color w:val="0000FF"/>
            </w:rPr>
            <w:t>☐</w:t>
          </w:r>
        </w:sdtContent>
      </w:sdt>
      <w:r w:rsidRPr="007B0444">
        <w:rPr>
          <w:rFonts w:eastAsia="MS Gothic" w:cstheme="minorHAnsi"/>
          <w:b/>
          <w:bCs/>
          <w:color w:val="0000FF"/>
        </w:rPr>
        <w:t xml:space="preserve"> </w:t>
      </w:r>
      <w:r w:rsidR="00484120" w:rsidRPr="007B0444">
        <w:rPr>
          <w:rFonts w:cstheme="minorHAnsi"/>
          <w:b/>
          <w:bCs/>
        </w:rPr>
        <w:t>no exclusions</w:t>
      </w:r>
      <w:r w:rsidRPr="007B0444">
        <w:rPr>
          <w:rFonts w:cstheme="minorHAnsi"/>
          <w:b/>
          <w:bCs/>
        </w:rPr>
        <w:t xml:space="preserve"> </w:t>
      </w:r>
      <w:r w:rsidRPr="007B0444">
        <w:rPr>
          <w:rFonts w:eastAsia="MS Gothic" w:cstheme="minorHAnsi"/>
          <w:b/>
          <w:bCs/>
          <w:color w:val="0000FF"/>
        </w:rPr>
        <w:t>—</w:t>
      </w:r>
      <w:r w:rsidRPr="007B0444">
        <w:rPr>
          <w:rFonts w:cstheme="minorHAnsi"/>
          <w:b/>
          <w:bCs/>
          <w:i/>
        </w:rPr>
        <w:t xml:space="preserve"> </w:t>
      </w:r>
      <w:r w:rsidR="00B037BA" w:rsidRPr="007B0444">
        <w:rPr>
          <w:rFonts w:cstheme="minorHAnsi"/>
          <w:b/>
          <w:bCs/>
          <w:i/>
        </w:rPr>
        <w:t xml:space="preserve">skip </w:t>
      </w:r>
      <w:r w:rsidR="008A4C13" w:rsidRPr="007B0444">
        <w:rPr>
          <w:rFonts w:cstheme="minorHAnsi"/>
          <w:b/>
          <w:bCs/>
          <w:i/>
        </w:rPr>
        <w:t xml:space="preserve">to </w:t>
      </w:r>
      <w:r w:rsidR="00BE592D" w:rsidRPr="007B0444">
        <w:rPr>
          <w:rFonts w:cstheme="minorHAnsi"/>
          <w:b/>
          <w:bCs/>
          <w:i/>
        </w:rPr>
        <w:t xml:space="preserve">section </w:t>
      </w:r>
      <w:hyperlink w:anchor="section2b4" w:history="1">
        <w:r w:rsidR="00483E94" w:rsidRPr="007B0444">
          <w:rPr>
            <w:rStyle w:val="Hyperlink"/>
            <w:rFonts w:cstheme="minorHAnsi"/>
            <w:b/>
            <w:bCs/>
            <w:i/>
          </w:rPr>
          <w:t>2b</w:t>
        </w:r>
        <w:r w:rsidR="00565946" w:rsidRPr="007B0444">
          <w:rPr>
            <w:rStyle w:val="Hyperlink"/>
            <w:rFonts w:cstheme="minorHAnsi"/>
            <w:b/>
            <w:bCs/>
            <w:i/>
          </w:rPr>
          <w:t>3</w:t>
        </w:r>
      </w:hyperlink>
    </w:p>
    <w:p w14:paraId="0CABCFE3" w14:textId="77777777" w:rsidR="00001D73" w:rsidRPr="007B0444" w:rsidRDefault="00001D73" w:rsidP="00DB3627">
      <w:pPr>
        <w:autoSpaceDE w:val="0"/>
        <w:autoSpaceDN w:val="0"/>
        <w:adjustRightInd w:val="0"/>
        <w:spacing w:after="0" w:line="240" w:lineRule="auto"/>
        <w:rPr>
          <w:rFonts w:cstheme="minorHAnsi"/>
          <w:b/>
          <w:bCs/>
        </w:rPr>
      </w:pPr>
    </w:p>
    <w:p w14:paraId="68BBBE76" w14:textId="4FB69285" w:rsidR="00285BEC" w:rsidRPr="00C93347" w:rsidRDefault="00092566" w:rsidP="00121638">
      <w:pPr>
        <w:pStyle w:val="NoSpacing"/>
        <w:rPr>
          <w:rFonts w:ascii="Times New Roman" w:hAnsi="Times New Roman"/>
          <w:color w:val="FF0000"/>
        </w:rPr>
      </w:pPr>
      <w:r w:rsidRPr="007B0444">
        <w:rPr>
          <w:rFonts w:cstheme="minorHAnsi"/>
          <w:b/>
        </w:rPr>
        <w:t>2b</w:t>
      </w:r>
      <w:r w:rsidR="009C7513" w:rsidRPr="007B0444">
        <w:rPr>
          <w:rFonts w:cstheme="minorHAnsi"/>
          <w:b/>
        </w:rPr>
        <w:t>2</w:t>
      </w:r>
      <w:r w:rsidRPr="007B0444">
        <w:rPr>
          <w:rFonts w:cstheme="minorHAnsi"/>
          <w:b/>
        </w:rPr>
        <w:t>.</w:t>
      </w:r>
      <w:r w:rsidR="00A25024" w:rsidRPr="007B0444">
        <w:rPr>
          <w:rFonts w:cstheme="minorHAnsi"/>
          <w:b/>
        </w:rPr>
        <w:t>1. Describe the method of</w:t>
      </w:r>
      <w:r w:rsidR="00E672D6" w:rsidRPr="007B0444">
        <w:rPr>
          <w:rFonts w:cstheme="minorHAnsi"/>
          <w:b/>
        </w:rPr>
        <w:t xml:space="preserve"> </w:t>
      </w:r>
      <w:r w:rsidR="005333CC" w:rsidRPr="007B0444">
        <w:rPr>
          <w:rFonts w:cstheme="minorHAnsi"/>
          <w:b/>
        </w:rPr>
        <w:t>testing</w:t>
      </w:r>
      <w:r w:rsidR="00833325" w:rsidRPr="007B0444">
        <w:rPr>
          <w:rFonts w:cstheme="minorHAnsi"/>
          <w:b/>
        </w:rPr>
        <w:t xml:space="preserve"> </w:t>
      </w:r>
      <w:r w:rsidR="004B6CEE" w:rsidRPr="007B0444">
        <w:rPr>
          <w:rFonts w:cstheme="minorHAnsi"/>
          <w:b/>
        </w:rPr>
        <w:t xml:space="preserve">exclusions </w:t>
      </w:r>
      <w:r w:rsidR="00A25024" w:rsidRPr="007B0444">
        <w:rPr>
          <w:rFonts w:cstheme="minorHAnsi"/>
          <w:b/>
        </w:rPr>
        <w:t>and what it tests</w:t>
      </w:r>
      <w:r w:rsidR="00833325" w:rsidRPr="007B0444">
        <w:rPr>
          <w:rFonts w:cstheme="minorHAnsi"/>
        </w:rPr>
        <w:t xml:space="preserve"> (</w:t>
      </w:r>
      <w:r w:rsidR="00A25024" w:rsidRPr="007B0444">
        <w:rPr>
          <w:rFonts w:cstheme="minorHAnsi"/>
          <w:i/>
        </w:rPr>
        <w:t>describe the steps―do not just name a method; what was tested, e.g., whether exclusions affect overall performance scores</w:t>
      </w:r>
      <w:r w:rsidR="0022691B" w:rsidRPr="007B0444">
        <w:rPr>
          <w:rFonts w:cstheme="minorHAnsi"/>
          <w:i/>
        </w:rPr>
        <w:t>; what statistical analysis was used</w:t>
      </w:r>
      <w:proofErr w:type="gramStart"/>
      <w:r w:rsidR="00833325" w:rsidRPr="007B0444">
        <w:rPr>
          <w:rFonts w:cstheme="minorHAnsi"/>
        </w:rPr>
        <w:t>)</w:t>
      </w:r>
      <w:proofErr w:type="gramEnd"/>
      <w:r w:rsidR="00833325" w:rsidRPr="007B0444">
        <w:rPr>
          <w:rFonts w:cstheme="minorHAnsi"/>
        </w:rPr>
        <w:br/>
      </w:r>
      <w:r w:rsidR="00285BEC" w:rsidRPr="00C93347">
        <w:rPr>
          <w:rFonts w:ascii="Times New Roman" w:hAnsi="Times New Roman"/>
          <w:color w:val="FF0000"/>
        </w:rPr>
        <w:t xml:space="preserve">We can classify the MSPB Hospital measure’s exclusions as exclusions </w:t>
      </w:r>
      <w:r w:rsidR="00121638" w:rsidRPr="00C93347">
        <w:rPr>
          <w:rFonts w:ascii="Times New Roman" w:hAnsi="Times New Roman"/>
          <w:color w:val="FF0000"/>
        </w:rPr>
        <w:t>imposed to</w:t>
      </w:r>
      <w:r w:rsidR="00285BEC" w:rsidRPr="00C93347">
        <w:rPr>
          <w:rFonts w:ascii="Times New Roman" w:hAnsi="Times New Roman"/>
          <w:color w:val="FF0000"/>
        </w:rPr>
        <w:t xml:space="preserve"> promote </w:t>
      </w:r>
      <w:r w:rsidR="00121638" w:rsidRPr="00C93347">
        <w:rPr>
          <w:rFonts w:ascii="Times New Roman" w:hAnsi="Times New Roman"/>
          <w:color w:val="FF0000"/>
        </w:rPr>
        <w:t xml:space="preserve">episode and provider </w:t>
      </w:r>
      <w:r w:rsidR="00285BEC" w:rsidRPr="00C93347">
        <w:rPr>
          <w:rFonts w:ascii="Times New Roman" w:hAnsi="Times New Roman"/>
          <w:color w:val="FF0000"/>
        </w:rPr>
        <w:t>comparability and exclusions imposed as part of data processing and completeness. Th</w:t>
      </w:r>
      <w:r w:rsidR="008716FA" w:rsidRPr="00C93347">
        <w:rPr>
          <w:rFonts w:ascii="Times New Roman" w:hAnsi="Times New Roman"/>
          <w:color w:val="FF0000"/>
        </w:rPr>
        <w:t xml:space="preserve">e first exclusion type </w:t>
      </w:r>
      <w:r w:rsidR="00E463E1" w:rsidRPr="00C93347">
        <w:rPr>
          <w:rFonts w:ascii="Times New Roman" w:hAnsi="Times New Roman"/>
          <w:color w:val="FF0000"/>
        </w:rPr>
        <w:t xml:space="preserve">includes the exclusion </w:t>
      </w:r>
      <w:r w:rsidR="00285BEC" w:rsidRPr="00C93347">
        <w:rPr>
          <w:rFonts w:ascii="Times New Roman" w:hAnsi="Times New Roman"/>
          <w:color w:val="FF0000"/>
        </w:rPr>
        <w:t xml:space="preserve">of </w:t>
      </w:r>
    </w:p>
    <w:p w14:paraId="665297DB" w14:textId="319661D8" w:rsidR="00285BEC" w:rsidRPr="00C93347" w:rsidRDefault="00285BEC" w:rsidP="00121638">
      <w:pPr>
        <w:pStyle w:val="NoSpacing"/>
        <w:numPr>
          <w:ilvl w:val="0"/>
          <w:numId w:val="21"/>
        </w:numPr>
        <w:rPr>
          <w:rFonts w:ascii="Times New Roman" w:hAnsi="Times New Roman"/>
          <w:color w:val="FF0000"/>
        </w:rPr>
      </w:pPr>
      <w:r w:rsidRPr="00C93347">
        <w:rPr>
          <w:rFonts w:ascii="Times New Roman" w:hAnsi="Times New Roman"/>
          <w:color w:val="FF0000"/>
        </w:rPr>
        <w:t xml:space="preserve">Transfer- or death- related episodes </w:t>
      </w:r>
    </w:p>
    <w:p w14:paraId="32E983E8" w14:textId="77777777" w:rsidR="00285BEC" w:rsidRPr="00C93347" w:rsidRDefault="00285BEC" w:rsidP="00121638">
      <w:pPr>
        <w:pStyle w:val="NoSpacing"/>
        <w:numPr>
          <w:ilvl w:val="0"/>
          <w:numId w:val="21"/>
        </w:numPr>
        <w:rPr>
          <w:rFonts w:ascii="Times New Roman" w:hAnsi="Times New Roman"/>
          <w:color w:val="FF0000"/>
        </w:rPr>
      </w:pPr>
      <w:r w:rsidRPr="00C93347">
        <w:rPr>
          <w:rFonts w:ascii="Times New Roman" w:hAnsi="Times New Roman"/>
          <w:color w:val="FF0000"/>
        </w:rPr>
        <w:t xml:space="preserve">Non-IPPS, Non-acute, or Critical access hospitals </w:t>
      </w:r>
    </w:p>
    <w:p w14:paraId="7169C2B5" w14:textId="77777777" w:rsidR="00285BEC" w:rsidRPr="00C93347" w:rsidRDefault="00285BEC" w:rsidP="00121638">
      <w:pPr>
        <w:pStyle w:val="NoSpacing"/>
        <w:numPr>
          <w:ilvl w:val="0"/>
          <w:numId w:val="21"/>
        </w:numPr>
        <w:rPr>
          <w:rFonts w:ascii="Times New Roman" w:hAnsi="Times New Roman"/>
          <w:color w:val="FF0000"/>
        </w:rPr>
      </w:pPr>
      <w:r w:rsidRPr="00C93347">
        <w:rPr>
          <w:rFonts w:ascii="Times New Roman" w:hAnsi="Times New Roman"/>
          <w:color w:val="FF0000"/>
        </w:rPr>
        <w:t xml:space="preserve">Inpatient facilities in excluded states and territories </w:t>
      </w:r>
    </w:p>
    <w:p w14:paraId="11E02258" w14:textId="77777777" w:rsidR="000F2111" w:rsidRPr="00C93347" w:rsidRDefault="000F2111" w:rsidP="00121638">
      <w:pPr>
        <w:pStyle w:val="NoSpacing"/>
        <w:rPr>
          <w:rFonts w:ascii="Times New Roman" w:hAnsi="Times New Roman"/>
          <w:color w:val="FF0000"/>
        </w:rPr>
      </w:pPr>
    </w:p>
    <w:p w14:paraId="655EB7FA" w14:textId="6878B232" w:rsidR="007A573C" w:rsidRPr="00C93347" w:rsidRDefault="000F2111" w:rsidP="00121638">
      <w:pPr>
        <w:pStyle w:val="NoSpacing"/>
        <w:rPr>
          <w:rFonts w:ascii="Times New Roman" w:hAnsi="Times New Roman"/>
          <w:color w:val="FF0000"/>
        </w:rPr>
      </w:pPr>
      <w:r w:rsidRPr="00C93347">
        <w:rPr>
          <w:rFonts w:ascii="Times New Roman" w:hAnsi="Times New Roman"/>
          <w:color w:val="FF0000"/>
        </w:rPr>
        <w:t xml:space="preserve">Excluding episodes where the beneficiary died prior to </w:t>
      </w:r>
      <w:r w:rsidR="00A60FBF" w:rsidRPr="00C93347">
        <w:rPr>
          <w:rFonts w:ascii="Times New Roman" w:hAnsi="Times New Roman"/>
          <w:color w:val="FF0000"/>
        </w:rPr>
        <w:t xml:space="preserve">the episode’s 30-day post-discharge period </w:t>
      </w:r>
      <w:r w:rsidRPr="00C93347">
        <w:rPr>
          <w:rFonts w:ascii="Times New Roman" w:hAnsi="Times New Roman"/>
          <w:color w:val="FF0000"/>
        </w:rPr>
        <w:t xml:space="preserve">or </w:t>
      </w:r>
      <w:r w:rsidR="00A60FBF" w:rsidRPr="00C93347">
        <w:rPr>
          <w:rFonts w:ascii="Times New Roman" w:hAnsi="Times New Roman"/>
          <w:color w:val="FF0000"/>
        </w:rPr>
        <w:t xml:space="preserve">where attribution is muddled by transfer </w:t>
      </w:r>
      <w:r w:rsidRPr="00C93347">
        <w:rPr>
          <w:rFonts w:ascii="Times New Roman" w:hAnsi="Times New Roman"/>
          <w:color w:val="FF0000"/>
        </w:rPr>
        <w:t>allow</w:t>
      </w:r>
      <w:r w:rsidR="001B0D97" w:rsidRPr="00C93347">
        <w:rPr>
          <w:rFonts w:ascii="Times New Roman" w:hAnsi="Times New Roman"/>
          <w:color w:val="FF0000"/>
        </w:rPr>
        <w:t>s</w:t>
      </w:r>
      <w:r w:rsidRPr="00C93347">
        <w:rPr>
          <w:rFonts w:ascii="Times New Roman" w:hAnsi="Times New Roman"/>
          <w:color w:val="FF0000"/>
        </w:rPr>
        <w:t xml:space="preserve"> the measure to avoid censored episode</w:t>
      </w:r>
      <w:r w:rsidR="00A42F7D" w:rsidRPr="00C93347">
        <w:rPr>
          <w:rFonts w:ascii="Times New Roman" w:hAnsi="Times New Roman"/>
          <w:color w:val="FF0000"/>
        </w:rPr>
        <w:t xml:space="preserve"> windows</w:t>
      </w:r>
      <w:r w:rsidRPr="00C93347">
        <w:rPr>
          <w:rFonts w:ascii="Times New Roman" w:hAnsi="Times New Roman"/>
          <w:color w:val="FF0000"/>
        </w:rPr>
        <w:t xml:space="preserve"> and simplify provider attribution. Excluding non-IPPS</w:t>
      </w:r>
      <w:r w:rsidR="001B0D97" w:rsidRPr="00C93347">
        <w:rPr>
          <w:rFonts w:ascii="Times New Roman" w:hAnsi="Times New Roman"/>
          <w:color w:val="FF0000"/>
        </w:rPr>
        <w:t xml:space="preserve"> hospitals</w:t>
      </w:r>
      <w:r w:rsidRPr="00C93347">
        <w:rPr>
          <w:rFonts w:ascii="Times New Roman" w:hAnsi="Times New Roman"/>
          <w:color w:val="FF0000"/>
        </w:rPr>
        <w:t>, non-acute</w:t>
      </w:r>
      <w:r w:rsidR="001B0D97" w:rsidRPr="00C93347">
        <w:rPr>
          <w:rFonts w:ascii="Times New Roman" w:hAnsi="Times New Roman"/>
          <w:color w:val="FF0000"/>
        </w:rPr>
        <w:t xml:space="preserve"> hospitals</w:t>
      </w:r>
      <w:r w:rsidRPr="00C93347">
        <w:rPr>
          <w:rFonts w:ascii="Times New Roman" w:hAnsi="Times New Roman"/>
          <w:color w:val="FF0000"/>
        </w:rPr>
        <w:t xml:space="preserve">, critical access hospitals, and hospitals in excluded states and territories (e.g., Maryland, Guam) promotes service-cost </w:t>
      </w:r>
      <w:r w:rsidR="00121638" w:rsidRPr="00C93347">
        <w:rPr>
          <w:rFonts w:ascii="Times New Roman" w:hAnsi="Times New Roman"/>
          <w:color w:val="FF0000"/>
        </w:rPr>
        <w:t>c</w:t>
      </w:r>
      <w:r w:rsidRPr="00C93347">
        <w:rPr>
          <w:rFonts w:ascii="Times New Roman" w:hAnsi="Times New Roman"/>
          <w:color w:val="FF0000"/>
        </w:rPr>
        <w:t xml:space="preserve">omparability and general practice patterns (e.g., care at a long-term hospital versus care at an acute care hospital). </w:t>
      </w:r>
      <w:r w:rsidR="007A573C" w:rsidRPr="00C93347">
        <w:rPr>
          <w:rFonts w:ascii="Times New Roman" w:hAnsi="Times New Roman"/>
          <w:color w:val="FF0000"/>
        </w:rPr>
        <w:t>Given the</w:t>
      </w:r>
      <w:r w:rsidR="00FC5142" w:rsidRPr="00C93347">
        <w:rPr>
          <w:rFonts w:ascii="Times New Roman" w:hAnsi="Times New Roman"/>
          <w:color w:val="FF0000"/>
        </w:rPr>
        <w:t xml:space="preserve"> rationales </w:t>
      </w:r>
      <w:r w:rsidR="007A573C" w:rsidRPr="00C93347">
        <w:rPr>
          <w:rFonts w:ascii="Times New Roman" w:hAnsi="Times New Roman"/>
          <w:color w:val="FF0000"/>
        </w:rPr>
        <w:t xml:space="preserve">for </w:t>
      </w:r>
      <w:r w:rsidRPr="00C93347">
        <w:rPr>
          <w:rFonts w:ascii="Times New Roman" w:hAnsi="Times New Roman"/>
          <w:color w:val="FF0000"/>
        </w:rPr>
        <w:t>this first exclusion type</w:t>
      </w:r>
      <w:r w:rsidR="007A573C" w:rsidRPr="00C93347">
        <w:rPr>
          <w:rFonts w:ascii="Times New Roman" w:hAnsi="Times New Roman"/>
          <w:color w:val="FF0000"/>
        </w:rPr>
        <w:t xml:space="preserve">, we expect </w:t>
      </w:r>
      <w:r w:rsidRPr="00C93347">
        <w:rPr>
          <w:rFonts w:ascii="Times New Roman" w:hAnsi="Times New Roman"/>
          <w:color w:val="FF0000"/>
        </w:rPr>
        <w:t xml:space="preserve">excluded episodes to differ from </w:t>
      </w:r>
      <w:r w:rsidR="00FC5142" w:rsidRPr="00C93347">
        <w:rPr>
          <w:rFonts w:ascii="Times New Roman" w:hAnsi="Times New Roman"/>
          <w:color w:val="FF0000"/>
        </w:rPr>
        <w:t xml:space="preserve">non-excluded episodes in terms of their </w:t>
      </w:r>
      <w:r w:rsidRPr="00C93347">
        <w:rPr>
          <w:rFonts w:ascii="Times New Roman" w:hAnsi="Times New Roman"/>
          <w:color w:val="FF0000"/>
        </w:rPr>
        <w:t>cost profiles</w:t>
      </w:r>
      <w:r w:rsidR="00FC5142" w:rsidRPr="00C93347">
        <w:rPr>
          <w:rFonts w:ascii="Times New Roman" w:hAnsi="Times New Roman"/>
          <w:color w:val="FF0000"/>
        </w:rPr>
        <w:t xml:space="preserve"> and tested as much</w:t>
      </w:r>
      <w:r w:rsidRPr="00C93347">
        <w:rPr>
          <w:rFonts w:ascii="Times New Roman" w:hAnsi="Times New Roman"/>
          <w:color w:val="FF0000"/>
        </w:rPr>
        <w:t xml:space="preserve">. </w:t>
      </w:r>
      <w:r w:rsidR="00FC5142" w:rsidRPr="00C93347">
        <w:rPr>
          <w:rFonts w:ascii="Times New Roman" w:hAnsi="Times New Roman"/>
          <w:color w:val="FF0000"/>
        </w:rPr>
        <w:t>Specifically</w:t>
      </w:r>
      <w:r w:rsidRPr="00C93347">
        <w:rPr>
          <w:rFonts w:ascii="Times New Roman" w:hAnsi="Times New Roman"/>
          <w:color w:val="FF0000"/>
        </w:rPr>
        <w:t xml:space="preserve">, </w:t>
      </w:r>
      <w:r w:rsidR="007A573C" w:rsidRPr="00C93347">
        <w:rPr>
          <w:rFonts w:ascii="Times New Roman" w:hAnsi="Times New Roman"/>
          <w:color w:val="FF0000"/>
        </w:rPr>
        <w:t>we</w:t>
      </w:r>
      <w:r w:rsidRPr="00C93347">
        <w:rPr>
          <w:rFonts w:ascii="Times New Roman" w:hAnsi="Times New Roman"/>
          <w:color w:val="FF0000"/>
        </w:rPr>
        <w:t xml:space="preserve"> compared </w:t>
      </w:r>
      <w:r w:rsidR="007A573C" w:rsidRPr="00C93347">
        <w:rPr>
          <w:rFonts w:ascii="Times New Roman" w:hAnsi="Times New Roman"/>
          <w:color w:val="FF0000"/>
        </w:rPr>
        <w:t>distributions of observed cost</w:t>
      </w:r>
      <w:r w:rsidR="003E4D91" w:rsidRPr="00C93347">
        <w:rPr>
          <w:rFonts w:ascii="Times New Roman" w:hAnsi="Times New Roman"/>
          <w:color w:val="FF0000"/>
        </w:rPr>
        <w:t>s</w:t>
      </w:r>
      <w:r w:rsidR="007A573C" w:rsidRPr="00C93347">
        <w:rPr>
          <w:rFonts w:ascii="Times New Roman" w:hAnsi="Times New Roman"/>
          <w:color w:val="FF0000"/>
        </w:rPr>
        <w:t xml:space="preserve"> and observed </w:t>
      </w:r>
      <w:r w:rsidRPr="00C93347">
        <w:rPr>
          <w:rFonts w:ascii="Times New Roman" w:hAnsi="Times New Roman"/>
          <w:color w:val="FF0000"/>
        </w:rPr>
        <w:t>to</w:t>
      </w:r>
      <w:r w:rsidR="007A573C" w:rsidRPr="00C93347">
        <w:rPr>
          <w:rFonts w:ascii="Times New Roman" w:hAnsi="Times New Roman"/>
          <w:color w:val="FF0000"/>
        </w:rPr>
        <w:t xml:space="preserve"> </w:t>
      </w:r>
      <w:proofErr w:type="gramStart"/>
      <w:r w:rsidR="007A573C" w:rsidRPr="00C93347">
        <w:rPr>
          <w:rFonts w:ascii="Times New Roman" w:hAnsi="Times New Roman"/>
          <w:color w:val="FF0000"/>
        </w:rPr>
        <w:t>expected</w:t>
      </w:r>
      <w:proofErr w:type="gramEnd"/>
      <w:r w:rsidR="007A573C" w:rsidRPr="00C93347">
        <w:rPr>
          <w:rFonts w:ascii="Times New Roman" w:hAnsi="Times New Roman"/>
          <w:color w:val="FF0000"/>
        </w:rPr>
        <w:t xml:space="preserve"> </w:t>
      </w:r>
      <w:r w:rsidR="00FC5142" w:rsidRPr="00C93347">
        <w:rPr>
          <w:rFonts w:ascii="Times New Roman" w:hAnsi="Times New Roman"/>
          <w:color w:val="FF0000"/>
        </w:rPr>
        <w:t xml:space="preserve">(O/E) </w:t>
      </w:r>
      <w:r w:rsidR="00A60FBF" w:rsidRPr="00C93347">
        <w:rPr>
          <w:rFonts w:ascii="Times New Roman" w:hAnsi="Times New Roman"/>
          <w:color w:val="FF0000"/>
        </w:rPr>
        <w:t>cost ratio</w:t>
      </w:r>
      <w:r w:rsidR="003E4D91" w:rsidRPr="00C93347">
        <w:rPr>
          <w:rFonts w:ascii="Times New Roman" w:hAnsi="Times New Roman"/>
          <w:color w:val="FF0000"/>
        </w:rPr>
        <w:t>s</w:t>
      </w:r>
      <w:r w:rsidR="00A60FBF" w:rsidRPr="00C93347">
        <w:rPr>
          <w:rFonts w:ascii="Times New Roman" w:hAnsi="Times New Roman"/>
          <w:color w:val="FF0000"/>
        </w:rPr>
        <w:t xml:space="preserve"> </w:t>
      </w:r>
      <w:r w:rsidR="007A573C" w:rsidRPr="00C93347">
        <w:rPr>
          <w:rFonts w:ascii="Times New Roman" w:hAnsi="Times New Roman"/>
          <w:color w:val="FF0000"/>
        </w:rPr>
        <w:t>for excluded episodes</w:t>
      </w:r>
      <w:r w:rsidRPr="00C93347">
        <w:rPr>
          <w:rFonts w:ascii="Times New Roman" w:hAnsi="Times New Roman"/>
          <w:color w:val="FF0000"/>
        </w:rPr>
        <w:t xml:space="preserve"> against non-excluded episodes</w:t>
      </w:r>
      <w:r w:rsidR="007A573C" w:rsidRPr="00C93347">
        <w:rPr>
          <w:rFonts w:ascii="Times New Roman" w:hAnsi="Times New Roman"/>
          <w:color w:val="FF0000"/>
        </w:rPr>
        <w:t xml:space="preserve">. </w:t>
      </w:r>
      <w:r w:rsidRPr="00C93347">
        <w:rPr>
          <w:rFonts w:ascii="Times New Roman" w:hAnsi="Times New Roman"/>
          <w:color w:val="FF0000"/>
        </w:rPr>
        <w:t>We calculated expected episode cost</w:t>
      </w:r>
      <w:r w:rsidR="00FC5142" w:rsidRPr="00C93347">
        <w:rPr>
          <w:rFonts w:ascii="Times New Roman" w:hAnsi="Times New Roman"/>
          <w:color w:val="FF0000"/>
        </w:rPr>
        <w:t>s</w:t>
      </w:r>
      <w:r w:rsidRPr="00C93347">
        <w:rPr>
          <w:rFonts w:ascii="Times New Roman" w:hAnsi="Times New Roman"/>
          <w:color w:val="FF0000"/>
        </w:rPr>
        <w:t xml:space="preserve"> for excluded episodes by including these episodes in risk adjustment. </w:t>
      </w:r>
    </w:p>
    <w:p w14:paraId="2C57D3E3" w14:textId="470D611F" w:rsidR="007A573C" w:rsidRPr="00C93347" w:rsidRDefault="007A573C" w:rsidP="00121638">
      <w:pPr>
        <w:pStyle w:val="NoSpacing"/>
        <w:rPr>
          <w:rFonts w:ascii="Times New Roman" w:hAnsi="Times New Roman"/>
          <w:color w:val="FF0000"/>
          <w:highlight w:val="green"/>
        </w:rPr>
      </w:pPr>
    </w:p>
    <w:p w14:paraId="6753C697" w14:textId="2A1FD441" w:rsidR="000F2111" w:rsidRPr="00C93347" w:rsidRDefault="000F2111" w:rsidP="00121638">
      <w:pPr>
        <w:pStyle w:val="NoSpacing"/>
        <w:rPr>
          <w:rFonts w:ascii="Times New Roman" w:hAnsi="Times New Roman"/>
          <w:color w:val="FF0000"/>
        </w:rPr>
      </w:pPr>
      <w:r w:rsidRPr="00C93347">
        <w:rPr>
          <w:rFonts w:ascii="Times New Roman" w:hAnsi="Times New Roman"/>
          <w:color w:val="FF0000"/>
        </w:rPr>
        <w:t xml:space="preserve">Examples of the second type of exclusion include excluding episodes that may have invalid or incomplete data – like a mortality event before admission or </w:t>
      </w:r>
      <w:r w:rsidR="00E463E1" w:rsidRPr="00C93347">
        <w:rPr>
          <w:rFonts w:ascii="Times New Roman" w:hAnsi="Times New Roman"/>
          <w:color w:val="FF0000"/>
        </w:rPr>
        <w:t xml:space="preserve">evidence of </w:t>
      </w:r>
      <w:r w:rsidRPr="00C93347">
        <w:rPr>
          <w:rFonts w:ascii="Times New Roman" w:hAnsi="Times New Roman"/>
          <w:color w:val="FF0000"/>
        </w:rPr>
        <w:t xml:space="preserve">competing insurer </w:t>
      </w:r>
      <w:r w:rsidR="00E463E1" w:rsidRPr="00C93347">
        <w:rPr>
          <w:rFonts w:ascii="Times New Roman" w:hAnsi="Times New Roman"/>
          <w:color w:val="FF0000"/>
        </w:rPr>
        <w:t xml:space="preserve">payment </w:t>
      </w:r>
      <w:r w:rsidRPr="00C93347">
        <w:rPr>
          <w:rFonts w:ascii="Times New Roman" w:hAnsi="Times New Roman"/>
          <w:color w:val="FF0000"/>
        </w:rPr>
        <w:t xml:space="preserve">that may mask service use. This second type of exclusion is discussed in Section 2b6 (Missing Data Analysis and Minimizing Bias) of this testing form. </w:t>
      </w:r>
    </w:p>
    <w:p w14:paraId="03B94310" w14:textId="754E7FDF" w:rsidR="00F0695E" w:rsidRPr="00CD6B52" w:rsidRDefault="00F0695E" w:rsidP="00A42F7D">
      <w:pPr>
        <w:pStyle w:val="NoSpacing"/>
        <w:rPr>
          <w:rFonts w:ascii="Times New Roman" w:hAnsi="Times New Roman"/>
          <w:b/>
          <w:color w:val="0070C0"/>
        </w:rPr>
      </w:pPr>
    </w:p>
    <w:p w14:paraId="2BE4C217" w14:textId="559B5929" w:rsidR="00F0695E" w:rsidRPr="00CD6B52" w:rsidRDefault="00F0695E" w:rsidP="00A42F7D">
      <w:pPr>
        <w:pStyle w:val="NoSpacing"/>
      </w:pPr>
      <w:r w:rsidRPr="00A42F7D">
        <w:rPr>
          <w:u w:val="single"/>
        </w:rPr>
        <w:t>Previous Response (2016)</w:t>
      </w:r>
      <w:r w:rsidR="00A42F7D">
        <w:rPr>
          <w:u w:val="single"/>
        </w:rPr>
        <w:t xml:space="preserve">: </w:t>
      </w:r>
      <w:r w:rsidRPr="00CD6B52">
        <w:t>Acumen evaluated the validity of the measure exclusion criteria by producing impact analyses, which show the effect of recalculating the MSPB-Hospital measure while independently reversing each of the following exclusion criteria: (1) acute-to-acute transfer episodes;</w:t>
      </w:r>
      <w:r w:rsidRPr="00CD6B52">
        <w:rPr>
          <w:rStyle w:val="FootnoteReference"/>
        </w:rPr>
        <w:footnoteReference w:id="24"/>
      </w:r>
      <w:r w:rsidRPr="00CD6B52">
        <w:t xml:space="preserve"> (2) death episodes;</w:t>
      </w:r>
      <w:r w:rsidRPr="00CD6B52">
        <w:rPr>
          <w:rStyle w:val="FootnoteReference"/>
        </w:rPr>
        <w:footnoteReference w:id="25"/>
      </w:r>
      <w:r w:rsidRPr="00CD6B52">
        <w:t xml:space="preserve"> and (3) outlier episodes.</w:t>
      </w:r>
      <w:r w:rsidRPr="00CD6B52">
        <w:rPr>
          <w:rStyle w:val="FootnoteReference"/>
        </w:rPr>
        <w:footnoteReference w:id="26"/>
      </w:r>
      <w:r w:rsidRPr="00CD6B52">
        <w:t xml:space="preserve">  For (1), our analysis evaluated the impact of including transfer episodes on MSPB-Hospital measure scores.  For (2), we re-calculated the MSPB-Hospital measure using beneficiaries who die during the episode.  Specifically, we examined the percent of beneficiaries who die during the MSPB-Hospital episode and the effect that including death episodes had on hospital scores.  For (3), we examined the effect of including outliers when calculating MSPB-Hospital measure scores instead of excluding outliers based on the distribution of residuals.  Specifically, we examined the impact </w:t>
      </w:r>
      <w:r w:rsidRPr="00CD6B52">
        <w:lastRenderedPageBreak/>
        <w:t>of top-coding episodes with risk-adjusted costs that are above the 99</w:t>
      </w:r>
      <w:r w:rsidRPr="00CD6B52">
        <w:rPr>
          <w:vertAlign w:val="superscript"/>
        </w:rPr>
        <w:t>th</w:t>
      </w:r>
      <w:r w:rsidRPr="00CD6B52">
        <w:t xml:space="preserve"> percentile, where those episodes are assigned the cost of the episode at the 99</w:t>
      </w:r>
      <w:r w:rsidRPr="00CD6B52">
        <w:rPr>
          <w:vertAlign w:val="superscript"/>
        </w:rPr>
        <w:t>th</w:t>
      </w:r>
      <w:r w:rsidRPr="00CD6B52">
        <w:t xml:space="preserve"> percentile.  We also examined the impact of bottom-coding episodes with risk-adjusted costs that are below the 1</w:t>
      </w:r>
      <w:r w:rsidRPr="00CD6B52">
        <w:rPr>
          <w:vertAlign w:val="superscript"/>
        </w:rPr>
        <w:t>st</w:t>
      </w:r>
      <w:r w:rsidRPr="00CD6B52">
        <w:t xml:space="preserve"> percentile, where those episodes are assigned the cost of the episode at the 1</w:t>
      </w:r>
      <w:r w:rsidRPr="00CD6B52">
        <w:rPr>
          <w:vertAlign w:val="superscript"/>
        </w:rPr>
        <w:t>st</w:t>
      </w:r>
      <w:r w:rsidRPr="00CD6B52">
        <w:t xml:space="preserve"> percentile.  </w:t>
      </w:r>
    </w:p>
    <w:p w14:paraId="7B79FDBF" w14:textId="77777777" w:rsidR="00FC3C3C" w:rsidRDefault="00FC3C3C" w:rsidP="00A42F7D">
      <w:pPr>
        <w:pStyle w:val="NoSpacing"/>
      </w:pPr>
    </w:p>
    <w:p w14:paraId="01F6B950" w14:textId="0D226499" w:rsidR="00F0695E" w:rsidRPr="00CD6B52" w:rsidRDefault="00F0695E" w:rsidP="00A42F7D">
      <w:pPr>
        <w:pStyle w:val="NoSpacing"/>
      </w:pPr>
      <w:r w:rsidRPr="00CD6B52">
        <w:t>The measure also implements an exclusion criteria specific to inpatient admissions that are allowed to trigger a new MSPB-Hospital measure.  Specifically, we do not allow inpatient admissions that occur within 30 days post-discharge of another inpatient admission to start a new MSPB-Hospital episode; we refer to this criteria as excluding overlapping episodes.  For this exclusion (4), we analyzed the effect of including overlapping episodes when constructing the MSPB-Hospital episodes.  To illustrate what this exclusion is, take an inpatient admission that triggers Episode A and see if the beneficiary has another inpatient admission within the 30-day post-discharge window of Episode A.  If the beneficiary has a second qualifying admission within the 30-day post-discharge window of Episode A, do not allow the second admission to trigger Episode B.  We evaluated the impact of this exclusion on MSPB-Hospital measures by re-calculating MSPB-Hospital with the previously-excluded episodes added back in, which was then compared to MSPB-Hospital measures calculated under the overlapping episodes exclusion.</w:t>
      </w:r>
    </w:p>
    <w:p w14:paraId="72912692" w14:textId="77777777" w:rsidR="00F0695E" w:rsidRPr="00CD6B52" w:rsidRDefault="00F0695E" w:rsidP="00A42F7D">
      <w:pPr>
        <w:pStyle w:val="NoSpacing"/>
      </w:pPr>
    </w:p>
    <w:p w14:paraId="52E7EEF0" w14:textId="6F4CD3AD" w:rsidR="00F0695E" w:rsidRPr="00CD6B52" w:rsidRDefault="00F0695E" w:rsidP="00A42F7D">
      <w:pPr>
        <w:pStyle w:val="NoSpacing"/>
        <w:rPr>
          <w:iCs/>
          <w:u w:val="single"/>
        </w:rPr>
      </w:pPr>
      <w:r w:rsidRPr="00CD6B52">
        <w:rPr>
          <w:iCs/>
          <w:u w:val="single"/>
        </w:rPr>
        <w:t>Previous response (2013):</w:t>
      </w:r>
      <w:r w:rsidR="00FC3C3C">
        <w:rPr>
          <w:iCs/>
          <w:u w:val="single"/>
        </w:rPr>
        <w:t xml:space="preserve"> </w:t>
      </w:r>
      <w:r w:rsidRPr="00CD6B52">
        <w:rPr>
          <w:iCs/>
        </w:rPr>
        <w:t>Acumen evaluated the validity of the inclusion/exclusion criteria by producing impact analyses which show the effect of recalculating the MSPB Measure while independently reversing each of the following inclusion/exclusion criteria: (1) beneficiaries in Medicare Advantage; (2) beneficiaries in Medicare Part A only; (3) acute-to-acute transfers;</w:t>
      </w:r>
      <w:r w:rsidRPr="00CD6B52">
        <w:rPr>
          <w:rStyle w:val="FootnoteReference"/>
          <w:iCs/>
        </w:rPr>
        <w:footnoteReference w:id="27"/>
      </w:r>
      <w:r w:rsidRPr="00CD6B52">
        <w:rPr>
          <w:iCs/>
        </w:rPr>
        <w:t xml:space="preserve"> (4) death episodes;</w:t>
      </w:r>
      <w:r w:rsidRPr="00CD6B52">
        <w:rPr>
          <w:rStyle w:val="FootnoteReference"/>
          <w:iCs/>
        </w:rPr>
        <w:footnoteReference w:id="28"/>
      </w:r>
      <w:r w:rsidRPr="00CD6B52">
        <w:rPr>
          <w:iCs/>
        </w:rPr>
        <w:t xml:space="preserve"> and (5) outlier episodes.</w:t>
      </w:r>
      <w:r w:rsidRPr="00CD6B52">
        <w:rPr>
          <w:rStyle w:val="FootnoteReference"/>
          <w:iCs/>
        </w:rPr>
        <w:footnoteReference w:id="29"/>
      </w:r>
      <w:r w:rsidRPr="00CD6B52">
        <w:rPr>
          <w:iCs/>
        </w:rPr>
        <w:t xml:space="preserve">  With respect to (3), Acumen’s analysis evaluates assigning transfers to the transferring hospital and to the receiving hospital.  The first three restrictions occur because of incomplete data or problems attributing episodes to individual hospitals.  For (4), we re-calculate the MSPB Measure using beneficiaries who die during the episode.  Specifically, Acumen examined the percent of beneficiaries who die during the MSPB episode and after the MSPB episode and whether or not to calculate separate MSPB Measures for beneficiaries who died during the episode versus beneficiaries who did not die.  For (5), we examine top-coding/bottom-coding distribution outliers in place of completely excluding them.</w:t>
      </w:r>
    </w:p>
    <w:p w14:paraId="26C65EB5" w14:textId="77777777" w:rsidR="00F0695E" w:rsidRPr="00CD6B52" w:rsidRDefault="00F0695E" w:rsidP="00A42F7D">
      <w:pPr>
        <w:pStyle w:val="NoSpacing"/>
        <w:rPr>
          <w:iCs/>
        </w:rPr>
      </w:pPr>
      <w:r w:rsidRPr="00CD6B52">
        <w:rPr>
          <w:iCs/>
        </w:rPr>
        <w:t>Acumen also conducted a number of analyses on potential exclusion criteria.  These unimplemented exclusions include: (6) beneficiaries discharged against medical advice (AMA) and (7) dual-eligibles.  Acumen’s analysis evaluates not counting admissions in which the beneficiary was discharged AMA as an index admission.  Although excluding patients discharged against medical advice would avoid attributing the costs of non-compliant beneficiaries to a hospital’s MSPB Measure value, hospitals would be incentivized to encourage high-cost beneficiaries to leave against medical advice to avoid having their episode included in the hospital’s MSPB Measure.   We also evaluate (i) including a dual-eligible indicator in the MSPB risk-adjustment and (ii) examining MSPB scores separately for duals/non-duals.</w:t>
      </w:r>
    </w:p>
    <w:p w14:paraId="3B0E3A71" w14:textId="77777777" w:rsidR="00F0695E" w:rsidRPr="000F2111" w:rsidRDefault="00F0695E" w:rsidP="00A42F7D">
      <w:pPr>
        <w:pStyle w:val="NoSpacing"/>
        <w:rPr>
          <w:bCs/>
          <w:color w:val="0070C0"/>
        </w:rPr>
      </w:pPr>
    </w:p>
    <w:p w14:paraId="1CB958C4" w14:textId="77777777" w:rsidR="001E5A26" w:rsidRPr="004C5C9D" w:rsidRDefault="001E5A26" w:rsidP="00DB3627">
      <w:pPr>
        <w:autoSpaceDE w:val="0"/>
        <w:autoSpaceDN w:val="0"/>
        <w:adjustRightInd w:val="0"/>
        <w:spacing w:after="0" w:line="240" w:lineRule="auto"/>
        <w:rPr>
          <w:rFonts w:ascii="Times New Roman" w:hAnsi="Times New Roman" w:cs="Times New Roman"/>
          <w:bCs/>
        </w:rPr>
      </w:pPr>
    </w:p>
    <w:p w14:paraId="60E43B90" w14:textId="6A20C382" w:rsidR="00AC3295" w:rsidRDefault="00092566" w:rsidP="00092566">
      <w:pPr>
        <w:autoSpaceDE w:val="0"/>
        <w:autoSpaceDN w:val="0"/>
        <w:adjustRightInd w:val="0"/>
        <w:spacing w:after="0" w:line="240" w:lineRule="auto"/>
        <w:rPr>
          <w:rFonts w:cstheme="minorHAnsi"/>
          <w:bCs/>
        </w:rPr>
      </w:pPr>
      <w:r w:rsidRPr="007B0444">
        <w:rPr>
          <w:rFonts w:cstheme="minorHAnsi"/>
          <w:b/>
          <w:bCs/>
        </w:rPr>
        <w:t>2b</w:t>
      </w:r>
      <w:r w:rsidR="009C7513" w:rsidRPr="007B0444">
        <w:rPr>
          <w:rFonts w:cstheme="minorHAnsi"/>
          <w:b/>
          <w:bCs/>
        </w:rPr>
        <w:t>2</w:t>
      </w:r>
      <w:r w:rsidRPr="007B0444">
        <w:rPr>
          <w:rFonts w:cstheme="minorHAnsi"/>
          <w:b/>
          <w:bCs/>
        </w:rPr>
        <w:t>.</w:t>
      </w:r>
      <w:r w:rsidR="00A25024" w:rsidRPr="007B0444">
        <w:rPr>
          <w:rFonts w:cstheme="minorHAnsi"/>
          <w:b/>
          <w:bCs/>
        </w:rPr>
        <w:t xml:space="preserve">2. </w:t>
      </w:r>
      <w:proofErr w:type="gramStart"/>
      <w:r w:rsidR="00833325" w:rsidRPr="007B0444">
        <w:rPr>
          <w:rFonts w:cstheme="minorHAnsi"/>
          <w:b/>
          <w:bCs/>
        </w:rPr>
        <w:t>What</w:t>
      </w:r>
      <w:proofErr w:type="gramEnd"/>
      <w:r w:rsidR="00833325" w:rsidRPr="007B0444">
        <w:rPr>
          <w:rFonts w:cstheme="minorHAnsi"/>
          <w:b/>
          <w:bCs/>
        </w:rPr>
        <w:t xml:space="preserve"> were the statistical results </w:t>
      </w:r>
      <w:r w:rsidR="007422FD" w:rsidRPr="007B0444">
        <w:rPr>
          <w:rFonts w:cstheme="minorHAnsi"/>
          <w:b/>
          <w:bCs/>
        </w:rPr>
        <w:t>from testing exclusions</w:t>
      </w:r>
      <w:r w:rsidR="00833325" w:rsidRPr="007B0444">
        <w:rPr>
          <w:rFonts w:cstheme="minorHAnsi"/>
          <w:bCs/>
        </w:rPr>
        <w:t>?</w:t>
      </w:r>
      <w:r w:rsidR="000B2DF7" w:rsidRPr="007B0444">
        <w:rPr>
          <w:rFonts w:cstheme="minorHAnsi"/>
          <w:bCs/>
        </w:rPr>
        <w:t xml:space="preserve"> (</w:t>
      </w:r>
      <w:proofErr w:type="gramStart"/>
      <w:r w:rsidR="000B2DF7" w:rsidRPr="007B0444">
        <w:rPr>
          <w:rFonts w:cstheme="minorHAnsi"/>
          <w:bCs/>
          <w:i/>
        </w:rPr>
        <w:t>include</w:t>
      </w:r>
      <w:proofErr w:type="gramEnd"/>
      <w:r w:rsidR="000B2DF7" w:rsidRPr="007B0444">
        <w:rPr>
          <w:rFonts w:cstheme="minorHAnsi"/>
          <w:bCs/>
          <w:i/>
        </w:rPr>
        <w:t xml:space="preserve"> </w:t>
      </w:r>
      <w:r w:rsidR="00356BAD" w:rsidRPr="007B0444">
        <w:rPr>
          <w:rFonts w:cstheme="minorHAnsi"/>
          <w:bCs/>
          <w:i/>
        </w:rPr>
        <w:t xml:space="preserve">overall </w:t>
      </w:r>
      <w:r w:rsidR="000B2DF7" w:rsidRPr="007B0444">
        <w:rPr>
          <w:rFonts w:cstheme="minorHAnsi"/>
          <w:bCs/>
          <w:i/>
        </w:rPr>
        <w:t>number and percentage of individuals excluded</w:t>
      </w:r>
      <w:r w:rsidR="0025762F" w:rsidRPr="007B0444">
        <w:rPr>
          <w:rFonts w:cstheme="minorHAnsi"/>
          <w:bCs/>
          <w:i/>
        </w:rPr>
        <w:t>, frequency distribution of exclusions across measured entities,</w:t>
      </w:r>
      <w:r w:rsidR="000B2DF7" w:rsidRPr="007B0444">
        <w:rPr>
          <w:rFonts w:cstheme="minorHAnsi"/>
          <w:bCs/>
          <w:i/>
        </w:rPr>
        <w:t xml:space="preserve"> and impact on performance measure scores</w:t>
      </w:r>
      <w:r w:rsidR="000B2DF7" w:rsidRPr="007B0444">
        <w:rPr>
          <w:rFonts w:cstheme="minorHAnsi"/>
          <w:bCs/>
        </w:rPr>
        <w:t>)</w:t>
      </w:r>
    </w:p>
    <w:p w14:paraId="4A9130FA" w14:textId="07D47B5E" w:rsidR="008620CB" w:rsidRDefault="00774B36" w:rsidP="00C93347">
      <w:pPr>
        <w:pStyle w:val="NoSpacing"/>
        <w:rPr>
          <w:rFonts w:ascii="Times New Roman" w:hAnsi="Times New Roman"/>
          <w:b/>
          <w:bCs/>
          <w:iCs/>
          <w:color w:val="000000" w:themeColor="text1"/>
        </w:rPr>
      </w:pPr>
      <w:r w:rsidRPr="00C93347">
        <w:rPr>
          <w:rFonts w:ascii="Times New Roman" w:hAnsi="Times New Roman"/>
          <w:b/>
          <w:color w:val="FF0000"/>
        </w:rPr>
        <w:t xml:space="preserve">Table </w:t>
      </w:r>
      <w:r w:rsidR="00E416A3" w:rsidRPr="00C93347">
        <w:rPr>
          <w:rFonts w:ascii="Times New Roman" w:hAnsi="Times New Roman"/>
          <w:b/>
          <w:color w:val="FF0000"/>
        </w:rPr>
        <w:t>5</w:t>
      </w:r>
      <w:r w:rsidRPr="00C93347">
        <w:rPr>
          <w:rFonts w:ascii="Times New Roman" w:hAnsi="Times New Roman"/>
          <w:color w:val="FF0000"/>
        </w:rPr>
        <w:t xml:space="preserve"> </w:t>
      </w:r>
      <w:r w:rsidR="007A573C" w:rsidRPr="00C93347">
        <w:rPr>
          <w:rFonts w:ascii="Times New Roman" w:hAnsi="Times New Roman"/>
          <w:color w:val="FF0000"/>
        </w:rPr>
        <w:t xml:space="preserve">presents </w:t>
      </w:r>
      <w:r w:rsidRPr="00C93347">
        <w:rPr>
          <w:rFonts w:ascii="Times New Roman" w:hAnsi="Times New Roman"/>
          <w:color w:val="FF0000"/>
        </w:rPr>
        <w:t>the percent</w:t>
      </w:r>
      <w:r w:rsidR="0054413E" w:rsidRPr="00C93347">
        <w:rPr>
          <w:rFonts w:ascii="Times New Roman" w:hAnsi="Times New Roman"/>
          <w:color w:val="FF0000"/>
        </w:rPr>
        <w:t>age</w:t>
      </w:r>
      <w:r w:rsidRPr="00C93347">
        <w:rPr>
          <w:rFonts w:ascii="Times New Roman" w:hAnsi="Times New Roman"/>
          <w:color w:val="FF0000"/>
        </w:rPr>
        <w:t xml:space="preserve"> of episodes captured by each exclusion, </w:t>
      </w:r>
      <w:r w:rsidR="007A573C" w:rsidRPr="00C93347">
        <w:rPr>
          <w:rFonts w:ascii="Times New Roman" w:hAnsi="Times New Roman"/>
          <w:color w:val="FF0000"/>
        </w:rPr>
        <w:t>observed cost statistics</w:t>
      </w:r>
      <w:r w:rsidRPr="00C93347">
        <w:rPr>
          <w:rFonts w:ascii="Times New Roman" w:hAnsi="Times New Roman"/>
          <w:color w:val="FF0000"/>
        </w:rPr>
        <w:t>,</w:t>
      </w:r>
      <w:r w:rsidR="007A573C" w:rsidRPr="00C93347">
        <w:rPr>
          <w:rFonts w:ascii="Times New Roman" w:hAnsi="Times New Roman"/>
          <w:color w:val="FF0000"/>
        </w:rPr>
        <w:t xml:space="preserve"> and observed over expected (O/E) cost ratios for the MSPB </w:t>
      </w:r>
      <w:r w:rsidR="00264BC3" w:rsidRPr="00C93347">
        <w:rPr>
          <w:rFonts w:ascii="Times New Roman" w:hAnsi="Times New Roman"/>
          <w:color w:val="FF0000"/>
        </w:rPr>
        <w:t>Hospital</w:t>
      </w:r>
      <w:r w:rsidR="007A573C" w:rsidRPr="00C93347">
        <w:rPr>
          <w:rFonts w:ascii="Times New Roman" w:hAnsi="Times New Roman"/>
          <w:color w:val="FF0000"/>
        </w:rPr>
        <w:t xml:space="preserve"> measure exclusions. Cost statistics are also provided for the remaining set of episodes after the described exclusions are applied for comparison.</w:t>
      </w:r>
      <w:r w:rsidR="00556F41" w:rsidRPr="00C93347">
        <w:rPr>
          <w:rFonts w:ascii="Times New Roman" w:hAnsi="Times New Roman"/>
          <w:color w:val="FF0000"/>
        </w:rPr>
        <w:t xml:space="preserve"> Appendix Table </w:t>
      </w:r>
      <w:r w:rsidR="00903FE5" w:rsidRPr="00C93347">
        <w:rPr>
          <w:rFonts w:ascii="Times New Roman" w:hAnsi="Times New Roman"/>
          <w:color w:val="FF0000"/>
        </w:rPr>
        <w:t>2b2.2</w:t>
      </w:r>
      <w:r w:rsidR="00556F41" w:rsidRPr="00C93347">
        <w:rPr>
          <w:rFonts w:ascii="Times New Roman" w:hAnsi="Times New Roman"/>
          <w:color w:val="FF0000"/>
        </w:rPr>
        <w:t xml:space="preserve"> provides </w:t>
      </w:r>
      <w:r w:rsidR="005606C8" w:rsidRPr="00C93347">
        <w:rPr>
          <w:rFonts w:ascii="Times New Roman" w:hAnsi="Times New Roman"/>
          <w:color w:val="FF0000"/>
        </w:rPr>
        <w:t>more detailed cost distributions for measure exclusions</w:t>
      </w:r>
      <w:r w:rsidR="005606C8" w:rsidRPr="00A42F7D">
        <w:rPr>
          <w:color w:val="FF0000"/>
        </w:rPr>
        <w:t xml:space="preserve">. </w:t>
      </w:r>
    </w:p>
    <w:p w14:paraId="7E57A09C" w14:textId="77777777" w:rsidR="008620CB" w:rsidRDefault="008620CB" w:rsidP="003241C9">
      <w:pPr>
        <w:autoSpaceDE w:val="0"/>
        <w:autoSpaceDN w:val="0"/>
        <w:adjustRightInd w:val="0"/>
        <w:spacing w:after="0" w:line="240" w:lineRule="auto"/>
        <w:jc w:val="center"/>
        <w:rPr>
          <w:rFonts w:ascii="Times New Roman" w:hAnsi="Times New Roman" w:cs="Times New Roman"/>
          <w:b/>
          <w:bCs/>
          <w:iCs/>
          <w:color w:val="000000" w:themeColor="text1"/>
        </w:rPr>
      </w:pPr>
    </w:p>
    <w:p w14:paraId="152C40CC" w14:textId="3F10B0B3" w:rsidR="007A573C" w:rsidRPr="00C93347" w:rsidRDefault="007A573C" w:rsidP="003241C9">
      <w:pPr>
        <w:autoSpaceDE w:val="0"/>
        <w:autoSpaceDN w:val="0"/>
        <w:adjustRightInd w:val="0"/>
        <w:spacing w:after="0" w:line="240" w:lineRule="auto"/>
        <w:jc w:val="center"/>
        <w:rPr>
          <w:rFonts w:ascii="Times New Roman" w:hAnsi="Times New Roman" w:cs="Times New Roman"/>
          <w:b/>
          <w:bCs/>
          <w:iCs/>
          <w:color w:val="FF0000"/>
        </w:rPr>
      </w:pPr>
      <w:r w:rsidRPr="00C93347">
        <w:rPr>
          <w:rFonts w:ascii="Times New Roman" w:hAnsi="Times New Roman" w:cs="Times New Roman"/>
          <w:b/>
          <w:bCs/>
          <w:iCs/>
          <w:color w:val="FF0000"/>
        </w:rPr>
        <w:t xml:space="preserve">Table </w:t>
      </w:r>
      <w:r w:rsidR="00E416A3" w:rsidRPr="00C93347">
        <w:rPr>
          <w:rFonts w:ascii="Times New Roman" w:hAnsi="Times New Roman" w:cs="Times New Roman"/>
          <w:b/>
          <w:bCs/>
          <w:iCs/>
          <w:color w:val="FF0000"/>
        </w:rPr>
        <w:t>5</w:t>
      </w:r>
      <w:r w:rsidR="005C15E5" w:rsidRPr="00C93347">
        <w:rPr>
          <w:rFonts w:ascii="Times New Roman" w:hAnsi="Times New Roman" w:cs="Times New Roman"/>
          <w:b/>
          <w:bCs/>
          <w:iCs/>
          <w:color w:val="FF0000"/>
        </w:rPr>
        <w:t>.</w:t>
      </w:r>
      <w:r w:rsidRPr="00C93347">
        <w:rPr>
          <w:rFonts w:ascii="Times New Roman" w:hAnsi="Times New Roman" w:cs="Times New Roman"/>
          <w:b/>
          <w:bCs/>
          <w:iCs/>
          <w:color w:val="FF0000"/>
        </w:rPr>
        <w:t xml:space="preserve"> Cost Statistics for Measure Exclusions</w:t>
      </w:r>
    </w:p>
    <w:tbl>
      <w:tblPr>
        <w:tblStyle w:val="TableGrid"/>
        <w:tblW w:w="9856" w:type="dxa"/>
        <w:jc w:val="center"/>
        <w:tblLayout w:type="fixed"/>
        <w:tblLook w:val="04A0" w:firstRow="1" w:lastRow="0" w:firstColumn="1" w:lastColumn="0" w:noHBand="0" w:noVBand="1"/>
      </w:tblPr>
      <w:tblGrid>
        <w:gridCol w:w="2335"/>
        <w:gridCol w:w="1260"/>
        <w:gridCol w:w="1117"/>
        <w:gridCol w:w="990"/>
        <w:gridCol w:w="1051"/>
        <w:gridCol w:w="992"/>
        <w:gridCol w:w="839"/>
        <w:gridCol w:w="630"/>
        <w:gridCol w:w="630"/>
        <w:gridCol w:w="12"/>
      </w:tblGrid>
      <w:tr w:rsidR="007A573C" w:rsidRPr="00C93347" w14:paraId="6B327B5D" w14:textId="77777777" w:rsidTr="008620CB">
        <w:trPr>
          <w:tblHeader/>
          <w:jc w:val="center"/>
        </w:trPr>
        <w:tc>
          <w:tcPr>
            <w:tcW w:w="2335" w:type="dxa"/>
            <w:vMerge w:val="restart"/>
            <w:shd w:val="clear" w:color="auto" w:fill="17365D" w:themeFill="text2" w:themeFillShade="BF"/>
            <w:vAlign w:val="center"/>
          </w:tcPr>
          <w:p w14:paraId="5DBE8163"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Exclusion</w:t>
            </w:r>
          </w:p>
        </w:tc>
        <w:tc>
          <w:tcPr>
            <w:tcW w:w="2377" w:type="dxa"/>
            <w:gridSpan w:val="2"/>
            <w:vMerge w:val="restart"/>
            <w:shd w:val="clear" w:color="auto" w:fill="17365D" w:themeFill="text2" w:themeFillShade="BF"/>
            <w:vAlign w:val="center"/>
          </w:tcPr>
          <w:p w14:paraId="7076A467"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Episodes</w:t>
            </w:r>
          </w:p>
        </w:tc>
        <w:tc>
          <w:tcPr>
            <w:tcW w:w="3033" w:type="dxa"/>
            <w:gridSpan w:val="3"/>
            <w:shd w:val="clear" w:color="auto" w:fill="17365D" w:themeFill="text2" w:themeFillShade="BF"/>
            <w:vAlign w:val="center"/>
          </w:tcPr>
          <w:p w14:paraId="128E03C6"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Observed Cost</w:t>
            </w:r>
          </w:p>
        </w:tc>
        <w:tc>
          <w:tcPr>
            <w:tcW w:w="2111" w:type="dxa"/>
            <w:gridSpan w:val="4"/>
            <w:shd w:val="clear" w:color="auto" w:fill="17365D" w:themeFill="text2" w:themeFillShade="BF"/>
            <w:vAlign w:val="center"/>
          </w:tcPr>
          <w:p w14:paraId="6D337C3F"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O/E</w:t>
            </w:r>
          </w:p>
        </w:tc>
      </w:tr>
      <w:tr w:rsidR="007A573C" w:rsidRPr="00C93347" w14:paraId="7E2C42F7" w14:textId="77777777" w:rsidTr="008620CB">
        <w:trPr>
          <w:gridAfter w:val="1"/>
          <w:wAfter w:w="12" w:type="dxa"/>
          <w:tblHeader/>
          <w:jc w:val="center"/>
        </w:trPr>
        <w:tc>
          <w:tcPr>
            <w:tcW w:w="2335" w:type="dxa"/>
            <w:vMerge/>
            <w:shd w:val="clear" w:color="auto" w:fill="17365D" w:themeFill="text2" w:themeFillShade="BF"/>
            <w:vAlign w:val="center"/>
          </w:tcPr>
          <w:p w14:paraId="0AB39001"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p>
        </w:tc>
        <w:tc>
          <w:tcPr>
            <w:tcW w:w="2377" w:type="dxa"/>
            <w:gridSpan w:val="2"/>
            <w:vMerge/>
            <w:shd w:val="clear" w:color="auto" w:fill="305496"/>
          </w:tcPr>
          <w:p w14:paraId="25A83B86"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p>
        </w:tc>
        <w:tc>
          <w:tcPr>
            <w:tcW w:w="990" w:type="dxa"/>
            <w:vMerge w:val="restart"/>
            <w:shd w:val="clear" w:color="auto" w:fill="305496"/>
            <w:vAlign w:val="center"/>
          </w:tcPr>
          <w:p w14:paraId="42005042"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Mean</w:t>
            </w:r>
          </w:p>
        </w:tc>
        <w:tc>
          <w:tcPr>
            <w:tcW w:w="2043" w:type="dxa"/>
            <w:gridSpan w:val="2"/>
            <w:shd w:val="clear" w:color="auto" w:fill="305496"/>
            <w:vAlign w:val="center"/>
          </w:tcPr>
          <w:p w14:paraId="2113BFE2"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Percentile</w:t>
            </w:r>
          </w:p>
        </w:tc>
        <w:tc>
          <w:tcPr>
            <w:tcW w:w="839" w:type="dxa"/>
            <w:vMerge w:val="restart"/>
            <w:shd w:val="clear" w:color="auto" w:fill="305496"/>
            <w:vAlign w:val="center"/>
          </w:tcPr>
          <w:p w14:paraId="0DB4F4A8"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Mean</w:t>
            </w:r>
          </w:p>
        </w:tc>
        <w:tc>
          <w:tcPr>
            <w:tcW w:w="1260" w:type="dxa"/>
            <w:gridSpan w:val="2"/>
            <w:shd w:val="clear" w:color="auto" w:fill="305496"/>
            <w:vAlign w:val="center"/>
          </w:tcPr>
          <w:p w14:paraId="721A834E"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Percentile</w:t>
            </w:r>
          </w:p>
        </w:tc>
      </w:tr>
      <w:tr w:rsidR="007A573C" w:rsidRPr="00C93347" w14:paraId="6E003099" w14:textId="77777777" w:rsidTr="008620CB">
        <w:trPr>
          <w:gridAfter w:val="1"/>
          <w:wAfter w:w="12" w:type="dxa"/>
          <w:cantSplit/>
          <w:tblHeader/>
          <w:jc w:val="center"/>
        </w:trPr>
        <w:tc>
          <w:tcPr>
            <w:tcW w:w="2335" w:type="dxa"/>
            <w:vMerge/>
          </w:tcPr>
          <w:p w14:paraId="0311F2D9" w14:textId="77777777" w:rsidR="007A573C" w:rsidRPr="00C93347" w:rsidRDefault="007A573C" w:rsidP="003241C9">
            <w:pPr>
              <w:autoSpaceDE w:val="0"/>
              <w:autoSpaceDN w:val="0"/>
              <w:adjustRightInd w:val="0"/>
              <w:jc w:val="center"/>
              <w:rPr>
                <w:rFonts w:ascii="Times New Roman" w:hAnsi="Times New Roman" w:cs="Times New Roman"/>
                <w:bCs/>
                <w:color w:val="FFFFFF" w:themeColor="background1"/>
                <w:sz w:val="20"/>
                <w:szCs w:val="20"/>
              </w:rPr>
            </w:pPr>
          </w:p>
        </w:tc>
        <w:tc>
          <w:tcPr>
            <w:tcW w:w="1260" w:type="dxa"/>
            <w:shd w:val="clear" w:color="auto" w:fill="305496"/>
          </w:tcPr>
          <w:p w14:paraId="629E1EB6"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w:t>
            </w:r>
          </w:p>
        </w:tc>
        <w:tc>
          <w:tcPr>
            <w:tcW w:w="1117" w:type="dxa"/>
            <w:shd w:val="clear" w:color="auto" w:fill="305496"/>
          </w:tcPr>
          <w:p w14:paraId="670D0894"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w:t>
            </w:r>
          </w:p>
        </w:tc>
        <w:tc>
          <w:tcPr>
            <w:tcW w:w="990" w:type="dxa"/>
            <w:vMerge/>
            <w:vAlign w:val="center"/>
          </w:tcPr>
          <w:p w14:paraId="7A0F0C26" w14:textId="77777777" w:rsidR="007A573C" w:rsidRPr="00C93347" w:rsidRDefault="007A573C" w:rsidP="003241C9">
            <w:pPr>
              <w:autoSpaceDE w:val="0"/>
              <w:autoSpaceDN w:val="0"/>
              <w:adjustRightInd w:val="0"/>
              <w:jc w:val="center"/>
              <w:rPr>
                <w:rFonts w:ascii="Times New Roman" w:hAnsi="Times New Roman" w:cs="Times New Roman"/>
                <w:bCs/>
                <w:color w:val="FFFFFF" w:themeColor="background1"/>
                <w:sz w:val="20"/>
                <w:szCs w:val="20"/>
              </w:rPr>
            </w:pPr>
          </w:p>
        </w:tc>
        <w:tc>
          <w:tcPr>
            <w:tcW w:w="1051" w:type="dxa"/>
            <w:shd w:val="clear" w:color="auto" w:fill="00264C"/>
            <w:vAlign w:val="center"/>
          </w:tcPr>
          <w:p w14:paraId="2E520DB5"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10</w:t>
            </w:r>
            <w:r w:rsidRPr="00C93347">
              <w:rPr>
                <w:rFonts w:ascii="Times New Roman" w:hAnsi="Times New Roman" w:cs="Times New Roman"/>
                <w:b/>
                <w:bCs/>
                <w:color w:val="FFFFFF" w:themeColor="background1"/>
                <w:sz w:val="20"/>
                <w:szCs w:val="20"/>
                <w:vertAlign w:val="superscript"/>
              </w:rPr>
              <w:t>th</w:t>
            </w:r>
          </w:p>
        </w:tc>
        <w:tc>
          <w:tcPr>
            <w:tcW w:w="992" w:type="dxa"/>
            <w:shd w:val="clear" w:color="auto" w:fill="00264C"/>
            <w:vAlign w:val="center"/>
          </w:tcPr>
          <w:p w14:paraId="1CE4B4FE"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90</w:t>
            </w:r>
            <w:r w:rsidRPr="00C93347">
              <w:rPr>
                <w:rFonts w:ascii="Times New Roman" w:hAnsi="Times New Roman" w:cs="Times New Roman"/>
                <w:b/>
                <w:bCs/>
                <w:color w:val="FFFFFF" w:themeColor="background1"/>
                <w:sz w:val="20"/>
                <w:szCs w:val="20"/>
                <w:vertAlign w:val="superscript"/>
              </w:rPr>
              <w:t>th</w:t>
            </w:r>
          </w:p>
        </w:tc>
        <w:tc>
          <w:tcPr>
            <w:tcW w:w="839" w:type="dxa"/>
            <w:vMerge/>
            <w:vAlign w:val="center"/>
          </w:tcPr>
          <w:p w14:paraId="0D003EC1" w14:textId="77777777" w:rsidR="007A573C" w:rsidRPr="00C93347" w:rsidRDefault="007A573C" w:rsidP="003241C9">
            <w:pPr>
              <w:autoSpaceDE w:val="0"/>
              <w:autoSpaceDN w:val="0"/>
              <w:adjustRightInd w:val="0"/>
              <w:jc w:val="center"/>
              <w:rPr>
                <w:rFonts w:ascii="Times New Roman" w:hAnsi="Times New Roman" w:cs="Times New Roman"/>
                <w:bCs/>
                <w:color w:val="FFFFFF" w:themeColor="background1"/>
                <w:sz w:val="20"/>
                <w:szCs w:val="20"/>
              </w:rPr>
            </w:pPr>
          </w:p>
        </w:tc>
        <w:tc>
          <w:tcPr>
            <w:tcW w:w="630" w:type="dxa"/>
            <w:shd w:val="clear" w:color="auto" w:fill="00264C"/>
            <w:vAlign w:val="center"/>
          </w:tcPr>
          <w:p w14:paraId="5D743AB8"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10</w:t>
            </w:r>
            <w:r w:rsidRPr="00C93347">
              <w:rPr>
                <w:rFonts w:ascii="Times New Roman" w:hAnsi="Times New Roman" w:cs="Times New Roman"/>
                <w:b/>
                <w:bCs/>
                <w:color w:val="FFFFFF" w:themeColor="background1"/>
                <w:sz w:val="20"/>
                <w:szCs w:val="20"/>
                <w:vertAlign w:val="superscript"/>
              </w:rPr>
              <w:t>th</w:t>
            </w:r>
          </w:p>
        </w:tc>
        <w:tc>
          <w:tcPr>
            <w:tcW w:w="630" w:type="dxa"/>
            <w:shd w:val="clear" w:color="auto" w:fill="00264C"/>
            <w:vAlign w:val="center"/>
          </w:tcPr>
          <w:p w14:paraId="4EFD7F0F" w14:textId="77777777" w:rsidR="007A573C" w:rsidRPr="00C93347" w:rsidRDefault="007A573C" w:rsidP="003241C9">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90</w:t>
            </w:r>
            <w:r w:rsidRPr="00C93347">
              <w:rPr>
                <w:rFonts w:ascii="Times New Roman" w:hAnsi="Times New Roman" w:cs="Times New Roman"/>
                <w:b/>
                <w:bCs/>
                <w:color w:val="FFFFFF" w:themeColor="background1"/>
                <w:sz w:val="20"/>
                <w:szCs w:val="20"/>
                <w:vertAlign w:val="superscript"/>
              </w:rPr>
              <w:t>th</w:t>
            </w:r>
          </w:p>
        </w:tc>
      </w:tr>
      <w:tr w:rsidR="007702BB" w:rsidRPr="00C93347" w14:paraId="0FE2A59C" w14:textId="77777777" w:rsidTr="008620CB">
        <w:trPr>
          <w:gridAfter w:val="1"/>
          <w:wAfter w:w="12" w:type="dxa"/>
          <w:cantSplit/>
          <w:tblHeader/>
          <w:jc w:val="center"/>
        </w:trPr>
        <w:tc>
          <w:tcPr>
            <w:tcW w:w="2335" w:type="dxa"/>
          </w:tcPr>
          <w:p w14:paraId="185548BB" w14:textId="77777777" w:rsidR="007702BB" w:rsidRPr="00C93347" w:rsidRDefault="007702BB" w:rsidP="007702BB">
            <w:pPr>
              <w:autoSpaceDE w:val="0"/>
              <w:autoSpaceDN w:val="0"/>
              <w:adjustRightInd w:val="0"/>
              <w:rPr>
                <w:rFonts w:ascii="Times New Roman" w:hAnsi="Times New Roman" w:cs="Times New Roman"/>
                <w:b/>
                <w:bCs/>
                <w:color w:val="FF0000"/>
                <w:sz w:val="20"/>
                <w:szCs w:val="20"/>
              </w:rPr>
            </w:pPr>
            <w:r w:rsidRPr="00C93347">
              <w:rPr>
                <w:rFonts w:ascii="Times New Roman" w:hAnsi="Times New Roman" w:cs="Times New Roman"/>
                <w:b/>
                <w:bCs/>
                <w:color w:val="FF0000"/>
                <w:sz w:val="20"/>
                <w:szCs w:val="20"/>
              </w:rPr>
              <w:t>All Episodes Meeting Triggering Logic</w:t>
            </w:r>
          </w:p>
        </w:tc>
        <w:tc>
          <w:tcPr>
            <w:tcW w:w="1260" w:type="dxa"/>
            <w:vAlign w:val="center"/>
          </w:tcPr>
          <w:p w14:paraId="1AD3FE2F" w14:textId="7F2E369B" w:rsidR="007702BB" w:rsidRPr="00C93347" w:rsidRDefault="007702BB">
            <w:pPr>
              <w:autoSpaceDE w:val="0"/>
              <w:autoSpaceDN w:val="0"/>
              <w:adjustRightInd w:val="0"/>
              <w:jc w:val="right"/>
              <w:rPr>
                <w:rFonts w:ascii="Times New Roman" w:hAnsi="Times New Roman" w:cs="Times New Roman"/>
                <w:b/>
                <w:bCs/>
                <w:color w:val="FF0000"/>
                <w:sz w:val="20"/>
                <w:szCs w:val="20"/>
                <w:highlight w:val="yellow"/>
              </w:rPr>
            </w:pPr>
            <w:r w:rsidRPr="00C93347">
              <w:rPr>
                <w:rFonts w:ascii="Times New Roman" w:hAnsi="Times New Roman" w:cs="Times New Roman"/>
                <w:color w:val="FF0000"/>
                <w:sz w:val="20"/>
                <w:szCs w:val="20"/>
              </w:rPr>
              <w:t xml:space="preserve">  9,662,702 </w:t>
            </w:r>
          </w:p>
        </w:tc>
        <w:tc>
          <w:tcPr>
            <w:tcW w:w="1117" w:type="dxa"/>
            <w:vAlign w:val="center"/>
          </w:tcPr>
          <w:p w14:paraId="51CB1928" w14:textId="7F6FFA18" w:rsidR="007702BB" w:rsidRPr="00C93347" w:rsidRDefault="007702BB">
            <w:pPr>
              <w:autoSpaceDE w:val="0"/>
              <w:autoSpaceDN w:val="0"/>
              <w:adjustRightInd w:val="0"/>
              <w:jc w:val="right"/>
              <w:rPr>
                <w:rFonts w:ascii="Times New Roman" w:hAnsi="Times New Roman" w:cs="Times New Roman"/>
                <w:b/>
                <w:bCs/>
                <w:color w:val="FF0000"/>
                <w:sz w:val="20"/>
                <w:szCs w:val="20"/>
                <w:highlight w:val="yellow"/>
              </w:rPr>
            </w:pPr>
            <w:r w:rsidRPr="00C93347">
              <w:rPr>
                <w:rFonts w:ascii="Times New Roman" w:hAnsi="Times New Roman" w:cs="Times New Roman"/>
                <w:color w:val="FF0000"/>
                <w:sz w:val="20"/>
                <w:szCs w:val="20"/>
              </w:rPr>
              <w:t>100.00%</w:t>
            </w:r>
          </w:p>
        </w:tc>
        <w:tc>
          <w:tcPr>
            <w:tcW w:w="990" w:type="dxa"/>
            <w:vAlign w:val="center"/>
          </w:tcPr>
          <w:p w14:paraId="7790E354" w14:textId="339E2BC1" w:rsidR="007702BB" w:rsidRPr="00C93347" w:rsidRDefault="007702BB">
            <w:pPr>
              <w:autoSpaceDE w:val="0"/>
              <w:autoSpaceDN w:val="0"/>
              <w:adjustRightInd w:val="0"/>
              <w:jc w:val="right"/>
              <w:rPr>
                <w:rFonts w:ascii="Times New Roman" w:hAnsi="Times New Roman" w:cs="Times New Roman"/>
                <w:b/>
                <w:bCs/>
                <w:color w:val="FF0000"/>
                <w:sz w:val="20"/>
                <w:szCs w:val="20"/>
                <w:highlight w:val="yellow"/>
              </w:rPr>
            </w:pPr>
            <w:r w:rsidRPr="00C93347">
              <w:rPr>
                <w:rFonts w:ascii="Times New Roman" w:hAnsi="Times New Roman" w:cs="Times New Roman"/>
                <w:color w:val="FF0000"/>
                <w:sz w:val="20"/>
                <w:szCs w:val="20"/>
              </w:rPr>
              <w:t>$24,662</w:t>
            </w:r>
          </w:p>
        </w:tc>
        <w:tc>
          <w:tcPr>
            <w:tcW w:w="1051" w:type="dxa"/>
            <w:vAlign w:val="center"/>
          </w:tcPr>
          <w:p w14:paraId="0C6DF884" w14:textId="2B8755BF" w:rsidR="007702BB" w:rsidRPr="00C93347" w:rsidRDefault="007702BB">
            <w:pPr>
              <w:jc w:val="right"/>
              <w:rPr>
                <w:rFonts w:ascii="Times New Roman" w:hAnsi="Times New Roman" w:cs="Times New Roman"/>
                <w:b/>
                <w:color w:val="FF0000"/>
                <w:sz w:val="20"/>
                <w:szCs w:val="20"/>
              </w:rPr>
            </w:pPr>
            <w:r w:rsidRPr="00C93347">
              <w:rPr>
                <w:rFonts w:ascii="Times New Roman" w:hAnsi="Times New Roman" w:cs="Times New Roman"/>
                <w:color w:val="FF0000"/>
                <w:sz w:val="20"/>
                <w:szCs w:val="20"/>
              </w:rPr>
              <w:t>$7,210</w:t>
            </w:r>
          </w:p>
        </w:tc>
        <w:tc>
          <w:tcPr>
            <w:tcW w:w="992" w:type="dxa"/>
            <w:vAlign w:val="center"/>
          </w:tcPr>
          <w:p w14:paraId="71E3A21D" w14:textId="5D260199" w:rsidR="007702BB" w:rsidRPr="00C93347" w:rsidRDefault="007702BB">
            <w:pPr>
              <w:autoSpaceDE w:val="0"/>
              <w:autoSpaceDN w:val="0"/>
              <w:adjustRightInd w:val="0"/>
              <w:jc w:val="right"/>
              <w:rPr>
                <w:rFonts w:ascii="Times New Roman" w:hAnsi="Times New Roman" w:cs="Times New Roman"/>
                <w:b/>
                <w:bCs/>
                <w:color w:val="FF0000"/>
                <w:sz w:val="20"/>
                <w:szCs w:val="20"/>
                <w:highlight w:val="yellow"/>
              </w:rPr>
            </w:pPr>
            <w:r w:rsidRPr="00C93347">
              <w:rPr>
                <w:rFonts w:ascii="Times New Roman" w:hAnsi="Times New Roman" w:cs="Times New Roman"/>
                <w:color w:val="FF0000"/>
                <w:sz w:val="20"/>
                <w:szCs w:val="20"/>
              </w:rPr>
              <w:t>$47,439</w:t>
            </w:r>
          </w:p>
        </w:tc>
        <w:tc>
          <w:tcPr>
            <w:tcW w:w="839" w:type="dxa"/>
            <w:vAlign w:val="center"/>
          </w:tcPr>
          <w:p w14:paraId="44CF1B49" w14:textId="117863F4" w:rsidR="007702BB" w:rsidRPr="00C93347" w:rsidRDefault="007702BB">
            <w:pPr>
              <w:autoSpaceDE w:val="0"/>
              <w:autoSpaceDN w:val="0"/>
              <w:adjustRightInd w:val="0"/>
              <w:jc w:val="right"/>
              <w:rPr>
                <w:rFonts w:ascii="Times New Roman" w:hAnsi="Times New Roman" w:cs="Times New Roman"/>
                <w:b/>
                <w:bCs/>
                <w:color w:val="FF0000"/>
                <w:sz w:val="20"/>
                <w:szCs w:val="20"/>
                <w:highlight w:val="yellow"/>
              </w:rPr>
            </w:pPr>
            <w:r w:rsidRPr="00C93347">
              <w:rPr>
                <w:rFonts w:ascii="Times New Roman" w:hAnsi="Times New Roman" w:cs="Times New Roman"/>
                <w:color w:val="FF0000"/>
                <w:sz w:val="20"/>
                <w:szCs w:val="20"/>
              </w:rPr>
              <w:t>1.00</w:t>
            </w:r>
          </w:p>
        </w:tc>
        <w:tc>
          <w:tcPr>
            <w:tcW w:w="630" w:type="dxa"/>
            <w:vAlign w:val="center"/>
          </w:tcPr>
          <w:p w14:paraId="585696F6" w14:textId="69343AAB" w:rsidR="007702BB" w:rsidRPr="00C93347" w:rsidRDefault="007702BB">
            <w:pPr>
              <w:autoSpaceDE w:val="0"/>
              <w:autoSpaceDN w:val="0"/>
              <w:adjustRightInd w:val="0"/>
              <w:jc w:val="right"/>
              <w:rPr>
                <w:rFonts w:ascii="Times New Roman" w:hAnsi="Times New Roman" w:cs="Times New Roman"/>
                <w:b/>
                <w:bCs/>
                <w:color w:val="FF0000"/>
                <w:sz w:val="20"/>
                <w:szCs w:val="20"/>
                <w:highlight w:val="yellow"/>
              </w:rPr>
            </w:pPr>
            <w:r w:rsidRPr="00C93347">
              <w:rPr>
                <w:rFonts w:ascii="Times New Roman" w:hAnsi="Times New Roman" w:cs="Times New Roman"/>
                <w:color w:val="FF0000"/>
                <w:sz w:val="20"/>
                <w:szCs w:val="20"/>
              </w:rPr>
              <w:t>0.47</w:t>
            </w:r>
          </w:p>
        </w:tc>
        <w:tc>
          <w:tcPr>
            <w:tcW w:w="630" w:type="dxa"/>
            <w:vAlign w:val="center"/>
          </w:tcPr>
          <w:p w14:paraId="0CEA343C" w14:textId="5A2A0BBB" w:rsidR="007702BB" w:rsidRPr="00C93347" w:rsidRDefault="007702BB">
            <w:pPr>
              <w:autoSpaceDE w:val="0"/>
              <w:autoSpaceDN w:val="0"/>
              <w:adjustRightInd w:val="0"/>
              <w:jc w:val="right"/>
              <w:rPr>
                <w:rFonts w:ascii="Times New Roman" w:hAnsi="Times New Roman" w:cs="Times New Roman"/>
                <w:b/>
                <w:bCs/>
                <w:color w:val="FF0000"/>
                <w:sz w:val="20"/>
                <w:szCs w:val="20"/>
                <w:highlight w:val="yellow"/>
              </w:rPr>
            </w:pPr>
            <w:r w:rsidRPr="00C93347">
              <w:rPr>
                <w:rFonts w:ascii="Times New Roman" w:hAnsi="Times New Roman" w:cs="Times New Roman"/>
                <w:color w:val="FF0000"/>
                <w:sz w:val="20"/>
                <w:szCs w:val="20"/>
              </w:rPr>
              <w:t>1.77</w:t>
            </w:r>
          </w:p>
        </w:tc>
      </w:tr>
      <w:tr w:rsidR="007702BB" w:rsidRPr="00C93347" w14:paraId="5E1A95AB" w14:textId="77777777" w:rsidTr="008620CB">
        <w:trPr>
          <w:gridAfter w:val="1"/>
          <w:wAfter w:w="12" w:type="dxa"/>
          <w:cantSplit/>
          <w:tblHeader/>
          <w:jc w:val="center"/>
        </w:trPr>
        <w:tc>
          <w:tcPr>
            <w:tcW w:w="2335" w:type="dxa"/>
          </w:tcPr>
          <w:p w14:paraId="04F813EA" w14:textId="77777777" w:rsidR="007702BB" w:rsidRPr="00C93347" w:rsidRDefault="007702BB" w:rsidP="007702BB">
            <w:pPr>
              <w:autoSpaceDE w:val="0"/>
              <w:autoSpaceDN w:val="0"/>
              <w:adjustRightInd w:val="0"/>
              <w:rPr>
                <w:rFonts w:ascii="Times New Roman" w:hAnsi="Times New Roman" w:cs="Times New Roman"/>
                <w:bCs/>
                <w:color w:val="FF0000"/>
                <w:sz w:val="20"/>
                <w:szCs w:val="20"/>
              </w:rPr>
            </w:pPr>
            <w:r w:rsidRPr="00C93347">
              <w:rPr>
                <w:rFonts w:ascii="Times New Roman" w:hAnsi="Times New Roman" w:cs="Times New Roman"/>
                <w:bCs/>
                <w:color w:val="FF0000"/>
                <w:sz w:val="20"/>
                <w:szCs w:val="20"/>
              </w:rPr>
              <w:t>Episodes in which Inpatient Stay had Transfers or Death Discharge Status Codes or episodes that overlapped with an IP Stay with Transfer or Death Discharge Status Codes</w:t>
            </w:r>
          </w:p>
        </w:tc>
        <w:tc>
          <w:tcPr>
            <w:tcW w:w="1260" w:type="dxa"/>
            <w:vAlign w:val="center"/>
          </w:tcPr>
          <w:p w14:paraId="3C209B00" w14:textId="2AF1E328"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 xml:space="preserve">     676,060 </w:t>
            </w:r>
          </w:p>
        </w:tc>
        <w:tc>
          <w:tcPr>
            <w:tcW w:w="1117" w:type="dxa"/>
            <w:vAlign w:val="center"/>
          </w:tcPr>
          <w:p w14:paraId="49E7222C" w14:textId="2464D297"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7.00%</w:t>
            </w:r>
          </w:p>
        </w:tc>
        <w:tc>
          <w:tcPr>
            <w:tcW w:w="990" w:type="dxa"/>
            <w:vAlign w:val="center"/>
          </w:tcPr>
          <w:p w14:paraId="4316BD4A" w14:textId="5601640D"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$36,508</w:t>
            </w:r>
          </w:p>
        </w:tc>
        <w:tc>
          <w:tcPr>
            <w:tcW w:w="1051" w:type="dxa"/>
            <w:vAlign w:val="center"/>
          </w:tcPr>
          <w:p w14:paraId="5A68886A" w14:textId="01F14433"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$10,766</w:t>
            </w:r>
          </w:p>
        </w:tc>
        <w:tc>
          <w:tcPr>
            <w:tcW w:w="992" w:type="dxa"/>
            <w:vAlign w:val="center"/>
          </w:tcPr>
          <w:p w14:paraId="77461DC0" w14:textId="3A8FCE7F"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$72,856</w:t>
            </w:r>
          </w:p>
        </w:tc>
        <w:tc>
          <w:tcPr>
            <w:tcW w:w="839" w:type="dxa"/>
            <w:vAlign w:val="center"/>
          </w:tcPr>
          <w:p w14:paraId="57F04762" w14:textId="57F943F4"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1.14</w:t>
            </w:r>
          </w:p>
        </w:tc>
        <w:tc>
          <w:tcPr>
            <w:tcW w:w="630" w:type="dxa"/>
            <w:vAlign w:val="center"/>
          </w:tcPr>
          <w:p w14:paraId="37EF6586" w14:textId="13BBAFB4"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0.46</w:t>
            </w:r>
          </w:p>
        </w:tc>
        <w:tc>
          <w:tcPr>
            <w:tcW w:w="630" w:type="dxa"/>
            <w:vAlign w:val="center"/>
          </w:tcPr>
          <w:p w14:paraId="7616A73C" w14:textId="1A10EDC3"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2.18</w:t>
            </w:r>
          </w:p>
        </w:tc>
      </w:tr>
      <w:tr w:rsidR="007702BB" w:rsidRPr="00C93347" w14:paraId="3E19B4BA" w14:textId="77777777" w:rsidTr="008620CB">
        <w:trPr>
          <w:gridAfter w:val="1"/>
          <w:wAfter w:w="12" w:type="dxa"/>
          <w:cantSplit/>
          <w:tblHeader/>
          <w:jc w:val="center"/>
        </w:trPr>
        <w:tc>
          <w:tcPr>
            <w:tcW w:w="2335" w:type="dxa"/>
          </w:tcPr>
          <w:p w14:paraId="3CEC981D" w14:textId="77777777" w:rsidR="007702BB" w:rsidRPr="00C93347" w:rsidRDefault="007702BB" w:rsidP="007702BB">
            <w:pPr>
              <w:autoSpaceDE w:val="0"/>
              <w:autoSpaceDN w:val="0"/>
              <w:adjustRightInd w:val="0"/>
              <w:rPr>
                <w:rFonts w:ascii="Times New Roman" w:hAnsi="Times New Roman" w:cs="Times New Roman"/>
                <w:bCs/>
                <w:color w:val="FF0000"/>
                <w:sz w:val="20"/>
                <w:szCs w:val="20"/>
              </w:rPr>
            </w:pPr>
            <w:r w:rsidRPr="00C93347">
              <w:rPr>
                <w:rFonts w:ascii="Times New Roman" w:hAnsi="Times New Roman" w:cs="Times New Roman"/>
                <w:bCs/>
                <w:color w:val="FF0000"/>
                <w:sz w:val="20"/>
                <w:szCs w:val="20"/>
              </w:rPr>
              <w:t>Episodes in which beneficiary Death occurred within 30 Days Post Discharge</w:t>
            </w:r>
          </w:p>
        </w:tc>
        <w:tc>
          <w:tcPr>
            <w:tcW w:w="1260" w:type="dxa"/>
            <w:vAlign w:val="center"/>
          </w:tcPr>
          <w:p w14:paraId="5B9465F4" w14:textId="1CA42FE7"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 xml:space="preserve">    881,953 </w:t>
            </w:r>
          </w:p>
        </w:tc>
        <w:tc>
          <w:tcPr>
            <w:tcW w:w="1117" w:type="dxa"/>
            <w:vAlign w:val="center"/>
          </w:tcPr>
          <w:p w14:paraId="67181E2D" w14:textId="6973E831"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9.13%</w:t>
            </w:r>
          </w:p>
        </w:tc>
        <w:tc>
          <w:tcPr>
            <w:tcW w:w="990" w:type="dxa"/>
            <w:vAlign w:val="center"/>
          </w:tcPr>
          <w:p w14:paraId="234A8AB4" w14:textId="0E6837DE"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$26,522</w:t>
            </w:r>
          </w:p>
        </w:tc>
        <w:tc>
          <w:tcPr>
            <w:tcW w:w="1051" w:type="dxa"/>
            <w:vAlign w:val="center"/>
          </w:tcPr>
          <w:p w14:paraId="7DB7D382" w14:textId="1FD21AC4"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$9,946</w:t>
            </w:r>
          </w:p>
        </w:tc>
        <w:tc>
          <w:tcPr>
            <w:tcW w:w="992" w:type="dxa"/>
            <w:vAlign w:val="center"/>
          </w:tcPr>
          <w:p w14:paraId="103A244E" w14:textId="09A75DEF"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$49,330</w:t>
            </w:r>
          </w:p>
        </w:tc>
        <w:tc>
          <w:tcPr>
            <w:tcW w:w="839" w:type="dxa"/>
            <w:vAlign w:val="center"/>
          </w:tcPr>
          <w:p w14:paraId="218F8467" w14:textId="54325607"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0.94</w:t>
            </w:r>
          </w:p>
        </w:tc>
        <w:tc>
          <w:tcPr>
            <w:tcW w:w="630" w:type="dxa"/>
            <w:vAlign w:val="center"/>
          </w:tcPr>
          <w:p w14:paraId="19D72283" w14:textId="2250505A"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0.49</w:t>
            </w:r>
          </w:p>
        </w:tc>
        <w:tc>
          <w:tcPr>
            <w:tcW w:w="630" w:type="dxa"/>
            <w:vAlign w:val="center"/>
          </w:tcPr>
          <w:p w14:paraId="6D53ACD1" w14:textId="167E09BD"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1.67</w:t>
            </w:r>
          </w:p>
        </w:tc>
      </w:tr>
      <w:tr w:rsidR="007702BB" w:rsidRPr="00C93347" w14:paraId="7B9AA622" w14:textId="77777777" w:rsidTr="008620CB">
        <w:trPr>
          <w:gridAfter w:val="1"/>
          <w:wAfter w:w="12" w:type="dxa"/>
          <w:cantSplit/>
          <w:tblHeader/>
          <w:jc w:val="center"/>
        </w:trPr>
        <w:tc>
          <w:tcPr>
            <w:tcW w:w="2335" w:type="dxa"/>
          </w:tcPr>
          <w:p w14:paraId="7B372580" w14:textId="77777777" w:rsidR="007702BB" w:rsidRPr="00C93347" w:rsidRDefault="007702BB" w:rsidP="007702BB">
            <w:pPr>
              <w:autoSpaceDE w:val="0"/>
              <w:autoSpaceDN w:val="0"/>
              <w:adjustRightInd w:val="0"/>
              <w:rPr>
                <w:rFonts w:ascii="Times New Roman" w:hAnsi="Times New Roman" w:cs="Times New Roman"/>
                <w:bCs/>
                <w:color w:val="FF0000"/>
                <w:sz w:val="20"/>
                <w:szCs w:val="20"/>
              </w:rPr>
            </w:pPr>
            <w:r w:rsidRPr="00C93347">
              <w:rPr>
                <w:rFonts w:ascii="Times New Roman" w:hAnsi="Times New Roman" w:cs="Times New Roman"/>
                <w:bCs/>
                <w:color w:val="FF0000"/>
                <w:sz w:val="20"/>
                <w:szCs w:val="20"/>
              </w:rPr>
              <w:t>Episodes in which Inpatient stay occurred in a non-Acute Hospital or in a Critical Access Care (CAH) hospital</w:t>
            </w:r>
          </w:p>
        </w:tc>
        <w:tc>
          <w:tcPr>
            <w:tcW w:w="1260" w:type="dxa"/>
            <w:vAlign w:val="center"/>
          </w:tcPr>
          <w:p w14:paraId="0DA688DA" w14:textId="61CE7780"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 xml:space="preserve"> 1,105,999 </w:t>
            </w:r>
          </w:p>
        </w:tc>
        <w:tc>
          <w:tcPr>
            <w:tcW w:w="1117" w:type="dxa"/>
            <w:vAlign w:val="center"/>
          </w:tcPr>
          <w:p w14:paraId="48DCD5A8" w14:textId="67DC30CF"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11.45%</w:t>
            </w:r>
          </w:p>
        </w:tc>
        <w:tc>
          <w:tcPr>
            <w:tcW w:w="990" w:type="dxa"/>
            <w:vAlign w:val="center"/>
          </w:tcPr>
          <w:p w14:paraId="5AFD6C4A" w14:textId="4F33FDC3"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$30,589</w:t>
            </w:r>
          </w:p>
        </w:tc>
        <w:tc>
          <w:tcPr>
            <w:tcW w:w="1051" w:type="dxa"/>
            <w:vAlign w:val="center"/>
          </w:tcPr>
          <w:p w14:paraId="4730400E" w14:textId="5A599A8F"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$7,469</w:t>
            </w:r>
          </w:p>
        </w:tc>
        <w:tc>
          <w:tcPr>
            <w:tcW w:w="992" w:type="dxa"/>
            <w:vAlign w:val="center"/>
          </w:tcPr>
          <w:p w14:paraId="21162584" w14:textId="38809C34"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$59,207</w:t>
            </w:r>
          </w:p>
        </w:tc>
        <w:tc>
          <w:tcPr>
            <w:tcW w:w="839" w:type="dxa"/>
            <w:vAlign w:val="center"/>
          </w:tcPr>
          <w:p w14:paraId="69A9F6EB" w14:textId="64E0EA31"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1.14</w:t>
            </w:r>
          </w:p>
        </w:tc>
        <w:tc>
          <w:tcPr>
            <w:tcW w:w="630" w:type="dxa"/>
            <w:vAlign w:val="center"/>
          </w:tcPr>
          <w:p w14:paraId="38727787" w14:textId="7E275CDD"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0.46</w:t>
            </w:r>
          </w:p>
        </w:tc>
        <w:tc>
          <w:tcPr>
            <w:tcW w:w="630" w:type="dxa"/>
            <w:vAlign w:val="center"/>
          </w:tcPr>
          <w:p w14:paraId="1A604DF0" w14:textId="7C485E77"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2.02</w:t>
            </w:r>
          </w:p>
        </w:tc>
      </w:tr>
      <w:tr w:rsidR="007702BB" w:rsidRPr="00C93347" w14:paraId="7C65D57C" w14:textId="77777777" w:rsidTr="008620CB">
        <w:trPr>
          <w:gridAfter w:val="1"/>
          <w:wAfter w:w="12" w:type="dxa"/>
          <w:cantSplit/>
          <w:tblHeader/>
          <w:jc w:val="center"/>
        </w:trPr>
        <w:tc>
          <w:tcPr>
            <w:tcW w:w="2335" w:type="dxa"/>
          </w:tcPr>
          <w:p w14:paraId="76E45E29" w14:textId="77777777" w:rsidR="007702BB" w:rsidRPr="00C93347" w:rsidRDefault="007702BB" w:rsidP="007702BB">
            <w:pPr>
              <w:autoSpaceDE w:val="0"/>
              <w:autoSpaceDN w:val="0"/>
              <w:adjustRightInd w:val="0"/>
              <w:rPr>
                <w:rFonts w:ascii="Times New Roman" w:hAnsi="Times New Roman" w:cs="Times New Roman"/>
                <w:bCs/>
                <w:color w:val="FF0000"/>
                <w:sz w:val="20"/>
                <w:szCs w:val="20"/>
              </w:rPr>
            </w:pPr>
            <w:r w:rsidRPr="00C93347">
              <w:rPr>
                <w:rFonts w:ascii="Times New Roman" w:hAnsi="Times New Roman" w:cs="Times New Roman"/>
                <w:bCs/>
                <w:color w:val="FF0000"/>
                <w:sz w:val="20"/>
                <w:szCs w:val="20"/>
              </w:rPr>
              <w:t>Episodes with Inpatient Facility located in Excluded Regions</w:t>
            </w:r>
          </w:p>
        </w:tc>
        <w:tc>
          <w:tcPr>
            <w:tcW w:w="1260" w:type="dxa"/>
            <w:vAlign w:val="center"/>
          </w:tcPr>
          <w:p w14:paraId="31FD35D2" w14:textId="48CB4763"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 xml:space="preserve">   231,396 </w:t>
            </w:r>
          </w:p>
        </w:tc>
        <w:tc>
          <w:tcPr>
            <w:tcW w:w="1117" w:type="dxa"/>
            <w:vAlign w:val="center"/>
          </w:tcPr>
          <w:p w14:paraId="5A06748E" w14:textId="69419A9A"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2.39%</w:t>
            </w:r>
          </w:p>
        </w:tc>
        <w:tc>
          <w:tcPr>
            <w:tcW w:w="990" w:type="dxa"/>
            <w:vAlign w:val="center"/>
          </w:tcPr>
          <w:p w14:paraId="44B25F6D" w14:textId="189B11EF"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$22,791</w:t>
            </w:r>
          </w:p>
        </w:tc>
        <w:tc>
          <w:tcPr>
            <w:tcW w:w="1051" w:type="dxa"/>
            <w:vAlign w:val="center"/>
          </w:tcPr>
          <w:p w14:paraId="0A03AB66" w14:textId="3A8B4A20"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$6,639</w:t>
            </w:r>
          </w:p>
        </w:tc>
        <w:tc>
          <w:tcPr>
            <w:tcW w:w="992" w:type="dxa"/>
            <w:vAlign w:val="center"/>
          </w:tcPr>
          <w:p w14:paraId="49D31084" w14:textId="345AFC4C"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$43,763</w:t>
            </w:r>
          </w:p>
        </w:tc>
        <w:tc>
          <w:tcPr>
            <w:tcW w:w="839" w:type="dxa"/>
            <w:vAlign w:val="center"/>
          </w:tcPr>
          <w:p w14:paraId="412D7517" w14:textId="199CAAE5"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0.99</w:t>
            </w:r>
          </w:p>
        </w:tc>
        <w:tc>
          <w:tcPr>
            <w:tcW w:w="630" w:type="dxa"/>
            <w:vAlign w:val="center"/>
          </w:tcPr>
          <w:p w14:paraId="07F1C4BB" w14:textId="47229820"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0.47</w:t>
            </w:r>
          </w:p>
        </w:tc>
        <w:tc>
          <w:tcPr>
            <w:tcW w:w="630" w:type="dxa"/>
            <w:vAlign w:val="center"/>
          </w:tcPr>
          <w:p w14:paraId="6114F773" w14:textId="7F5CEE04" w:rsidR="007702BB" w:rsidRPr="00C93347" w:rsidRDefault="007702BB">
            <w:pPr>
              <w:autoSpaceDE w:val="0"/>
              <w:autoSpaceDN w:val="0"/>
              <w:adjustRightInd w:val="0"/>
              <w:jc w:val="right"/>
              <w:rPr>
                <w:rFonts w:ascii="Times New Roman" w:hAnsi="Times New Roman" w:cs="Times New Roman"/>
                <w:bCs/>
                <w:color w:val="FF0000"/>
                <w:sz w:val="20"/>
                <w:szCs w:val="20"/>
                <w:highlight w:val="yellow"/>
              </w:rPr>
            </w:pPr>
            <w:r w:rsidRPr="00C93347">
              <w:rPr>
                <w:rFonts w:ascii="Times New Roman" w:hAnsi="Times New Roman" w:cs="Times New Roman"/>
                <w:color w:val="FF0000"/>
                <w:sz w:val="20"/>
                <w:szCs w:val="20"/>
              </w:rPr>
              <w:t>1.75</w:t>
            </w:r>
          </w:p>
        </w:tc>
      </w:tr>
      <w:tr w:rsidR="007702BB" w:rsidRPr="00C93347" w14:paraId="32A96F1D" w14:textId="77777777" w:rsidTr="008620CB">
        <w:trPr>
          <w:gridAfter w:val="1"/>
          <w:wAfter w:w="12" w:type="dxa"/>
          <w:cantSplit/>
          <w:trHeight w:val="404"/>
          <w:tblHeader/>
          <w:jc w:val="center"/>
        </w:trPr>
        <w:tc>
          <w:tcPr>
            <w:tcW w:w="2335" w:type="dxa"/>
            <w:vAlign w:val="center"/>
          </w:tcPr>
          <w:p w14:paraId="69BBE6A9" w14:textId="77777777" w:rsidR="007702BB" w:rsidRPr="00C93347" w:rsidRDefault="007702BB" w:rsidP="007702BB">
            <w:pPr>
              <w:autoSpaceDE w:val="0"/>
              <w:autoSpaceDN w:val="0"/>
              <w:adjustRightInd w:val="0"/>
              <w:rPr>
                <w:rFonts w:ascii="Times New Roman" w:hAnsi="Times New Roman" w:cs="Times New Roman"/>
                <w:b/>
                <w:bCs/>
                <w:color w:val="FF0000"/>
                <w:sz w:val="20"/>
                <w:szCs w:val="20"/>
              </w:rPr>
            </w:pPr>
            <w:r w:rsidRPr="00C93347">
              <w:rPr>
                <w:rFonts w:ascii="Times New Roman" w:hAnsi="Times New Roman" w:cs="Times New Roman"/>
                <w:b/>
                <w:bCs/>
                <w:color w:val="FF0000"/>
                <w:sz w:val="20"/>
                <w:szCs w:val="20"/>
              </w:rPr>
              <w:t xml:space="preserve">Remaining Episodes </w:t>
            </w:r>
          </w:p>
        </w:tc>
        <w:tc>
          <w:tcPr>
            <w:tcW w:w="1260" w:type="dxa"/>
            <w:vAlign w:val="center"/>
          </w:tcPr>
          <w:p w14:paraId="688CE1E5" w14:textId="397E6B4B" w:rsidR="007702BB" w:rsidRPr="00C93347" w:rsidRDefault="007702BB">
            <w:pPr>
              <w:autoSpaceDE w:val="0"/>
              <w:autoSpaceDN w:val="0"/>
              <w:adjustRightInd w:val="0"/>
              <w:jc w:val="right"/>
              <w:rPr>
                <w:rFonts w:ascii="Times New Roman" w:hAnsi="Times New Roman" w:cs="Times New Roman"/>
                <w:b/>
                <w:bCs/>
                <w:color w:val="FF0000"/>
                <w:sz w:val="20"/>
                <w:szCs w:val="20"/>
                <w:highlight w:val="yellow"/>
              </w:rPr>
            </w:pPr>
            <w:r w:rsidRPr="00C93347">
              <w:rPr>
                <w:rFonts w:ascii="Times New Roman" w:hAnsi="Times New Roman" w:cs="Times New Roman"/>
                <w:b/>
                <w:bCs/>
                <w:color w:val="FF0000"/>
                <w:sz w:val="20"/>
                <w:szCs w:val="20"/>
              </w:rPr>
              <w:t xml:space="preserve">6,086,932 </w:t>
            </w:r>
          </w:p>
        </w:tc>
        <w:tc>
          <w:tcPr>
            <w:tcW w:w="1117" w:type="dxa"/>
            <w:vAlign w:val="center"/>
          </w:tcPr>
          <w:p w14:paraId="7FC2FBBC" w14:textId="558F6F3F" w:rsidR="007702BB" w:rsidRPr="00C93347" w:rsidRDefault="00F0695E">
            <w:pPr>
              <w:autoSpaceDE w:val="0"/>
              <w:autoSpaceDN w:val="0"/>
              <w:adjustRightInd w:val="0"/>
              <w:jc w:val="right"/>
              <w:rPr>
                <w:rFonts w:ascii="Times New Roman" w:hAnsi="Times New Roman" w:cs="Times New Roman"/>
                <w:b/>
                <w:bCs/>
                <w:color w:val="FF0000"/>
                <w:sz w:val="20"/>
                <w:szCs w:val="20"/>
                <w:highlight w:val="yellow"/>
              </w:rPr>
            </w:pPr>
            <w:r w:rsidRPr="00C93347">
              <w:rPr>
                <w:rFonts w:ascii="Times New Roman" w:hAnsi="Times New Roman" w:cs="Times New Roman"/>
                <w:b/>
                <w:bCs/>
                <w:color w:val="FF0000"/>
                <w:sz w:val="20"/>
                <w:szCs w:val="20"/>
              </w:rPr>
              <w:t>62.99</w:t>
            </w:r>
            <w:r w:rsidR="007702BB" w:rsidRPr="00C93347">
              <w:rPr>
                <w:rFonts w:ascii="Times New Roman" w:hAnsi="Times New Roman" w:cs="Times New Roman"/>
                <w:b/>
                <w:bCs/>
                <w:color w:val="FF0000"/>
                <w:sz w:val="20"/>
                <w:szCs w:val="20"/>
              </w:rPr>
              <w:t>%</w:t>
            </w:r>
          </w:p>
        </w:tc>
        <w:tc>
          <w:tcPr>
            <w:tcW w:w="990" w:type="dxa"/>
            <w:vAlign w:val="center"/>
          </w:tcPr>
          <w:p w14:paraId="76404A90" w14:textId="392A5F75" w:rsidR="007702BB" w:rsidRPr="00C93347" w:rsidRDefault="007702BB">
            <w:pPr>
              <w:jc w:val="right"/>
              <w:rPr>
                <w:rFonts w:ascii="Times New Roman" w:hAnsi="Times New Roman" w:cs="Times New Roman"/>
                <w:b/>
                <w:bCs/>
                <w:color w:val="FF0000"/>
                <w:sz w:val="20"/>
                <w:szCs w:val="20"/>
              </w:rPr>
            </w:pPr>
            <w:r w:rsidRPr="00C93347">
              <w:rPr>
                <w:rFonts w:ascii="Times New Roman" w:hAnsi="Times New Roman" w:cs="Times New Roman"/>
                <w:b/>
                <w:bCs/>
                <w:color w:val="FF0000"/>
                <w:sz w:val="20"/>
                <w:szCs w:val="20"/>
              </w:rPr>
              <w:t>$23,499</w:t>
            </w:r>
          </w:p>
        </w:tc>
        <w:tc>
          <w:tcPr>
            <w:tcW w:w="1051" w:type="dxa"/>
            <w:vAlign w:val="center"/>
          </w:tcPr>
          <w:p w14:paraId="1B796C7A" w14:textId="7A44A18A" w:rsidR="007702BB" w:rsidRPr="00C93347" w:rsidRDefault="007702BB">
            <w:pPr>
              <w:jc w:val="right"/>
              <w:rPr>
                <w:rFonts w:ascii="Times New Roman" w:hAnsi="Times New Roman" w:cs="Times New Roman"/>
                <w:b/>
                <w:bCs/>
                <w:color w:val="FF0000"/>
                <w:sz w:val="20"/>
                <w:szCs w:val="20"/>
              </w:rPr>
            </w:pPr>
            <w:r w:rsidRPr="00C93347">
              <w:rPr>
                <w:rFonts w:ascii="Times New Roman" w:hAnsi="Times New Roman" w:cs="Times New Roman"/>
                <w:b/>
                <w:bCs/>
                <w:color w:val="FF0000"/>
                <w:sz w:val="20"/>
                <w:szCs w:val="20"/>
              </w:rPr>
              <w:t>$7,209</w:t>
            </w:r>
          </w:p>
        </w:tc>
        <w:tc>
          <w:tcPr>
            <w:tcW w:w="992" w:type="dxa"/>
            <w:vAlign w:val="center"/>
          </w:tcPr>
          <w:p w14:paraId="1C434908" w14:textId="2E2E9C09" w:rsidR="007702BB" w:rsidRPr="00C93347" w:rsidRDefault="007702BB">
            <w:pPr>
              <w:jc w:val="right"/>
              <w:rPr>
                <w:rFonts w:ascii="Times New Roman" w:hAnsi="Times New Roman" w:cs="Times New Roman"/>
                <w:b/>
                <w:bCs/>
                <w:color w:val="FF0000"/>
                <w:sz w:val="20"/>
                <w:szCs w:val="20"/>
              </w:rPr>
            </w:pPr>
            <w:r w:rsidRPr="00C93347">
              <w:rPr>
                <w:rFonts w:ascii="Times New Roman" w:hAnsi="Times New Roman" w:cs="Times New Roman"/>
                <w:b/>
                <w:bCs/>
                <w:color w:val="FF0000"/>
                <w:sz w:val="20"/>
                <w:szCs w:val="20"/>
              </w:rPr>
              <w:t>$44,864</w:t>
            </w:r>
          </w:p>
        </w:tc>
        <w:tc>
          <w:tcPr>
            <w:tcW w:w="839" w:type="dxa"/>
            <w:vAlign w:val="center"/>
          </w:tcPr>
          <w:p w14:paraId="5C558109" w14:textId="6D841DC7" w:rsidR="007702BB" w:rsidRPr="00C93347" w:rsidRDefault="007702BB">
            <w:pPr>
              <w:jc w:val="right"/>
              <w:rPr>
                <w:rFonts w:ascii="Times New Roman" w:hAnsi="Times New Roman" w:cs="Times New Roman"/>
                <w:b/>
                <w:bCs/>
                <w:color w:val="FF0000"/>
                <w:sz w:val="20"/>
                <w:szCs w:val="20"/>
              </w:rPr>
            </w:pPr>
            <w:r w:rsidRPr="00C93347">
              <w:rPr>
                <w:rFonts w:ascii="Times New Roman" w:hAnsi="Times New Roman" w:cs="Times New Roman"/>
                <w:b/>
                <w:bCs/>
                <w:color w:val="FF0000"/>
                <w:sz w:val="20"/>
                <w:szCs w:val="20"/>
              </w:rPr>
              <w:t>1.00</w:t>
            </w:r>
          </w:p>
        </w:tc>
        <w:tc>
          <w:tcPr>
            <w:tcW w:w="630" w:type="dxa"/>
            <w:vAlign w:val="center"/>
          </w:tcPr>
          <w:p w14:paraId="57441AE6" w14:textId="0CB8F5B5" w:rsidR="007702BB" w:rsidRPr="00C93347" w:rsidRDefault="007702BB">
            <w:pPr>
              <w:jc w:val="right"/>
              <w:rPr>
                <w:rFonts w:ascii="Times New Roman" w:hAnsi="Times New Roman" w:cs="Times New Roman"/>
                <w:b/>
                <w:bCs/>
                <w:color w:val="FF0000"/>
                <w:sz w:val="20"/>
                <w:szCs w:val="20"/>
              </w:rPr>
            </w:pPr>
            <w:r w:rsidRPr="00C93347">
              <w:rPr>
                <w:rFonts w:ascii="Times New Roman" w:hAnsi="Times New Roman" w:cs="Times New Roman"/>
                <w:b/>
                <w:bCs/>
                <w:color w:val="FF0000"/>
                <w:sz w:val="20"/>
                <w:szCs w:val="20"/>
              </w:rPr>
              <w:t>0.50</w:t>
            </w:r>
          </w:p>
        </w:tc>
        <w:tc>
          <w:tcPr>
            <w:tcW w:w="630" w:type="dxa"/>
            <w:vAlign w:val="center"/>
          </w:tcPr>
          <w:p w14:paraId="6AC8C138" w14:textId="419DA0DF" w:rsidR="007702BB" w:rsidRPr="00C93347" w:rsidRDefault="007702BB">
            <w:pPr>
              <w:jc w:val="right"/>
              <w:rPr>
                <w:rFonts w:ascii="Times New Roman" w:hAnsi="Times New Roman" w:cs="Times New Roman"/>
                <w:b/>
                <w:bCs/>
                <w:color w:val="FF0000"/>
                <w:sz w:val="20"/>
                <w:szCs w:val="20"/>
              </w:rPr>
            </w:pPr>
            <w:r w:rsidRPr="00C93347">
              <w:rPr>
                <w:rFonts w:ascii="Times New Roman" w:hAnsi="Times New Roman" w:cs="Times New Roman"/>
                <w:b/>
                <w:bCs/>
                <w:color w:val="FF0000"/>
                <w:sz w:val="20"/>
                <w:szCs w:val="20"/>
              </w:rPr>
              <w:t>1.72</w:t>
            </w:r>
          </w:p>
        </w:tc>
      </w:tr>
    </w:tbl>
    <w:p w14:paraId="2918896C" w14:textId="60C63018" w:rsidR="007A573C" w:rsidRPr="00CD6B52" w:rsidRDefault="007A573C" w:rsidP="007A573C">
      <w:pPr>
        <w:autoSpaceDE w:val="0"/>
        <w:autoSpaceDN w:val="0"/>
        <w:adjustRightInd w:val="0"/>
        <w:spacing w:after="0" w:line="240" w:lineRule="auto"/>
        <w:rPr>
          <w:rFonts w:cstheme="minorHAnsi"/>
          <w:b/>
          <w:color w:val="0070C0"/>
        </w:rPr>
      </w:pPr>
      <w:r w:rsidRPr="007A573C">
        <w:rPr>
          <w:rFonts w:cstheme="minorHAnsi"/>
          <w:bCs/>
          <w:color w:val="0070C0"/>
        </w:rPr>
        <w:t xml:space="preserve"> </w:t>
      </w:r>
    </w:p>
    <w:p w14:paraId="2E2FE329" w14:textId="6FD7CB20" w:rsidR="00F0695E" w:rsidRPr="00A42F7D" w:rsidRDefault="00F0695E" w:rsidP="00A42F7D">
      <w:pPr>
        <w:pStyle w:val="NoSpacing"/>
        <w:rPr>
          <w:u w:val="single"/>
        </w:rPr>
      </w:pPr>
      <w:r w:rsidRPr="00A42F7D">
        <w:rPr>
          <w:u w:val="single"/>
        </w:rPr>
        <w:t>Previous Response (2016):</w:t>
      </w:r>
    </w:p>
    <w:p w14:paraId="305BE217" w14:textId="6C1C2D9E" w:rsidR="00F0695E" w:rsidRDefault="00F0695E" w:rsidP="00A42F7D">
      <w:pPr>
        <w:pStyle w:val="NoSpacing"/>
      </w:pPr>
      <w:r w:rsidRPr="00A42F7D">
        <w:rPr>
          <w:i/>
          <w:iCs/>
        </w:rPr>
        <w:t>Transfer Episodes:</w:t>
      </w:r>
      <w:r w:rsidRPr="00CD6B52">
        <w:t xml:space="preserve"> Episodes that include an acute-to-acute transfer account for 1.6% of total episodes.  Episodes containing an acute-to-acute transfer have an average observed cost of $33,363 compared to an average expected cost of $21,068, resulting in an observed-to-expected cost ratio of 1.58.  Episodes not containing an acute-to-acute transfer, on the other hand, have an average observed cost of $20,570 compared to an average expected cost of $20,774, resulting in a observed-to-expected cost ratio of 0.99 (Appendix Table 2b3-1).  Rural hospitals tend to have a higher rate of transfers than urban hospitals (4.1% and 1.3%, respectively), so including transfer episodes that have higher observed-to-expected cost ratio in the MSPB-Hospital measure calculation would probably disproportionately worsen rural hospitals’ scores.  When including transfer episodes in the calculation of the MSPB-Hospital measure, 81% of hospitals’ MSPB-Hospital measure scores change by less than ±0.03, and less than 2% of hospitals’ MSPB-Hospital measure scores change by more than ±0.10 (see Appendix Table 2b3-2 for full results).  The correlation between MSPB-Hospital measure scores when excluding transfer episodes versus when including transfer episodes is 0.95.</w:t>
      </w:r>
    </w:p>
    <w:p w14:paraId="100EF7C5" w14:textId="77777777" w:rsidR="00A42F7D" w:rsidRPr="00CD6B52" w:rsidRDefault="00A42F7D" w:rsidP="00A42F7D">
      <w:pPr>
        <w:pStyle w:val="NoSpacing"/>
      </w:pPr>
    </w:p>
    <w:p w14:paraId="4FFD6944" w14:textId="77777777" w:rsidR="00F0695E" w:rsidRPr="00CD6B52" w:rsidRDefault="00F0695E" w:rsidP="00A42F7D">
      <w:pPr>
        <w:pStyle w:val="NoSpacing"/>
      </w:pPr>
      <w:r w:rsidRPr="00A42F7D">
        <w:rPr>
          <w:i/>
          <w:iCs/>
        </w:rPr>
        <w:t>Death Episodes:</w:t>
      </w:r>
      <w:r w:rsidRPr="00CD6B52">
        <w:t xml:space="preserve"> In approximately 8% of MSPB-Hospital episodes, the beneficiary dies before the end of the 30-day post-discharge period.  Episodes in which the beneficiary dies during the episode window (denoted as “death episodes”) appear more efficient than non-death episodes, as shown in Appendix Table 2b3-3.  The average observed cost of death episodes is $21,041 compared to the expected cost of $24,980, resulting in an observed-to-expected cost ratio of 0.84.  Comparatively, non-death episodes have an observed-to-expected cost ratio of 1.02 ($20,512 over $20,156).  If death is included in measure calculation, 96% of hospitals’ MSPB-Hospital measure scores change by less than ±0.03, and very few hospitals (less than 0.2%) see changes in MSPB-Hospital measure scores greater than ±0.10 (see Appendix Table 2b3-4).  The correlation between MSPB-Hospital measure scores when excluding death episodes versus when allowing for inclusion of death episodes in measure calculation is 0.99.</w:t>
      </w:r>
    </w:p>
    <w:p w14:paraId="47BC3889" w14:textId="2943ED4D" w:rsidR="00F0695E" w:rsidRDefault="00F0695E" w:rsidP="00A42F7D">
      <w:pPr>
        <w:pStyle w:val="NoSpacing"/>
      </w:pPr>
      <w:r w:rsidRPr="00CD6B52">
        <w:t>Outlier Episodes:  When including outlier episodes in measure calculation, about 2% of hospitals see an absolute change in their MSPB-Hospital measure score of greater than ±0.10, and 6% of hospitals’ MSPB-Hospital measure scores change by greater than ±0.05.  Appendix Table 2b3-5 further details the impact of including outliers on MSPB-Hospital measure scores.  The correlation between MSPB-Hospital measure scores when excluding outliers versus when including outliers is 0.93.</w:t>
      </w:r>
    </w:p>
    <w:p w14:paraId="2DF3674F" w14:textId="77777777" w:rsidR="00A42F7D" w:rsidRPr="00CD6B52" w:rsidRDefault="00A42F7D" w:rsidP="00A42F7D">
      <w:pPr>
        <w:pStyle w:val="NoSpacing"/>
      </w:pPr>
    </w:p>
    <w:p w14:paraId="1AD1A9A7" w14:textId="6DCF0E59" w:rsidR="00F0695E" w:rsidRDefault="00F0695E" w:rsidP="00A42F7D">
      <w:pPr>
        <w:pStyle w:val="NoSpacing"/>
      </w:pPr>
      <w:r w:rsidRPr="00A42F7D">
        <w:rPr>
          <w:i/>
          <w:iCs/>
        </w:rPr>
        <w:t>Overlapping Episodes:</w:t>
      </w:r>
      <w:r w:rsidRPr="00CD6B52">
        <w:t xml:space="preserve"> Approximately 12% of episodes had their trigger inpatient admission within 30 days of the discharge date of the trigger inpatient admission of another episode (Appendix Table 2b3-6).  If episodes with a trigger inpatient admission during the 30-day post-discharge period of another episode are included in MSPB-Hospital measure calculation, 97% of hospitals’ MSPB-Hospital measure scores change by less than ±0.03, with a small proportion of hospitals (0.4%) experiencing changes in MSPB-Hospital measure scores greater than ±0.10 (see Appendix Table 2b3-7 for detailed results).  The correlation of MSPB-Hospital measure scores before and after removing the overlapping episodes exclusion is 0.99.</w:t>
      </w:r>
    </w:p>
    <w:p w14:paraId="3B666591" w14:textId="77777777" w:rsidR="00A42F7D" w:rsidRPr="00CD6B52" w:rsidRDefault="00A42F7D" w:rsidP="00A42F7D">
      <w:pPr>
        <w:pStyle w:val="NoSpacing"/>
      </w:pPr>
    </w:p>
    <w:p w14:paraId="786622E3" w14:textId="477BB97D" w:rsidR="00F0695E" w:rsidRPr="00A42F7D" w:rsidRDefault="00F0695E" w:rsidP="00A42F7D">
      <w:pPr>
        <w:pStyle w:val="NoSpacing"/>
        <w:rPr>
          <w:u w:val="single"/>
        </w:rPr>
      </w:pPr>
      <w:r w:rsidRPr="00A42F7D">
        <w:rPr>
          <w:u w:val="single"/>
        </w:rPr>
        <w:t xml:space="preserve">Previous </w:t>
      </w:r>
      <w:r w:rsidR="00FC3C3C" w:rsidRPr="00A42F7D">
        <w:rPr>
          <w:u w:val="single"/>
        </w:rPr>
        <w:t>R</w:t>
      </w:r>
      <w:r w:rsidRPr="00A42F7D">
        <w:rPr>
          <w:u w:val="single"/>
        </w:rPr>
        <w:t>esponse (2013):</w:t>
      </w:r>
    </w:p>
    <w:p w14:paraId="015559A7" w14:textId="77777777" w:rsidR="00F0695E" w:rsidRPr="00CD6B52" w:rsidRDefault="00F0695E" w:rsidP="00A42F7D">
      <w:pPr>
        <w:pStyle w:val="NoSpacing"/>
      </w:pPr>
      <w:r w:rsidRPr="00CD6B52">
        <w:t xml:space="preserve">Medicare Advantage or Part </w:t>
      </w:r>
      <w:proofErr w:type="gramStart"/>
      <w:r w:rsidRPr="00CD6B52">
        <w:t>A</w:t>
      </w:r>
      <w:proofErr w:type="gramEnd"/>
      <w:r w:rsidRPr="00CD6B52">
        <w:t xml:space="preserve"> Only: 25% of Medicare beneficiaries are enrolled in Medicare Advantage; about 10 percent of Medicare FFS beneficiaries are enrolled in Part A only.</w:t>
      </w:r>
    </w:p>
    <w:p w14:paraId="608B687F" w14:textId="77777777" w:rsidR="00FC3C3C" w:rsidRPr="00CD6B52" w:rsidRDefault="00FC3C3C" w:rsidP="00A42F7D">
      <w:pPr>
        <w:pStyle w:val="NoSpacing"/>
      </w:pPr>
    </w:p>
    <w:p w14:paraId="425D0075" w14:textId="6253419E" w:rsidR="00F0695E" w:rsidRDefault="00F0695E" w:rsidP="00A42F7D">
      <w:pPr>
        <w:pStyle w:val="NoSpacing"/>
      </w:pPr>
      <w:r w:rsidRPr="00A42F7D">
        <w:rPr>
          <w:i/>
          <w:iCs/>
        </w:rPr>
        <w:t>Transfers</w:t>
      </w:r>
      <w:r w:rsidRPr="00A42F7D">
        <w:rPr>
          <w:u w:val="single"/>
        </w:rPr>
        <w:t>:</w:t>
      </w:r>
      <w:r w:rsidRPr="00CD6B52">
        <w:t xml:space="preserve"> Episodes that include an acute-to-acute transfer account for 5% of total episodes.   Episodes containing an acute-to-acute transfer have an average risk-adjusted spending of $25,151 per episode, while the average episode not containing an acute-to-acute transfer has an average risk-adjusted spending of $19,489 per episode.  Because transfer episodes cost 29% more than non-transfer episodes on average, excluding transfer episodes eliminates a significant portion of MSPB episodes and Medicare payments.  Small rural hospitals are the most likely facilities to transfer to large, urban hospitals (see Tables 2 and 3 in the appendix). Assigning transfer episodes to the transferring hospital has a larger effect on the MSPB Measure than assigning transfer episodes to the receiving hospital.  When transfer episodes are assigned to the receiving hospital, 90% of hospitals experience a change in their MSPB Measure values of less than 3 percent, but only 80% of hospitals experience a change in their MSPB Measure values of less than 3 percent when transfer episodes are assigned to the transferring hospital (see Tables 4 and 5 in the appendix)</w:t>
      </w:r>
    </w:p>
    <w:p w14:paraId="2F09315A" w14:textId="77777777" w:rsidR="00A42F7D" w:rsidRPr="00CD6B52" w:rsidRDefault="00A42F7D" w:rsidP="00A42F7D">
      <w:pPr>
        <w:pStyle w:val="NoSpacing"/>
      </w:pPr>
    </w:p>
    <w:p w14:paraId="04E76977" w14:textId="5F45349B" w:rsidR="00F0695E" w:rsidRPr="004D5FA3" w:rsidRDefault="00F0695E" w:rsidP="004D5FA3">
      <w:pPr>
        <w:pStyle w:val="NoSpacing"/>
      </w:pPr>
      <w:r w:rsidRPr="004D5FA3">
        <w:rPr>
          <w:i/>
          <w:iCs/>
        </w:rPr>
        <w:t>Death Episodes:</w:t>
      </w:r>
      <w:r w:rsidRPr="004D5FA3">
        <w:t xml:space="preserve"> In approximately 8.0% of MSPB episodes, the beneficiary dies before the end of the 30-day post-acute period.  Death episodes are much more expensive than non-death episodes.  Whereas death episodes cost $26,883 on average, non-death episodes cost $19,141, a 40% difference in average episode cost.  Since death episodes are typically expensive, including death episodes in the MSPB Measure would increase the skewness of the episode cost distribution.  Including death episodes (after </w:t>
      </w:r>
      <w:r w:rsidRPr="004D5FA3">
        <w:lastRenderedPageBreak/>
        <w:t>outlier episodes have been excluded) increases the ratio of the 99th percentile cost to the median cost by 3 percent.  If death is included as a variable in the ‘risk-adjustment’ model, death episodes are only 16 percent more expensive than non-death episodes.</w:t>
      </w:r>
    </w:p>
    <w:p w14:paraId="56A7DB1E" w14:textId="77777777" w:rsidR="00FC3C3C" w:rsidRPr="004D5FA3" w:rsidRDefault="00FC3C3C" w:rsidP="004D5FA3">
      <w:pPr>
        <w:pStyle w:val="NoSpacing"/>
      </w:pPr>
    </w:p>
    <w:p w14:paraId="3CC5BAD2" w14:textId="6376910F" w:rsidR="00F0695E" w:rsidRPr="004D5FA3" w:rsidRDefault="00F0695E" w:rsidP="004D5FA3">
      <w:pPr>
        <w:pStyle w:val="NoSpacing"/>
      </w:pPr>
      <w:r w:rsidRPr="004D5FA3">
        <w:rPr>
          <w:i/>
          <w:iCs/>
        </w:rPr>
        <w:t>Outlier Episodes:</w:t>
      </w:r>
      <w:r w:rsidRPr="004D5FA3">
        <w:t xml:space="preserve"> As an alternative to excluding outlier episodes from the MSPB Measure, outlier episodes can instead be top-coded and/or bottom-coded.  Rather than excluding episodes that are outliers, top-coding/bottom-coding assigns outliers the value of an episode at a specified threshold.  Tables 6 through 10 in the appendix present the impacts of top-coding/bottom-coding episodes at the 99.9th/0.1th, 99.5th/0.5th, 99.0th/1.0th, 98.0th/2.0th, and 95.0th/5.0th percentiles, respectively, compared to a baseline that excludes outlier episodes at the 99th and 1st percentiles of the risk-adjusted episode cost distribution.  When top-coded/bottom-coded at the 99.9th/0.1th, 99.5th/0.5th, and 99.0th/1.0th percentiles, at least 85 percent of MSPB Measure values change less than 3 percent.  However, when top-coded/bottom-coded at the 98.0th/2.0th, and 95.0th/5.0th percentiles, at least 95% of MSPB Measure values change less than 3 percent (see Table 11).</w:t>
      </w:r>
    </w:p>
    <w:p w14:paraId="60A0DC94" w14:textId="77777777" w:rsidR="00FC3C3C" w:rsidRPr="004D5FA3" w:rsidRDefault="00FC3C3C" w:rsidP="004D5FA3">
      <w:pPr>
        <w:pStyle w:val="NoSpacing"/>
      </w:pPr>
    </w:p>
    <w:p w14:paraId="089CD3CC" w14:textId="008DF29B" w:rsidR="00F0695E" w:rsidRPr="00CD6B52" w:rsidRDefault="00F0695E" w:rsidP="00A42F7D">
      <w:pPr>
        <w:pStyle w:val="NoSpacing"/>
      </w:pPr>
      <w:r w:rsidRPr="00A42F7D">
        <w:rPr>
          <w:i/>
          <w:iCs/>
        </w:rPr>
        <w:t>Discharged AMA:</w:t>
      </w:r>
      <w:r w:rsidRPr="00CD6B52">
        <w:t xml:space="preserve"> Not only do episodes with an AMA discharge code make up a small percent of MSPB episodes (0.7%), AMA episodes have lower risk-adjusted spending than non-AMA episodes.  ($13,851 vs. $19,025 for non-AMA).  About 99% of hospitals experienced a change in their MSPB Measure values less than one percentage point when excluding AMA episodes (see Table 12).</w:t>
      </w:r>
    </w:p>
    <w:p w14:paraId="70FEE327" w14:textId="77777777" w:rsidR="00FC3C3C" w:rsidRPr="00CD6B52" w:rsidRDefault="00FC3C3C" w:rsidP="00A42F7D">
      <w:pPr>
        <w:pStyle w:val="NoSpacing"/>
      </w:pPr>
    </w:p>
    <w:p w14:paraId="0375F3DB" w14:textId="44097D3C" w:rsidR="00F0695E" w:rsidRPr="00CD6B52" w:rsidRDefault="00F0695E" w:rsidP="00A42F7D">
      <w:pPr>
        <w:pStyle w:val="NoSpacing"/>
      </w:pPr>
      <w:r w:rsidRPr="00A42F7D">
        <w:rPr>
          <w:i/>
          <w:iCs/>
        </w:rPr>
        <w:t>Dual-Eligibles:</w:t>
      </w:r>
      <w:r w:rsidRPr="00CD6B52">
        <w:t xml:space="preserve"> 30% of episodes are flagged as dual-eligible beneficiaries; 18% of hospitals assigned an MSPB Measure have a beneficiary population consisting of at least 50% dual-eligible beneficiaries.  Dual-eligible beneficiaries have $859 extra spending per episode than non-dual-eligible beneficiaries.  If dual eligible are excluded, 43% of hospitals experience a change in their MSPB value of more than 1 percentage point (Table 13); including dual eligible in the risk adjustment model increases the R2 of the model by less than 0.001 and causes 12% of hospitals to change their MSPB Measure by more than 1 percentage point (Table 14).  </w:t>
      </w:r>
    </w:p>
    <w:p w14:paraId="39955147" w14:textId="77777777" w:rsidR="00F0695E" w:rsidRPr="007A573C" w:rsidRDefault="00F0695E" w:rsidP="00A42F7D">
      <w:pPr>
        <w:pStyle w:val="NoSpacing"/>
        <w:rPr>
          <w:rFonts w:cstheme="minorHAnsi"/>
          <w:bCs/>
          <w:color w:val="0070C0"/>
        </w:rPr>
      </w:pPr>
    </w:p>
    <w:p w14:paraId="0CABCFE7" w14:textId="77777777" w:rsidR="00092566" w:rsidRPr="007B0444" w:rsidRDefault="00092566" w:rsidP="00092566">
      <w:pPr>
        <w:autoSpaceDE w:val="0"/>
        <w:autoSpaceDN w:val="0"/>
        <w:adjustRightInd w:val="0"/>
        <w:spacing w:after="0" w:line="240" w:lineRule="auto"/>
        <w:rPr>
          <w:rFonts w:cstheme="minorHAnsi"/>
          <w:bCs/>
          <w:sz w:val="12"/>
        </w:rPr>
      </w:pPr>
    </w:p>
    <w:p w14:paraId="0A5047B4" w14:textId="77777777" w:rsidR="00902E38" w:rsidRPr="003E34CE" w:rsidRDefault="00092566" w:rsidP="00774B36">
      <w:pPr>
        <w:autoSpaceDE w:val="0"/>
        <w:autoSpaceDN w:val="0"/>
        <w:adjustRightInd w:val="0"/>
        <w:spacing w:after="0" w:line="240" w:lineRule="auto"/>
        <w:rPr>
          <w:rFonts w:ascii="Times New Roman" w:hAnsi="Times New Roman" w:cs="Times New Roman"/>
          <w:bCs/>
          <w:color w:val="0070C0"/>
        </w:rPr>
      </w:pPr>
      <w:r w:rsidRPr="007B0444">
        <w:rPr>
          <w:rFonts w:cstheme="minorHAnsi"/>
          <w:b/>
          <w:bCs/>
        </w:rPr>
        <w:t>2b</w:t>
      </w:r>
      <w:r w:rsidR="009C7513" w:rsidRPr="007B0444">
        <w:rPr>
          <w:rFonts w:cstheme="minorHAnsi"/>
          <w:b/>
          <w:bCs/>
        </w:rPr>
        <w:t>2</w:t>
      </w:r>
      <w:r w:rsidRPr="007B0444">
        <w:rPr>
          <w:rFonts w:cstheme="minorHAnsi"/>
          <w:b/>
          <w:bCs/>
        </w:rPr>
        <w:t>.</w:t>
      </w:r>
      <w:r w:rsidR="00A25024" w:rsidRPr="007B0444">
        <w:rPr>
          <w:rFonts w:cstheme="minorHAnsi"/>
          <w:b/>
          <w:bCs/>
        </w:rPr>
        <w:t xml:space="preserve">3. </w:t>
      </w:r>
      <w:proofErr w:type="gramStart"/>
      <w:r w:rsidR="000B2DF7" w:rsidRPr="007B0444">
        <w:rPr>
          <w:rFonts w:cstheme="minorHAnsi"/>
          <w:b/>
          <w:bCs/>
        </w:rPr>
        <w:t>What</w:t>
      </w:r>
      <w:proofErr w:type="gramEnd"/>
      <w:r w:rsidR="000B2DF7" w:rsidRPr="007B0444">
        <w:rPr>
          <w:rFonts w:cstheme="minorHAnsi"/>
          <w:b/>
          <w:bCs/>
        </w:rPr>
        <w:t xml:space="preserve"> is your interpretation of the results </w:t>
      </w:r>
      <w:r w:rsidR="007422FD" w:rsidRPr="007B0444">
        <w:rPr>
          <w:rFonts w:cstheme="minorHAnsi"/>
          <w:b/>
          <w:bCs/>
        </w:rPr>
        <w:t xml:space="preserve">in terms of </w:t>
      </w:r>
      <w:r w:rsidR="00713394" w:rsidRPr="007B0444">
        <w:rPr>
          <w:rFonts w:cstheme="minorHAnsi"/>
          <w:b/>
          <w:bCs/>
        </w:rPr>
        <w:t>demonstrating</w:t>
      </w:r>
      <w:r w:rsidR="007422FD" w:rsidRPr="007B0444">
        <w:rPr>
          <w:rFonts w:cstheme="minorHAnsi"/>
          <w:b/>
          <w:bCs/>
        </w:rPr>
        <w:t xml:space="preserve"> </w:t>
      </w:r>
      <w:r w:rsidR="00713394" w:rsidRPr="007B0444">
        <w:rPr>
          <w:rFonts w:cstheme="minorHAnsi"/>
          <w:b/>
          <w:bCs/>
        </w:rPr>
        <w:t>that exclusions are needed to prevent unfair distortion of performance results</w:t>
      </w:r>
      <w:r w:rsidR="007422FD" w:rsidRPr="007B0444">
        <w:rPr>
          <w:rFonts w:cstheme="minorHAnsi"/>
          <w:b/>
          <w:bCs/>
        </w:rPr>
        <w:t>?</w:t>
      </w:r>
      <w:r w:rsidR="007422FD" w:rsidRPr="007B0444">
        <w:rPr>
          <w:rFonts w:cstheme="minorHAnsi"/>
          <w:bCs/>
        </w:rPr>
        <w:t xml:space="preserve"> </w:t>
      </w:r>
      <w:r w:rsidR="000B2DF7" w:rsidRPr="007B0444">
        <w:rPr>
          <w:rFonts w:cstheme="minorHAnsi"/>
          <w:bCs/>
        </w:rPr>
        <w:t>(</w:t>
      </w:r>
      <w:r w:rsidR="00713394" w:rsidRPr="007B0444">
        <w:rPr>
          <w:rFonts w:cstheme="minorHAnsi"/>
          <w:bCs/>
          <w:i/>
        </w:rPr>
        <w:t>i.e.,</w:t>
      </w:r>
      <w:r w:rsidR="000B2DF7" w:rsidRPr="007B0444">
        <w:rPr>
          <w:rFonts w:cstheme="minorHAnsi"/>
          <w:bCs/>
          <w:i/>
        </w:rPr>
        <w:t xml:space="preserve"> the value </w:t>
      </w:r>
      <w:r w:rsidR="00713394" w:rsidRPr="007B0444">
        <w:rPr>
          <w:rFonts w:cstheme="minorHAnsi"/>
          <w:bCs/>
          <w:i/>
        </w:rPr>
        <w:t>outweighs the</w:t>
      </w:r>
      <w:r w:rsidR="000B2DF7" w:rsidRPr="007B0444">
        <w:rPr>
          <w:rFonts w:cstheme="minorHAnsi"/>
          <w:bCs/>
          <w:i/>
        </w:rPr>
        <w:t xml:space="preserve"> burden of increased data collection and analysi</w:t>
      </w:r>
      <w:r w:rsidR="00CC086A" w:rsidRPr="007B0444">
        <w:rPr>
          <w:rFonts w:cstheme="minorHAnsi"/>
          <w:bCs/>
          <w:i/>
        </w:rPr>
        <w:t>s</w:t>
      </w:r>
      <w:r w:rsidR="00781267" w:rsidRPr="007B0444">
        <w:rPr>
          <w:rFonts w:cstheme="minorHAnsi"/>
          <w:bCs/>
          <w:i/>
        </w:rPr>
        <w:t xml:space="preserve">. </w:t>
      </w:r>
      <w:r w:rsidR="00713394" w:rsidRPr="007B0444">
        <w:rPr>
          <w:rFonts w:cstheme="minorHAnsi"/>
          <w:bCs/>
          <w:i/>
          <w:u w:val="single"/>
        </w:rPr>
        <w:t>Note</w:t>
      </w:r>
      <w:r w:rsidR="00713394" w:rsidRPr="007B0444">
        <w:rPr>
          <w:rFonts w:cstheme="minorHAnsi"/>
          <w:bCs/>
          <w:i/>
        </w:rPr>
        <w:t xml:space="preserve">: </w:t>
      </w:r>
      <w:r w:rsidR="00713394" w:rsidRPr="007B0444">
        <w:rPr>
          <w:rFonts w:cstheme="minorHAnsi"/>
          <w:b/>
          <w:bCs/>
          <w:i/>
        </w:rPr>
        <w:t>If patient preference is an exclusion</w:t>
      </w:r>
      <w:r w:rsidR="00713394" w:rsidRPr="007B0444">
        <w:rPr>
          <w:rFonts w:cstheme="minorHAnsi"/>
          <w:bCs/>
          <w:i/>
        </w:rPr>
        <w:t>, the measure must be specified so that the effect on the performance score is transparent, e.g., scores with and without exclusion</w:t>
      </w:r>
      <w:r w:rsidR="00713394" w:rsidRPr="007B0444">
        <w:rPr>
          <w:rFonts w:cstheme="minorHAnsi"/>
          <w:bCs/>
        </w:rPr>
        <w:t>)</w:t>
      </w:r>
      <w:r w:rsidR="007422FD" w:rsidRPr="007B0444">
        <w:rPr>
          <w:rFonts w:cstheme="minorHAnsi"/>
          <w:bCs/>
        </w:rPr>
        <w:br/>
      </w:r>
    </w:p>
    <w:p w14:paraId="4B2F09E6" w14:textId="2667E4C1" w:rsidR="003E4D91" w:rsidRPr="00C93347" w:rsidRDefault="00902E38" w:rsidP="00197BF0">
      <w:pPr>
        <w:pStyle w:val="NoSpacing"/>
        <w:rPr>
          <w:rFonts w:ascii="Times New Roman" w:hAnsi="Times New Roman"/>
          <w:color w:val="FF0000"/>
        </w:rPr>
      </w:pPr>
      <w:r w:rsidRPr="00C93347">
        <w:rPr>
          <w:rFonts w:ascii="Times New Roman" w:hAnsi="Times New Roman"/>
          <w:color w:val="FF0000"/>
        </w:rPr>
        <w:t xml:space="preserve">Some excluded populations, like facilities located in regions excluded by </w:t>
      </w:r>
      <w:r w:rsidR="003E4D91" w:rsidRPr="00C93347">
        <w:rPr>
          <w:rFonts w:ascii="Times New Roman" w:hAnsi="Times New Roman"/>
          <w:color w:val="FF0000"/>
        </w:rPr>
        <w:t>HVBP program</w:t>
      </w:r>
      <w:r w:rsidRPr="00C93347">
        <w:rPr>
          <w:rFonts w:ascii="Times New Roman" w:hAnsi="Times New Roman"/>
          <w:color w:val="FF0000"/>
        </w:rPr>
        <w:t xml:space="preserve"> design, did not differ </w:t>
      </w:r>
      <w:r w:rsidR="00160F95" w:rsidRPr="00C93347">
        <w:rPr>
          <w:rFonts w:ascii="Times New Roman" w:hAnsi="Times New Roman"/>
          <w:color w:val="FF0000"/>
        </w:rPr>
        <w:t xml:space="preserve">greatly </w:t>
      </w:r>
      <w:r w:rsidRPr="00C93347">
        <w:rPr>
          <w:rFonts w:ascii="Times New Roman" w:hAnsi="Times New Roman"/>
          <w:color w:val="FF0000"/>
        </w:rPr>
        <w:t>from non-excluded episodes in observed cost and O/E cost ratios</w:t>
      </w:r>
      <w:r w:rsidR="00160F95" w:rsidRPr="00C93347">
        <w:rPr>
          <w:rFonts w:ascii="Times New Roman" w:hAnsi="Times New Roman"/>
          <w:color w:val="FF0000"/>
        </w:rPr>
        <w:t xml:space="preserve"> (e.g., </w:t>
      </w:r>
      <w:r w:rsidR="00E416A3" w:rsidRPr="00C93347">
        <w:rPr>
          <w:rFonts w:ascii="Times New Roman" w:hAnsi="Times New Roman"/>
          <w:color w:val="FF0000"/>
        </w:rPr>
        <w:t>O/E: 0.99</w:t>
      </w:r>
      <w:r w:rsidR="00160F95" w:rsidRPr="00C93347">
        <w:rPr>
          <w:rFonts w:ascii="Times New Roman" w:hAnsi="Times New Roman"/>
          <w:color w:val="FF0000"/>
        </w:rPr>
        <w:t xml:space="preserve"> for</w:t>
      </w:r>
      <w:r w:rsidR="00E416A3" w:rsidRPr="00C93347">
        <w:rPr>
          <w:rFonts w:ascii="Times New Roman" w:hAnsi="Times New Roman"/>
          <w:color w:val="FF0000"/>
        </w:rPr>
        <w:t xml:space="preserve"> hospitals in excluded regions vs 1.00 for non-excluded episodes</w:t>
      </w:r>
      <w:r w:rsidR="00160F95" w:rsidRPr="00C93347">
        <w:rPr>
          <w:rFonts w:ascii="Times New Roman" w:hAnsi="Times New Roman"/>
          <w:color w:val="FF0000"/>
        </w:rPr>
        <w:t>)</w:t>
      </w:r>
      <w:r w:rsidRPr="00C93347">
        <w:rPr>
          <w:rFonts w:ascii="Times New Roman" w:hAnsi="Times New Roman"/>
          <w:color w:val="FF0000"/>
        </w:rPr>
        <w:t xml:space="preserve">. </w:t>
      </w:r>
      <w:r w:rsidR="003E4D91" w:rsidRPr="00C93347">
        <w:rPr>
          <w:rFonts w:ascii="Times New Roman" w:hAnsi="Times New Roman"/>
          <w:color w:val="FF0000"/>
        </w:rPr>
        <w:t xml:space="preserve">To calculate their O/E cost ratios, these excluded populations were included (in a one-off manner) with the non-excluded (“Remaining Episodes”) population’s in risk adjustment. Thus, their relatively close O/E indicates that the MSPB Hospital’s risk adjustment model performed well for these hospitals. This is expected, given the rationale we provide on the measure’s risk adjustment model’s ability to predict expense throughout Section 2b3. </w:t>
      </w:r>
    </w:p>
    <w:p w14:paraId="7A07F0CF" w14:textId="77777777" w:rsidR="003E4D91" w:rsidRPr="00C93347" w:rsidRDefault="003E4D91" w:rsidP="00197BF0">
      <w:pPr>
        <w:pStyle w:val="NoSpacing"/>
        <w:rPr>
          <w:rFonts w:ascii="Times New Roman" w:hAnsi="Times New Roman"/>
          <w:color w:val="FF0000"/>
        </w:rPr>
      </w:pPr>
    </w:p>
    <w:p w14:paraId="2973D5AC" w14:textId="73DAC3DE" w:rsidR="00774B36" w:rsidRPr="00C93347" w:rsidRDefault="00902E38" w:rsidP="00197BF0">
      <w:pPr>
        <w:pStyle w:val="NoSpacing"/>
        <w:rPr>
          <w:rFonts w:ascii="Times New Roman" w:hAnsi="Times New Roman"/>
          <w:color w:val="FF0000"/>
        </w:rPr>
      </w:pPr>
      <w:r w:rsidRPr="00C93347">
        <w:rPr>
          <w:rFonts w:ascii="Times New Roman" w:hAnsi="Times New Roman"/>
          <w:color w:val="FF0000"/>
        </w:rPr>
        <w:t>Other excluded populations, like those where index admissions were paid differently than acute care IPPS hospitals</w:t>
      </w:r>
      <w:r w:rsidR="008716FA" w:rsidRPr="00C93347">
        <w:rPr>
          <w:rFonts w:ascii="Times New Roman" w:hAnsi="Times New Roman"/>
          <w:color w:val="FF0000"/>
        </w:rPr>
        <w:t xml:space="preserve"> (e.g., critical access hospitals)</w:t>
      </w:r>
      <w:r w:rsidR="003E4D91" w:rsidRPr="00C93347">
        <w:rPr>
          <w:rFonts w:ascii="Times New Roman" w:hAnsi="Times New Roman"/>
          <w:color w:val="FF0000"/>
        </w:rPr>
        <w:t xml:space="preserve">, where </w:t>
      </w:r>
      <w:r w:rsidRPr="00C93347">
        <w:rPr>
          <w:rFonts w:ascii="Times New Roman" w:hAnsi="Times New Roman"/>
          <w:color w:val="FF0000"/>
        </w:rPr>
        <w:t xml:space="preserve">episodes </w:t>
      </w:r>
      <w:r w:rsidR="003E4D91" w:rsidRPr="00C93347">
        <w:rPr>
          <w:rFonts w:ascii="Times New Roman" w:hAnsi="Times New Roman"/>
          <w:color w:val="FF0000"/>
        </w:rPr>
        <w:t>windows w</w:t>
      </w:r>
      <w:r w:rsidR="00160F95" w:rsidRPr="00C93347">
        <w:rPr>
          <w:rFonts w:ascii="Times New Roman" w:hAnsi="Times New Roman"/>
          <w:color w:val="FF0000"/>
        </w:rPr>
        <w:t xml:space="preserve">ere </w:t>
      </w:r>
      <w:r w:rsidRPr="00C93347">
        <w:rPr>
          <w:rFonts w:ascii="Times New Roman" w:hAnsi="Times New Roman"/>
          <w:color w:val="FF0000"/>
        </w:rPr>
        <w:t xml:space="preserve">truncated </w:t>
      </w:r>
      <w:r w:rsidR="003E4D91" w:rsidRPr="00C93347">
        <w:rPr>
          <w:rFonts w:ascii="Times New Roman" w:hAnsi="Times New Roman"/>
          <w:color w:val="FF0000"/>
        </w:rPr>
        <w:t xml:space="preserve">due to death, or where episode attribution was complicated by transfers </w:t>
      </w:r>
      <w:r w:rsidRPr="00C93347">
        <w:rPr>
          <w:rFonts w:ascii="Times New Roman" w:hAnsi="Times New Roman"/>
          <w:color w:val="FF0000"/>
        </w:rPr>
        <w:t>did differ</w:t>
      </w:r>
      <w:r w:rsidR="00E416A3" w:rsidRPr="00C93347">
        <w:rPr>
          <w:rFonts w:ascii="Times New Roman" w:hAnsi="Times New Roman"/>
          <w:color w:val="FF0000"/>
        </w:rPr>
        <w:t xml:space="preserve"> from non-excluded episodes</w:t>
      </w:r>
      <w:r w:rsidRPr="00C93347">
        <w:rPr>
          <w:rFonts w:ascii="Times New Roman" w:hAnsi="Times New Roman"/>
          <w:color w:val="FF0000"/>
        </w:rPr>
        <w:t xml:space="preserve"> in their observed episode cost and O/E cost ratio distributions</w:t>
      </w:r>
      <w:r w:rsidR="003E4D91" w:rsidRPr="00C93347">
        <w:rPr>
          <w:rFonts w:ascii="Times New Roman" w:hAnsi="Times New Roman"/>
          <w:color w:val="FF0000"/>
        </w:rPr>
        <w:t xml:space="preserve">. For example, </w:t>
      </w:r>
      <w:r w:rsidR="00E416A3" w:rsidRPr="00C93347">
        <w:rPr>
          <w:rFonts w:ascii="Times New Roman" w:hAnsi="Times New Roman"/>
          <w:color w:val="FF0000"/>
        </w:rPr>
        <w:t xml:space="preserve">transfer-related episodes and non-acute or critical access hospitals averaged an O/E cost ratio </w:t>
      </w:r>
      <w:r w:rsidR="00025BBE" w:rsidRPr="00C93347">
        <w:rPr>
          <w:rFonts w:ascii="Times New Roman" w:hAnsi="Times New Roman"/>
          <w:color w:val="FF0000"/>
        </w:rPr>
        <w:t>of approximately</w:t>
      </w:r>
      <w:r w:rsidR="00E416A3" w:rsidRPr="00C93347">
        <w:rPr>
          <w:rFonts w:ascii="Times New Roman" w:hAnsi="Times New Roman"/>
          <w:color w:val="FF0000"/>
        </w:rPr>
        <w:t xml:space="preserve"> 1.14 to the non-excluded episode ratio of 1.00</w:t>
      </w:r>
      <w:r w:rsidRPr="00C93347">
        <w:rPr>
          <w:rFonts w:ascii="Times New Roman" w:hAnsi="Times New Roman"/>
          <w:color w:val="FF0000"/>
        </w:rPr>
        <w:t>.</w:t>
      </w:r>
      <w:r w:rsidR="00E416A3" w:rsidRPr="00C93347">
        <w:rPr>
          <w:rFonts w:ascii="Times New Roman" w:hAnsi="Times New Roman"/>
          <w:color w:val="FF0000"/>
        </w:rPr>
        <w:t xml:space="preserve"> Further, the distributions for these two exclusions were </w:t>
      </w:r>
      <w:r w:rsidR="00025BBE" w:rsidRPr="00C93347">
        <w:rPr>
          <w:rFonts w:ascii="Times New Roman" w:hAnsi="Times New Roman"/>
          <w:color w:val="FF0000"/>
        </w:rPr>
        <w:t xml:space="preserve">generally higher than that of non-excluded episodes. </w:t>
      </w:r>
    </w:p>
    <w:p w14:paraId="2A992358" w14:textId="40DAB510" w:rsidR="00F0695E" w:rsidRDefault="00F0695E" w:rsidP="00197BF0">
      <w:pPr>
        <w:pStyle w:val="NoSpacing"/>
        <w:rPr>
          <w:color w:val="0070C0"/>
        </w:rPr>
      </w:pPr>
    </w:p>
    <w:p w14:paraId="21610B98" w14:textId="7B34A171" w:rsidR="00F0695E" w:rsidRPr="00197BF0" w:rsidRDefault="00F0695E" w:rsidP="00197BF0">
      <w:pPr>
        <w:pStyle w:val="NoSpacing"/>
        <w:rPr>
          <w:bCs/>
          <w:u w:val="single"/>
        </w:rPr>
      </w:pPr>
      <w:r w:rsidRPr="00197BF0">
        <w:rPr>
          <w:bCs/>
          <w:u w:val="single"/>
        </w:rPr>
        <w:t>Previous Response (2016)</w:t>
      </w:r>
      <w:r w:rsidR="00FC3C3C" w:rsidRPr="00197BF0">
        <w:rPr>
          <w:bCs/>
          <w:u w:val="single"/>
        </w:rPr>
        <w:t>:</w:t>
      </w:r>
    </w:p>
    <w:p w14:paraId="2DB0D507" w14:textId="77777777" w:rsidR="00F0695E" w:rsidRPr="00CD6B52" w:rsidRDefault="00F0695E" w:rsidP="00197BF0">
      <w:pPr>
        <w:pStyle w:val="NoSpacing"/>
      </w:pPr>
      <w:r w:rsidRPr="00197BF0">
        <w:rPr>
          <w:i/>
          <w:iCs/>
        </w:rPr>
        <w:t>Transfer Episodes:</w:t>
      </w:r>
      <w:r w:rsidRPr="00CD6B52">
        <w:t xml:space="preserve"> Because transfer episodes are more inefficient than non-transfer episodes, regardless of the type of hospital (urban or rural), there are two main problems with including transfer episodes.  First, because the observed cost relative to the predicted cost is high for transfer episodes (partly due to partial or full payments for two inpatient stays), including transfer episodes in the MSPB-Hospital measure may likely increase the MSPB-Hospital measure score of those hospitals most often engaging in transfers. These hospitals may not always have the capacity to handle these cases, and CMS may have an interest in ensuring medically appropriate transfers occur. Second, excluding transfer episodes addresses stakeholder concerns that neither the admitting nor receiving hospital is fully able to coordinate care.  Stakeholders find it inappropriate to hold the transferring hospital responsible for services rendered by the receiving hospital, and it also may not be appropriate to hold the receiving hospital responsible for issues that arose prior to admission of a transferred patient.  As a result, transfer episodes are excluded from the MSPB-Hospital measure calculation.</w:t>
      </w:r>
    </w:p>
    <w:p w14:paraId="73E932D9" w14:textId="3034F31A" w:rsidR="00F0695E" w:rsidRDefault="00F0695E" w:rsidP="00197BF0">
      <w:pPr>
        <w:pStyle w:val="NoSpacing"/>
      </w:pPr>
      <w:r w:rsidRPr="00197BF0">
        <w:rPr>
          <w:i/>
          <w:iCs/>
        </w:rPr>
        <w:t>Death Episodes:</w:t>
      </w:r>
      <w:r w:rsidRPr="00CD6B52">
        <w:t xml:space="preserve"> Cases where the beneficiary dies during the episode are not eligible to be included in the MSPB-Hospital measure.  Though the difference between cost for death and non-death episodes is relatively small compared to other exclusions, there are a few explanations for the exclusion of death episodes.  First, including death episodes in MSPB-Hospital measure calculation may create problematic incentives.  Death episodes appear more efficient than non-death episodes; unlike non-death episodes, which have a slightly greater observed cost than expected cost, the observed cost for death episodes is much less than the expected cost.  This is because beneficiaries with death episodes likely have shorter episodes (and therefore fewer services) than beneficiaries with non-death episodes with the same DRG.  Because of this, including death episodes in MSPB-Hospital measure calculation may incentive low-quality care, as increased mortality rates could potentially improve hospitals’ MSPB-Hospital measure scores by including episodes that appear more efficient.  Second, episodes during which a beneficiary dies are “truncated;” in other words, costs that might have occurred if the beneficiary had not died are not observed due to death.  Death episodes are incomplete episodes where significant data could be missing when death occurs early in the episode.  To avoid including episodes of care with incomplete costs and problematic incentives, episodes during which a beneficiary dies are excluded from the MSPB-Hospital measure calculation.</w:t>
      </w:r>
    </w:p>
    <w:p w14:paraId="7A5F048F" w14:textId="77777777" w:rsidR="00197BF0" w:rsidRPr="00CD6B52" w:rsidRDefault="00197BF0" w:rsidP="00197BF0">
      <w:pPr>
        <w:pStyle w:val="NoSpacing"/>
      </w:pPr>
    </w:p>
    <w:p w14:paraId="5450AFB5" w14:textId="2A3ED32B" w:rsidR="00F0695E" w:rsidRDefault="00F0695E" w:rsidP="00197BF0">
      <w:pPr>
        <w:pStyle w:val="NoSpacing"/>
      </w:pPr>
      <w:r w:rsidRPr="00197BF0">
        <w:rPr>
          <w:i/>
          <w:iCs/>
        </w:rPr>
        <w:t>Outlier Episodes:</w:t>
      </w:r>
      <w:r w:rsidRPr="00CD6B52">
        <w:t xml:space="preserve"> Outliers are excluded from the MSPB-Hospital measure calculation to avoid cases where a handful of high-cost and low-cost outliers have a disproportionate effect on each hospital’s MSPB-Hospital measure score.  While the correlation between the measure when excluding outliers versus when including outliers is extremely high (0.93), outlier episodes impact a small percentage of hospitals’ MSPB-Hospital measure scores in a large and important way, as demonstrated by the differences in scores described in Appendix Table 2b3-5.  The distribution of hospital risk-adjusted episode spending is significantly right-skewed: the 99</w:t>
      </w:r>
      <w:r w:rsidRPr="00CD6B52">
        <w:rPr>
          <w:vertAlign w:val="superscript"/>
        </w:rPr>
        <w:t>th</w:t>
      </w:r>
      <w:r w:rsidRPr="00CD6B52">
        <w:t xml:space="preserve"> percentile is 3.6 times the value of the median, while the 1</w:t>
      </w:r>
      <w:r w:rsidRPr="00CD6B52">
        <w:rPr>
          <w:vertAlign w:val="superscript"/>
        </w:rPr>
        <w:t>st</w:t>
      </w:r>
      <w:r w:rsidRPr="00CD6B52">
        <w:t xml:space="preserve"> percentile is less than half the value of the median.  Excluding outliers based on risk-adjusted cost eliminates the episodes that deviate most from the spending levels one would have expected based on patient demographics and severity of illness.</w:t>
      </w:r>
    </w:p>
    <w:p w14:paraId="4737DDC8" w14:textId="77777777" w:rsidR="00197BF0" w:rsidRPr="00CD6B52" w:rsidRDefault="00197BF0" w:rsidP="00197BF0">
      <w:pPr>
        <w:pStyle w:val="NoSpacing"/>
      </w:pPr>
    </w:p>
    <w:p w14:paraId="36719CC7" w14:textId="77777777" w:rsidR="00F0695E" w:rsidRPr="00CD6B52" w:rsidRDefault="00F0695E" w:rsidP="00197BF0">
      <w:pPr>
        <w:pStyle w:val="NoSpacing"/>
      </w:pPr>
      <w:r w:rsidRPr="00197BF0">
        <w:rPr>
          <w:i/>
          <w:iCs/>
        </w:rPr>
        <w:t>Overlapping episodes:</w:t>
      </w:r>
      <w:r w:rsidRPr="00CD6B52">
        <w:t xml:space="preserve"> Episodes that begin during a prior episode’s 30-day post-discharge period are excluded from MSPB-Hospital measure calculation.  The impact of the exclusion on hospitals’ MSPB-Hospital measure scores is minimal, and the correlation of the MSPB-Hospital measure calculated with and without implementing the overlapping episodes exclusion is high.</w:t>
      </w:r>
    </w:p>
    <w:p w14:paraId="1A28F468" w14:textId="77777777" w:rsidR="00197BF0" w:rsidRDefault="00197BF0" w:rsidP="00197BF0">
      <w:pPr>
        <w:pStyle w:val="NoSpacing"/>
        <w:rPr>
          <w:b/>
        </w:rPr>
      </w:pPr>
    </w:p>
    <w:p w14:paraId="3F9858F5" w14:textId="7DDCC971" w:rsidR="00F0695E" w:rsidRPr="00197BF0" w:rsidRDefault="00F0695E" w:rsidP="00197BF0">
      <w:pPr>
        <w:pStyle w:val="NoSpacing"/>
        <w:rPr>
          <w:bCs/>
          <w:u w:val="single"/>
        </w:rPr>
      </w:pPr>
      <w:r w:rsidRPr="00197BF0">
        <w:rPr>
          <w:bCs/>
          <w:u w:val="single"/>
        </w:rPr>
        <w:t>Previous response (2013):</w:t>
      </w:r>
    </w:p>
    <w:p w14:paraId="5299809A" w14:textId="77777777" w:rsidR="00F0695E" w:rsidRPr="00CD6B52" w:rsidRDefault="00F0695E" w:rsidP="00197BF0">
      <w:pPr>
        <w:pStyle w:val="NoSpacing"/>
      </w:pPr>
      <w:r w:rsidRPr="00197BF0">
        <w:rPr>
          <w:i/>
          <w:iCs/>
        </w:rPr>
        <w:lastRenderedPageBreak/>
        <w:t xml:space="preserve">Medicare Advantage or Part </w:t>
      </w:r>
      <w:proofErr w:type="gramStart"/>
      <w:r w:rsidRPr="00197BF0">
        <w:rPr>
          <w:i/>
          <w:iCs/>
        </w:rPr>
        <w:t>A</w:t>
      </w:r>
      <w:proofErr w:type="gramEnd"/>
      <w:r w:rsidRPr="00197BF0">
        <w:rPr>
          <w:i/>
          <w:iCs/>
        </w:rPr>
        <w:t xml:space="preserve"> Only:</w:t>
      </w:r>
      <w:r w:rsidRPr="00CD6B52">
        <w:t xml:space="preserve"> Due to missing claims problems, only beneficiaries enrolled in Medicare Parts A and B Fee-for-service are included in the sample.  </w:t>
      </w:r>
    </w:p>
    <w:p w14:paraId="2A65E997" w14:textId="77777777" w:rsidR="00FC3C3C" w:rsidRDefault="00FC3C3C" w:rsidP="00197BF0">
      <w:pPr>
        <w:pStyle w:val="NoSpacing"/>
      </w:pPr>
    </w:p>
    <w:p w14:paraId="65E7665D" w14:textId="08C5E16E" w:rsidR="00F0695E" w:rsidRPr="00CD6B52" w:rsidRDefault="00F0695E" w:rsidP="00197BF0">
      <w:pPr>
        <w:pStyle w:val="NoSpacing"/>
      </w:pPr>
      <w:r w:rsidRPr="00197BF0">
        <w:rPr>
          <w:i/>
          <w:iCs/>
        </w:rPr>
        <w:t>Transfers:</w:t>
      </w:r>
      <w:r w:rsidRPr="00CD6B52">
        <w:t xml:space="preserve"> Adding transfers to the MSPB measure would significantly change hospital MSPB scores and make episode attribution more complicated.  Assigning transfer episodes to the transferring hospital would avoid giving providers </w:t>
      </w:r>
      <w:proofErr w:type="gramStart"/>
      <w:r w:rsidRPr="00CD6B52">
        <w:t>an</w:t>
      </w:r>
      <w:proofErr w:type="gramEnd"/>
      <w:r w:rsidRPr="00CD6B52">
        <w:t xml:space="preserve"> incentive to transfer high-cost patients to game the system; however, once the transferring hospital transfers the patient, they may have little opportunity to coordinate or affect the patient’s post-discharge care.  Small rural hospitals, for example, often transfer patients in cases where they do not have the capacity to treat the patient within their current facilities.  Assigning transfer episodes to the receiving hospital, however, incentivizes the initial hospital to transfer complex patients to improve their MSPB score.  Further, post-acute care coordination may be difficult if the receiving hospital is out of area.</w:t>
      </w:r>
      <w:r w:rsidRPr="00CD6B52">
        <w:rPr>
          <w:rStyle w:val="FootnoteReference"/>
        </w:rPr>
        <w:footnoteReference w:id="30"/>
      </w:r>
      <w:r w:rsidRPr="00CD6B52">
        <w:t xml:space="preserve">  Public comment in the FY 2012 IPPS notice of proposed rulemaking voiced concern over attribution in transfer cases.  In response, CMS excluded these types of transfers from the finalized MSPB Measure (76 FR 51621). </w:t>
      </w:r>
    </w:p>
    <w:p w14:paraId="7100792F" w14:textId="77777777" w:rsidR="00FC3C3C" w:rsidRDefault="00FC3C3C" w:rsidP="00197BF0">
      <w:pPr>
        <w:pStyle w:val="NoSpacing"/>
      </w:pPr>
    </w:p>
    <w:p w14:paraId="794EF67E" w14:textId="5C4C2A52" w:rsidR="00F0695E" w:rsidRPr="00CD6B52" w:rsidRDefault="00F0695E" w:rsidP="00197BF0">
      <w:pPr>
        <w:pStyle w:val="NoSpacing"/>
      </w:pPr>
      <w:r w:rsidRPr="00197BF0">
        <w:rPr>
          <w:i/>
          <w:iCs/>
        </w:rPr>
        <w:t>Death Episodes:</w:t>
      </w:r>
      <w:r w:rsidRPr="00CD6B52">
        <w:t xml:space="preserve"> In the baseline specification, cases where the beneficiary dies during the episode are not eligible to be included in the MSPB Measure.  Episodes during which a beneficiary dies are “truncated”; in other words, costs that might have occurred if the beneficiary had not died are not observed due to death.  To avoid including episodes of care with incomplete costs, episodes during which a beneficiary dies are excluded from the MSPB Measure calculation.  As shown in </w:t>
      </w:r>
      <w:proofErr w:type="gramStart"/>
      <w:r w:rsidRPr="00CD6B52">
        <w:t>2b3.3.,</w:t>
      </w:r>
      <w:proofErr w:type="gramEnd"/>
      <w:r w:rsidRPr="00CD6B52">
        <w:t xml:space="preserve"> these episodes are typically high cost.  In fact, the Dartmouth Atlas also notes that patients with chronic illness in their last two years of life account for about 32% of total Medicare spending, much of it going toward physician and hospital fees associated with repeated hospitalizations.</w:t>
      </w:r>
      <w:r w:rsidRPr="00CD6B52">
        <w:rPr>
          <w:rStyle w:val="FootnoteReference"/>
        </w:rPr>
        <w:footnoteReference w:id="31"/>
      </w:r>
      <w:r w:rsidRPr="00CD6B52">
        <w:t xml:space="preserve">  This evidence indicates that including death as a risk adjuster reduces the disparity in death/non-death episode cost.  However, if death is a risk adjuster, hospitals could improve their MSPB score by increasing mortality rates.  Further, using death as a risk adjuster implies that the risk adjustment model is no longer prospective, since events that occur during an episode now influence the model’s expected cost. </w:t>
      </w:r>
    </w:p>
    <w:p w14:paraId="40152AD3" w14:textId="77777777" w:rsidR="00FC3C3C" w:rsidRDefault="00FC3C3C" w:rsidP="00197BF0">
      <w:pPr>
        <w:pStyle w:val="NoSpacing"/>
      </w:pPr>
    </w:p>
    <w:p w14:paraId="65533183" w14:textId="3A35E168" w:rsidR="00F0695E" w:rsidRPr="00CD6B52" w:rsidRDefault="00F0695E" w:rsidP="00197BF0">
      <w:pPr>
        <w:pStyle w:val="NoSpacing"/>
      </w:pPr>
      <w:r w:rsidRPr="00197BF0">
        <w:rPr>
          <w:i/>
          <w:iCs/>
        </w:rPr>
        <w:t>Outlier Episodes:</w:t>
      </w:r>
      <w:r w:rsidRPr="00CD6B52">
        <w:t xml:space="preserve"> Outliers are excluded from the MSPB Measure calculation to avoid cases where a handful of high-cost and low-cost outliers have a disproportionate effect on each hospital’s MSPB Measure score.  The distribution of hospital risk-adjusted episode spending is significantly right-skewed: the 99th percentile is almost 4.5 times the value of the median, while the 1st percentile is only approximately 1/2 the value of the median.  Excluding outliers based on risk-adjusted cost eliminates the episodes that deviate most from the spending levels one would expect based on patient demographics and severity of illness.  Outliers are identified across all episodes rather than within a hospital; thus, some hospitals may have no outlier episodes excluded and others many have many.  </w:t>
      </w:r>
    </w:p>
    <w:p w14:paraId="576D0B56" w14:textId="77777777" w:rsidR="00FC3C3C" w:rsidRDefault="00FC3C3C" w:rsidP="00197BF0">
      <w:pPr>
        <w:pStyle w:val="NoSpacing"/>
      </w:pPr>
    </w:p>
    <w:p w14:paraId="439F649A" w14:textId="0718A48B" w:rsidR="00F0695E" w:rsidRPr="00CD6B52" w:rsidRDefault="00F0695E" w:rsidP="00197BF0">
      <w:pPr>
        <w:pStyle w:val="NoSpacing"/>
      </w:pPr>
      <w:r w:rsidRPr="00197BF0">
        <w:rPr>
          <w:i/>
          <w:iCs/>
        </w:rPr>
        <w:lastRenderedPageBreak/>
        <w:t>Discharged AMA:</w:t>
      </w:r>
      <w:r w:rsidRPr="00CD6B52">
        <w:t xml:space="preserve"> Episodes with AMA index admissions should be eligible to be considered as index admissions, as the effect of excluding AMA episodes from the MSPB Measure calculation is minimal (as shown in Table 12).  Additionally, episodes with an AMA discharge code make up a small percent of MSPB episodes, and AMA episodes on average have lower risk-adjusted spending than non-AMA episodes.  </w:t>
      </w:r>
    </w:p>
    <w:p w14:paraId="22DD84A7" w14:textId="77777777" w:rsidR="00FC3C3C" w:rsidRDefault="00FC3C3C" w:rsidP="00197BF0">
      <w:pPr>
        <w:pStyle w:val="NoSpacing"/>
      </w:pPr>
    </w:p>
    <w:p w14:paraId="54E34501" w14:textId="0D58CDD8" w:rsidR="00F0695E" w:rsidRPr="00CD6B52" w:rsidRDefault="00F0695E" w:rsidP="00197BF0">
      <w:pPr>
        <w:pStyle w:val="NoSpacing"/>
      </w:pPr>
      <w:r w:rsidRPr="00197BF0">
        <w:rPr>
          <w:i/>
          <w:iCs/>
        </w:rPr>
        <w:t>Dual-Eligibles:</w:t>
      </w:r>
      <w:r w:rsidRPr="00CD6B52">
        <w:t xml:space="preserve"> Medicare beneficiaries who are dually-eligible for Medicare and Medicaid are not excluded from the MSPB Measure to be consistent with NQF’s position on not adjusting for potential demographic (sex or race) or socioeconomic factors.  </w:t>
      </w:r>
    </w:p>
    <w:p w14:paraId="6EC599F9" w14:textId="77777777" w:rsidR="00F0695E" w:rsidRPr="003E34CE" w:rsidRDefault="00F0695E" w:rsidP="00774B36">
      <w:pPr>
        <w:autoSpaceDE w:val="0"/>
        <w:autoSpaceDN w:val="0"/>
        <w:adjustRightInd w:val="0"/>
        <w:spacing w:after="0" w:line="240" w:lineRule="auto"/>
        <w:rPr>
          <w:rFonts w:ascii="Times New Roman" w:hAnsi="Times New Roman" w:cs="Times New Roman"/>
          <w:bCs/>
          <w:color w:val="0070C0"/>
        </w:rPr>
      </w:pPr>
    </w:p>
    <w:p w14:paraId="0CABCFE9" w14:textId="77777777" w:rsidR="001202E9" w:rsidRPr="007B0444" w:rsidRDefault="0086464B" w:rsidP="00DB3627">
      <w:pPr>
        <w:autoSpaceDE w:val="0"/>
        <w:autoSpaceDN w:val="0"/>
        <w:adjustRightInd w:val="0"/>
        <w:spacing w:after="0" w:line="240" w:lineRule="auto"/>
        <w:rPr>
          <w:rFonts w:cstheme="minorHAnsi"/>
          <w:bCs/>
        </w:rPr>
      </w:pPr>
      <w:r w:rsidRPr="007B0444">
        <w:rPr>
          <w:rFonts w:cstheme="minorHAnsi"/>
          <w:bCs/>
        </w:rPr>
        <w:t>____________________________</w:t>
      </w:r>
    </w:p>
    <w:p w14:paraId="0CABCFEA" w14:textId="1A6C3041" w:rsidR="00AC1D8E" w:rsidRPr="007B0444" w:rsidRDefault="00092566" w:rsidP="00AC1D8E">
      <w:pPr>
        <w:autoSpaceDE w:val="0"/>
        <w:autoSpaceDN w:val="0"/>
        <w:adjustRightInd w:val="0"/>
        <w:spacing w:after="0" w:line="240" w:lineRule="auto"/>
        <w:rPr>
          <w:rFonts w:cstheme="minorHAnsi"/>
          <w:b/>
          <w:bCs/>
          <w:i/>
        </w:rPr>
      </w:pPr>
      <w:bookmarkStart w:id="1" w:name="section2b4"/>
      <w:bookmarkEnd w:id="1"/>
      <w:r w:rsidRPr="007B0444">
        <w:rPr>
          <w:rFonts w:cstheme="minorHAnsi"/>
          <w:b/>
          <w:bCs/>
        </w:rPr>
        <w:t>2b</w:t>
      </w:r>
      <w:r w:rsidR="009C7513" w:rsidRPr="007B0444">
        <w:rPr>
          <w:rFonts w:cstheme="minorHAnsi"/>
          <w:b/>
          <w:bCs/>
        </w:rPr>
        <w:t>3</w:t>
      </w:r>
      <w:r w:rsidRPr="007B0444">
        <w:rPr>
          <w:rFonts w:cstheme="minorHAnsi"/>
          <w:b/>
          <w:bCs/>
        </w:rPr>
        <w:t>. RISK ADJUSTMENT/STRATIFICATION FOR OUTCOME OR RESOURCE USE MEASURES</w:t>
      </w:r>
      <w:r w:rsidRPr="007B0444">
        <w:rPr>
          <w:rFonts w:cstheme="minorHAnsi"/>
          <w:bCs/>
        </w:rPr>
        <w:br/>
      </w:r>
      <w:r w:rsidR="00AC1D8E" w:rsidRPr="007B0444">
        <w:rPr>
          <w:rFonts w:cstheme="minorHAnsi"/>
          <w:b/>
          <w:bCs/>
          <w:i/>
        </w:rPr>
        <w:t>If not an intermediate or health outcome</w:t>
      </w:r>
      <w:r w:rsidR="00127C06" w:rsidRPr="007B0444">
        <w:rPr>
          <w:rFonts w:cstheme="minorHAnsi"/>
          <w:b/>
          <w:bCs/>
          <w:i/>
        </w:rPr>
        <w:t>,</w:t>
      </w:r>
      <w:r w:rsidR="00AC1D8E" w:rsidRPr="007B0444">
        <w:rPr>
          <w:rFonts w:cstheme="minorHAnsi"/>
          <w:b/>
          <w:bCs/>
          <w:i/>
        </w:rPr>
        <w:t xml:space="preserve"> </w:t>
      </w:r>
      <w:r w:rsidR="00127C06" w:rsidRPr="007B0444">
        <w:rPr>
          <w:rFonts w:cstheme="minorHAnsi"/>
          <w:b/>
          <w:bCs/>
          <w:i/>
        </w:rPr>
        <w:t xml:space="preserve">or PRO-PM, </w:t>
      </w:r>
      <w:r w:rsidR="00AC1D8E" w:rsidRPr="007B0444">
        <w:rPr>
          <w:rFonts w:cstheme="minorHAnsi"/>
          <w:b/>
          <w:bCs/>
          <w:i/>
        </w:rPr>
        <w:t xml:space="preserve">or resource use measure, </w:t>
      </w:r>
      <w:r w:rsidR="00BE592D" w:rsidRPr="007B0444">
        <w:rPr>
          <w:rFonts w:cstheme="minorHAnsi"/>
          <w:b/>
          <w:bCs/>
          <w:i/>
        </w:rPr>
        <w:t xml:space="preserve">skip to section </w:t>
      </w:r>
      <w:hyperlink w:anchor="section2b5" w:history="1">
        <w:r w:rsidR="00BE592D" w:rsidRPr="007B0444">
          <w:rPr>
            <w:rStyle w:val="Hyperlink"/>
            <w:rFonts w:cstheme="minorHAnsi"/>
            <w:b/>
            <w:bCs/>
            <w:i/>
          </w:rPr>
          <w:t>2b</w:t>
        </w:r>
        <w:r w:rsidR="00565946" w:rsidRPr="007B0444">
          <w:rPr>
            <w:rStyle w:val="Hyperlink"/>
            <w:rFonts w:cstheme="minorHAnsi"/>
            <w:b/>
            <w:bCs/>
            <w:i/>
          </w:rPr>
          <w:t>4</w:t>
        </w:r>
      </w:hyperlink>
      <w:r w:rsidR="00BE592D" w:rsidRPr="007B0444">
        <w:rPr>
          <w:rFonts w:cstheme="minorHAnsi"/>
          <w:b/>
          <w:bCs/>
          <w:i/>
        </w:rPr>
        <w:t>.</w:t>
      </w:r>
    </w:p>
    <w:p w14:paraId="0CABCFEB" w14:textId="77777777" w:rsidR="008871A9" w:rsidRPr="007B0444" w:rsidRDefault="008871A9" w:rsidP="00092566">
      <w:pPr>
        <w:autoSpaceDE w:val="0"/>
        <w:autoSpaceDN w:val="0"/>
        <w:adjustRightInd w:val="0"/>
        <w:spacing w:after="0" w:line="240" w:lineRule="auto"/>
        <w:rPr>
          <w:rFonts w:cstheme="minorHAnsi"/>
          <w:b/>
          <w:bCs/>
        </w:rPr>
      </w:pPr>
    </w:p>
    <w:p w14:paraId="0CABCFEC" w14:textId="166E6E8B" w:rsidR="00743E46" w:rsidRPr="007B0444" w:rsidRDefault="00092566" w:rsidP="00092566">
      <w:pPr>
        <w:autoSpaceDE w:val="0"/>
        <w:autoSpaceDN w:val="0"/>
        <w:adjustRightInd w:val="0"/>
        <w:spacing w:after="0" w:line="240" w:lineRule="auto"/>
        <w:rPr>
          <w:rFonts w:cstheme="minorHAnsi"/>
          <w:b/>
          <w:bCs/>
        </w:rPr>
      </w:pPr>
      <w:r w:rsidRPr="007B0444">
        <w:rPr>
          <w:rFonts w:cstheme="minorHAnsi"/>
          <w:b/>
          <w:bCs/>
        </w:rPr>
        <w:t>2b</w:t>
      </w:r>
      <w:r w:rsidR="009C7513" w:rsidRPr="007B0444">
        <w:rPr>
          <w:rFonts w:cstheme="minorHAnsi"/>
          <w:b/>
          <w:bCs/>
        </w:rPr>
        <w:t>3</w:t>
      </w:r>
      <w:r w:rsidRPr="007B0444">
        <w:rPr>
          <w:rFonts w:cstheme="minorHAnsi"/>
          <w:b/>
          <w:bCs/>
        </w:rPr>
        <w:t xml:space="preserve">.1. </w:t>
      </w:r>
      <w:proofErr w:type="gramStart"/>
      <w:r w:rsidR="00743E46" w:rsidRPr="007B0444">
        <w:rPr>
          <w:rFonts w:cstheme="minorHAnsi"/>
          <w:b/>
          <w:bCs/>
        </w:rPr>
        <w:t>What</w:t>
      </w:r>
      <w:proofErr w:type="gramEnd"/>
      <w:r w:rsidR="00743E46" w:rsidRPr="007B0444">
        <w:rPr>
          <w:rFonts w:cstheme="minorHAnsi"/>
          <w:b/>
          <w:bCs/>
        </w:rPr>
        <w:t xml:space="preserve"> method of controlling for differences in case mix is used?</w:t>
      </w:r>
    </w:p>
    <w:p w14:paraId="0CABCFED" w14:textId="50152C86" w:rsidR="00033038" w:rsidRPr="007B0444" w:rsidRDefault="003759A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7B0444">
            <w:rPr>
              <w:rFonts w:ascii="MS Gothic" w:eastAsia="MS Gothic" w:hAnsi="MS Gothic" w:cstheme="minorHAnsi" w:hint="eastAsia"/>
              <w:bCs/>
              <w:color w:val="0000FF"/>
            </w:rPr>
            <w:t>☐</w:t>
          </w:r>
        </w:sdtContent>
      </w:sdt>
      <w:r w:rsidR="00033038" w:rsidRPr="007B0444">
        <w:rPr>
          <w:rFonts w:eastAsia="MS Mincho" w:cstheme="minorHAnsi"/>
          <w:b/>
          <w:bCs/>
          <w:color w:val="0000FF"/>
        </w:rPr>
        <w:t xml:space="preserve"> </w:t>
      </w:r>
      <w:r w:rsidR="00033038" w:rsidRPr="007B0444">
        <w:rPr>
          <w:rFonts w:cstheme="minorHAnsi"/>
          <w:b/>
          <w:bCs/>
        </w:rPr>
        <w:t>No risk adjustment or stratification</w:t>
      </w:r>
    </w:p>
    <w:p w14:paraId="0CABCFEE" w14:textId="647EEE63" w:rsidR="00743E46" w:rsidRPr="007B0444" w:rsidRDefault="003759A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A21F9B" w:rsidRPr="007B0444">
            <w:rPr>
              <w:rFonts w:ascii="MS Gothic" w:eastAsia="MS Gothic" w:hAnsi="MS Gothic" w:cstheme="minorHAnsi" w:hint="eastAsia"/>
              <w:bCs/>
              <w:color w:val="0000FF"/>
            </w:rPr>
            <w:t>☒</w:t>
          </w:r>
        </w:sdtContent>
      </w:sdt>
      <w:r w:rsidR="006574D2" w:rsidRPr="007B0444">
        <w:rPr>
          <w:rFonts w:cstheme="minorHAnsi"/>
          <w:bCs/>
          <w:color w:val="0000FF"/>
        </w:rPr>
        <w:t xml:space="preserve"> </w:t>
      </w:r>
      <w:r w:rsidR="00743E46" w:rsidRPr="007B0444">
        <w:rPr>
          <w:rFonts w:cstheme="minorHAnsi"/>
          <w:b/>
          <w:bCs/>
        </w:rPr>
        <w:t xml:space="preserve">Statistical risk 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6746DE">
            <w:rPr>
              <w:rStyle w:val="Style4"/>
              <w:u w:val="none"/>
            </w:rPr>
            <w:t>10</w:t>
          </w:r>
          <w:r w:rsidR="00B03F2A">
            <w:rPr>
              <w:rStyle w:val="Style4"/>
              <w:u w:val="none"/>
            </w:rPr>
            <w:t>9</w:t>
          </w:r>
        </w:sdtContent>
      </w:sdt>
      <w:r w:rsidR="00E562C0" w:rsidRPr="007B0444">
        <w:rPr>
          <w:rStyle w:val="Style4"/>
          <w:u w:val="none"/>
        </w:rPr>
        <w:t xml:space="preserve"> </w:t>
      </w:r>
      <w:r w:rsidR="00743E46" w:rsidRPr="007B0444">
        <w:rPr>
          <w:rFonts w:cstheme="minorHAnsi"/>
          <w:b/>
          <w:bCs/>
        </w:rPr>
        <w:t>risk factors</w:t>
      </w:r>
    </w:p>
    <w:p w14:paraId="0CABCFEF" w14:textId="06458E41" w:rsidR="00743E46" w:rsidRPr="007B0444" w:rsidRDefault="003759A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A21F9B" w:rsidRPr="007B0444">
            <w:rPr>
              <w:rFonts w:ascii="MS Gothic" w:eastAsia="MS Gothic" w:hAnsi="MS Gothic" w:cstheme="minorHAnsi" w:hint="eastAsia"/>
              <w:bCs/>
              <w:color w:val="0000FF"/>
            </w:rPr>
            <w:t>☒</w:t>
          </w:r>
        </w:sdtContent>
      </w:sdt>
      <w:r w:rsidR="000414E8" w:rsidRPr="007B0444">
        <w:rPr>
          <w:rFonts w:eastAsia="MS Mincho" w:cstheme="minorHAnsi"/>
          <w:b/>
          <w:bCs/>
          <w:color w:val="0000FF"/>
        </w:rPr>
        <w:t xml:space="preserve"> </w:t>
      </w:r>
      <w:r w:rsidR="00743E46" w:rsidRPr="007B0444">
        <w:rPr>
          <w:rFonts w:cstheme="minorHAnsi"/>
          <w:b/>
          <w:bCs/>
        </w:rPr>
        <w:t xml:space="preserve">Stratification by </w:t>
      </w:r>
      <w:sdt>
        <w:sdtPr>
          <w:rPr>
            <w:rStyle w:val="Style4"/>
            <w:u w:val="none"/>
          </w:rPr>
          <w:id w:val="-52006544"/>
          <w:text/>
        </w:sdtPr>
        <w:sdtEndPr>
          <w:rPr>
            <w:rStyle w:val="DefaultParagraphFont"/>
            <w:rFonts w:asciiTheme="minorHAnsi" w:hAnsiTheme="minorHAnsi" w:cstheme="minorHAnsi"/>
            <w:b w:val="0"/>
            <w:bCs/>
            <w:color w:val="auto"/>
          </w:rPr>
        </w:sdtEndPr>
        <w:sdtContent>
          <w:r w:rsidR="006746DE">
            <w:rPr>
              <w:rStyle w:val="Style4"/>
              <w:u w:val="none"/>
            </w:rPr>
            <w:t>2</w:t>
          </w:r>
          <w:r w:rsidR="002527CE">
            <w:rPr>
              <w:rStyle w:val="Style4"/>
              <w:u w:val="none"/>
            </w:rPr>
            <w:t>6</w:t>
          </w:r>
        </w:sdtContent>
      </w:sdt>
      <w:r w:rsidR="00E562C0" w:rsidRPr="007B0444">
        <w:rPr>
          <w:rStyle w:val="Style4"/>
          <w:u w:val="none"/>
        </w:rPr>
        <w:t xml:space="preserve"> </w:t>
      </w:r>
      <w:r w:rsidR="00C33F2E" w:rsidRPr="007B0444">
        <w:rPr>
          <w:rFonts w:cstheme="minorHAnsi"/>
          <w:b/>
          <w:bCs/>
        </w:rPr>
        <w:t xml:space="preserve">risk </w:t>
      </w:r>
      <w:r w:rsidR="00743E46" w:rsidRPr="007B0444">
        <w:rPr>
          <w:rFonts w:cstheme="minorHAnsi"/>
          <w:b/>
          <w:bCs/>
        </w:rPr>
        <w:t>categories</w:t>
      </w:r>
    </w:p>
    <w:p w14:paraId="0CABCFF0" w14:textId="5718BF75" w:rsidR="00743E46" w:rsidRPr="007B0444" w:rsidRDefault="003759A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7B0444">
            <w:rPr>
              <w:rFonts w:ascii="MS Gothic" w:eastAsia="MS Gothic" w:cstheme="minorHAnsi" w:hint="eastAsia"/>
              <w:bCs/>
              <w:color w:val="0000FF"/>
            </w:rPr>
            <w:t>☐</w:t>
          </w:r>
        </w:sdtContent>
      </w:sdt>
      <w:r w:rsidR="000414E8" w:rsidRPr="007B0444">
        <w:rPr>
          <w:rFonts w:eastAsia="MS Mincho" w:cstheme="minorHAnsi"/>
          <w:b/>
          <w:bCs/>
          <w:color w:val="0000FF"/>
        </w:rPr>
        <w:t xml:space="preserve"> </w:t>
      </w:r>
      <w:r w:rsidR="00743E46" w:rsidRPr="007B0444">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7B0444">
            <w:rPr>
              <w:rStyle w:val="PlaceholderText"/>
            </w:rPr>
            <w:t>Click here to enter description</w:t>
          </w:r>
        </w:sdtContent>
      </w:sdt>
    </w:p>
    <w:p w14:paraId="0CABCFF1" w14:textId="77777777" w:rsidR="00743E46" w:rsidRPr="007B0444" w:rsidRDefault="00743E46" w:rsidP="00092566">
      <w:pPr>
        <w:autoSpaceDE w:val="0"/>
        <w:autoSpaceDN w:val="0"/>
        <w:adjustRightInd w:val="0"/>
        <w:spacing w:after="0" w:line="240" w:lineRule="auto"/>
        <w:rPr>
          <w:rFonts w:cstheme="minorHAnsi"/>
          <w:b/>
          <w:bCs/>
        </w:rPr>
      </w:pPr>
    </w:p>
    <w:p w14:paraId="0CABCFF2" w14:textId="4F2B2366" w:rsidR="00092566" w:rsidRPr="007B0444" w:rsidRDefault="000B7D57" w:rsidP="00F34FAB">
      <w:pPr>
        <w:autoSpaceDE w:val="0"/>
        <w:autoSpaceDN w:val="0"/>
        <w:adjustRightInd w:val="0"/>
        <w:spacing w:after="0" w:line="240" w:lineRule="auto"/>
        <w:rPr>
          <w:rFonts w:ascii="Calibri" w:eastAsia="MS Mincho" w:hAnsi="Calibri" w:cs="Calibri"/>
          <w:b/>
          <w:bCs/>
        </w:rPr>
      </w:pPr>
      <w:r w:rsidRPr="007B0444">
        <w:rPr>
          <w:rFonts w:cstheme="minorHAnsi"/>
          <w:b/>
          <w:bCs/>
        </w:rPr>
        <w:t>2b</w:t>
      </w:r>
      <w:r w:rsidR="009C7513" w:rsidRPr="007B0444">
        <w:rPr>
          <w:rFonts w:cstheme="minorHAnsi"/>
          <w:b/>
          <w:bCs/>
        </w:rPr>
        <w:t>3</w:t>
      </w:r>
      <w:r w:rsidRPr="007B0444">
        <w:rPr>
          <w:rFonts w:cstheme="minorHAnsi"/>
          <w:b/>
          <w:bCs/>
        </w:rPr>
        <w:t xml:space="preserve">.1.1 </w:t>
      </w:r>
      <w:r w:rsidR="00F34FAB" w:rsidRPr="007B0444">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6333D122" w14:textId="45440E3C" w:rsidR="00884685" w:rsidRPr="00C93347" w:rsidRDefault="00884685" w:rsidP="00197BF0">
      <w:pPr>
        <w:pStyle w:val="NoSpacing"/>
        <w:rPr>
          <w:rFonts w:ascii="Times New Roman" w:hAnsi="Times New Roman"/>
          <w:color w:val="FF0000"/>
        </w:rPr>
      </w:pPr>
      <w:r w:rsidRPr="00C93347">
        <w:rPr>
          <w:rFonts w:ascii="Times New Roman" w:hAnsi="Times New Roman"/>
          <w:color w:val="FF0000"/>
        </w:rPr>
        <w:t>Differences in case mix are controlled for using a statistical risk model with 1</w:t>
      </w:r>
      <w:r w:rsidR="006746DE" w:rsidRPr="00C93347">
        <w:rPr>
          <w:rFonts w:ascii="Times New Roman" w:hAnsi="Times New Roman"/>
          <w:color w:val="FF0000"/>
        </w:rPr>
        <w:t>09</w:t>
      </w:r>
      <w:r w:rsidRPr="00C93347">
        <w:rPr>
          <w:rFonts w:ascii="Times New Roman" w:hAnsi="Times New Roman"/>
          <w:color w:val="FF0000"/>
        </w:rPr>
        <w:t xml:space="preserve"> risk factors. The risk adjustment model for the MSPB </w:t>
      </w:r>
      <w:r w:rsidR="009A2ACD" w:rsidRPr="00C93347">
        <w:rPr>
          <w:rFonts w:ascii="Times New Roman" w:hAnsi="Times New Roman"/>
          <w:color w:val="FF0000"/>
        </w:rPr>
        <w:t>Hospital</w:t>
      </w:r>
      <w:r w:rsidRPr="00C93347">
        <w:rPr>
          <w:rFonts w:ascii="Times New Roman" w:hAnsi="Times New Roman"/>
          <w:color w:val="FF0000"/>
        </w:rPr>
        <w:t xml:space="preserve"> measure broadly follows the CMS-HCC risk adjustment methodology used in the Medicare Advantage (MA) program.</w:t>
      </w:r>
      <w:r w:rsidR="00D75F44" w:rsidRPr="00C93347">
        <w:rPr>
          <w:rFonts w:ascii="Times New Roman" w:hAnsi="Times New Roman"/>
          <w:color w:val="FF0000"/>
        </w:rPr>
        <w:t xml:space="preserve"> </w:t>
      </w:r>
      <w:r w:rsidRPr="00C93347">
        <w:rPr>
          <w:rFonts w:ascii="Times New Roman" w:hAnsi="Times New Roman"/>
          <w:color w:val="FF0000"/>
        </w:rPr>
        <w:t xml:space="preserve">Severity of illness is measured using HCCs, indicators of enrollment and long-term care status, and disease interactions. </w:t>
      </w:r>
      <w:r w:rsidR="0054413E" w:rsidRPr="00C93347">
        <w:rPr>
          <w:rFonts w:ascii="Times New Roman" w:hAnsi="Times New Roman"/>
          <w:color w:val="FF0000"/>
        </w:rPr>
        <w:t xml:space="preserve">There also 12 categorical age variables included in the model. </w:t>
      </w:r>
    </w:p>
    <w:p w14:paraId="5EE2DFB3" w14:textId="77777777" w:rsidR="00197BF0" w:rsidRPr="00C93347" w:rsidRDefault="00197BF0" w:rsidP="00197BF0">
      <w:pPr>
        <w:pStyle w:val="NoSpacing"/>
        <w:rPr>
          <w:rFonts w:ascii="Times New Roman" w:hAnsi="Times New Roman"/>
          <w:color w:val="FF0000"/>
        </w:rPr>
      </w:pPr>
    </w:p>
    <w:p w14:paraId="55EAF37F" w14:textId="40ACAFF1" w:rsidR="00884685" w:rsidRPr="00C93347" w:rsidRDefault="00884685" w:rsidP="00197BF0">
      <w:pPr>
        <w:pStyle w:val="NoSpacing"/>
        <w:rPr>
          <w:rFonts w:ascii="Times New Roman" w:hAnsi="Times New Roman"/>
          <w:color w:val="FF0000"/>
        </w:rPr>
      </w:pPr>
      <w:r w:rsidRPr="00C93347">
        <w:rPr>
          <w:rFonts w:ascii="Times New Roman" w:hAnsi="Times New Roman"/>
          <w:color w:val="FF0000"/>
        </w:rPr>
        <w:t xml:space="preserve">The model includes 79 HCC indicators derived from the beneficiary’s Parts A and B claims during the period 90 days prior to the episode start date and are specified in the CMS-HCC Version 22 (V22) 2016 model. Episodes for beneficiaries without a full 90-day lookback period are excluded from the measure. This 90-day period is used to measure beneficiary health status and ensures that each beneficiary’s claims record contains sufficient data for risk adjustment purposes. </w:t>
      </w:r>
    </w:p>
    <w:p w14:paraId="3BE68931" w14:textId="77777777" w:rsidR="00197BF0" w:rsidRPr="00C93347" w:rsidRDefault="00197BF0" w:rsidP="00197BF0">
      <w:pPr>
        <w:pStyle w:val="NoSpacing"/>
        <w:rPr>
          <w:rFonts w:ascii="Times New Roman" w:hAnsi="Times New Roman"/>
          <w:color w:val="FF0000"/>
        </w:rPr>
      </w:pPr>
    </w:p>
    <w:p w14:paraId="318C296D" w14:textId="6229D2A2" w:rsidR="00884685" w:rsidRPr="00C93347" w:rsidRDefault="00884685" w:rsidP="00197BF0">
      <w:pPr>
        <w:pStyle w:val="NoSpacing"/>
        <w:rPr>
          <w:rFonts w:ascii="Times New Roman" w:hAnsi="Times New Roman"/>
          <w:color w:val="FF0000"/>
        </w:rPr>
      </w:pPr>
      <w:r w:rsidRPr="00C93347">
        <w:rPr>
          <w:rFonts w:ascii="Times New Roman" w:hAnsi="Times New Roman"/>
          <w:color w:val="FF0000"/>
        </w:rPr>
        <w:t>In addition, the risk adjustment model includes status indicator variables for whether the beneficiary qualifies for Medicare through Disability or has ESRD. The model also includes an indicator of whether the beneficiary recently required long-term care. Beneficiaries who need to reside in long-term care facilities typically require more intensive care than beneficiaries who live in the community. These enrollment and long-term care status variables are non-diagnostic based indicators of severity of illness.</w:t>
      </w:r>
    </w:p>
    <w:p w14:paraId="4862D163" w14:textId="0F910AAE" w:rsidR="006755C9" w:rsidRPr="00C93347" w:rsidRDefault="00884685" w:rsidP="00197BF0">
      <w:pPr>
        <w:pStyle w:val="NoSpacing"/>
        <w:rPr>
          <w:rFonts w:ascii="Times New Roman" w:hAnsi="Times New Roman"/>
          <w:color w:val="FF0000"/>
        </w:rPr>
      </w:pPr>
      <w:r w:rsidRPr="00C93347">
        <w:rPr>
          <w:rFonts w:ascii="Times New Roman" w:hAnsi="Times New Roman"/>
          <w:color w:val="FF0000"/>
        </w:rPr>
        <w:t xml:space="preserve">The model also accounts for disease interactions between HCCs and/or enrollment status variables included in the MA model. These interactions are included because certain combinations of comorbidities increase costs more than is predicted by the HCC indicators alone. </w:t>
      </w:r>
      <w:r w:rsidR="00577AD8" w:rsidRPr="00C93347">
        <w:rPr>
          <w:rFonts w:ascii="Times New Roman" w:hAnsi="Times New Roman"/>
          <w:color w:val="FF0000"/>
        </w:rPr>
        <w:t>The risk adjustment model now also includes an indicator for whether an episode’s index admission was triggered within the 30 day post discharge period of another inpatient stay – to better predict the higher cost of readmission stays (Section 2b3a.3a provides more detail).</w:t>
      </w:r>
    </w:p>
    <w:p w14:paraId="62386B23" w14:textId="77777777" w:rsidR="00197BF0" w:rsidRPr="00C93347" w:rsidRDefault="00197BF0" w:rsidP="00197BF0">
      <w:pPr>
        <w:pStyle w:val="NoSpacing"/>
        <w:rPr>
          <w:rFonts w:ascii="Times New Roman" w:hAnsi="Times New Roman"/>
          <w:color w:val="FF0000"/>
        </w:rPr>
      </w:pPr>
    </w:p>
    <w:p w14:paraId="414DC682" w14:textId="29730C50" w:rsidR="00884685" w:rsidRPr="00C93347" w:rsidRDefault="00884685" w:rsidP="00197BF0">
      <w:pPr>
        <w:pStyle w:val="NoSpacing"/>
        <w:rPr>
          <w:rFonts w:ascii="Times New Roman" w:hAnsi="Times New Roman"/>
          <w:color w:val="FF0000"/>
        </w:rPr>
      </w:pPr>
      <w:r w:rsidRPr="00C93347">
        <w:rPr>
          <w:rFonts w:ascii="Times New Roman" w:hAnsi="Times New Roman"/>
          <w:color w:val="FF0000"/>
        </w:rPr>
        <w:t>As with the CMS-HCC model, the risk adjustment approach for this measure uses an ordinary least squares linear regression model. The predicted, or expected, cost is winsorized at 0.5</w:t>
      </w:r>
      <w:r w:rsidRPr="00C93347">
        <w:rPr>
          <w:rFonts w:ascii="Times New Roman" w:hAnsi="Times New Roman"/>
          <w:color w:val="FF0000"/>
          <w:vertAlign w:val="superscript"/>
        </w:rPr>
        <w:t>th</w:t>
      </w:r>
      <w:r w:rsidRPr="00C93347">
        <w:rPr>
          <w:rFonts w:ascii="Times New Roman" w:hAnsi="Times New Roman"/>
          <w:color w:val="FF0000"/>
        </w:rPr>
        <w:t xml:space="preserve"> percentile to make sure episodes with unusually small predicted cost, which would lead to abnormally large O/E ratios, do </w:t>
      </w:r>
      <w:r w:rsidRPr="00C93347">
        <w:rPr>
          <w:rFonts w:ascii="Times New Roman" w:hAnsi="Times New Roman"/>
          <w:color w:val="FF0000"/>
        </w:rPr>
        <w:lastRenderedPageBreak/>
        <w:t xml:space="preserve">not dominate </w:t>
      </w:r>
      <w:r w:rsidR="00FC5142" w:rsidRPr="00C93347">
        <w:rPr>
          <w:rFonts w:ascii="Times New Roman" w:hAnsi="Times New Roman"/>
          <w:color w:val="FF0000"/>
        </w:rPr>
        <w:t>measure</w:t>
      </w:r>
      <w:r w:rsidRPr="00C93347">
        <w:rPr>
          <w:rFonts w:ascii="Times New Roman" w:hAnsi="Times New Roman"/>
          <w:color w:val="FF0000"/>
        </w:rPr>
        <w:t xml:space="preserve"> score</w:t>
      </w:r>
      <w:r w:rsidR="00FC5142" w:rsidRPr="00C93347">
        <w:rPr>
          <w:rFonts w:ascii="Times New Roman" w:hAnsi="Times New Roman"/>
          <w:color w:val="FF0000"/>
        </w:rPr>
        <w:t>s</w:t>
      </w:r>
      <w:r w:rsidRPr="00C93347">
        <w:rPr>
          <w:rFonts w:ascii="Times New Roman" w:hAnsi="Times New Roman"/>
          <w:color w:val="FF0000"/>
        </w:rPr>
        <w:t>. The winsorized expected costs are renormalized to ensure the average expected episode cost is the same before and after winsorizing.</w:t>
      </w:r>
      <w:r w:rsidR="00D75F44" w:rsidRPr="00C93347">
        <w:rPr>
          <w:rFonts w:ascii="Times New Roman" w:hAnsi="Times New Roman"/>
          <w:color w:val="FF0000"/>
        </w:rPr>
        <w:t xml:space="preserve"> </w:t>
      </w:r>
      <w:r w:rsidRPr="00C93347">
        <w:rPr>
          <w:rFonts w:ascii="Times New Roman" w:hAnsi="Times New Roman"/>
          <w:color w:val="FF0000"/>
        </w:rPr>
        <w:t>Then, extremely low- or high-cost outlier episodes with residuals below the 1</w:t>
      </w:r>
      <w:r w:rsidRPr="00C93347">
        <w:rPr>
          <w:rFonts w:ascii="Times New Roman" w:hAnsi="Times New Roman"/>
          <w:color w:val="FF0000"/>
          <w:vertAlign w:val="superscript"/>
        </w:rPr>
        <w:t>st</w:t>
      </w:r>
      <w:r w:rsidRPr="00C93347">
        <w:rPr>
          <w:rFonts w:ascii="Times New Roman" w:hAnsi="Times New Roman"/>
          <w:color w:val="FF0000"/>
        </w:rPr>
        <w:t xml:space="preserve"> percentile or above the 99</w:t>
      </w:r>
      <w:r w:rsidRPr="00C93347">
        <w:rPr>
          <w:rFonts w:ascii="Times New Roman" w:hAnsi="Times New Roman"/>
          <w:color w:val="FF0000"/>
          <w:vertAlign w:val="superscript"/>
        </w:rPr>
        <w:t>th</w:t>
      </w:r>
      <w:r w:rsidRPr="00C93347">
        <w:rPr>
          <w:rFonts w:ascii="Times New Roman" w:hAnsi="Times New Roman"/>
          <w:color w:val="FF0000"/>
        </w:rPr>
        <w:t xml:space="preserve"> percentile are excluded to reduce the effect of these episodes that deviate the most from their expected values in absolute terms. The expected cost after excluding these outliers is again renormalized to ensure that average expected costs are the same after outlier removal.</w:t>
      </w:r>
    </w:p>
    <w:p w14:paraId="3DAC106F" w14:textId="77777777" w:rsidR="00197BF0" w:rsidRPr="00C93347" w:rsidRDefault="00197BF0" w:rsidP="00197BF0">
      <w:pPr>
        <w:pStyle w:val="NoSpacing"/>
        <w:rPr>
          <w:rFonts w:ascii="Times New Roman" w:hAnsi="Times New Roman"/>
          <w:color w:val="FF0000"/>
        </w:rPr>
      </w:pPr>
    </w:p>
    <w:p w14:paraId="5FC539B3" w14:textId="0CFF5515" w:rsidR="00884685" w:rsidRPr="00C93347" w:rsidRDefault="00884685" w:rsidP="00197BF0">
      <w:pPr>
        <w:pStyle w:val="NoSpacing"/>
        <w:rPr>
          <w:rFonts w:ascii="Times New Roman" w:hAnsi="Times New Roman"/>
          <w:color w:val="FF0000"/>
        </w:rPr>
      </w:pPr>
      <w:r w:rsidRPr="00C93347">
        <w:rPr>
          <w:rFonts w:ascii="Times New Roman" w:hAnsi="Times New Roman"/>
          <w:color w:val="FF0000"/>
        </w:rPr>
        <w:t xml:space="preserve">Finally, the risk adjustment model outlined above is performed separately for </w:t>
      </w:r>
      <w:r w:rsidR="00936BFE" w:rsidRPr="00C93347">
        <w:rPr>
          <w:rFonts w:ascii="Times New Roman" w:hAnsi="Times New Roman"/>
          <w:color w:val="FF0000"/>
        </w:rPr>
        <w:t xml:space="preserve">the </w:t>
      </w:r>
      <w:r w:rsidR="00D75F44" w:rsidRPr="00C93347">
        <w:rPr>
          <w:rFonts w:ascii="Times New Roman" w:hAnsi="Times New Roman"/>
          <w:color w:val="FF0000"/>
        </w:rPr>
        <w:t xml:space="preserve">set of </w:t>
      </w:r>
      <w:r w:rsidRPr="00C93347">
        <w:rPr>
          <w:rFonts w:ascii="Times New Roman" w:hAnsi="Times New Roman"/>
          <w:color w:val="FF0000"/>
        </w:rPr>
        <w:t xml:space="preserve">episodes within each MDC </w:t>
      </w:r>
      <w:r w:rsidR="00D75F44" w:rsidRPr="00C93347">
        <w:rPr>
          <w:rFonts w:ascii="Times New Roman" w:hAnsi="Times New Roman"/>
          <w:color w:val="FF0000"/>
        </w:rPr>
        <w:t xml:space="preserve">as </w:t>
      </w:r>
      <w:r w:rsidRPr="00C93347">
        <w:rPr>
          <w:rFonts w:ascii="Times New Roman" w:hAnsi="Times New Roman"/>
          <w:color w:val="FF0000"/>
        </w:rPr>
        <w:t xml:space="preserve">determined by the MS-DRG of the index admission. </w:t>
      </w:r>
    </w:p>
    <w:p w14:paraId="3A6FC98A" w14:textId="77777777" w:rsidR="00197BF0" w:rsidRPr="00C93347" w:rsidRDefault="00197BF0" w:rsidP="00197BF0">
      <w:pPr>
        <w:pStyle w:val="NoSpacing"/>
        <w:rPr>
          <w:rFonts w:ascii="Times New Roman" w:hAnsi="Times New Roman"/>
          <w:color w:val="FF0000"/>
        </w:rPr>
      </w:pPr>
    </w:p>
    <w:p w14:paraId="4E728A5B" w14:textId="60A81940" w:rsidR="00DE0588" w:rsidRPr="00C93347" w:rsidRDefault="00A45862" w:rsidP="00197BF0">
      <w:pPr>
        <w:pStyle w:val="NoSpacing"/>
        <w:rPr>
          <w:rFonts w:ascii="Times New Roman" w:hAnsi="Times New Roman"/>
          <w:bCs/>
          <w:color w:val="FF0000"/>
        </w:rPr>
      </w:pPr>
      <w:r w:rsidRPr="00C93347">
        <w:rPr>
          <w:rFonts w:ascii="Times New Roman" w:hAnsi="Times New Roman"/>
          <w:bCs/>
          <w:color w:val="FF0000"/>
        </w:rPr>
        <w:t xml:space="preserve">Appendix Table 2b3.6.b provides regression coefficients, standard errors and other statistics for each model. </w:t>
      </w:r>
    </w:p>
    <w:p w14:paraId="09BFA1CF" w14:textId="77777777" w:rsidR="00A45862" w:rsidRPr="007B0444" w:rsidRDefault="00A45862" w:rsidP="00A45862">
      <w:pPr>
        <w:autoSpaceDE w:val="0"/>
        <w:autoSpaceDN w:val="0"/>
        <w:adjustRightInd w:val="0"/>
        <w:spacing w:after="0" w:line="240" w:lineRule="auto"/>
        <w:rPr>
          <w:rFonts w:cstheme="minorHAnsi"/>
          <w:bCs/>
          <w:color w:val="0070C0"/>
        </w:rPr>
      </w:pPr>
    </w:p>
    <w:p w14:paraId="0CABCFF4" w14:textId="028D7222" w:rsidR="009D3882" w:rsidRPr="004C5C9D" w:rsidRDefault="009C7513" w:rsidP="009D3882">
      <w:pPr>
        <w:rPr>
          <w:rFonts w:ascii="Times New Roman" w:hAnsi="Times New Roman" w:cs="Times New Roman"/>
          <w:b/>
          <w:bCs/>
          <w:sz w:val="14"/>
        </w:rPr>
      </w:pPr>
      <w:r w:rsidRPr="007B0444">
        <w:rPr>
          <w:rFonts w:cs="Calibri"/>
          <w:b/>
          <w:bCs/>
        </w:rPr>
        <w:t>2b3</w:t>
      </w:r>
      <w:r w:rsidR="009D3882" w:rsidRPr="007B0444">
        <w:rPr>
          <w:rFonts w:cs="Calibri"/>
          <w:b/>
          <w:bCs/>
        </w:rPr>
        <w:t xml:space="preserve">.2. </w:t>
      </w:r>
      <w:proofErr w:type="gramStart"/>
      <w:r w:rsidR="009D3882" w:rsidRPr="007B0444">
        <w:rPr>
          <w:rFonts w:cs="Calibri"/>
          <w:b/>
          <w:bCs/>
        </w:rPr>
        <w:t>If</w:t>
      </w:r>
      <w:proofErr w:type="gramEnd"/>
      <w:r w:rsidR="009D3882" w:rsidRPr="007B0444">
        <w:rPr>
          <w:rFonts w:cs="Calibri"/>
          <w:b/>
          <w:bCs/>
        </w:rPr>
        <w:t xml:space="preserve"> an outcome or resource use component measure is </w:t>
      </w:r>
      <w:r w:rsidR="009D3882" w:rsidRPr="007B0444">
        <w:rPr>
          <w:rFonts w:cs="Calibri"/>
          <w:b/>
          <w:bCs/>
          <w:u w:val="single"/>
        </w:rPr>
        <w:t>not risk adjusted or stratified</w:t>
      </w:r>
      <w:r w:rsidR="009D3882" w:rsidRPr="007B0444">
        <w:rPr>
          <w:rFonts w:cs="Calibri"/>
          <w:b/>
          <w:bCs/>
        </w:rPr>
        <w:t xml:space="preserve">, provide </w:t>
      </w:r>
      <w:r w:rsidR="009D3882" w:rsidRPr="007B0444">
        <w:rPr>
          <w:rFonts w:cs="Calibri"/>
          <w:b/>
          <w:bCs/>
          <w:u w:val="single"/>
        </w:rPr>
        <w:t>rationale and analyses</w:t>
      </w:r>
      <w:r w:rsidR="009D3882" w:rsidRPr="007B0444">
        <w:rPr>
          <w:rFonts w:cs="Calibri"/>
          <w:b/>
          <w:bCs/>
        </w:rPr>
        <w:t xml:space="preserve"> to demonstrate that controlling for differences in patient characteristics (case mix) is not needed to achieve fair comparisons across measured entities</w:t>
      </w:r>
      <w:r w:rsidR="009D3882" w:rsidRPr="007B0444">
        <w:rPr>
          <w:rFonts w:cs="Calibri"/>
          <w:bCs/>
        </w:rPr>
        <w:t xml:space="preserve">. </w:t>
      </w:r>
      <w:r w:rsidR="009D3882" w:rsidRPr="007B0444">
        <w:rPr>
          <w:rFonts w:cs="Calibri"/>
          <w:bCs/>
        </w:rPr>
        <w:br/>
      </w:r>
      <w:r w:rsidR="00DE0588" w:rsidRPr="004C5C9D">
        <w:rPr>
          <w:rFonts w:ascii="Times New Roman" w:hAnsi="Times New Roman" w:cs="Times New Roman"/>
          <w:bCs/>
          <w:color w:val="0070C0"/>
        </w:rPr>
        <w:t>N/A</w:t>
      </w:r>
    </w:p>
    <w:p w14:paraId="745246FA" w14:textId="4712F973" w:rsidR="00197317" w:rsidRPr="00C93347" w:rsidRDefault="009C7513" w:rsidP="00197BF0">
      <w:pPr>
        <w:pStyle w:val="NoSpacing"/>
        <w:rPr>
          <w:rFonts w:ascii="Times New Roman" w:hAnsi="Times New Roman"/>
          <w:color w:val="FF0000"/>
        </w:rPr>
      </w:pPr>
      <w:r w:rsidRPr="007B0444">
        <w:rPr>
          <w:rFonts w:cstheme="minorHAnsi"/>
          <w:b/>
        </w:rPr>
        <w:t>2b3</w:t>
      </w:r>
      <w:r w:rsidR="00092566" w:rsidRPr="007B0444">
        <w:rPr>
          <w:rFonts w:cstheme="minorHAnsi"/>
          <w:b/>
        </w:rPr>
        <w:t>.3</w:t>
      </w:r>
      <w:r w:rsidR="00275563" w:rsidRPr="007B0444">
        <w:rPr>
          <w:rFonts w:cstheme="minorHAnsi"/>
          <w:b/>
        </w:rPr>
        <w:t>a</w:t>
      </w:r>
      <w:r w:rsidR="00092566" w:rsidRPr="007B0444">
        <w:rPr>
          <w:rFonts w:cstheme="minorHAnsi"/>
          <w:b/>
        </w:rPr>
        <w:t xml:space="preserve">. </w:t>
      </w:r>
      <w:r w:rsidR="00927027" w:rsidRPr="007B0444">
        <w:rPr>
          <w:rFonts w:cstheme="minorHAnsi"/>
          <w:b/>
        </w:rPr>
        <w:t>Describe</w:t>
      </w:r>
      <w:r w:rsidR="00092566" w:rsidRPr="007B0444">
        <w:rPr>
          <w:rFonts w:cstheme="minorHAnsi"/>
          <w:b/>
        </w:rPr>
        <w:t xml:space="preserve"> the conceptual/clinical </w:t>
      </w:r>
      <w:r w:rsidR="00092566" w:rsidRPr="007B0444">
        <w:rPr>
          <w:rFonts w:cstheme="minorHAnsi"/>
          <w:b/>
          <w:u w:val="single"/>
        </w:rPr>
        <w:t>and</w:t>
      </w:r>
      <w:r w:rsidR="00092566" w:rsidRPr="007B0444">
        <w:rPr>
          <w:rFonts w:cstheme="minorHAnsi"/>
          <w:b/>
        </w:rPr>
        <w:t xml:space="preserve"> statistical methods and criteria used to select </w:t>
      </w:r>
      <w:r w:rsidR="005363F1" w:rsidRPr="007B0444">
        <w:rPr>
          <w:rFonts w:cstheme="minorHAnsi"/>
          <w:b/>
        </w:rPr>
        <w:t xml:space="preserve">patient </w:t>
      </w:r>
      <w:r w:rsidR="00092566" w:rsidRPr="007B0444">
        <w:rPr>
          <w:rFonts w:cstheme="minorHAnsi"/>
          <w:b/>
        </w:rPr>
        <w:t xml:space="preserve">factors </w:t>
      </w:r>
      <w:r w:rsidR="0021054A" w:rsidRPr="007B0444">
        <w:rPr>
          <w:rFonts w:cstheme="minorHAnsi"/>
          <w:b/>
        </w:rPr>
        <w:t>(</w:t>
      </w:r>
      <w:r w:rsidR="00E967AD" w:rsidRPr="007B0444">
        <w:rPr>
          <w:rFonts w:cstheme="minorHAnsi"/>
          <w:b/>
        </w:rPr>
        <w:t xml:space="preserve">clinical factors or </w:t>
      </w:r>
      <w:r w:rsidR="00AF2D68" w:rsidRPr="007B0444">
        <w:rPr>
          <w:rFonts w:cstheme="minorHAnsi"/>
          <w:b/>
        </w:rPr>
        <w:t xml:space="preserve">social risk </w:t>
      </w:r>
      <w:r w:rsidR="0021054A" w:rsidRPr="007B0444">
        <w:rPr>
          <w:rFonts w:cstheme="minorHAnsi"/>
          <w:b/>
        </w:rPr>
        <w:t xml:space="preserve">factors) </w:t>
      </w:r>
      <w:r w:rsidR="00092566" w:rsidRPr="007B0444">
        <w:rPr>
          <w:rFonts w:cstheme="minorHAnsi"/>
          <w:b/>
        </w:rPr>
        <w:t>used in the statistical risk model or for stratification by risk</w:t>
      </w:r>
      <w:r w:rsidR="00927027" w:rsidRPr="007B0444">
        <w:rPr>
          <w:rFonts w:cstheme="minorHAnsi"/>
          <w:b/>
        </w:rPr>
        <w:t xml:space="preserve"> </w:t>
      </w:r>
      <w:r w:rsidR="00092566" w:rsidRPr="007B0444">
        <w:rPr>
          <w:rFonts w:cstheme="minorHAnsi"/>
        </w:rPr>
        <w:t>(</w:t>
      </w:r>
      <w:r w:rsidR="00092566" w:rsidRPr="007B0444">
        <w:rPr>
          <w:rFonts w:cstheme="minorHAnsi"/>
          <w:i/>
        </w:rPr>
        <w:t xml:space="preserve">e.g., potential factors identified in </w:t>
      </w:r>
      <w:r w:rsidR="005363F1" w:rsidRPr="007B0444">
        <w:rPr>
          <w:rFonts w:cstheme="minorHAnsi"/>
          <w:i/>
        </w:rPr>
        <w:t xml:space="preserve">the </w:t>
      </w:r>
      <w:r w:rsidR="00092566" w:rsidRPr="007B0444">
        <w:rPr>
          <w:rFonts w:cstheme="minorHAnsi"/>
          <w:i/>
        </w:rPr>
        <w:t>literature and/or expert panel; regression analysis; statistical significance of p&lt;0.10; correlation of x or higher</w:t>
      </w:r>
      <w:r w:rsidR="005363F1" w:rsidRPr="007B0444">
        <w:rPr>
          <w:rFonts w:cstheme="minorHAnsi"/>
          <w:i/>
        </w:rPr>
        <w:t>; patient factors should be present at the start of care</w:t>
      </w:r>
      <w:r w:rsidR="00092566" w:rsidRPr="007B0444">
        <w:rPr>
          <w:rFonts w:cstheme="minorHAnsi"/>
        </w:rPr>
        <w:t>)</w:t>
      </w:r>
      <w:r w:rsidR="00AF2D68" w:rsidRPr="007B0444">
        <w:rPr>
          <w:rFonts w:cstheme="minorHAnsi"/>
        </w:rPr>
        <w:t xml:space="preserve">  </w:t>
      </w:r>
      <w:r w:rsidR="00AF2D68" w:rsidRPr="007B0444">
        <w:rPr>
          <w:rFonts w:cstheme="minorHAnsi"/>
          <w:b/>
        </w:rPr>
        <w:t>Also discuss any “ordering” of risk factor inclusion</w:t>
      </w:r>
      <w:r w:rsidR="00CE284E" w:rsidRPr="007B0444">
        <w:rPr>
          <w:rFonts w:cstheme="minorHAnsi"/>
        </w:rPr>
        <w:t>; for example, a</w:t>
      </w:r>
      <w:r w:rsidR="00AF2D68" w:rsidRPr="007B0444">
        <w:rPr>
          <w:rFonts w:cstheme="minorHAnsi"/>
        </w:rPr>
        <w:t>re social risk factors added after all clinical factors?</w:t>
      </w:r>
      <w:r w:rsidR="00092566" w:rsidRPr="007B0444">
        <w:rPr>
          <w:rFonts w:cstheme="minorHAnsi"/>
        </w:rPr>
        <w:br/>
      </w:r>
      <w:r w:rsidR="00197317" w:rsidRPr="00C93347">
        <w:rPr>
          <w:rFonts w:ascii="Times New Roman" w:hAnsi="Times New Roman"/>
          <w:b/>
          <w:color w:val="FF0000"/>
        </w:rPr>
        <w:t>Clinical Factors</w:t>
      </w:r>
      <w:r w:rsidR="00D75F44" w:rsidRPr="00C93347">
        <w:rPr>
          <w:rFonts w:ascii="Times New Roman" w:hAnsi="Times New Roman"/>
          <w:b/>
          <w:color w:val="FF0000"/>
        </w:rPr>
        <w:t xml:space="preserve">: </w:t>
      </w:r>
      <w:r w:rsidR="00197317" w:rsidRPr="00C93347">
        <w:rPr>
          <w:rFonts w:ascii="Times New Roman" w:hAnsi="Times New Roman"/>
          <w:color w:val="FF0000"/>
        </w:rPr>
        <w:t>The CMS-HCC model was selected based on previous studies evaluating its appropriateness for use in risk adjusting Medicare claims data. This model was developed specifically for use in the Medicare population, meaning that it accounts for conditions found in the Medicare population and is calibrated on Medicare fee-for-service beneficiaries. In addition, the CMS-HCC model is routinely updated for changes in coding practices (e.g., the transition from ICD-9 to ICD-10 codes) and is exhaustive on these code sets. Because the CMS-HCC model has already been extensively tested</w:t>
      </w:r>
      <w:r w:rsidR="0068496C" w:rsidRPr="00C93347">
        <w:rPr>
          <w:rFonts w:ascii="Times New Roman" w:hAnsi="Times New Roman"/>
          <w:color w:val="FF0000"/>
        </w:rPr>
        <w:t xml:space="preserve"> and is used for a large Medicare Part C population</w:t>
      </w:r>
      <w:r w:rsidR="00197317" w:rsidRPr="00C93347">
        <w:rPr>
          <w:rFonts w:ascii="Times New Roman" w:hAnsi="Times New Roman"/>
          <w:color w:val="FF0000"/>
        </w:rPr>
        <w:t xml:space="preserve">, we focus our testing on how the CMS-HCC model was adapted to the MSPB </w:t>
      </w:r>
      <w:r w:rsidR="0014007D" w:rsidRPr="00C93347">
        <w:rPr>
          <w:rFonts w:ascii="Times New Roman" w:hAnsi="Times New Roman"/>
          <w:color w:val="FF0000"/>
        </w:rPr>
        <w:t>Hospital</w:t>
      </w:r>
      <w:r w:rsidR="00197317" w:rsidRPr="00C93347">
        <w:rPr>
          <w:rFonts w:ascii="Times New Roman" w:hAnsi="Times New Roman"/>
          <w:color w:val="FF0000"/>
        </w:rPr>
        <w:t xml:space="preserve"> measure</w:t>
      </w:r>
      <w:proofErr w:type="gramStart"/>
      <w:r w:rsidR="00197317" w:rsidRPr="00C93347">
        <w:rPr>
          <w:rFonts w:ascii="Times New Roman" w:hAnsi="Times New Roman"/>
          <w:color w:val="FF0000"/>
        </w:rPr>
        <w:t>.</w:t>
      </w:r>
      <w:r w:rsidR="0068496C" w:rsidRPr="00C93347">
        <w:rPr>
          <w:rStyle w:val="FootnoteReference"/>
          <w:rFonts w:ascii="Times New Roman" w:hAnsi="Times New Roman"/>
          <w:bCs/>
          <w:color w:val="FF0000"/>
        </w:rPr>
        <w:footnoteReference w:id="32"/>
      </w:r>
      <w:r w:rsidR="0068496C" w:rsidRPr="00C93347">
        <w:rPr>
          <w:rFonts w:ascii="Times New Roman" w:hAnsi="Times New Roman"/>
          <w:color w:val="FF0000"/>
          <w:vertAlign w:val="superscript"/>
        </w:rPr>
        <w:t>,</w:t>
      </w:r>
      <w:bookmarkStart w:id="2" w:name="_Ref44511601"/>
      <w:r w:rsidR="00197317" w:rsidRPr="00C93347">
        <w:rPr>
          <w:rStyle w:val="FootnoteReference"/>
          <w:rFonts w:ascii="Times New Roman" w:hAnsi="Times New Roman"/>
          <w:color w:val="FF0000"/>
        </w:rPr>
        <w:footnoteReference w:id="33"/>
      </w:r>
      <w:bookmarkEnd w:id="2"/>
      <w:r w:rsidR="000B06D1" w:rsidRPr="00C93347">
        <w:rPr>
          <w:rFonts w:ascii="Times New Roman" w:hAnsi="Times New Roman"/>
          <w:color w:val="FF0000"/>
          <w:vertAlign w:val="superscript"/>
        </w:rPr>
        <w:t>,</w:t>
      </w:r>
      <w:proofErr w:type="gramEnd"/>
      <w:r w:rsidR="000B06D1" w:rsidRPr="00C93347">
        <w:rPr>
          <w:rStyle w:val="FootnoteReference"/>
          <w:rFonts w:ascii="Times New Roman" w:hAnsi="Times New Roman"/>
          <w:bCs/>
          <w:color w:val="FF0000"/>
        </w:rPr>
        <w:footnoteReference w:id="34"/>
      </w:r>
      <w:r w:rsidR="00197317" w:rsidRPr="00C93347">
        <w:rPr>
          <w:rFonts w:ascii="Times New Roman" w:hAnsi="Times New Roman"/>
          <w:color w:val="FF0000"/>
        </w:rPr>
        <w:t xml:space="preserve">  </w:t>
      </w:r>
    </w:p>
    <w:p w14:paraId="3DF8909C" w14:textId="77777777" w:rsidR="00197BF0" w:rsidRPr="00C93347" w:rsidRDefault="00197BF0" w:rsidP="00197BF0">
      <w:pPr>
        <w:pStyle w:val="NoSpacing"/>
        <w:rPr>
          <w:rFonts w:ascii="Times New Roman" w:hAnsi="Times New Roman"/>
          <w:color w:val="FF0000"/>
        </w:rPr>
      </w:pPr>
    </w:p>
    <w:p w14:paraId="1379C927" w14:textId="41E9B104" w:rsidR="00197317" w:rsidRPr="00C93347" w:rsidRDefault="00197317" w:rsidP="00197BF0">
      <w:pPr>
        <w:pStyle w:val="NoSpacing"/>
        <w:rPr>
          <w:rFonts w:ascii="Times New Roman" w:hAnsi="Times New Roman"/>
          <w:color w:val="FF0000"/>
        </w:rPr>
      </w:pPr>
      <w:r w:rsidRPr="00C93347">
        <w:rPr>
          <w:rFonts w:ascii="Times New Roman" w:hAnsi="Times New Roman"/>
          <w:color w:val="FF0000"/>
        </w:rPr>
        <w:t>The statistical risk model is estimated separately for each MDC, which is determined by the MS-DRG of the index admission; in turn, these are generally grouped according to principal diagnoses</w:t>
      </w:r>
      <w:r w:rsidR="000B06D1" w:rsidRPr="00C93347">
        <w:rPr>
          <w:rFonts w:ascii="Times New Roman" w:hAnsi="Times New Roman"/>
          <w:color w:val="FF0000"/>
        </w:rPr>
        <w:t xml:space="preserve"> or major procedures</w:t>
      </w:r>
      <w:r w:rsidRPr="00C93347">
        <w:rPr>
          <w:rFonts w:ascii="Times New Roman" w:hAnsi="Times New Roman"/>
          <w:color w:val="FF0000"/>
        </w:rPr>
        <w:t xml:space="preserve">. This risk stratification by MDC is to ensure that the wide range of inpatient care and the different clinical factors that affect resource use are accounted for in the model. Each MDC corresponds to an organ system (e.g., MDC 2 covers diseases and disorders of the eye) or cause for admission (e.g., MDC 22 comprises MS-DRGs related to burns). </w:t>
      </w:r>
    </w:p>
    <w:p w14:paraId="3D38CCBB" w14:textId="77777777" w:rsidR="00197BF0" w:rsidRPr="00C93347" w:rsidRDefault="00197BF0" w:rsidP="00197BF0">
      <w:pPr>
        <w:pStyle w:val="NoSpacing"/>
        <w:rPr>
          <w:rFonts w:ascii="Times New Roman" w:hAnsi="Times New Roman"/>
          <w:color w:val="FF0000"/>
        </w:rPr>
      </w:pPr>
    </w:p>
    <w:p w14:paraId="2750CC6B" w14:textId="2873A281" w:rsidR="0068496C" w:rsidRPr="00C93347" w:rsidRDefault="0068496C" w:rsidP="00197BF0">
      <w:pPr>
        <w:pStyle w:val="NoSpacing"/>
        <w:rPr>
          <w:rFonts w:ascii="Times New Roman" w:hAnsi="Times New Roman"/>
          <w:color w:val="FF0000"/>
        </w:rPr>
      </w:pPr>
      <w:r w:rsidRPr="00C93347">
        <w:rPr>
          <w:rFonts w:ascii="Times New Roman" w:hAnsi="Times New Roman"/>
          <w:color w:val="FF0000"/>
        </w:rPr>
        <w:lastRenderedPageBreak/>
        <w:t xml:space="preserve">The measure also includes a Prior Inpatient Admission risk adjustor to ensure </w:t>
      </w:r>
      <w:r w:rsidR="00577AD8" w:rsidRPr="00C93347">
        <w:rPr>
          <w:rFonts w:ascii="Times New Roman" w:hAnsi="Times New Roman"/>
          <w:color w:val="FF0000"/>
        </w:rPr>
        <w:t xml:space="preserve">accurate cost </w:t>
      </w:r>
      <w:r w:rsidRPr="00C93347">
        <w:rPr>
          <w:rFonts w:ascii="Times New Roman" w:hAnsi="Times New Roman"/>
          <w:color w:val="FF0000"/>
        </w:rPr>
        <w:t>comparison between episodes with and without prior inpatient admissions</w:t>
      </w:r>
      <w:r w:rsidR="000557B2" w:rsidRPr="00C93347">
        <w:rPr>
          <w:rFonts w:ascii="Times New Roman" w:hAnsi="Times New Roman"/>
          <w:color w:val="FF0000"/>
        </w:rPr>
        <w:t xml:space="preserve">. </w:t>
      </w:r>
      <w:proofErr w:type="gramStart"/>
      <w:r w:rsidR="000557B2" w:rsidRPr="00C93347">
        <w:rPr>
          <w:rFonts w:ascii="Times New Roman" w:hAnsi="Times New Roman"/>
          <w:color w:val="FF0000"/>
        </w:rPr>
        <w:t xml:space="preserve">as </w:t>
      </w:r>
      <w:r w:rsidRPr="00C93347">
        <w:rPr>
          <w:rFonts w:ascii="Times New Roman" w:hAnsi="Times New Roman"/>
          <w:color w:val="FF0000"/>
        </w:rPr>
        <w:t xml:space="preserve"> </w:t>
      </w:r>
      <w:r w:rsidR="000557B2" w:rsidRPr="00C93347">
        <w:rPr>
          <w:rFonts w:ascii="Times New Roman" w:hAnsi="Times New Roman"/>
          <w:color w:val="FF0000"/>
        </w:rPr>
        <w:t>e</w:t>
      </w:r>
      <w:r w:rsidRPr="00C93347">
        <w:rPr>
          <w:rFonts w:ascii="Times New Roman" w:hAnsi="Times New Roman"/>
          <w:color w:val="FF0000"/>
        </w:rPr>
        <w:t>pisodes</w:t>
      </w:r>
      <w:proofErr w:type="gramEnd"/>
      <w:r w:rsidRPr="00C93347">
        <w:rPr>
          <w:rFonts w:ascii="Times New Roman" w:hAnsi="Times New Roman"/>
          <w:color w:val="FF0000"/>
        </w:rPr>
        <w:t xml:space="preserve"> where an inpatient stay occurs in</w:t>
      </w:r>
      <w:r w:rsidR="000557B2" w:rsidRPr="00C93347">
        <w:rPr>
          <w:rFonts w:ascii="Times New Roman" w:hAnsi="Times New Roman"/>
          <w:color w:val="FF0000"/>
        </w:rPr>
        <w:t xml:space="preserve"> the</w:t>
      </w:r>
      <w:r w:rsidRPr="00C93347">
        <w:rPr>
          <w:rFonts w:ascii="Times New Roman" w:hAnsi="Times New Roman"/>
          <w:color w:val="FF0000"/>
        </w:rPr>
        <w:t xml:space="preserve"> 30 day</w:t>
      </w:r>
      <w:r w:rsidR="0054413E" w:rsidRPr="00C93347">
        <w:rPr>
          <w:rFonts w:ascii="Times New Roman" w:hAnsi="Times New Roman"/>
          <w:color w:val="FF0000"/>
        </w:rPr>
        <w:t>s</w:t>
      </w:r>
      <w:r w:rsidRPr="00C93347">
        <w:rPr>
          <w:rFonts w:ascii="Times New Roman" w:hAnsi="Times New Roman"/>
          <w:color w:val="FF0000"/>
        </w:rPr>
        <w:t xml:space="preserve"> prior to the episode trigger are considered re-admissions that tend to be riskier and more resource-intensive than admissions. </w:t>
      </w:r>
    </w:p>
    <w:p w14:paraId="77D8B604" w14:textId="77777777" w:rsidR="00197BF0" w:rsidRPr="00197BF0" w:rsidRDefault="00197BF0" w:rsidP="00197BF0">
      <w:pPr>
        <w:pStyle w:val="NoSpacing"/>
        <w:rPr>
          <w:color w:val="FF0000"/>
        </w:rPr>
      </w:pPr>
    </w:p>
    <w:p w14:paraId="21CF432E" w14:textId="52B697C8" w:rsidR="00197317" w:rsidRPr="00C93347" w:rsidRDefault="00197317" w:rsidP="00197BF0">
      <w:pPr>
        <w:pStyle w:val="NoSpacing"/>
        <w:rPr>
          <w:rFonts w:ascii="Times New Roman" w:hAnsi="Times New Roman"/>
          <w:color w:val="FF0000"/>
          <w:vertAlign w:val="superscript"/>
        </w:rPr>
      </w:pPr>
      <w:r w:rsidRPr="00C93347">
        <w:rPr>
          <w:rFonts w:ascii="Times New Roman" w:hAnsi="Times New Roman"/>
          <w:b/>
          <w:color w:val="FF0000"/>
        </w:rPr>
        <w:t>Social Risk Factors</w:t>
      </w:r>
      <w:r w:rsidR="000B06D1" w:rsidRPr="00C93347">
        <w:rPr>
          <w:rFonts w:ascii="Times New Roman" w:hAnsi="Times New Roman"/>
          <w:b/>
          <w:color w:val="FF0000"/>
        </w:rPr>
        <w:t xml:space="preserve">: </w:t>
      </w:r>
      <w:r w:rsidRPr="00C93347">
        <w:rPr>
          <w:rFonts w:ascii="Times New Roman" w:hAnsi="Times New Roman"/>
          <w:color w:val="FF0000"/>
        </w:rPr>
        <w:t>According to a 2014 National Quality Forum report</w:t>
      </w:r>
      <w:r w:rsidR="00197BF0" w:rsidRPr="00C93347">
        <w:rPr>
          <w:rFonts w:ascii="Times New Roman" w:hAnsi="Times New Roman"/>
          <w:color w:val="FF0000"/>
        </w:rPr>
        <w:t>,</w:t>
      </w:r>
      <w:r w:rsidRPr="00C93347">
        <w:rPr>
          <w:rStyle w:val="FootnoteReference"/>
          <w:rFonts w:ascii="Times New Roman" w:hAnsi="Times New Roman"/>
          <w:color w:val="FF0000"/>
        </w:rPr>
        <w:footnoteReference w:id="35"/>
      </w:r>
      <w:r w:rsidRPr="00C93347">
        <w:rPr>
          <w:rFonts w:ascii="Times New Roman" w:hAnsi="Times New Roman"/>
          <w:color w:val="FF0000"/>
        </w:rPr>
        <w:t xml:space="preserve"> the mechanisms underlying differences in resource use by socioeconomic status and race are complex and may be impacted by factors such as financial resources, community resources, historical and current discrimination, and reduced access to preventive services. Provider assumptions or implicit biases may impact quality of care for beneficiaries of different races. These factors may result in inefficient care, increased disease severity, or greater morbidity, leading to higher Medicare spending for beneficiaries depending on socioeconomic status or </w:t>
      </w:r>
      <w:r w:rsidR="008D3925" w:rsidRPr="00C93347">
        <w:rPr>
          <w:rFonts w:ascii="Times New Roman" w:hAnsi="Times New Roman"/>
          <w:color w:val="FF0000"/>
        </w:rPr>
        <w:t>demographic status</w:t>
      </w:r>
      <w:r w:rsidRPr="00C93347">
        <w:rPr>
          <w:rFonts w:ascii="Times New Roman" w:hAnsi="Times New Roman"/>
          <w:color w:val="FF0000"/>
        </w:rPr>
        <w:t xml:space="preserve">. Other social risk factors identified by the literature that can affect resource use include income, insurance (e.g., Medicaid), education, race and ethnicity, </w:t>
      </w:r>
      <w:r w:rsidR="00D05A56" w:rsidRPr="00C93347">
        <w:rPr>
          <w:rFonts w:ascii="Times New Roman" w:hAnsi="Times New Roman"/>
          <w:color w:val="FF0000"/>
        </w:rPr>
        <w:t>sex</w:t>
      </w:r>
      <w:r w:rsidRPr="00C93347">
        <w:rPr>
          <w:rFonts w:ascii="Times New Roman" w:hAnsi="Times New Roman"/>
          <w:color w:val="FF0000"/>
        </w:rPr>
        <w:t xml:space="preserve">, social relationships, </w:t>
      </w:r>
      <w:r w:rsidR="002E4148" w:rsidRPr="00C93347">
        <w:rPr>
          <w:rFonts w:ascii="Times New Roman" w:hAnsi="Times New Roman"/>
          <w:color w:val="FF0000"/>
        </w:rPr>
        <w:t xml:space="preserve">combinations of these factors, </w:t>
      </w:r>
      <w:r w:rsidRPr="00C93347">
        <w:rPr>
          <w:rFonts w:ascii="Times New Roman" w:hAnsi="Times New Roman"/>
          <w:color w:val="FF0000"/>
        </w:rPr>
        <w:t>and residential and community context including rurality.</w:t>
      </w:r>
      <w:r w:rsidRPr="00C93347">
        <w:rPr>
          <w:rStyle w:val="FootnoteReference"/>
          <w:rFonts w:ascii="Times New Roman" w:hAnsi="Times New Roman"/>
          <w:color w:val="FF0000"/>
        </w:rPr>
        <w:footnoteReference w:id="36"/>
      </w:r>
      <w:r w:rsidRPr="00C93347">
        <w:rPr>
          <w:rFonts w:ascii="Times New Roman" w:hAnsi="Times New Roman"/>
          <w:color w:val="FF0000"/>
          <w:vertAlign w:val="superscript"/>
        </w:rPr>
        <w:t>,</w:t>
      </w:r>
      <w:r w:rsidRPr="00C93347">
        <w:rPr>
          <w:rStyle w:val="FootnoteReference"/>
          <w:rFonts w:ascii="Times New Roman" w:hAnsi="Times New Roman"/>
          <w:color w:val="FF0000"/>
        </w:rPr>
        <w:footnoteReference w:id="37"/>
      </w:r>
      <w:r w:rsidRPr="00C93347">
        <w:rPr>
          <w:rFonts w:ascii="Times New Roman" w:hAnsi="Times New Roman"/>
          <w:color w:val="FF0000"/>
          <w:vertAlign w:val="superscript"/>
        </w:rPr>
        <w:t>,</w:t>
      </w:r>
      <w:r w:rsidRPr="00C93347">
        <w:rPr>
          <w:rStyle w:val="FootnoteReference"/>
          <w:rFonts w:ascii="Times New Roman" w:hAnsi="Times New Roman"/>
          <w:color w:val="FF0000"/>
        </w:rPr>
        <w:footnoteReference w:id="38"/>
      </w:r>
    </w:p>
    <w:p w14:paraId="04B601EE" w14:textId="77777777" w:rsidR="00197BF0" w:rsidRPr="00C93347" w:rsidRDefault="00197BF0" w:rsidP="00197BF0">
      <w:pPr>
        <w:pStyle w:val="NoSpacing"/>
        <w:rPr>
          <w:rFonts w:ascii="Times New Roman" w:hAnsi="Times New Roman"/>
          <w:color w:val="FF0000"/>
        </w:rPr>
      </w:pPr>
    </w:p>
    <w:p w14:paraId="1C4B6758" w14:textId="12645096" w:rsidR="007A471A" w:rsidRPr="00C93347" w:rsidRDefault="00177003" w:rsidP="00197BF0">
      <w:pPr>
        <w:pStyle w:val="NoSpacing"/>
        <w:rPr>
          <w:rFonts w:ascii="Times New Roman" w:hAnsi="Times New Roman"/>
          <w:color w:val="FF0000"/>
          <w:vertAlign w:val="superscript"/>
        </w:rPr>
      </w:pPr>
      <w:r w:rsidRPr="00C93347">
        <w:rPr>
          <w:rFonts w:ascii="Times New Roman" w:hAnsi="Times New Roman"/>
          <w:color w:val="FF0000"/>
        </w:rPr>
        <w:t xml:space="preserve">The MSPB Hospital measure was endorsed by NQF in 2013 and the measure methodology did not include social risk factor adjustment. </w:t>
      </w:r>
      <w:r w:rsidR="003C7E35" w:rsidRPr="00C93347">
        <w:rPr>
          <w:rFonts w:ascii="Times New Roman" w:hAnsi="Times New Roman"/>
          <w:color w:val="FF0000"/>
        </w:rPr>
        <w:t>The</w:t>
      </w:r>
      <w:r w:rsidRPr="00C93347">
        <w:rPr>
          <w:rFonts w:ascii="Times New Roman" w:hAnsi="Times New Roman"/>
          <w:color w:val="FF0000"/>
        </w:rPr>
        <w:t xml:space="preserve"> measure was reviewed again by NQF for re-endorsement in 2016/7</w:t>
      </w:r>
      <w:r w:rsidR="00F43569" w:rsidRPr="00C93347">
        <w:rPr>
          <w:rFonts w:ascii="Times New Roman" w:hAnsi="Times New Roman"/>
          <w:color w:val="FF0000"/>
        </w:rPr>
        <w:t xml:space="preserve"> </w:t>
      </w:r>
      <w:r w:rsidRPr="00C93347">
        <w:rPr>
          <w:rFonts w:ascii="Times New Roman" w:hAnsi="Times New Roman"/>
          <w:color w:val="FF0000"/>
        </w:rPr>
        <w:t xml:space="preserve">while under the NQF’s </w:t>
      </w:r>
      <w:r w:rsidRPr="006739ED">
        <w:rPr>
          <w:rFonts w:ascii="Times New Roman" w:hAnsi="Times New Roman"/>
          <w:color w:val="FF0000"/>
        </w:rPr>
        <w:t>trial period</w:t>
      </w:r>
      <w:r w:rsidRPr="00C93347">
        <w:rPr>
          <w:rFonts w:ascii="Times New Roman" w:hAnsi="Times New Roman"/>
          <w:color w:val="FF0000"/>
        </w:rPr>
        <w:t xml:space="preserve"> for risk adjustment </w:t>
      </w:r>
      <w:r w:rsidR="00DB75DE" w:rsidRPr="00C93347">
        <w:rPr>
          <w:rFonts w:ascii="Times New Roman" w:hAnsi="Times New Roman"/>
          <w:color w:val="FF0000"/>
        </w:rPr>
        <w:t xml:space="preserve">of </w:t>
      </w:r>
      <w:r w:rsidRPr="00C93347">
        <w:rPr>
          <w:rFonts w:ascii="Times New Roman" w:hAnsi="Times New Roman"/>
          <w:color w:val="FF0000"/>
        </w:rPr>
        <w:t>social risk factors and was endorsed</w:t>
      </w:r>
      <w:r w:rsidR="003C7E35" w:rsidRPr="00C93347">
        <w:rPr>
          <w:rFonts w:ascii="Times New Roman" w:hAnsi="Times New Roman"/>
          <w:color w:val="FF0000"/>
        </w:rPr>
        <w:t xml:space="preserve"> without </w:t>
      </w:r>
      <w:r w:rsidR="00F43569" w:rsidRPr="00C93347">
        <w:rPr>
          <w:rFonts w:ascii="Times New Roman" w:hAnsi="Times New Roman"/>
          <w:color w:val="FF0000"/>
        </w:rPr>
        <w:t>the addition of social risk factors</w:t>
      </w:r>
      <w:r w:rsidR="003C7E35" w:rsidRPr="00C93347">
        <w:rPr>
          <w:rFonts w:ascii="Times New Roman" w:hAnsi="Times New Roman"/>
          <w:color w:val="FF0000"/>
        </w:rPr>
        <w:t xml:space="preserve">. </w:t>
      </w:r>
      <w:r w:rsidR="00F43569" w:rsidRPr="00C93347">
        <w:rPr>
          <w:rFonts w:ascii="Times New Roman" w:hAnsi="Times New Roman"/>
          <w:color w:val="FF0000"/>
        </w:rPr>
        <w:t>For</w:t>
      </w:r>
      <w:r w:rsidR="003C7E35" w:rsidRPr="00C93347">
        <w:rPr>
          <w:rFonts w:ascii="Times New Roman" w:hAnsi="Times New Roman"/>
          <w:color w:val="FF0000"/>
        </w:rPr>
        <w:t xml:space="preserve"> these evaluations, </w:t>
      </w:r>
      <w:r w:rsidR="00DB75DE" w:rsidRPr="00C93347">
        <w:rPr>
          <w:rFonts w:ascii="Times New Roman" w:hAnsi="Times New Roman"/>
          <w:color w:val="FF0000"/>
        </w:rPr>
        <w:t xml:space="preserve">we </w:t>
      </w:r>
      <w:r w:rsidR="00F43569" w:rsidRPr="00C93347">
        <w:rPr>
          <w:rFonts w:ascii="Times New Roman" w:hAnsi="Times New Roman"/>
          <w:color w:val="FF0000"/>
        </w:rPr>
        <w:t xml:space="preserve">conducted </w:t>
      </w:r>
      <w:r w:rsidR="003C7E35" w:rsidRPr="00C93347">
        <w:rPr>
          <w:rFonts w:ascii="Times New Roman" w:hAnsi="Times New Roman"/>
          <w:color w:val="FF0000"/>
        </w:rPr>
        <w:t xml:space="preserve">analyses </w:t>
      </w:r>
      <w:r w:rsidR="00F43569" w:rsidRPr="00C93347">
        <w:rPr>
          <w:rFonts w:ascii="Times New Roman" w:hAnsi="Times New Roman"/>
          <w:color w:val="FF0000"/>
        </w:rPr>
        <w:t xml:space="preserve">that demonstrated a small </w:t>
      </w:r>
      <w:r w:rsidR="003C7E35" w:rsidRPr="00C93347">
        <w:rPr>
          <w:rFonts w:ascii="Times New Roman" w:hAnsi="Times New Roman"/>
          <w:color w:val="FF0000"/>
        </w:rPr>
        <w:t>impact</w:t>
      </w:r>
      <w:r w:rsidR="00F43569" w:rsidRPr="00C93347">
        <w:rPr>
          <w:rFonts w:ascii="Times New Roman" w:hAnsi="Times New Roman"/>
          <w:color w:val="FF0000"/>
        </w:rPr>
        <w:t xml:space="preserve"> </w:t>
      </w:r>
      <w:r w:rsidR="00DB75DE" w:rsidRPr="00C93347">
        <w:rPr>
          <w:rFonts w:ascii="Times New Roman" w:hAnsi="Times New Roman"/>
          <w:color w:val="FF0000"/>
        </w:rPr>
        <w:t xml:space="preserve">on </w:t>
      </w:r>
      <w:r w:rsidR="00F43569" w:rsidRPr="00C93347">
        <w:rPr>
          <w:rFonts w:ascii="Times New Roman" w:hAnsi="Times New Roman"/>
          <w:color w:val="FF0000"/>
        </w:rPr>
        <w:t>measure score</w:t>
      </w:r>
      <w:r w:rsidR="00DB75DE" w:rsidRPr="00C93347">
        <w:rPr>
          <w:rFonts w:ascii="Times New Roman" w:hAnsi="Times New Roman"/>
          <w:color w:val="FF0000"/>
        </w:rPr>
        <w:t>s from SRF</w:t>
      </w:r>
      <w:r w:rsidR="00F43569" w:rsidRPr="00C93347">
        <w:rPr>
          <w:rFonts w:ascii="Times New Roman" w:hAnsi="Times New Roman"/>
          <w:color w:val="FF0000"/>
        </w:rPr>
        <w:t xml:space="preserve"> inclusion and that the effect may </w:t>
      </w:r>
      <w:proofErr w:type="gramStart"/>
      <w:r w:rsidR="00772163" w:rsidRPr="00C93347">
        <w:rPr>
          <w:rFonts w:ascii="Times New Roman" w:hAnsi="Times New Roman"/>
          <w:color w:val="FF0000"/>
        </w:rPr>
        <w:t>be</w:t>
      </w:r>
      <w:r w:rsidR="00DB75DE" w:rsidRPr="00C93347">
        <w:rPr>
          <w:rFonts w:ascii="Times New Roman" w:hAnsi="Times New Roman"/>
          <w:color w:val="FF0000"/>
        </w:rPr>
        <w:t xml:space="preserve"> </w:t>
      </w:r>
      <w:r w:rsidR="00772163" w:rsidRPr="00C93347">
        <w:rPr>
          <w:rFonts w:ascii="Times New Roman" w:hAnsi="Times New Roman"/>
          <w:color w:val="FF0000"/>
        </w:rPr>
        <w:t xml:space="preserve"> captur</w:t>
      </w:r>
      <w:r w:rsidR="00DB75DE" w:rsidRPr="00C93347">
        <w:rPr>
          <w:rFonts w:ascii="Times New Roman" w:hAnsi="Times New Roman"/>
          <w:color w:val="FF0000"/>
        </w:rPr>
        <w:t>ing</w:t>
      </w:r>
      <w:proofErr w:type="gramEnd"/>
      <w:r w:rsidR="00DB75DE" w:rsidRPr="00C93347">
        <w:rPr>
          <w:rFonts w:ascii="Times New Roman" w:hAnsi="Times New Roman"/>
          <w:color w:val="FF0000"/>
        </w:rPr>
        <w:t xml:space="preserve"> </w:t>
      </w:r>
      <w:r w:rsidR="00772163" w:rsidRPr="00C93347">
        <w:rPr>
          <w:rFonts w:ascii="Times New Roman" w:hAnsi="Times New Roman"/>
          <w:color w:val="FF0000"/>
        </w:rPr>
        <w:t xml:space="preserve">patient level variation </w:t>
      </w:r>
      <w:r w:rsidR="00772163" w:rsidRPr="006739ED">
        <w:rPr>
          <w:rFonts w:ascii="Times New Roman" w:hAnsi="Times New Roman"/>
          <w:color w:val="FF0000"/>
        </w:rPr>
        <w:t>and</w:t>
      </w:r>
      <w:r w:rsidR="00772163" w:rsidRPr="00C93347">
        <w:rPr>
          <w:rFonts w:ascii="Times New Roman" w:hAnsi="Times New Roman"/>
          <w:color w:val="FF0000"/>
        </w:rPr>
        <w:t xml:space="preserve"> provider level variation. </w:t>
      </w:r>
      <w:r w:rsidR="007A471A" w:rsidRPr="00C93347">
        <w:rPr>
          <w:rFonts w:ascii="Times New Roman" w:hAnsi="Times New Roman"/>
          <w:color w:val="FF0000"/>
        </w:rPr>
        <w:t xml:space="preserve">Indeed, while acknowledging the “small effect” of SRF on the MSPB Hospital measure, </w:t>
      </w:r>
      <w:r w:rsidR="00DB75DE" w:rsidRPr="00C93347">
        <w:rPr>
          <w:rFonts w:ascii="Times New Roman" w:hAnsi="Times New Roman"/>
          <w:color w:val="FF0000"/>
        </w:rPr>
        <w:t>the</w:t>
      </w:r>
      <w:r w:rsidR="003C7E35" w:rsidRPr="00C93347">
        <w:rPr>
          <w:rFonts w:ascii="Times New Roman" w:hAnsi="Times New Roman"/>
          <w:color w:val="FF0000"/>
        </w:rPr>
        <w:t xml:space="preserve"> NQF “generally agree[d] the risk-adjustment method used in these measures met the NQF criteria given the data available to the developer and the measure testing results presented”, </w:t>
      </w:r>
      <w:r w:rsidR="00DB75DE" w:rsidRPr="00C93347">
        <w:rPr>
          <w:rFonts w:ascii="Times New Roman" w:hAnsi="Times New Roman"/>
          <w:color w:val="FF0000"/>
        </w:rPr>
        <w:t xml:space="preserve"> </w:t>
      </w:r>
      <w:r w:rsidR="003C7E35" w:rsidRPr="00C93347">
        <w:rPr>
          <w:rFonts w:ascii="Times New Roman" w:hAnsi="Times New Roman"/>
          <w:color w:val="FF0000"/>
        </w:rPr>
        <w:t>“strongly urged the developer to continue testing additional variables within the risk-adjustment approach”, and noted a preference for community-level SDS factors when individual factors are difficult to capture.</w:t>
      </w:r>
      <w:r w:rsidR="003C7E35" w:rsidRPr="00C93347">
        <w:rPr>
          <w:rFonts w:ascii="Times New Roman" w:hAnsi="Times New Roman"/>
          <w:color w:val="FF0000"/>
          <w:vertAlign w:val="superscript"/>
        </w:rPr>
        <w:fldChar w:fldCharType="begin"/>
      </w:r>
      <w:r w:rsidR="003C7E35" w:rsidRPr="00C93347">
        <w:rPr>
          <w:rFonts w:ascii="Times New Roman" w:hAnsi="Times New Roman"/>
          <w:color w:val="FF0000"/>
          <w:vertAlign w:val="superscript"/>
        </w:rPr>
        <w:instrText xml:space="preserve"> NOTEREF _Ref20817723 \h  \* MERGEFORMAT </w:instrText>
      </w:r>
      <w:r w:rsidR="003C7E35" w:rsidRPr="00C93347">
        <w:rPr>
          <w:rFonts w:ascii="Times New Roman" w:hAnsi="Times New Roman"/>
          <w:color w:val="FF0000"/>
          <w:vertAlign w:val="superscript"/>
        </w:rPr>
      </w:r>
      <w:r w:rsidR="003C7E35" w:rsidRPr="00C93347">
        <w:rPr>
          <w:rFonts w:ascii="Times New Roman" w:hAnsi="Times New Roman"/>
          <w:color w:val="FF0000"/>
          <w:vertAlign w:val="superscript"/>
        </w:rPr>
        <w:fldChar w:fldCharType="separate"/>
      </w:r>
      <w:r w:rsidR="003C7E35" w:rsidRPr="00C93347">
        <w:rPr>
          <w:rFonts w:ascii="Times New Roman" w:hAnsi="Times New Roman"/>
          <w:color w:val="FF0000"/>
          <w:vertAlign w:val="superscript"/>
        </w:rPr>
        <w:t>7</w:t>
      </w:r>
      <w:r w:rsidR="003C7E35" w:rsidRPr="00C93347">
        <w:rPr>
          <w:rFonts w:ascii="Times New Roman" w:hAnsi="Times New Roman"/>
          <w:color w:val="FF0000"/>
        </w:rPr>
        <w:fldChar w:fldCharType="end"/>
      </w:r>
      <w:r w:rsidR="003C7E35" w:rsidRPr="00C93347">
        <w:rPr>
          <w:rFonts w:ascii="Times New Roman" w:hAnsi="Times New Roman"/>
          <w:color w:val="FF0000"/>
        </w:rPr>
        <w:t xml:space="preserve"> </w:t>
      </w:r>
      <w:r w:rsidR="007A471A" w:rsidRPr="00C93347">
        <w:rPr>
          <w:rFonts w:ascii="Times New Roman" w:hAnsi="Times New Roman"/>
          <w:color w:val="FF0000"/>
        </w:rPr>
        <w:t xml:space="preserve"> Further, NQF’s Risk Adjustment Expert Panel classified the MSPB Hospital measure as having a “Conceptual Relationship &amp; Basis for Conceptual Relationship” with, and “Significant Association” to, social risk factors.</w:t>
      </w:r>
      <w:r w:rsidR="007A471A" w:rsidRPr="00C93347">
        <w:rPr>
          <w:rFonts w:ascii="Times New Roman" w:hAnsi="Times New Roman"/>
          <w:color w:val="FF0000"/>
          <w:vertAlign w:val="superscript"/>
        </w:rPr>
        <w:t xml:space="preserve"> </w:t>
      </w:r>
      <w:r w:rsidR="007A471A" w:rsidRPr="00C93347">
        <w:rPr>
          <w:rFonts w:ascii="Times New Roman" w:hAnsi="Times New Roman"/>
          <w:color w:val="FF0000"/>
          <w:vertAlign w:val="superscript"/>
        </w:rPr>
        <w:footnoteReference w:id="39"/>
      </w:r>
    </w:p>
    <w:p w14:paraId="39B758D1" w14:textId="77777777" w:rsidR="00197BF0" w:rsidRPr="00C93347" w:rsidRDefault="00197BF0" w:rsidP="00197BF0">
      <w:pPr>
        <w:pStyle w:val="NoSpacing"/>
        <w:rPr>
          <w:rFonts w:ascii="Times New Roman" w:hAnsi="Times New Roman"/>
          <w:color w:val="FF0000"/>
          <w:vertAlign w:val="superscript"/>
        </w:rPr>
      </w:pPr>
    </w:p>
    <w:p w14:paraId="27510D89" w14:textId="49D71694" w:rsidR="00197317" w:rsidRPr="00C93347" w:rsidRDefault="00197317" w:rsidP="00197BF0">
      <w:pPr>
        <w:pStyle w:val="NoSpacing"/>
        <w:rPr>
          <w:rFonts w:ascii="Times New Roman" w:hAnsi="Times New Roman"/>
          <w:color w:val="FF0000"/>
        </w:rPr>
      </w:pPr>
      <w:r w:rsidRPr="00C93347">
        <w:rPr>
          <w:rFonts w:ascii="Times New Roman" w:hAnsi="Times New Roman"/>
          <w:color w:val="FF0000"/>
        </w:rPr>
        <w:t xml:space="preserve">Given the conceptual relationship between these social risk factors and resource use, we </w:t>
      </w:r>
      <w:r w:rsidR="00772163" w:rsidRPr="00C93347">
        <w:rPr>
          <w:rFonts w:ascii="Times New Roman" w:hAnsi="Times New Roman"/>
          <w:color w:val="FF0000"/>
        </w:rPr>
        <w:t xml:space="preserve">continued our testing of social risk factors by </w:t>
      </w:r>
      <w:r w:rsidRPr="00C93347">
        <w:rPr>
          <w:rFonts w:ascii="Times New Roman" w:hAnsi="Times New Roman"/>
          <w:color w:val="FF0000"/>
        </w:rPr>
        <w:t>analyz</w:t>
      </w:r>
      <w:r w:rsidR="00772163" w:rsidRPr="00C93347">
        <w:rPr>
          <w:rFonts w:ascii="Times New Roman" w:hAnsi="Times New Roman"/>
          <w:color w:val="FF0000"/>
        </w:rPr>
        <w:t>ing</w:t>
      </w:r>
      <w:r w:rsidRPr="00C93347">
        <w:rPr>
          <w:rFonts w:ascii="Times New Roman" w:hAnsi="Times New Roman"/>
          <w:color w:val="FF0000"/>
        </w:rPr>
        <w:t xml:space="preserve"> the impact of the following beneficiary-level and Census-Block Group-level social risk factors: income, education, employment, race, sex,</w:t>
      </w:r>
      <w:r w:rsidR="008D3925" w:rsidRPr="00C93347">
        <w:rPr>
          <w:rFonts w:ascii="Times New Roman" w:hAnsi="Times New Roman"/>
          <w:color w:val="FF0000"/>
        </w:rPr>
        <w:t xml:space="preserve"> </w:t>
      </w:r>
      <w:r w:rsidRPr="00C93347">
        <w:rPr>
          <w:rFonts w:ascii="Times New Roman" w:hAnsi="Times New Roman"/>
          <w:color w:val="FF0000"/>
        </w:rPr>
        <w:t>dual status</w:t>
      </w:r>
      <w:r w:rsidR="008D3925" w:rsidRPr="00C93347">
        <w:rPr>
          <w:rFonts w:ascii="Times New Roman" w:hAnsi="Times New Roman"/>
          <w:color w:val="FF0000"/>
        </w:rPr>
        <w:t xml:space="preserve">, </w:t>
      </w:r>
      <w:r w:rsidR="0014007D" w:rsidRPr="00C93347">
        <w:rPr>
          <w:rFonts w:ascii="Times New Roman" w:hAnsi="Times New Roman"/>
          <w:color w:val="FF0000"/>
        </w:rPr>
        <w:t xml:space="preserve">ADI, </w:t>
      </w:r>
      <w:r w:rsidR="008D3925" w:rsidRPr="00C93347">
        <w:rPr>
          <w:rFonts w:ascii="Times New Roman" w:hAnsi="Times New Roman"/>
          <w:color w:val="FF0000"/>
        </w:rPr>
        <w:t>and AHRQ Index</w:t>
      </w:r>
      <w:r w:rsidRPr="00C93347">
        <w:rPr>
          <w:rFonts w:ascii="Times New Roman" w:hAnsi="Times New Roman"/>
          <w:color w:val="FF0000"/>
        </w:rPr>
        <w:t>. These factors are also listed in Section 1.8.</w:t>
      </w:r>
    </w:p>
    <w:p w14:paraId="5B89FEA3" w14:textId="77777777" w:rsidR="00197BF0" w:rsidRPr="00C93347" w:rsidRDefault="00197BF0" w:rsidP="00197BF0">
      <w:pPr>
        <w:pStyle w:val="NoSpacing"/>
        <w:rPr>
          <w:rFonts w:ascii="Times New Roman" w:hAnsi="Times New Roman"/>
          <w:color w:val="FF0000"/>
        </w:rPr>
      </w:pPr>
    </w:p>
    <w:p w14:paraId="2103A0CD" w14:textId="57FA8902" w:rsidR="007E0387" w:rsidRPr="00C93347" w:rsidRDefault="007E0387" w:rsidP="00197BF0">
      <w:pPr>
        <w:pStyle w:val="NoSpacing"/>
        <w:rPr>
          <w:rFonts w:ascii="Times New Roman" w:hAnsi="Times New Roman"/>
          <w:color w:val="FF0000"/>
        </w:rPr>
      </w:pPr>
      <w:r w:rsidRPr="00C93347">
        <w:rPr>
          <w:rFonts w:ascii="Times New Roman" w:hAnsi="Times New Roman"/>
          <w:color w:val="FF0000"/>
        </w:rPr>
        <w:t xml:space="preserve">We used the CMS Enrollment Database (EDB), and Common Medicare Environment (CME) to determine dual eligibility, race, and </w:t>
      </w:r>
      <w:r w:rsidR="00D05A56" w:rsidRPr="00C93347">
        <w:rPr>
          <w:rFonts w:ascii="Times New Roman" w:hAnsi="Times New Roman"/>
          <w:color w:val="FF0000"/>
        </w:rPr>
        <w:t>sex</w:t>
      </w:r>
      <w:r w:rsidRPr="00C93347">
        <w:rPr>
          <w:rFonts w:ascii="Times New Roman" w:hAnsi="Times New Roman"/>
          <w:color w:val="FF0000"/>
        </w:rPr>
        <w:t>. Socioeconomic status was determined by two approaches: a) using income, education and employment status as categorical dependents and b) using Agency of Healthcare Research and Quality (AHRQ) SES Index as a continuous dependent. Both approaches used data from the 2017 American Community Survey (5-year file)</w:t>
      </w:r>
      <w:r w:rsidR="001F39D9" w:rsidRPr="00C93347">
        <w:rPr>
          <w:rFonts w:ascii="Times New Roman" w:hAnsi="Times New Roman"/>
          <w:color w:val="FF0000"/>
        </w:rPr>
        <w:t xml:space="preserve"> by linking episodes to census block groups, and ZIP code when census block group is missing. </w:t>
      </w:r>
      <w:r w:rsidR="00A712BD" w:rsidRPr="00C93347">
        <w:rPr>
          <w:rFonts w:ascii="Times New Roman" w:hAnsi="Times New Roman"/>
          <w:color w:val="FF0000"/>
        </w:rPr>
        <w:t xml:space="preserve">We used ADI percentile ranks to identify block groups/neighborhoods in the highest quintile of “disadvantage”.  </w:t>
      </w:r>
    </w:p>
    <w:p w14:paraId="4166EABE" w14:textId="77777777" w:rsidR="00197BF0" w:rsidRPr="00197BF0" w:rsidRDefault="00197BF0" w:rsidP="00197BF0">
      <w:pPr>
        <w:pStyle w:val="NoSpacing"/>
        <w:rPr>
          <w:color w:val="FF0000"/>
        </w:rPr>
      </w:pPr>
    </w:p>
    <w:p w14:paraId="4F2C4F48" w14:textId="3028FC5A" w:rsidR="00197317" w:rsidRPr="00C93347" w:rsidRDefault="00197317" w:rsidP="00197BF0">
      <w:pPr>
        <w:pStyle w:val="NoSpacing"/>
        <w:rPr>
          <w:rFonts w:ascii="Times New Roman" w:hAnsi="Times New Roman"/>
          <w:color w:val="FF0000"/>
        </w:rPr>
      </w:pPr>
      <w:r w:rsidRPr="00C93347">
        <w:rPr>
          <w:rFonts w:ascii="Times New Roman" w:hAnsi="Times New Roman"/>
          <w:color w:val="FF0000"/>
        </w:rPr>
        <w:t xml:space="preserve">Social risk factors were examined relative to the base model set of risk adjustment variables from the CMS-HCC V22 2016 model, disability status, ESRD status, interaction variables, and recent long-term care use, and in a step-wise fashion to determine the potential value of each social risk factor considered. </w:t>
      </w:r>
      <w:r w:rsidR="00DB75DE" w:rsidRPr="00C93347">
        <w:rPr>
          <w:rFonts w:ascii="Times New Roman" w:hAnsi="Times New Roman"/>
          <w:color w:val="FF0000"/>
        </w:rPr>
        <w:t xml:space="preserve">Section 2b3.4b presents results on SRF testing. </w:t>
      </w:r>
    </w:p>
    <w:p w14:paraId="4260792A" w14:textId="019483A8" w:rsidR="00275563" w:rsidRPr="007B0444" w:rsidRDefault="00275563" w:rsidP="00001D73">
      <w:pPr>
        <w:autoSpaceDE w:val="0"/>
        <w:autoSpaceDN w:val="0"/>
        <w:adjustRightInd w:val="0"/>
        <w:spacing w:after="0" w:line="240" w:lineRule="auto"/>
        <w:rPr>
          <w:rFonts w:cstheme="minorHAnsi"/>
          <w:b/>
          <w:bCs/>
        </w:rPr>
      </w:pPr>
      <w:r w:rsidRPr="007B0444">
        <w:rPr>
          <w:rFonts w:cstheme="minorHAnsi"/>
          <w:b/>
          <w:bCs/>
        </w:rPr>
        <w:t xml:space="preserve">2b3.3b. </w:t>
      </w:r>
      <w:proofErr w:type="gramStart"/>
      <w:r w:rsidRPr="007B0444">
        <w:rPr>
          <w:rFonts w:cstheme="minorHAnsi"/>
          <w:b/>
          <w:bCs/>
        </w:rPr>
        <w:t>How</w:t>
      </w:r>
      <w:proofErr w:type="gramEnd"/>
      <w:r w:rsidRPr="007B0444">
        <w:rPr>
          <w:rFonts w:cstheme="minorHAnsi"/>
          <w:b/>
          <w:bCs/>
        </w:rPr>
        <w:t xml:space="preserve"> was the conceptual model </w:t>
      </w:r>
      <w:r w:rsidR="00CE284E" w:rsidRPr="007B0444">
        <w:rPr>
          <w:rFonts w:cstheme="minorHAnsi"/>
          <w:b/>
          <w:bCs/>
        </w:rPr>
        <w:t xml:space="preserve">of how social risk impacts this outcome </w:t>
      </w:r>
      <w:r w:rsidRPr="007B0444">
        <w:rPr>
          <w:rFonts w:cstheme="minorHAnsi"/>
          <w:b/>
          <w:bCs/>
        </w:rPr>
        <w:t>developed?  Please check all that apply:</w:t>
      </w:r>
    </w:p>
    <w:p w14:paraId="2B47DA83" w14:textId="040833B0" w:rsidR="00275563" w:rsidRPr="007B0444" w:rsidRDefault="003759A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8A515A" w:rsidRPr="007B0444">
            <w:rPr>
              <w:rFonts w:ascii="MS Gothic" w:eastAsia="MS Gothic" w:hAnsi="MS Gothic" w:cstheme="minorHAnsi" w:hint="eastAsia"/>
              <w:bCs/>
              <w:color w:val="0000FF"/>
            </w:rPr>
            <w:t>☒</w:t>
          </w:r>
        </w:sdtContent>
      </w:sdt>
      <w:r w:rsidR="00275563" w:rsidRPr="007B0444">
        <w:rPr>
          <w:rFonts w:eastAsia="MS Mincho" w:cstheme="minorHAnsi"/>
          <w:b/>
          <w:bCs/>
          <w:color w:val="0000FF"/>
        </w:rPr>
        <w:t xml:space="preserve"> </w:t>
      </w:r>
      <w:r w:rsidR="00CE284E" w:rsidRPr="007B0444">
        <w:rPr>
          <w:rFonts w:cstheme="minorHAnsi"/>
          <w:b/>
          <w:bCs/>
        </w:rPr>
        <w:t>Published l</w:t>
      </w:r>
      <w:r w:rsidR="00275563" w:rsidRPr="007B0444">
        <w:rPr>
          <w:rFonts w:cstheme="minorHAnsi"/>
          <w:b/>
          <w:bCs/>
        </w:rPr>
        <w:t>iterature</w:t>
      </w:r>
    </w:p>
    <w:p w14:paraId="7E969A3E" w14:textId="30F003C7" w:rsidR="00275563" w:rsidRPr="007B0444" w:rsidRDefault="003759A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8A515A" w:rsidRPr="007B0444">
            <w:rPr>
              <w:rFonts w:ascii="MS Gothic" w:eastAsia="MS Gothic" w:hAnsi="MS Gothic" w:cstheme="minorHAnsi" w:hint="eastAsia"/>
              <w:bCs/>
              <w:color w:val="0000FF"/>
            </w:rPr>
            <w:t>☒</w:t>
          </w:r>
        </w:sdtContent>
      </w:sdt>
      <w:r w:rsidR="00275563" w:rsidRPr="007B0444">
        <w:rPr>
          <w:rFonts w:cstheme="minorHAnsi"/>
          <w:bCs/>
          <w:color w:val="0000FF"/>
        </w:rPr>
        <w:t xml:space="preserve"> </w:t>
      </w:r>
      <w:r w:rsidR="00CE284E" w:rsidRPr="007B0444">
        <w:rPr>
          <w:rFonts w:cstheme="minorHAnsi"/>
          <w:b/>
          <w:bCs/>
        </w:rPr>
        <w:t>Internal d</w:t>
      </w:r>
      <w:r w:rsidR="00275563" w:rsidRPr="007B0444">
        <w:rPr>
          <w:rFonts w:cstheme="minorHAnsi"/>
          <w:b/>
          <w:bCs/>
        </w:rPr>
        <w:t>ata</w:t>
      </w:r>
      <w:r w:rsidR="00CE284E" w:rsidRPr="007B0444">
        <w:rPr>
          <w:rFonts w:cstheme="minorHAnsi"/>
          <w:b/>
          <w:bCs/>
        </w:rPr>
        <w:t xml:space="preserve"> analysis</w:t>
      </w:r>
    </w:p>
    <w:p w14:paraId="72A847BD" w14:textId="5BADCD2C" w:rsidR="00275563" w:rsidRPr="007B0444" w:rsidRDefault="003759AE"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7B0444">
            <w:rPr>
              <w:rFonts w:ascii="MS Gothic" w:eastAsia="MS Gothic" w:cstheme="minorHAnsi" w:hint="eastAsia"/>
              <w:bCs/>
              <w:color w:val="0000FF"/>
            </w:rPr>
            <w:t>☐</w:t>
          </w:r>
        </w:sdtContent>
      </w:sdt>
      <w:r w:rsidR="00275563" w:rsidRPr="007B0444">
        <w:rPr>
          <w:rFonts w:eastAsia="MS Mincho" w:cstheme="minorHAnsi"/>
          <w:b/>
          <w:bCs/>
          <w:color w:val="0000FF"/>
        </w:rPr>
        <w:t xml:space="preserve"> </w:t>
      </w:r>
      <w:r w:rsidR="00275563" w:rsidRPr="007B0444">
        <w:rPr>
          <w:rFonts w:cstheme="minorHAnsi"/>
          <w:b/>
          <w:bCs/>
        </w:rPr>
        <w:t>Other (please describe)</w:t>
      </w:r>
    </w:p>
    <w:p w14:paraId="7C5644B4" w14:textId="77777777" w:rsidR="00275563" w:rsidRPr="007B0444" w:rsidRDefault="00275563" w:rsidP="00001D73">
      <w:pPr>
        <w:autoSpaceDE w:val="0"/>
        <w:autoSpaceDN w:val="0"/>
        <w:adjustRightInd w:val="0"/>
        <w:spacing w:after="0" w:line="240" w:lineRule="auto"/>
        <w:rPr>
          <w:rFonts w:cstheme="minorHAnsi"/>
          <w:b/>
          <w:bCs/>
        </w:rPr>
      </w:pPr>
    </w:p>
    <w:p w14:paraId="19C5C330" w14:textId="77777777" w:rsidR="00DE0588" w:rsidRPr="007B0444" w:rsidRDefault="009C7513" w:rsidP="00001D73">
      <w:pPr>
        <w:autoSpaceDE w:val="0"/>
        <w:autoSpaceDN w:val="0"/>
        <w:adjustRightInd w:val="0"/>
        <w:spacing w:after="0" w:line="240" w:lineRule="auto"/>
        <w:rPr>
          <w:rFonts w:cstheme="minorHAnsi"/>
          <w:b/>
          <w:bCs/>
        </w:rPr>
      </w:pPr>
      <w:r w:rsidRPr="007B0444">
        <w:rPr>
          <w:rFonts w:cstheme="minorHAnsi"/>
          <w:b/>
          <w:bCs/>
        </w:rPr>
        <w:t>2b3</w:t>
      </w:r>
      <w:r w:rsidR="00092566" w:rsidRPr="007B0444">
        <w:rPr>
          <w:rFonts w:cstheme="minorHAnsi"/>
          <w:b/>
          <w:bCs/>
        </w:rPr>
        <w:t>.4</w:t>
      </w:r>
      <w:r w:rsidR="00193F21" w:rsidRPr="007B0444">
        <w:rPr>
          <w:rFonts w:cstheme="minorHAnsi"/>
          <w:b/>
          <w:bCs/>
        </w:rPr>
        <w:t>a</w:t>
      </w:r>
      <w:r w:rsidR="00092566" w:rsidRPr="007B0444">
        <w:rPr>
          <w:rFonts w:cstheme="minorHAnsi"/>
          <w:b/>
          <w:bCs/>
        </w:rPr>
        <w:t xml:space="preserve">. </w:t>
      </w:r>
      <w:proofErr w:type="gramStart"/>
      <w:r w:rsidR="00092566" w:rsidRPr="007B0444">
        <w:rPr>
          <w:rFonts w:cstheme="minorHAnsi"/>
          <w:b/>
          <w:bCs/>
        </w:rPr>
        <w:t>What</w:t>
      </w:r>
      <w:proofErr w:type="gramEnd"/>
      <w:r w:rsidR="00092566" w:rsidRPr="007B0444">
        <w:rPr>
          <w:rFonts w:cstheme="minorHAnsi"/>
          <w:b/>
          <w:bCs/>
        </w:rPr>
        <w:t xml:space="preserve"> were the statistical results of the analyses used to select risk factors?</w:t>
      </w:r>
    </w:p>
    <w:p w14:paraId="287FA6C3" w14:textId="42617C7A" w:rsidR="00D12E9C" w:rsidRPr="00C93347" w:rsidRDefault="00D12E9C" w:rsidP="00B7577D">
      <w:pPr>
        <w:pStyle w:val="NoSpacing"/>
        <w:rPr>
          <w:rFonts w:ascii="Times New Roman" w:hAnsi="Times New Roman"/>
          <w:color w:val="FF0000"/>
        </w:rPr>
      </w:pPr>
      <w:r w:rsidRPr="00C93347">
        <w:rPr>
          <w:rFonts w:ascii="Times New Roman" w:hAnsi="Times New Roman"/>
          <w:color w:val="FF0000"/>
        </w:rPr>
        <w:t>The literature has extensively tested the use of the HCC model as applied to Medicare claims data. Although the variables in the HCC model were chosen to predict annual cost, CMS has also used this risk adjustment model in a number of other settings (e.g., ACOs, previous physician QRUR programs). Recalling that the risk model relies on the existing CMS-HCC model, testing results for factors included in the CMS-HCC V22 2016 model can be found in the Pope et al (2011) report and the December 2018 CMS Report to Congress on risk adjustment in Medicare Advantage.</w:t>
      </w:r>
      <w:r w:rsidR="00B7577D" w:rsidRPr="00C93347">
        <w:rPr>
          <w:rFonts w:ascii="Times New Roman" w:hAnsi="Times New Roman"/>
          <w:color w:val="FF0000"/>
        </w:rPr>
        <w:t xml:space="preserve"> </w:t>
      </w:r>
      <w:r w:rsidR="00B7577D" w:rsidRPr="00C93347">
        <w:rPr>
          <w:rFonts w:ascii="Times New Roman" w:hAnsi="Times New Roman"/>
          <w:color w:val="FF0000"/>
          <w:vertAlign w:val="superscript"/>
        </w:rPr>
        <w:fldChar w:fldCharType="begin"/>
      </w:r>
      <w:r w:rsidR="00B7577D" w:rsidRPr="00C93347">
        <w:rPr>
          <w:rFonts w:ascii="Times New Roman" w:hAnsi="Times New Roman"/>
          <w:color w:val="FF0000"/>
          <w:vertAlign w:val="superscript"/>
        </w:rPr>
        <w:instrText xml:space="preserve"> NOTEREF _Ref44511601 \h  \* MERGEFORMAT </w:instrText>
      </w:r>
      <w:r w:rsidR="00B7577D" w:rsidRPr="00C93347">
        <w:rPr>
          <w:rFonts w:ascii="Times New Roman" w:hAnsi="Times New Roman"/>
          <w:color w:val="FF0000"/>
          <w:vertAlign w:val="superscript"/>
        </w:rPr>
      </w:r>
      <w:r w:rsidR="00B7577D" w:rsidRPr="00C93347">
        <w:rPr>
          <w:rFonts w:ascii="Times New Roman" w:hAnsi="Times New Roman"/>
          <w:color w:val="FF0000"/>
          <w:vertAlign w:val="superscript"/>
        </w:rPr>
        <w:fldChar w:fldCharType="separate"/>
      </w:r>
      <w:r w:rsidR="00B7577D" w:rsidRPr="00C93347">
        <w:rPr>
          <w:rFonts w:ascii="Times New Roman" w:hAnsi="Times New Roman"/>
          <w:color w:val="FF0000"/>
          <w:vertAlign w:val="superscript"/>
        </w:rPr>
        <w:t>33</w:t>
      </w:r>
      <w:r w:rsidR="00B7577D" w:rsidRPr="00C93347">
        <w:rPr>
          <w:rFonts w:ascii="Times New Roman" w:hAnsi="Times New Roman"/>
          <w:color w:val="FF0000"/>
          <w:vertAlign w:val="superscript"/>
        </w:rPr>
        <w:fldChar w:fldCharType="end"/>
      </w:r>
      <w:r w:rsidRPr="00C93347">
        <w:rPr>
          <w:rFonts w:ascii="Times New Roman" w:hAnsi="Times New Roman"/>
          <w:color w:val="FF0000"/>
          <w:vertAlign w:val="superscript"/>
        </w:rPr>
        <w:t>,</w:t>
      </w:r>
      <w:r w:rsidRPr="00C93347">
        <w:rPr>
          <w:rStyle w:val="FootnoteReference"/>
          <w:rFonts w:ascii="Times New Roman" w:hAnsi="Times New Roman"/>
          <w:color w:val="FF0000"/>
        </w:rPr>
        <w:footnoteReference w:id="40"/>
      </w:r>
      <w:r w:rsidRPr="00C93347">
        <w:rPr>
          <w:rFonts w:ascii="Times New Roman" w:hAnsi="Times New Roman"/>
          <w:color w:val="FF0000"/>
        </w:rPr>
        <w:t xml:space="preserve"> </w:t>
      </w:r>
    </w:p>
    <w:p w14:paraId="6D3D665A" w14:textId="77777777" w:rsidR="00197BF0" w:rsidRPr="00C93347" w:rsidRDefault="00197BF0" w:rsidP="00B7577D">
      <w:pPr>
        <w:pStyle w:val="NoSpacing"/>
        <w:rPr>
          <w:rFonts w:ascii="Times New Roman" w:hAnsi="Times New Roman"/>
          <w:color w:val="FF0000"/>
        </w:rPr>
      </w:pPr>
    </w:p>
    <w:p w14:paraId="323AEDE9" w14:textId="0ADF20D4" w:rsidR="00DE0588" w:rsidRPr="00C93347" w:rsidRDefault="00912004" w:rsidP="00B7577D">
      <w:pPr>
        <w:pStyle w:val="NoSpacing"/>
        <w:rPr>
          <w:rFonts w:ascii="Times New Roman" w:hAnsi="Times New Roman"/>
          <w:b/>
          <w:color w:val="FF0000"/>
        </w:rPr>
      </w:pPr>
      <w:r w:rsidRPr="00C93347">
        <w:rPr>
          <w:rFonts w:ascii="Times New Roman" w:hAnsi="Times New Roman"/>
          <w:color w:val="FF0000"/>
        </w:rPr>
        <w:t xml:space="preserve">Appendix Table </w:t>
      </w:r>
      <w:r w:rsidR="00EF1EAB" w:rsidRPr="00C93347">
        <w:rPr>
          <w:rFonts w:ascii="Times New Roman" w:hAnsi="Times New Roman"/>
          <w:color w:val="FF0000"/>
        </w:rPr>
        <w:t>2b3.6.b</w:t>
      </w:r>
      <w:r w:rsidRPr="00C93347">
        <w:rPr>
          <w:rFonts w:ascii="Times New Roman" w:hAnsi="Times New Roman"/>
          <w:color w:val="FF0000"/>
        </w:rPr>
        <w:t xml:space="preserve"> includes regression coefficients and standard errors for each of the covariates used in the risk adjustment model</w:t>
      </w:r>
      <w:r w:rsidR="009555BC" w:rsidRPr="00C93347">
        <w:rPr>
          <w:rFonts w:ascii="Times New Roman" w:hAnsi="Times New Roman"/>
          <w:color w:val="FF0000"/>
        </w:rPr>
        <w:t xml:space="preserve"> on the measure’s specific population</w:t>
      </w:r>
      <w:r w:rsidR="002632E7" w:rsidRPr="00C93347">
        <w:rPr>
          <w:rFonts w:ascii="Times New Roman" w:hAnsi="Times New Roman"/>
          <w:color w:val="FF0000"/>
        </w:rPr>
        <w:t>.</w:t>
      </w:r>
      <w:r w:rsidR="002632E7" w:rsidRPr="00C93347">
        <w:rPr>
          <w:rFonts w:ascii="Times New Roman" w:hAnsi="Times New Roman"/>
          <w:b/>
          <w:color w:val="FF0000"/>
        </w:rPr>
        <w:t xml:space="preserve"> </w:t>
      </w:r>
    </w:p>
    <w:p w14:paraId="2CFB1652" w14:textId="74CA85C0" w:rsidR="00F0695E" w:rsidRDefault="00F0695E" w:rsidP="00B7577D">
      <w:pPr>
        <w:pStyle w:val="NoSpacing"/>
        <w:rPr>
          <w:rFonts w:ascii="Times New Roman" w:hAnsi="Times New Roman"/>
          <w:b/>
          <w:bCs/>
        </w:rPr>
      </w:pPr>
    </w:p>
    <w:p w14:paraId="1A6C102F" w14:textId="2938C92E" w:rsidR="00F0695E" w:rsidRPr="00197BF0" w:rsidRDefault="00F0695E" w:rsidP="00B7577D">
      <w:pPr>
        <w:pStyle w:val="NoSpacing"/>
        <w:rPr>
          <w:rFonts w:ascii="Times New Roman" w:hAnsi="Times New Roman"/>
          <w:b/>
        </w:rPr>
      </w:pPr>
      <w:r w:rsidRPr="00197BF0">
        <w:rPr>
          <w:rFonts w:ascii="Times New Roman" w:hAnsi="Times New Roman"/>
          <w:bCs/>
          <w:u w:val="single"/>
        </w:rPr>
        <w:t>Previous Response (2016):</w:t>
      </w:r>
      <w:r w:rsidR="00197BF0">
        <w:rPr>
          <w:rFonts w:ascii="Times New Roman" w:hAnsi="Times New Roman"/>
          <w:b/>
        </w:rPr>
        <w:t xml:space="preserve"> </w:t>
      </w:r>
      <w:r w:rsidRPr="00CD6B52">
        <w:t>The CMS-HCC model was selected based on previous studies evaluating its appropriateness for use in risk adjusting Medicare claims data.  This model was developed specifically for use in the Medicare population, meaning that it accounts for conditions found in the Medicare population and is calibrated on Medicare Fee-for-Service (FFS) beneficiaries.  In addition, the CMS-HCC model is annually updated for changes in coding practices (e.g., the transition from ICD-9 to ICD-10 codes) and is exhaustive on these code sets.  Because the CMS-HCC model has already been extensively tested, we focus on adapting the CMS-HCC model to the MSPB-Hospital measure methodology.</w:t>
      </w:r>
      <w:r w:rsidR="00B7577D" w:rsidRPr="00B7577D">
        <w:rPr>
          <w:rStyle w:val="FootnoteReference"/>
          <w:bCs/>
        </w:rPr>
        <w:fldChar w:fldCharType="begin"/>
      </w:r>
      <w:r w:rsidR="00B7577D" w:rsidRPr="00B7577D">
        <w:rPr>
          <w:vertAlign w:val="superscript"/>
        </w:rPr>
        <w:instrText xml:space="preserve"> NOTEREF _Ref44511601 \h </w:instrText>
      </w:r>
      <w:r w:rsidR="00B7577D" w:rsidRPr="00B7577D">
        <w:rPr>
          <w:rStyle w:val="FootnoteReference"/>
          <w:bCs/>
        </w:rPr>
        <w:instrText xml:space="preserve"> \* MERGEFORMAT </w:instrText>
      </w:r>
      <w:r w:rsidR="00B7577D" w:rsidRPr="00B7577D">
        <w:rPr>
          <w:rStyle w:val="FootnoteReference"/>
          <w:bCs/>
        </w:rPr>
      </w:r>
      <w:r w:rsidR="00B7577D" w:rsidRPr="00B7577D">
        <w:rPr>
          <w:rStyle w:val="FootnoteReference"/>
          <w:bCs/>
        </w:rPr>
        <w:fldChar w:fldCharType="separate"/>
      </w:r>
      <w:r w:rsidR="00B7577D" w:rsidRPr="00B7577D">
        <w:rPr>
          <w:vertAlign w:val="superscript"/>
        </w:rPr>
        <w:t>33</w:t>
      </w:r>
      <w:r w:rsidR="00B7577D" w:rsidRPr="00B7577D">
        <w:rPr>
          <w:rStyle w:val="FootnoteReference"/>
          <w:bCs/>
        </w:rPr>
        <w:fldChar w:fldCharType="end"/>
      </w:r>
      <w:r w:rsidRPr="00CD6B52">
        <w:t xml:space="preserve">  </w:t>
      </w:r>
    </w:p>
    <w:p w14:paraId="6644CF78" w14:textId="77777777" w:rsidR="006C3944" w:rsidRPr="00CD6B52" w:rsidRDefault="006C3944" w:rsidP="00197BF0">
      <w:pPr>
        <w:pStyle w:val="NoSpacing"/>
      </w:pPr>
    </w:p>
    <w:p w14:paraId="3EB599DD" w14:textId="2DD883CB" w:rsidR="00F0695E" w:rsidRPr="00CD6B52" w:rsidRDefault="00F0695E" w:rsidP="00197BF0">
      <w:pPr>
        <w:pStyle w:val="NoSpacing"/>
        <w:rPr>
          <w:rStyle w:val="paragraph"/>
        </w:rPr>
      </w:pPr>
      <w:r w:rsidRPr="00CD6B52">
        <w:t>A number of studies have shown that socioeconomic status is associated with the amount of resources used during the period in which patients are hospitalized as well as during post-acute care.  A larger proportion of low-income Medicare beneficiaries tended to use inpatient services in a given year compared to patients with higher incomes (25% and 17%, respectively).  Lower-income beneficiaries are also twice as likely to use home health services as Medicare beneficiaries earning higher incomes.</w:t>
      </w:r>
      <w:r w:rsidRPr="00CD6B52">
        <w:rPr>
          <w:rStyle w:val="FootnoteReference"/>
          <w:rFonts w:eastAsia="Times New Roman"/>
        </w:rPr>
        <w:footnoteReference w:id="41"/>
      </w:r>
      <w:r w:rsidRPr="00CD6B52">
        <w:t xml:space="preserve">  End-of-life care for Medicare beneficiaries who are Black or Hispanic is substantially different than the end-of-life hospital services that Medicare beneficiaries who are White receive.  Much of the variation in end-of-life care is due to differences in utilization levels among hospitalized patients.  Beneficiaries who are Black and who are Hispanic </w:t>
      </w:r>
      <w:r w:rsidRPr="00CD6B52">
        <w:rPr>
          <w:rStyle w:val="paragraph"/>
        </w:rPr>
        <w:t>are significantly more likely to be admitted to the ICU than beneficiaries who are White, and minorities also receive significantly more intensive procedures, such as resuscitation and cardiac convers, mechanical ventilation, and gastrostomy for artificial nutrition.</w:t>
      </w:r>
      <w:r w:rsidRPr="00CD6B52">
        <w:rPr>
          <w:rStyle w:val="FootnoteReference"/>
        </w:rPr>
        <w:footnoteReference w:id="42"/>
      </w:r>
      <w:r w:rsidRPr="00CD6B52">
        <w:rPr>
          <w:rStyle w:val="paragraph"/>
        </w:rPr>
        <w:t xml:space="preserve">  </w:t>
      </w:r>
    </w:p>
    <w:p w14:paraId="188819C9" w14:textId="77777777" w:rsidR="006C3944" w:rsidRPr="00CD6B52" w:rsidRDefault="006C3944" w:rsidP="00197BF0">
      <w:pPr>
        <w:pStyle w:val="NoSpacing"/>
        <w:rPr>
          <w:rStyle w:val="paragraph"/>
        </w:rPr>
      </w:pPr>
    </w:p>
    <w:p w14:paraId="57DC955D" w14:textId="78D82ECB" w:rsidR="00F0695E" w:rsidRPr="00CD6B52" w:rsidRDefault="00F0695E" w:rsidP="00197BF0">
      <w:pPr>
        <w:pStyle w:val="NoSpacing"/>
        <w:rPr>
          <w:rStyle w:val="paragraph"/>
        </w:rPr>
      </w:pPr>
      <w:r w:rsidRPr="00CD6B52">
        <w:rPr>
          <w:rStyle w:val="paragraph"/>
        </w:rPr>
        <w:lastRenderedPageBreak/>
        <w:t>According to a 2014 National Quality Forum report, the mechanisms underlying differences in resource use by socioeconomic status and race are complex and may be impacted by factors such as financial resources, community resources, historical and current discrimination, and reduced access to preventive services.  Provider assumptions or implicit biases may impact quality of care for beneficiaries of different races.  These factors may result in inefficient care, increased disease severity, or greater morbidity,</w:t>
      </w:r>
      <w:r w:rsidRPr="00CD6B52">
        <w:rPr>
          <w:rStyle w:val="FootnoteReference"/>
        </w:rPr>
        <w:footnoteReference w:id="43"/>
      </w:r>
      <w:r w:rsidRPr="00CD6B52">
        <w:rPr>
          <w:rStyle w:val="paragraph"/>
        </w:rPr>
        <w:t xml:space="preserve"> leading to higher Medicare spending for beneficiaries depending on socioeconomic status or race.</w:t>
      </w:r>
    </w:p>
    <w:p w14:paraId="1CE97DF5" w14:textId="77777777" w:rsidR="006C3944" w:rsidRPr="00CD6B52" w:rsidRDefault="006C3944" w:rsidP="00197BF0">
      <w:pPr>
        <w:pStyle w:val="NoSpacing"/>
      </w:pPr>
    </w:p>
    <w:p w14:paraId="445B0812" w14:textId="0C3308E9" w:rsidR="00F0695E" w:rsidRPr="00CD6B52" w:rsidRDefault="00F0695E" w:rsidP="00197BF0">
      <w:pPr>
        <w:pStyle w:val="NoSpacing"/>
      </w:pPr>
      <w:r w:rsidRPr="00CD6B52">
        <w:t>Given the conceptual and empirical relationship between income, race, and resource use, we analyzed both socioeconomic status (SES) and sociodemographic status (SDS), where SDS is defined as SES and race considered together.  To determine SES, we used the United States Census Bureau’s 2014 American Community Survey (ACS) 5-year estimates.  The ACS dataset “Ratio of Income to Poverty Level of Families in the Past 12 Months” contains variables that provide population estimates of ranges of income-to-poverty ratios by ZIP code.  Because individual family members may pool financial resources to provide care for older relatives</w:t>
      </w:r>
      <w:r w:rsidRPr="00CD6B52">
        <w:rPr>
          <w:noProof/>
        </w:rPr>
        <w:t xml:space="preserve">, </w:t>
      </w:r>
      <w:r w:rsidRPr="00CD6B52">
        <w:t>w</w:t>
      </w:r>
      <w:r w:rsidRPr="00CD6B52">
        <w:rPr>
          <w:noProof/>
        </w:rPr>
        <w:t>e used family income-to-poverty ratio in SES analysis instead of individual income-to-poverty ratio to better represent household decisions.</w:t>
      </w:r>
      <w:r w:rsidRPr="00CD6B52">
        <w:rPr>
          <w:rStyle w:val="FootnoteReference"/>
          <w:noProof/>
        </w:rPr>
        <w:footnoteReference w:id="44"/>
      </w:r>
      <w:r w:rsidRPr="00CD6B52">
        <w:rPr>
          <w:noProof/>
        </w:rPr>
        <w:t xml:space="preserve">  </w:t>
      </w:r>
      <w:r w:rsidRPr="00CD6B52">
        <w:t>For a given ZIP code, the family income-to-poverty ratio dataset contains the variables: “Under .50”, “.50 to .74”, “.75 to .99”, “1.00 to 1.24”, “1.25 to 1.49”, “1.50 to 1.74”, “1.75 to 1.84”, “1.85 to 1.99”, “2.00 to 2.99”, “3.00 to 3.99”, “4.00 to 4.99”, and “5.00 and over”.  Each of these variables gives the count of families in a given ZIP code whose income falls into that category range of income-to-poverty level.  To illustrate, if the value for the “.50 to .74” variable is 10,000 for a particular ZIP code, that means that 10,000 families in that ZIP code have incomes that are between 50% and 74% of the federal poverty threshold.</w:t>
      </w:r>
    </w:p>
    <w:p w14:paraId="2959A822" w14:textId="77777777" w:rsidR="006C3944" w:rsidRPr="00CD6B52" w:rsidRDefault="006C3944" w:rsidP="00197BF0">
      <w:pPr>
        <w:pStyle w:val="NoSpacing"/>
        <w:rPr>
          <w:noProof/>
        </w:rPr>
      </w:pPr>
    </w:p>
    <w:p w14:paraId="73517AF8" w14:textId="4491D308" w:rsidR="00F0695E" w:rsidRPr="00CD6B52" w:rsidRDefault="00F0695E" w:rsidP="00197BF0">
      <w:pPr>
        <w:pStyle w:val="NoSpacing"/>
      </w:pPr>
      <w:r w:rsidRPr="00CD6B52">
        <w:rPr>
          <w:noProof/>
        </w:rPr>
        <w:t>The Enrollment Database (EDB) provided data on beneficiary race, and we look at race because race tracks with SES, and we wanted to see the impact on hospitals’ performance on the MSPB-Hospital measure.  While the EDB provides data on all race categories, there are concerns with the validity of the race categories other than Black and White (e.g., Asian, Hispanic, North American Native) due to underreporting in those categories.</w:t>
      </w:r>
      <w:r w:rsidRPr="00CD6B52">
        <w:rPr>
          <w:rStyle w:val="FootnoteReference"/>
          <w:noProof/>
        </w:rPr>
        <w:footnoteReference w:id="45"/>
      </w:r>
      <w:r w:rsidRPr="00CD6B52">
        <w:rPr>
          <w:noProof/>
        </w:rPr>
        <w:t xml:space="preserve">  As a result, we categorized beneficiaries as Black or Non-Black, where Non-Black is defined as all other race categories.  The EDB also provided the ZIP codes for beneficiaries included in the sample.  We then linked these beneficiary ZIP codes to the ACS ZIP code-level data on family income-to-poverty ratio to estimate the income-to-poverty ratio for each beneficiary with an MSPB-Hospital episode.  </w:t>
      </w:r>
    </w:p>
    <w:p w14:paraId="18D593CA" w14:textId="77777777" w:rsidR="006C3944" w:rsidRPr="00CD6B52" w:rsidRDefault="006C3944" w:rsidP="00197BF0">
      <w:pPr>
        <w:pStyle w:val="NoSpacing"/>
        <w:rPr>
          <w:noProof/>
        </w:rPr>
      </w:pPr>
    </w:p>
    <w:p w14:paraId="17E77388" w14:textId="5493670D" w:rsidR="00F0695E" w:rsidRPr="00CD6B52" w:rsidRDefault="00F0695E" w:rsidP="00197BF0">
      <w:pPr>
        <w:pStyle w:val="NoSpacing"/>
        <w:rPr>
          <w:rFonts w:eastAsia="Times New Roman"/>
        </w:rPr>
      </w:pPr>
      <w:r w:rsidRPr="00CD6B52">
        <w:rPr>
          <w:noProof/>
        </w:rPr>
        <w:t xml:space="preserve">Using these </w:t>
      </w:r>
      <w:r w:rsidRPr="00CD6B52">
        <w:rPr>
          <w:rFonts w:eastAsia="Times New Roman"/>
        </w:rPr>
        <w:t>data, we conducted a number of analyses related to disparities by population group.  For race categories, we produced an estimated distribution of beneficiaries by income ratio (see Section 2b4.4b. for analysis).  Additionally, we sought to determine the effect of incorporating SES or SDS into our risk adjustment model by determining the difference in MSPB-Hospital measure scores when including SES or SDS.  We also analyzed correlation between MSPB-Hospital measure scores calculated with and without SES or SDS.  The outcome of these analyses is discussed in Section 2b4.5.</w:t>
      </w:r>
    </w:p>
    <w:p w14:paraId="35E5402E" w14:textId="77777777" w:rsidR="006C3944" w:rsidRPr="00CD6B52" w:rsidRDefault="006C3944" w:rsidP="00197BF0">
      <w:pPr>
        <w:pStyle w:val="NoSpacing"/>
        <w:rPr>
          <w:rFonts w:eastAsia="Times New Roman"/>
        </w:rPr>
      </w:pPr>
    </w:p>
    <w:p w14:paraId="53E49B14" w14:textId="1DFD493E" w:rsidR="00F0695E" w:rsidRPr="00197BF0" w:rsidRDefault="00F0695E" w:rsidP="00197BF0">
      <w:pPr>
        <w:pStyle w:val="NoSpacing"/>
        <w:rPr>
          <w:bCs/>
          <w:u w:val="single"/>
        </w:rPr>
      </w:pPr>
      <w:r w:rsidRPr="00197BF0">
        <w:rPr>
          <w:bCs/>
          <w:u w:val="single"/>
        </w:rPr>
        <w:t xml:space="preserve">Previous </w:t>
      </w:r>
      <w:r w:rsidR="006C3944" w:rsidRPr="00197BF0">
        <w:rPr>
          <w:bCs/>
          <w:u w:val="single"/>
        </w:rPr>
        <w:t>R</w:t>
      </w:r>
      <w:r w:rsidRPr="00197BF0">
        <w:rPr>
          <w:bCs/>
          <w:u w:val="single"/>
        </w:rPr>
        <w:t>esponse (2013):</w:t>
      </w:r>
      <w:r w:rsidR="00197BF0">
        <w:rPr>
          <w:bCs/>
          <w:u w:val="single"/>
        </w:rPr>
        <w:t xml:space="preserve"> </w:t>
      </w:r>
      <w:r w:rsidRPr="00CD6B52">
        <w:t xml:space="preserve">To account for case-mix variation and other factors, the MSPB risk-adjustment methodology broadly follows the CMS-HCC risk-adjustment methodology, which CMS uses </w:t>
      </w:r>
      <w:r w:rsidRPr="00CD6B52">
        <w:lastRenderedPageBreak/>
        <w:t>to estimate Medicare Advantage (MA) premium adjustments.</w:t>
      </w:r>
      <w:r w:rsidRPr="00CD6B52">
        <w:rPr>
          <w:rStyle w:val="FootnoteReference"/>
        </w:rPr>
        <w:footnoteReference w:id="46"/>
      </w:r>
      <w:r w:rsidRPr="00CD6B52">
        <w:t xml:space="preserve">  Medicare also uses the HCC model to risk-adjust spending in: the Shared Savings Program Accountable Care Organizations (implemented in 2012) and the Medicare Physician Quality and Resource Use Reports (implemented in 2009).  The accuracy of the ICD-9 codes used to create HCCs has also been evaluated in previous studies, and all studies found high positive predictive values for Medicare claims-based diagnosis of acute myocardial infarction (AMI), chronic kidney disease (CKD), heart failure, coronary artery disease, diabetes, hypertension, and stroke with a diagnosis based on structured hospital record review.</w:t>
      </w:r>
      <w:r w:rsidRPr="00CD6B52">
        <w:rPr>
          <w:rStyle w:val="FootnoteReference"/>
        </w:rPr>
        <w:footnoteReference w:id="47"/>
      </w:r>
      <w:r w:rsidRPr="00CD6B52">
        <w:rPr>
          <w:vertAlign w:val="superscript"/>
        </w:rPr>
        <w:t>,</w:t>
      </w:r>
      <w:r w:rsidRPr="00CD6B52">
        <w:rPr>
          <w:rStyle w:val="FootnoteReference"/>
        </w:rPr>
        <w:footnoteReference w:id="48"/>
      </w:r>
      <w:r w:rsidRPr="00CD6B52">
        <w:rPr>
          <w:vertAlign w:val="superscript"/>
        </w:rPr>
        <w:t>,</w:t>
      </w:r>
      <w:r w:rsidRPr="00CD6B52">
        <w:rPr>
          <w:rStyle w:val="FootnoteReference"/>
        </w:rPr>
        <w:footnoteReference w:id="49"/>
      </w:r>
      <w:r w:rsidRPr="00CD6B52">
        <w:t xml:space="preserve"> A 2003 study found that CMS “administrative data was found to have diagnoses and conditions that were highly specific but that vary greatly by condition in terms of sensitivity.”  </w:t>
      </w:r>
    </w:p>
    <w:p w14:paraId="148286D1" w14:textId="77777777" w:rsidR="006C3944" w:rsidRDefault="006C3944" w:rsidP="00197BF0">
      <w:pPr>
        <w:pStyle w:val="NoSpacing"/>
      </w:pPr>
    </w:p>
    <w:p w14:paraId="041E3525" w14:textId="712E33B4" w:rsidR="00F0695E" w:rsidRPr="00CD6B52" w:rsidRDefault="00F0695E" w:rsidP="00197BF0">
      <w:pPr>
        <w:pStyle w:val="NoSpacing"/>
      </w:pPr>
      <w:r w:rsidRPr="00CD6B52">
        <w:t>Severity of illness is measured using 70 HCC indicators derived from the beneficiary’s claims during the period 90 days prior to the start of the episode, an indicator of whether the beneficiary recently required long-term care, as well as the MS-DRG of the index hospitalization.  The MSPB risk-adjustment methodology also includes status indicator variables for whether the beneficiary qualifies for Medicare through Disability or End-Stage Renal Disease (ESRD) and whether a beneficiary resides in a long-term care facility.  Because the relationship between comorbidities’ episode cost may be non-linear, the model includes interactions between HCCs and/or enrollment status variables.  The MSPB risk-adjustment method does not control for the beneficiary’s sex and race, but does include 12 age categorical variables.  For a complete list of MSPB risk-adjustment variables, see the “MSPB Measure Information Form” available on QualityNet at the link provided in S.1.</w:t>
      </w:r>
    </w:p>
    <w:p w14:paraId="737DD0E2" w14:textId="77777777" w:rsidR="006C3944" w:rsidRDefault="006C3944" w:rsidP="00197BF0">
      <w:pPr>
        <w:pStyle w:val="NoSpacing"/>
      </w:pPr>
    </w:p>
    <w:p w14:paraId="15E98EFB" w14:textId="6E7AAE4E" w:rsidR="00F0695E" w:rsidRPr="00CD6B52" w:rsidRDefault="00F0695E" w:rsidP="00197BF0">
      <w:pPr>
        <w:pStyle w:val="NoSpacing"/>
      </w:pPr>
      <w:r w:rsidRPr="00CD6B52">
        <w:t>All explanatory variables are calculated during the 90 days prior to the start of an episode.  Calculating all health status variables prior to the start of an episode avoids the endogeneity problem which could occur if the diagnosis codes a hospital uses are included in the risk-adjustment model.  Using claims data during the episode would incentivize hospitals to inflate the number of co-morbidities (i.e., number of diagnosis codes) that a beneficiary has to make their health status appear worse.</w:t>
      </w:r>
    </w:p>
    <w:p w14:paraId="21211C45" w14:textId="77777777" w:rsidR="006C3944" w:rsidRDefault="006C3944" w:rsidP="00197BF0">
      <w:pPr>
        <w:pStyle w:val="NoSpacing"/>
      </w:pPr>
    </w:p>
    <w:p w14:paraId="3C1EF20D" w14:textId="4F2031BE" w:rsidR="00F0695E" w:rsidRPr="00CD6B52" w:rsidRDefault="00F0695E" w:rsidP="00197BF0">
      <w:pPr>
        <w:pStyle w:val="NoSpacing"/>
      </w:pPr>
      <w:r w:rsidRPr="00CD6B52">
        <w:t>The MSPB risk-adjustment methodology (along with the entire MSPB methodology) was also put through official notice and comment rulemaking.  The majority of commenters supported the risk adjustment for age and severity of illness.  Some suggested further adjustment for race, sex, or socioeconomic factors, but Acumen and CMS opted to maintain consistency with the NQF’s position against adjusting for these factors.</w:t>
      </w:r>
    </w:p>
    <w:p w14:paraId="4617CEF9" w14:textId="77777777" w:rsidR="00F0695E" w:rsidRPr="006C3944" w:rsidRDefault="00F0695E" w:rsidP="009555BC">
      <w:pPr>
        <w:spacing w:line="240" w:lineRule="auto"/>
        <w:rPr>
          <w:rFonts w:ascii="Times New Roman" w:hAnsi="Times New Roman" w:cs="Times New Roman"/>
          <w:b/>
          <w:bCs/>
        </w:rPr>
      </w:pPr>
    </w:p>
    <w:p w14:paraId="34F4D3BF" w14:textId="77777777" w:rsidR="00C427B8" w:rsidRPr="007B0444" w:rsidRDefault="00C427B8" w:rsidP="00C427B8">
      <w:pPr>
        <w:autoSpaceDE w:val="0"/>
        <w:autoSpaceDN w:val="0"/>
        <w:adjustRightInd w:val="0"/>
        <w:spacing w:after="0" w:line="240" w:lineRule="auto"/>
        <w:rPr>
          <w:rFonts w:cstheme="minorHAnsi"/>
          <w:b/>
          <w:bCs/>
        </w:rPr>
      </w:pPr>
      <w:r w:rsidRPr="007B0444">
        <w:rPr>
          <w:rFonts w:cstheme="minorHAnsi"/>
          <w:b/>
          <w:bCs/>
        </w:rPr>
        <w:t xml:space="preserve">2b3.4b. Describe the analyses and interpretation resulting in the decision to select social risk factors </w:t>
      </w:r>
      <w:r w:rsidRPr="007B0444">
        <w:rPr>
          <w:rFonts w:cstheme="minorHAnsi"/>
          <w:bCs/>
          <w:i/>
        </w:rPr>
        <w:t xml:space="preserve">(e.g. prevalence of the factor across measured entities, empirical association with the outcome, contribution of unique variation in the outcome, assessment of between-unit effects and within-unit effects.)  </w:t>
      </w:r>
      <w:r w:rsidRPr="007B0444">
        <w:rPr>
          <w:rFonts w:cstheme="minorHAnsi"/>
          <w:b/>
          <w:bCs/>
        </w:rPr>
        <w:t>Also describe the impact of adjusting for social risk (or not) on providers at high or low extremes of risk.</w:t>
      </w:r>
    </w:p>
    <w:p w14:paraId="7ECE61C6" w14:textId="7B887A86"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lastRenderedPageBreak/>
        <w:t>We analyzed the effect and impact of several social risk factors and the extent to which these effects may be attributable to hospitals relative to the patients they serve. We found inconsistency in the beneficiary-level estimates of the social risk factors, minimal impact to MSPB Hospital scores</w:t>
      </w:r>
      <w:r w:rsidR="00093FCB" w:rsidRPr="00C93347">
        <w:rPr>
          <w:rFonts w:ascii="Times New Roman" w:hAnsi="Times New Roman"/>
          <w:color w:val="FF0000"/>
        </w:rPr>
        <w:t xml:space="preserve"> from SRF inclusion</w:t>
      </w:r>
      <w:r w:rsidRPr="00C93347">
        <w:rPr>
          <w:rFonts w:ascii="Times New Roman" w:hAnsi="Times New Roman"/>
          <w:color w:val="FF0000"/>
        </w:rPr>
        <w:t xml:space="preserve">, and statistically significant hospital-level effects when decomposing the effects of select social risk factors. </w:t>
      </w:r>
    </w:p>
    <w:p w14:paraId="7D6B2081" w14:textId="77777777" w:rsidR="004F5E61" w:rsidRPr="00C93347" w:rsidRDefault="004F5E61" w:rsidP="00197BF0">
      <w:pPr>
        <w:pStyle w:val="NoSpacing"/>
        <w:rPr>
          <w:rFonts w:ascii="Times New Roman" w:hAnsi="Times New Roman"/>
          <w:color w:val="FF0000"/>
        </w:rPr>
      </w:pPr>
    </w:p>
    <w:p w14:paraId="4E89E1A3" w14:textId="77777777"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t>We analyzed race, sex, dual status, income, education, unemployment, the AHRQ SES Index, and the Area Deprivation Index (ADI) as social risk factors. Beneficiary sex and dual status were obtained from the EDB and CME. Information on income, education, unemployment, and the AHRQ SES Index was obtained from ACS data. The ADI was constructed from 2015 ACS data by the University of Wisconsin School of Medicine and Public Health. Approximately 1.7 percent of beneficiary episodes with missing income and employment ACS data were excluded from the study</w:t>
      </w:r>
      <w:r w:rsidRPr="00C93347">
        <w:rPr>
          <w:rFonts w:ascii="Times New Roman" w:hAnsi="Times New Roman"/>
          <w:color w:val="FF0000"/>
          <w:vertAlign w:val="superscript"/>
        </w:rPr>
        <w:footnoteReference w:id="50"/>
      </w:r>
      <w:r w:rsidRPr="00C93347">
        <w:rPr>
          <w:rFonts w:ascii="Times New Roman" w:hAnsi="Times New Roman"/>
          <w:color w:val="FF0000"/>
        </w:rPr>
        <w:t xml:space="preserve"> and the 15.92 percent of beneficiary episodes with missing ADI information were coded with a missing variable to observe any systematic effects of this population.  </w:t>
      </w:r>
    </w:p>
    <w:p w14:paraId="1AA21C09" w14:textId="77777777" w:rsidR="00E513C8" w:rsidRPr="00C93347" w:rsidRDefault="00E513C8" w:rsidP="00197BF0">
      <w:pPr>
        <w:pStyle w:val="NoSpacing"/>
        <w:rPr>
          <w:rFonts w:ascii="Times New Roman" w:hAnsi="Times New Roman"/>
          <w:color w:val="FF0000"/>
        </w:rPr>
      </w:pPr>
    </w:p>
    <w:p w14:paraId="581A355F" w14:textId="77777777"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t>The percentage of female beneficiaries range from 27.0 percent to 63.5 percent across the 23 of the 26 MDCs in this measure that reasonably occur for both sexes (MDC 13 and MDC 14 are nearly 100 percent female as they are related to pregnancy, childbirth, and the female reproductive system, while MDC 12 is 0 percent female as it is related to the male reproductive system). For 23 out of 26 MDCs, most beneficiaries (55.7% - 84.4%) have non-dual status. The MDCs with a minority of non-dual status beneficiaries includes MDC 14 – Pregnancy, Childbirth, and the Puerperium (12.1%), MDC 25 – Human Immunodeficiency Virus Infections (30.1%), and MDC 19 – Mental Diseases and Disorders (44.0%). Income level is categorized into high, medium, and low from the continuous average income variable in ACS; therefore, each category has 33.3 percent of episodes. Approximately 2.0</w:t>
      </w:r>
      <w:r w:rsidRPr="00C93347" w:rsidDel="006950E0">
        <w:rPr>
          <w:rFonts w:ascii="Times New Roman" w:hAnsi="Times New Roman"/>
          <w:color w:val="FF0000"/>
        </w:rPr>
        <w:t xml:space="preserve"> </w:t>
      </w:r>
      <w:r w:rsidRPr="00C93347">
        <w:rPr>
          <w:rFonts w:ascii="Times New Roman" w:hAnsi="Times New Roman"/>
          <w:color w:val="FF0000"/>
        </w:rPr>
        <w:t>to 8.1</w:t>
      </w:r>
      <w:r w:rsidRPr="00C93347" w:rsidDel="006950E0">
        <w:rPr>
          <w:rFonts w:ascii="Times New Roman" w:hAnsi="Times New Roman"/>
          <w:color w:val="FF0000"/>
        </w:rPr>
        <w:t xml:space="preserve"> </w:t>
      </w:r>
      <w:r w:rsidRPr="00C93347">
        <w:rPr>
          <w:rFonts w:ascii="Times New Roman" w:hAnsi="Times New Roman"/>
          <w:color w:val="FF0000"/>
        </w:rPr>
        <w:t xml:space="preserve">percent of beneficiaries across all MDCs are classified as having below a high school education level, while 16.8 to 37.1 percent of beneficiaries have high unemployment designation (&gt;10% for the Census Block Group). </w:t>
      </w:r>
    </w:p>
    <w:p w14:paraId="007E6EE2" w14:textId="0ABFD149" w:rsidR="00E513C8" w:rsidRPr="00C93347" w:rsidRDefault="00152332" w:rsidP="00197BF0">
      <w:pPr>
        <w:pStyle w:val="NoSpacing"/>
        <w:rPr>
          <w:rFonts w:ascii="Times New Roman" w:hAnsi="Times New Roman"/>
          <w:color w:val="FF0000"/>
        </w:rPr>
      </w:pPr>
      <w:r w:rsidRPr="00C93347">
        <w:rPr>
          <w:rFonts w:ascii="Times New Roman" w:hAnsi="Times New Roman"/>
          <w:color w:val="FF0000"/>
        </w:rPr>
        <w:t xml:space="preserve">Across all beneficiary episodes, the </w:t>
      </w:r>
      <w:r w:rsidR="00E513C8" w:rsidRPr="00C93347">
        <w:rPr>
          <w:rFonts w:ascii="Times New Roman" w:hAnsi="Times New Roman"/>
          <w:color w:val="FF0000"/>
        </w:rPr>
        <w:t>AHRQ Index ranged from 28.82 to 78.4 and approximately 14.36 of beneficiary episodes were ranked in the top quintile of the ADI’s national ranking.</w:t>
      </w:r>
    </w:p>
    <w:p w14:paraId="0D7080C3" w14:textId="77777777" w:rsidR="00E513C8" w:rsidRPr="00C93347" w:rsidRDefault="00E513C8" w:rsidP="00197BF0">
      <w:pPr>
        <w:pStyle w:val="NoSpacing"/>
        <w:rPr>
          <w:rFonts w:ascii="Times New Roman" w:hAnsi="Times New Roman"/>
          <w:color w:val="FF0000"/>
        </w:rPr>
      </w:pPr>
    </w:p>
    <w:p w14:paraId="30087635" w14:textId="77777777"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t xml:space="preserve">We examined the impact of including social risk factors into our risk adjustment model by running goodness of fit tests when different risk factors are added and compared to the base risk adjustment model, where the base risk adjustment model refers to the full standard set of risk adjustment variables from the CMS-HCC V22 2016 model, disability status, ESRD status, interaction variables, and recent long-term care use. We ran a step-wise regression to include the following additional social risk factors on top of the adapted base CMS-HCC model (Model 1). The models that added social risk factors to Model 1 in a step-wise manner include:  </w:t>
      </w:r>
    </w:p>
    <w:p w14:paraId="4FABAB87"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 xml:space="preserve">Model 2: sex </w:t>
      </w:r>
    </w:p>
    <w:p w14:paraId="07E03B31"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Model 3: dual status</w:t>
      </w:r>
    </w:p>
    <w:p w14:paraId="404B7A34"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Model 4: sex + dual status</w:t>
      </w:r>
    </w:p>
    <w:p w14:paraId="2A9BE799"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Model 5: sex + dual status + race</w:t>
      </w:r>
    </w:p>
    <w:p w14:paraId="3A108FBB"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Model 6: sex + dual status + income + education + unemployment</w:t>
      </w:r>
    </w:p>
    <w:p w14:paraId="2866C6C9"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Model 7: sex + dual status + AHRQ SES Index</w:t>
      </w:r>
    </w:p>
    <w:p w14:paraId="09E4DC4C"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Model 8: sex + dual status + race + income + education + unemployment</w:t>
      </w:r>
    </w:p>
    <w:p w14:paraId="2BE409D5"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Model 9: sex + dual status + race + AHRQ SES Index</w:t>
      </w:r>
    </w:p>
    <w:p w14:paraId="6659E906"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Model 10: sex + dual status + race + income + education + unemployment + AHRQ SES Index</w:t>
      </w:r>
    </w:p>
    <w:p w14:paraId="224D714F"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 xml:space="preserve">Model 11: sex + ADI Index Top Quintile </w:t>
      </w:r>
    </w:p>
    <w:p w14:paraId="1000AD48"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t xml:space="preserve">Model 12: sex + dual status + ADI Index Top Quintile </w:t>
      </w:r>
    </w:p>
    <w:p w14:paraId="050464DF" w14:textId="77777777" w:rsidR="00E513C8" w:rsidRPr="00C93347" w:rsidRDefault="00E513C8" w:rsidP="00E340DE">
      <w:pPr>
        <w:pStyle w:val="NoSpacing"/>
        <w:numPr>
          <w:ilvl w:val="0"/>
          <w:numId w:val="14"/>
        </w:numPr>
        <w:rPr>
          <w:rFonts w:ascii="Times New Roman" w:hAnsi="Times New Roman"/>
          <w:color w:val="FF0000"/>
        </w:rPr>
      </w:pPr>
      <w:r w:rsidRPr="00C93347">
        <w:rPr>
          <w:rFonts w:ascii="Times New Roman" w:hAnsi="Times New Roman"/>
          <w:color w:val="FF0000"/>
        </w:rPr>
        <w:lastRenderedPageBreak/>
        <w:t xml:space="preserve">Model 13: sex + dual status + race + income + education + unemployment + ADI Index Top Quintile </w:t>
      </w:r>
    </w:p>
    <w:p w14:paraId="149E7DF4" w14:textId="77777777" w:rsidR="00E513C8" w:rsidRPr="00C93347" w:rsidRDefault="00E513C8" w:rsidP="00E513C8">
      <w:pPr>
        <w:autoSpaceDE w:val="0"/>
        <w:autoSpaceDN w:val="0"/>
        <w:adjustRightInd w:val="0"/>
        <w:spacing w:after="0" w:line="240" w:lineRule="auto"/>
        <w:rPr>
          <w:rFonts w:ascii="Times New Roman" w:hAnsi="Times New Roman" w:cs="Times New Roman"/>
          <w:bCs/>
          <w:color w:val="FF0000"/>
        </w:rPr>
      </w:pPr>
    </w:p>
    <w:p w14:paraId="1F52C34C" w14:textId="77777777"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t>The step-wise regressions help evaluate individual as well as joint significance of the social risk factors. We examined the impact of including social risk factors into our risk adjustment model with T-test of individual significance and F-test of joint significance.</w:t>
      </w:r>
    </w:p>
    <w:p w14:paraId="451B034A" w14:textId="77777777" w:rsidR="00E513C8" w:rsidRPr="00C93347" w:rsidRDefault="00E513C8" w:rsidP="00197BF0">
      <w:pPr>
        <w:pStyle w:val="NoSpacing"/>
        <w:rPr>
          <w:rFonts w:ascii="Times New Roman" w:hAnsi="Times New Roman"/>
          <w:color w:val="FF0000"/>
        </w:rPr>
      </w:pPr>
    </w:p>
    <w:p w14:paraId="385A0F11" w14:textId="2D7C8409"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t>First, we analyzed the model coefficients and p-values for each of the base and social risk factor models to understand whether any of the social risk factor covariates are predictive of episode cost. The model-specific T-tests and partial F-tests (relative to Model 1) indicated that social risk factors are likely predictive factors for determining resource use among beneficiaries for the relevant characteristic and MDC. For</w:t>
      </w:r>
      <w:r w:rsidRPr="00C93347">
        <w:rPr>
          <w:rFonts w:ascii="Times New Roman" w:hAnsi="Times New Roman"/>
          <w:b/>
          <w:color w:val="FF0000"/>
        </w:rPr>
        <w:t xml:space="preserve"> </w:t>
      </w:r>
      <w:r w:rsidRPr="00C93347">
        <w:rPr>
          <w:rFonts w:ascii="Times New Roman" w:hAnsi="Times New Roman"/>
          <w:color w:val="FF0000"/>
        </w:rPr>
        <w:t>example, in models that include the AHRQ SES Index (models 7, 9, 10) and models that include the ADI (models 11, 12, 13), these indices have p-values less than or equal to 0.05 in at most 1</w:t>
      </w:r>
      <w:r w:rsidR="00005B40" w:rsidRPr="00C93347">
        <w:rPr>
          <w:rFonts w:ascii="Times New Roman" w:hAnsi="Times New Roman"/>
          <w:color w:val="FF0000"/>
        </w:rPr>
        <w:t>0</w:t>
      </w:r>
      <w:r w:rsidRPr="00C93347">
        <w:rPr>
          <w:rFonts w:ascii="Times New Roman" w:hAnsi="Times New Roman"/>
          <w:color w:val="FF0000"/>
        </w:rPr>
        <w:t xml:space="preserve"> of the 26 MDC stratifications. Specifically, </w:t>
      </w:r>
      <w:r w:rsidR="00511EC5" w:rsidRPr="00C93347">
        <w:rPr>
          <w:rFonts w:ascii="Times New Roman" w:hAnsi="Times New Roman"/>
          <w:color w:val="FF0000"/>
        </w:rPr>
        <w:t>the AHRQ SES Index</w:t>
      </w:r>
      <w:r w:rsidR="00005B40" w:rsidRPr="00C93347">
        <w:rPr>
          <w:rFonts w:ascii="Times New Roman" w:hAnsi="Times New Roman"/>
          <w:color w:val="FF0000"/>
        </w:rPr>
        <w:t xml:space="preserve"> in</w:t>
      </w:r>
      <w:r w:rsidR="00511EC5" w:rsidRPr="00C93347">
        <w:rPr>
          <w:rFonts w:ascii="Times New Roman" w:hAnsi="Times New Roman"/>
          <w:color w:val="FF0000"/>
        </w:rPr>
        <w:t xml:space="preserve"> </w:t>
      </w:r>
      <w:r w:rsidRPr="00C93347">
        <w:rPr>
          <w:rFonts w:ascii="Times New Roman" w:hAnsi="Times New Roman"/>
          <w:color w:val="FF0000"/>
        </w:rPr>
        <w:t>Model 7 is</w:t>
      </w:r>
      <w:r w:rsidR="00A10FCF" w:rsidRPr="00C93347">
        <w:rPr>
          <w:rFonts w:ascii="Times New Roman" w:hAnsi="Times New Roman"/>
          <w:color w:val="FF0000"/>
        </w:rPr>
        <w:t xml:space="preserve"> statistically</w:t>
      </w:r>
      <w:r w:rsidRPr="00C93347">
        <w:rPr>
          <w:rFonts w:ascii="Times New Roman" w:hAnsi="Times New Roman"/>
          <w:color w:val="FF0000"/>
        </w:rPr>
        <w:t xml:space="preserve"> significant in 10 MDCs and </w:t>
      </w:r>
      <w:r w:rsidR="00005B40" w:rsidRPr="00C93347">
        <w:rPr>
          <w:rFonts w:ascii="Times New Roman" w:hAnsi="Times New Roman"/>
          <w:color w:val="FF0000"/>
        </w:rPr>
        <w:t xml:space="preserve">in </w:t>
      </w:r>
      <w:r w:rsidRPr="00C93347">
        <w:rPr>
          <w:rFonts w:ascii="Times New Roman" w:hAnsi="Times New Roman"/>
          <w:color w:val="FF0000"/>
        </w:rPr>
        <w:t xml:space="preserve">Model 11 is </w:t>
      </w:r>
      <w:r w:rsidR="00A10FCF" w:rsidRPr="00C93347">
        <w:rPr>
          <w:rFonts w:ascii="Times New Roman" w:hAnsi="Times New Roman"/>
          <w:color w:val="FF0000"/>
        </w:rPr>
        <w:t xml:space="preserve">statistically </w:t>
      </w:r>
      <w:r w:rsidRPr="00C93347">
        <w:rPr>
          <w:rFonts w:ascii="Times New Roman" w:hAnsi="Times New Roman"/>
          <w:color w:val="FF0000"/>
        </w:rPr>
        <w:t xml:space="preserve">significant in </w:t>
      </w:r>
      <w:r w:rsidR="00005B40" w:rsidRPr="00C93347">
        <w:rPr>
          <w:rFonts w:ascii="Times New Roman" w:hAnsi="Times New Roman"/>
          <w:color w:val="FF0000"/>
        </w:rPr>
        <w:t xml:space="preserve">6 </w:t>
      </w:r>
      <w:r w:rsidRPr="00C93347">
        <w:rPr>
          <w:rFonts w:ascii="Times New Roman" w:hAnsi="Times New Roman"/>
          <w:color w:val="FF0000"/>
        </w:rPr>
        <w:t>MDCs</w:t>
      </w:r>
      <w:proofErr w:type="gramStart"/>
      <w:r w:rsidR="005A4FC0" w:rsidRPr="00C93347">
        <w:rPr>
          <w:rFonts w:ascii="Times New Roman" w:hAnsi="Times New Roman"/>
          <w:color w:val="FF0000"/>
        </w:rPr>
        <w:t>.</w:t>
      </w:r>
      <w:r w:rsidRPr="00C93347">
        <w:rPr>
          <w:rFonts w:ascii="Times New Roman" w:hAnsi="Times New Roman"/>
          <w:color w:val="FF0000"/>
        </w:rPr>
        <w:t>.</w:t>
      </w:r>
      <w:proofErr w:type="gramEnd"/>
      <w:r w:rsidRPr="00C93347">
        <w:rPr>
          <w:rFonts w:ascii="Times New Roman" w:hAnsi="Times New Roman"/>
          <w:color w:val="FF0000"/>
        </w:rPr>
        <w:t xml:space="preserve"> The analysis also shows that the directions of the effects of social risk factors are not consistent. For example, low income episodes (as compared to high income episodes) and the AHRQ SES index may display both significant positive and negative coefficients of spending across MDCs. Considering the low-income categorization as an example, positive coefficients for low income may indicate that people with lower income tend to be more vulnerable and need additional resource use in their care. On the contrary, negative coefficients could indicate lower income people are expected to spend less, which may be a result of low-income patients having financial incentives to use less health care resources. They may be burden by co-pays for other services that they received covered by Medicaid. Appendix Tables 2b34b.a and 2b34b.b present these results.</w:t>
      </w:r>
    </w:p>
    <w:p w14:paraId="7200C934" w14:textId="77777777"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tab/>
      </w:r>
    </w:p>
    <w:p w14:paraId="2333BB6A" w14:textId="64E66782"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t>Second, we analyzed the impact of adding social risk variables on overall model performance by looking at the differences in the O/E cost ratio with and without social factors in the risk adjustment model. When including social risk factors in our risk adjustment regression, minor differences in the O/E ratios, even for providers at high or low extremes of risk, indicates that social risk factor effects on the model performance are likely captured through existing risk adjustment variables. At least 99.5 percent of providers exhibited a ratio change less than ±0.03 across Models 1 – 13, with at least 93.2 percent of providers exhibiting a ratio change less than ±0.01. At least 84.2 percent of safety-net hospitals</w:t>
      </w:r>
      <w:r w:rsidRPr="00C93347">
        <w:rPr>
          <w:rFonts w:ascii="Times New Roman" w:hAnsi="Times New Roman"/>
          <w:color w:val="FF0000"/>
          <w:vertAlign w:val="superscript"/>
        </w:rPr>
        <w:footnoteReference w:id="51"/>
      </w:r>
      <w:r w:rsidRPr="00C93347">
        <w:rPr>
          <w:rFonts w:ascii="Times New Roman" w:hAnsi="Times New Roman"/>
          <w:color w:val="FF0000"/>
        </w:rPr>
        <w:t xml:space="preserve"> and at least 91.7 percent of rural hospitals had ratio changes less than ±0.01, while at least 96.3 percent of non-safety net hospitals and at least 93.7 percent of urban hospitals </w:t>
      </w:r>
      <w:r w:rsidR="00255B16" w:rsidRPr="00C93347">
        <w:rPr>
          <w:rFonts w:ascii="Times New Roman" w:hAnsi="Times New Roman"/>
          <w:color w:val="FF0000"/>
        </w:rPr>
        <w:t xml:space="preserve">showed </w:t>
      </w:r>
      <w:r w:rsidRPr="00C93347">
        <w:rPr>
          <w:rFonts w:ascii="Times New Roman" w:hAnsi="Times New Roman"/>
          <w:color w:val="FF0000"/>
        </w:rPr>
        <w:t>comparable changes. All groupings exhibited a skewness to negative ratio changes, score improvements. Appendix Table 2b34b.c presents these results in detail.</w:t>
      </w:r>
    </w:p>
    <w:p w14:paraId="12A99E2A" w14:textId="77777777" w:rsidR="00E513C8" w:rsidRPr="00C93347" w:rsidRDefault="00E513C8" w:rsidP="00197BF0">
      <w:pPr>
        <w:pStyle w:val="NoSpacing"/>
        <w:rPr>
          <w:rFonts w:ascii="Times New Roman" w:hAnsi="Times New Roman"/>
          <w:color w:val="FF0000"/>
        </w:rPr>
      </w:pPr>
    </w:p>
    <w:p w14:paraId="10255DC5" w14:textId="2ADC4389"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t>We also analyzed the correlation between measure scores calculated with and without the social risk factors. The measure scores calculated with and without these social factors were highly correlated, ranging from 0.997 – 1.0</w:t>
      </w:r>
      <w:r w:rsidR="00171DEB" w:rsidRPr="00C93347">
        <w:rPr>
          <w:rFonts w:ascii="Times New Roman" w:hAnsi="Times New Roman"/>
          <w:color w:val="FF0000"/>
        </w:rPr>
        <w:t>00</w:t>
      </w:r>
      <w:r w:rsidRPr="00C93347">
        <w:rPr>
          <w:rFonts w:ascii="Times New Roman" w:hAnsi="Times New Roman"/>
          <w:color w:val="FF0000"/>
        </w:rPr>
        <w:t xml:space="preserve"> in Pearson and Spearman correlation coefficient. Appendix Table 2b34b.</w:t>
      </w:r>
      <w:r w:rsidR="008644B0" w:rsidRPr="00C93347">
        <w:rPr>
          <w:rFonts w:ascii="Times New Roman" w:hAnsi="Times New Roman"/>
          <w:color w:val="FF0000"/>
        </w:rPr>
        <w:t>d</w:t>
      </w:r>
      <w:r w:rsidRPr="00C93347">
        <w:rPr>
          <w:rFonts w:ascii="Times New Roman" w:hAnsi="Times New Roman"/>
          <w:color w:val="FF0000"/>
        </w:rPr>
        <w:t xml:space="preserve"> presents these results in detail.</w:t>
      </w:r>
    </w:p>
    <w:p w14:paraId="048AFE00" w14:textId="77777777" w:rsidR="00E513C8" w:rsidRPr="00C93347" w:rsidRDefault="00E513C8" w:rsidP="00197BF0">
      <w:pPr>
        <w:pStyle w:val="NoSpacing"/>
        <w:rPr>
          <w:rFonts w:ascii="Times New Roman" w:hAnsi="Times New Roman"/>
          <w:color w:val="FF0000"/>
        </w:rPr>
      </w:pPr>
    </w:p>
    <w:p w14:paraId="633EF8A6" w14:textId="1FD2E540" w:rsidR="00E513C8" w:rsidRPr="00C93347" w:rsidRDefault="00E513C8" w:rsidP="00197BF0">
      <w:pPr>
        <w:pStyle w:val="NoSpacing"/>
        <w:rPr>
          <w:rFonts w:ascii="Times New Roman" w:hAnsi="Times New Roman"/>
          <w:color w:val="FF0000"/>
        </w:rPr>
      </w:pPr>
      <w:r w:rsidRPr="00C93347">
        <w:rPr>
          <w:rFonts w:ascii="Times New Roman" w:hAnsi="Times New Roman"/>
          <w:color w:val="FF0000"/>
        </w:rPr>
        <w:t>Models 1 through 13 suggested that the impact to measure scores from SRF inclusion was minimal and, perhaps more importantly, that effects of SRFs on predicting cost were ambiguous. Thus, we sought to clarify SRFs relationships by decomposing select social risk factors into their hospital- and beneficiary episode level effects. We decomposed these effects through random intercept models with contextualized beneficiary episode social risk factors and their hospital-level counterparts in the following models:</w:t>
      </w:r>
    </w:p>
    <w:p w14:paraId="01D5F06B" w14:textId="77777777" w:rsidR="00E513C8" w:rsidRPr="00C93347" w:rsidRDefault="00E513C8" w:rsidP="00E340DE">
      <w:pPr>
        <w:pStyle w:val="NoSpacing"/>
        <w:numPr>
          <w:ilvl w:val="0"/>
          <w:numId w:val="15"/>
        </w:numPr>
        <w:rPr>
          <w:rFonts w:ascii="Times New Roman" w:hAnsi="Times New Roman"/>
          <w:color w:val="FF0000"/>
        </w:rPr>
      </w:pPr>
      <w:r w:rsidRPr="00C93347">
        <w:rPr>
          <w:rFonts w:ascii="Times New Roman" w:hAnsi="Times New Roman"/>
          <w:color w:val="FF0000"/>
        </w:rPr>
        <w:t xml:space="preserve">Model A: </w:t>
      </w:r>
    </w:p>
    <w:p w14:paraId="0774F2DF" w14:textId="77777777" w:rsidR="00E513C8" w:rsidRPr="00C93347" w:rsidRDefault="00E513C8" w:rsidP="00E340DE">
      <w:pPr>
        <w:pStyle w:val="NoSpacing"/>
        <w:numPr>
          <w:ilvl w:val="1"/>
          <w:numId w:val="15"/>
        </w:numPr>
        <w:rPr>
          <w:rFonts w:ascii="Times New Roman" w:hAnsi="Times New Roman"/>
          <w:color w:val="FF0000"/>
        </w:rPr>
      </w:pPr>
      <w:r w:rsidRPr="00C93347">
        <w:rPr>
          <w:rFonts w:ascii="Times New Roman" w:hAnsi="Times New Roman"/>
          <w:color w:val="FF0000"/>
        </w:rPr>
        <w:t>dual status (demeaned, episode level) + dual status proportions (hospital level)</w:t>
      </w:r>
    </w:p>
    <w:p w14:paraId="2C95F8C2" w14:textId="77777777" w:rsidR="00E513C8" w:rsidRPr="00C93347" w:rsidRDefault="00E513C8" w:rsidP="00E340DE">
      <w:pPr>
        <w:pStyle w:val="NoSpacing"/>
        <w:numPr>
          <w:ilvl w:val="0"/>
          <w:numId w:val="15"/>
        </w:numPr>
        <w:rPr>
          <w:rFonts w:ascii="Times New Roman" w:hAnsi="Times New Roman"/>
          <w:color w:val="FF0000"/>
        </w:rPr>
      </w:pPr>
      <w:r w:rsidRPr="00C93347">
        <w:rPr>
          <w:rFonts w:ascii="Times New Roman" w:hAnsi="Times New Roman"/>
          <w:color w:val="FF0000"/>
        </w:rPr>
        <w:lastRenderedPageBreak/>
        <w:t xml:space="preserve">Model B: </w:t>
      </w:r>
    </w:p>
    <w:p w14:paraId="1074E73D" w14:textId="77777777" w:rsidR="00E513C8" w:rsidRPr="00C93347" w:rsidRDefault="00E513C8" w:rsidP="00E340DE">
      <w:pPr>
        <w:pStyle w:val="NoSpacing"/>
        <w:numPr>
          <w:ilvl w:val="1"/>
          <w:numId w:val="15"/>
        </w:numPr>
        <w:rPr>
          <w:rFonts w:ascii="Times New Roman" w:hAnsi="Times New Roman"/>
          <w:color w:val="FF0000"/>
        </w:rPr>
      </w:pPr>
      <w:r w:rsidRPr="00C93347">
        <w:rPr>
          <w:rFonts w:ascii="Times New Roman" w:hAnsi="Times New Roman"/>
          <w:color w:val="FF0000"/>
        </w:rPr>
        <w:t>AHRQ SES Index (demeaned, episode level) + AHRQ SES Index averages (hospital level)</w:t>
      </w:r>
    </w:p>
    <w:p w14:paraId="6FD7BF4D" w14:textId="77777777" w:rsidR="00E513C8" w:rsidRPr="00C93347" w:rsidRDefault="00E513C8" w:rsidP="00E340DE">
      <w:pPr>
        <w:pStyle w:val="NoSpacing"/>
        <w:numPr>
          <w:ilvl w:val="0"/>
          <w:numId w:val="15"/>
        </w:numPr>
        <w:rPr>
          <w:rFonts w:ascii="Times New Roman" w:hAnsi="Times New Roman"/>
          <w:color w:val="FF0000"/>
        </w:rPr>
      </w:pPr>
      <w:r w:rsidRPr="00C93347">
        <w:rPr>
          <w:rFonts w:ascii="Times New Roman" w:hAnsi="Times New Roman"/>
          <w:color w:val="FF0000"/>
        </w:rPr>
        <w:t xml:space="preserve">Model C:  </w:t>
      </w:r>
    </w:p>
    <w:p w14:paraId="42D2CEA4" w14:textId="77777777" w:rsidR="00E513C8" w:rsidRPr="00C93347" w:rsidRDefault="00E513C8" w:rsidP="00E340DE">
      <w:pPr>
        <w:pStyle w:val="NoSpacing"/>
        <w:numPr>
          <w:ilvl w:val="1"/>
          <w:numId w:val="15"/>
        </w:numPr>
        <w:rPr>
          <w:rFonts w:ascii="Times New Roman" w:hAnsi="Times New Roman"/>
          <w:color w:val="FF0000"/>
        </w:rPr>
      </w:pPr>
      <w:r w:rsidRPr="00C93347">
        <w:rPr>
          <w:rFonts w:ascii="Times New Roman" w:hAnsi="Times New Roman"/>
          <w:color w:val="FF0000"/>
        </w:rPr>
        <w:t>ADI Index Top Quintile (demeaned, episode level) + ADI Index Top Quintile proportion (hospital level)</w:t>
      </w:r>
    </w:p>
    <w:p w14:paraId="2C4E4DC2" w14:textId="77777777" w:rsidR="00E513C8" w:rsidRPr="00C93347" w:rsidRDefault="00E513C8" w:rsidP="00197BF0">
      <w:pPr>
        <w:pStyle w:val="NoSpacing"/>
        <w:rPr>
          <w:rFonts w:ascii="Times New Roman" w:hAnsi="Times New Roman"/>
          <w:color w:val="FF0000"/>
        </w:rPr>
      </w:pPr>
    </w:p>
    <w:p w14:paraId="5490A634" w14:textId="1A830645" w:rsidR="00A8709E" w:rsidRPr="00C93347" w:rsidRDefault="00E513C8" w:rsidP="00197BF0">
      <w:pPr>
        <w:pStyle w:val="NoSpacing"/>
        <w:rPr>
          <w:rFonts w:ascii="Times New Roman" w:hAnsi="Times New Roman"/>
          <w:color w:val="FF0000"/>
        </w:rPr>
      </w:pPr>
      <w:r w:rsidRPr="00C93347">
        <w:rPr>
          <w:rFonts w:ascii="Times New Roman" w:hAnsi="Times New Roman"/>
          <w:color w:val="FF0000"/>
        </w:rPr>
        <w:t>Of the 21 MDC models that had any statistically significant (p&lt;0.05)</w:t>
      </w:r>
      <w:r w:rsidR="00A8709E" w:rsidRPr="00C93347">
        <w:rPr>
          <w:rFonts w:ascii="Times New Roman" w:hAnsi="Times New Roman"/>
          <w:color w:val="FF0000"/>
        </w:rPr>
        <w:t xml:space="preserve"> decomposed</w:t>
      </w:r>
      <w:r w:rsidRPr="00C93347">
        <w:rPr>
          <w:rFonts w:ascii="Times New Roman" w:hAnsi="Times New Roman"/>
          <w:color w:val="FF0000"/>
        </w:rPr>
        <w:t xml:space="preserve"> dual factors, 19 MDCs had statistically significant hospital-level </w:t>
      </w:r>
      <w:r w:rsidR="00322DF2" w:rsidRPr="00C93347">
        <w:rPr>
          <w:rFonts w:ascii="Times New Roman" w:hAnsi="Times New Roman"/>
          <w:color w:val="FF0000"/>
        </w:rPr>
        <w:t>coefficients</w:t>
      </w:r>
      <w:r w:rsidR="002E31E8" w:rsidRPr="00C93347">
        <w:rPr>
          <w:rFonts w:ascii="Times New Roman" w:hAnsi="Times New Roman"/>
          <w:color w:val="FF0000"/>
        </w:rPr>
        <w:t xml:space="preserve">, </w:t>
      </w:r>
      <w:r w:rsidR="005D5216" w:rsidRPr="00C93347">
        <w:rPr>
          <w:rFonts w:ascii="Times New Roman" w:hAnsi="Times New Roman"/>
          <w:color w:val="FF0000"/>
        </w:rPr>
        <w:t xml:space="preserve">with </w:t>
      </w:r>
      <w:r w:rsidR="00322DF2" w:rsidRPr="00C93347">
        <w:rPr>
          <w:rFonts w:ascii="Times New Roman" w:hAnsi="Times New Roman"/>
          <w:color w:val="FF0000"/>
        </w:rPr>
        <w:t xml:space="preserve">15 </w:t>
      </w:r>
      <w:r w:rsidR="005D5216" w:rsidRPr="00C93347">
        <w:rPr>
          <w:rFonts w:ascii="Times New Roman" w:hAnsi="Times New Roman"/>
          <w:color w:val="FF0000"/>
        </w:rPr>
        <w:t xml:space="preserve">of these hospital-level </w:t>
      </w:r>
      <w:r w:rsidR="00322DF2" w:rsidRPr="00C93347">
        <w:rPr>
          <w:rFonts w:ascii="Times New Roman" w:hAnsi="Times New Roman"/>
          <w:color w:val="FF0000"/>
        </w:rPr>
        <w:t xml:space="preserve">coefficients </w:t>
      </w:r>
      <w:r w:rsidR="005D5216" w:rsidRPr="00C93347">
        <w:rPr>
          <w:rFonts w:ascii="Times New Roman" w:hAnsi="Times New Roman"/>
          <w:color w:val="FF0000"/>
        </w:rPr>
        <w:t xml:space="preserve">being statistically different from episode-level </w:t>
      </w:r>
      <w:r w:rsidR="00322DF2" w:rsidRPr="00C93347">
        <w:rPr>
          <w:rFonts w:ascii="Times New Roman" w:hAnsi="Times New Roman"/>
          <w:color w:val="FF0000"/>
        </w:rPr>
        <w:t xml:space="preserve">coefficients </w:t>
      </w:r>
      <w:r w:rsidRPr="00C93347">
        <w:rPr>
          <w:rFonts w:ascii="Times New Roman" w:hAnsi="Times New Roman"/>
          <w:color w:val="FF0000"/>
        </w:rPr>
        <w:t xml:space="preserve">(Table 2b34b.e). Of the 16 MDC models that had any statistically significant (p&lt;0.05) </w:t>
      </w:r>
      <w:r w:rsidR="00A8709E" w:rsidRPr="00C93347">
        <w:rPr>
          <w:rFonts w:ascii="Times New Roman" w:hAnsi="Times New Roman"/>
          <w:color w:val="FF0000"/>
        </w:rPr>
        <w:t xml:space="preserve">decomposed </w:t>
      </w:r>
      <w:r w:rsidRPr="00C93347">
        <w:rPr>
          <w:rFonts w:ascii="Times New Roman" w:hAnsi="Times New Roman"/>
          <w:color w:val="FF0000"/>
        </w:rPr>
        <w:t xml:space="preserve">AHRQ Index factors, 12 MDCs had statistically significant hospital-level </w:t>
      </w:r>
      <w:r w:rsidR="00322DF2" w:rsidRPr="00C93347">
        <w:rPr>
          <w:rFonts w:ascii="Times New Roman" w:hAnsi="Times New Roman"/>
          <w:color w:val="FF0000"/>
        </w:rPr>
        <w:t>coefficients</w:t>
      </w:r>
      <w:r w:rsidR="002E31E8" w:rsidRPr="00C93347">
        <w:rPr>
          <w:rFonts w:ascii="Times New Roman" w:hAnsi="Times New Roman"/>
          <w:color w:val="FF0000"/>
        </w:rPr>
        <w:t>,</w:t>
      </w:r>
      <w:r w:rsidR="005D5216" w:rsidRPr="00C93347">
        <w:rPr>
          <w:rFonts w:ascii="Times New Roman" w:hAnsi="Times New Roman"/>
          <w:color w:val="FF0000"/>
        </w:rPr>
        <w:t xml:space="preserve"> with 10 of these hospital-level </w:t>
      </w:r>
      <w:r w:rsidR="00322DF2" w:rsidRPr="00C93347">
        <w:rPr>
          <w:rFonts w:ascii="Times New Roman" w:hAnsi="Times New Roman"/>
          <w:color w:val="FF0000"/>
        </w:rPr>
        <w:t xml:space="preserve">coefficients </w:t>
      </w:r>
      <w:r w:rsidR="005D5216" w:rsidRPr="00C93347">
        <w:rPr>
          <w:rFonts w:ascii="Times New Roman" w:hAnsi="Times New Roman"/>
          <w:color w:val="FF0000"/>
        </w:rPr>
        <w:t xml:space="preserve">being statistically different from episode-level </w:t>
      </w:r>
      <w:r w:rsidR="00322DF2" w:rsidRPr="00C93347">
        <w:rPr>
          <w:rFonts w:ascii="Times New Roman" w:hAnsi="Times New Roman"/>
          <w:color w:val="FF0000"/>
        </w:rPr>
        <w:t>coefficients</w:t>
      </w:r>
      <w:r w:rsidRPr="00C93347">
        <w:rPr>
          <w:rFonts w:ascii="Times New Roman" w:hAnsi="Times New Roman"/>
          <w:color w:val="FF0000"/>
        </w:rPr>
        <w:t xml:space="preserve">. Of the 15 MDC models that had any statistically significant (p&lt;0.05) decomposed ADI Index factors, 14 MDCs had statistically significant hospital-level </w:t>
      </w:r>
      <w:r w:rsidR="00322DF2" w:rsidRPr="00C93347">
        <w:rPr>
          <w:rFonts w:ascii="Times New Roman" w:hAnsi="Times New Roman"/>
          <w:color w:val="FF0000"/>
        </w:rPr>
        <w:t>coefficients</w:t>
      </w:r>
      <w:r w:rsidR="002E31E8" w:rsidRPr="00C93347">
        <w:rPr>
          <w:rFonts w:ascii="Times New Roman" w:hAnsi="Times New Roman"/>
          <w:color w:val="FF0000"/>
        </w:rPr>
        <w:t xml:space="preserve">, </w:t>
      </w:r>
      <w:r w:rsidR="005D5216" w:rsidRPr="00C93347">
        <w:rPr>
          <w:rFonts w:ascii="Times New Roman" w:hAnsi="Times New Roman"/>
          <w:color w:val="FF0000"/>
        </w:rPr>
        <w:t>with 1</w:t>
      </w:r>
      <w:r w:rsidR="0025719F" w:rsidRPr="00C93347">
        <w:rPr>
          <w:rFonts w:ascii="Times New Roman" w:hAnsi="Times New Roman"/>
          <w:color w:val="FF0000"/>
        </w:rPr>
        <w:t>2</w:t>
      </w:r>
      <w:r w:rsidR="005D5216" w:rsidRPr="00C93347">
        <w:rPr>
          <w:rFonts w:ascii="Times New Roman" w:hAnsi="Times New Roman"/>
          <w:color w:val="FF0000"/>
        </w:rPr>
        <w:t xml:space="preserve"> of these hospital-level </w:t>
      </w:r>
      <w:r w:rsidR="00536E32" w:rsidRPr="00C93347">
        <w:rPr>
          <w:rFonts w:ascii="Times New Roman" w:hAnsi="Times New Roman"/>
          <w:color w:val="FF0000"/>
        </w:rPr>
        <w:t xml:space="preserve">coefficients </w:t>
      </w:r>
      <w:r w:rsidR="005D5216" w:rsidRPr="00C93347">
        <w:rPr>
          <w:rFonts w:ascii="Times New Roman" w:hAnsi="Times New Roman"/>
          <w:color w:val="FF0000"/>
        </w:rPr>
        <w:t xml:space="preserve">being statistically different from episode-level </w:t>
      </w:r>
      <w:r w:rsidR="00536E32" w:rsidRPr="00C93347">
        <w:rPr>
          <w:rFonts w:ascii="Times New Roman" w:hAnsi="Times New Roman"/>
          <w:color w:val="FF0000"/>
        </w:rPr>
        <w:t>coefficients</w:t>
      </w:r>
      <w:r w:rsidRPr="00C93347">
        <w:rPr>
          <w:rFonts w:ascii="Times New Roman" w:hAnsi="Times New Roman"/>
          <w:color w:val="FF0000"/>
        </w:rPr>
        <w:t xml:space="preserve">. </w:t>
      </w:r>
      <w:r w:rsidR="00A8709E" w:rsidRPr="00C93347">
        <w:rPr>
          <w:rFonts w:ascii="Times New Roman" w:hAnsi="Times New Roman"/>
          <w:color w:val="FF0000"/>
        </w:rPr>
        <w:t>These results indicate the presence of a provider-level effect</w:t>
      </w:r>
      <w:r w:rsidR="00120F6E" w:rsidRPr="00C93347">
        <w:rPr>
          <w:rFonts w:ascii="Times New Roman" w:hAnsi="Times New Roman"/>
          <w:color w:val="FF0000"/>
        </w:rPr>
        <w:t xml:space="preserve">s (between-provider effects) and to the extent that these effects reflect true provider differences, including these social risk factors in risk-adjustment would mask these provider differences.  Moreover, </w:t>
      </w:r>
      <w:r w:rsidR="00536E32" w:rsidRPr="00C93347">
        <w:rPr>
          <w:rFonts w:ascii="Times New Roman" w:hAnsi="Times New Roman"/>
          <w:color w:val="FF0000"/>
        </w:rPr>
        <w:t xml:space="preserve">the inclusion </w:t>
      </w:r>
      <w:r w:rsidR="00120F6E" w:rsidRPr="00C93347">
        <w:rPr>
          <w:rFonts w:ascii="Times New Roman" w:hAnsi="Times New Roman"/>
          <w:color w:val="FF0000"/>
        </w:rPr>
        <w:t xml:space="preserve">patient/episode/community level SRFs alone may still partially adjust for provider-level differences. </w:t>
      </w:r>
    </w:p>
    <w:p w14:paraId="1E080D31" w14:textId="77777777" w:rsidR="00120F6E" w:rsidRPr="00C93347" w:rsidRDefault="00120F6E" w:rsidP="00197BF0">
      <w:pPr>
        <w:pStyle w:val="NoSpacing"/>
        <w:rPr>
          <w:rFonts w:ascii="Times New Roman" w:hAnsi="Times New Roman"/>
          <w:color w:val="FF0000"/>
        </w:rPr>
      </w:pPr>
    </w:p>
    <w:p w14:paraId="1D71AD44" w14:textId="6B85EC99" w:rsidR="003D3F66" w:rsidRPr="00C93347" w:rsidRDefault="00E513C8" w:rsidP="00197BF0">
      <w:pPr>
        <w:pStyle w:val="NoSpacing"/>
        <w:rPr>
          <w:rFonts w:ascii="Times New Roman" w:hAnsi="Times New Roman"/>
          <w:color w:val="FF0000"/>
        </w:rPr>
      </w:pPr>
      <w:r w:rsidRPr="00C93347">
        <w:rPr>
          <w:rFonts w:ascii="Times New Roman" w:hAnsi="Times New Roman"/>
          <w:color w:val="FF0000"/>
        </w:rPr>
        <w:t xml:space="preserve">Together, these results indicate that while social risk factors are a likely predictor of episode costs their inclusion would have a limited and inconsistent effect on measure scores and that some of the variation captured by tested covariates is attributable to </w:t>
      </w:r>
      <w:r w:rsidR="00E42505" w:rsidRPr="00C93347">
        <w:rPr>
          <w:rFonts w:ascii="Times New Roman" w:hAnsi="Times New Roman"/>
          <w:color w:val="FF0000"/>
        </w:rPr>
        <w:t>provider-level differences</w:t>
      </w:r>
      <w:r w:rsidRPr="00C93347">
        <w:rPr>
          <w:rFonts w:ascii="Times New Roman" w:hAnsi="Times New Roman"/>
          <w:color w:val="FF0000"/>
        </w:rPr>
        <w:t xml:space="preserve">. </w:t>
      </w:r>
    </w:p>
    <w:p w14:paraId="34B460AC" w14:textId="77777777" w:rsidR="00E513C8" w:rsidRPr="00E513C8" w:rsidRDefault="00E513C8" w:rsidP="00E513C8">
      <w:pPr>
        <w:autoSpaceDE w:val="0"/>
        <w:autoSpaceDN w:val="0"/>
        <w:adjustRightInd w:val="0"/>
        <w:spacing w:after="0" w:line="240" w:lineRule="auto"/>
        <w:rPr>
          <w:rFonts w:ascii="Times New Roman" w:hAnsi="Times New Roman" w:cs="Times New Roman"/>
          <w:bCs/>
          <w:color w:val="0070C0"/>
        </w:rPr>
      </w:pPr>
    </w:p>
    <w:p w14:paraId="3F600A8D" w14:textId="66B301EC" w:rsidR="003D3F66" w:rsidRPr="0037388B" w:rsidRDefault="003D3F66" w:rsidP="0037388B">
      <w:pPr>
        <w:pStyle w:val="NoSpacing"/>
        <w:rPr>
          <w:rFonts w:ascii="Times New Roman" w:hAnsi="Times New Roman"/>
          <w:u w:val="single"/>
        </w:rPr>
      </w:pPr>
      <w:r w:rsidRPr="0037388B">
        <w:rPr>
          <w:rFonts w:ascii="Times New Roman" w:hAnsi="Times New Roman"/>
          <w:u w:val="single"/>
        </w:rPr>
        <w:t>Previous Response (2016)</w:t>
      </w:r>
      <w:proofErr w:type="gramStart"/>
      <w:r w:rsidRPr="0037388B">
        <w:rPr>
          <w:rFonts w:ascii="Times New Roman" w:hAnsi="Times New Roman"/>
          <w:u w:val="single"/>
        </w:rPr>
        <w:t>:</w:t>
      </w:r>
      <w:r w:rsidRPr="00CD6B52">
        <w:t>This</w:t>
      </w:r>
      <w:proofErr w:type="gramEnd"/>
      <w:r w:rsidRPr="00CD6B52">
        <w:t xml:space="preserve"> section discusses the methodology used to analyze the following aspects of risk adjustment: (i) specification of the look-back period and stratification options, (ii) validity of current risk adjustment model, and (iii) evaluation of including SES and SDS. </w:t>
      </w:r>
    </w:p>
    <w:p w14:paraId="6428DB69" w14:textId="77777777" w:rsidR="006C3944" w:rsidRPr="00CD6B52" w:rsidRDefault="006C3944" w:rsidP="0037388B">
      <w:pPr>
        <w:pStyle w:val="NoSpacing"/>
      </w:pPr>
    </w:p>
    <w:p w14:paraId="628193EB" w14:textId="5D8F792F" w:rsidR="003D3F66" w:rsidRPr="00CD6B52" w:rsidRDefault="003D3F66" w:rsidP="0037388B">
      <w:pPr>
        <w:pStyle w:val="NoSpacing"/>
        <w:rPr>
          <w:rFonts w:eastAsia="Times New Roman"/>
        </w:rPr>
      </w:pPr>
      <w:r w:rsidRPr="00CD6B52">
        <w:t>Empirical evaluations of (i) focused on two specifications: first, the look-back period used to calculate comorbidities, and second, the methodology used to stratify the risk adjustment models.  For the look-back period, the two options were 90-days, which is the period used in the current measure calculation, and 1 year.  For stratifying the risk adjustment model, the options were to use only MDC, which is the current specification, or to use a combination of MDC and institutional status (i.e., whether a beneficiary is in long term care as determined using MDS data).</w:t>
      </w:r>
    </w:p>
    <w:p w14:paraId="67DFAD69" w14:textId="77777777" w:rsidR="006C3944" w:rsidRPr="00CD6B52" w:rsidRDefault="006C3944" w:rsidP="0037388B">
      <w:pPr>
        <w:pStyle w:val="NoSpacing"/>
        <w:rPr>
          <w:rFonts w:eastAsia="Times New Roman"/>
        </w:rPr>
      </w:pPr>
    </w:p>
    <w:p w14:paraId="20149044" w14:textId="69070797" w:rsidR="003D3F66" w:rsidRPr="00CD6B52" w:rsidRDefault="003D3F66" w:rsidP="0037388B">
      <w:pPr>
        <w:pStyle w:val="NoSpacing"/>
        <w:rPr>
          <w:rFonts w:eastAsia="Times New Roman"/>
        </w:rPr>
      </w:pPr>
      <w:r w:rsidRPr="00CD6B52">
        <w:rPr>
          <w:rFonts w:eastAsia="Times New Roman"/>
        </w:rPr>
        <w:t xml:space="preserve">To demonstrate the validity of the MSPB risk adjustment methodology, we calculated the distribution of episode spending and R-squared by decile to examine the model’s ability to predict both very low and high cost episodes. Specifically, we created a “risk score” for each episode calculated as the predicted cost values from each episode divided by the national average predicted cost value.  After arranging episodes into deciles based on the risk score, we calculated the predictive ratio for each decile using the formula of </w:t>
      </w:r>
      <w:proofErr w:type="gramStart"/>
      <w:r w:rsidRPr="00CD6B52">
        <w:rPr>
          <w:rFonts w:eastAsia="Times New Roman"/>
        </w:rPr>
        <w:t>average(</w:t>
      </w:r>
      <w:proofErr w:type="gramEnd"/>
      <w:r w:rsidRPr="00CD6B52">
        <w:rPr>
          <w:rFonts w:eastAsia="Times New Roman"/>
        </w:rPr>
        <w:t>expected cost)/average(observed cost) for all episodes in each decile.  In addition, we calculated a “90/10 ratio,” comparing the average cost of episodes in the first decile to the average cost of episodes in the tenth decile for observed costs and risk-adjusted costs.  Risk-adjusted costs were calculated in two ways, by ratio and by residual.  For the ratio calculation, we calculated risk</w:t>
      </w:r>
      <w:r w:rsidR="0091518E">
        <w:rPr>
          <w:rFonts w:eastAsia="Times New Roman"/>
        </w:rPr>
        <w:t>-</w:t>
      </w:r>
      <w:r w:rsidRPr="00CD6B52">
        <w:rPr>
          <w:rFonts w:eastAsia="Times New Roman"/>
        </w:rPr>
        <w:t>adjusted cost for each episode as (observed cost/expected cost), multiplied by a national mean cost.  For the residual calculation, we calculated risk</w:t>
      </w:r>
      <w:r w:rsidR="0091518E">
        <w:rPr>
          <w:rFonts w:eastAsia="Times New Roman"/>
        </w:rPr>
        <w:t>-</w:t>
      </w:r>
      <w:r w:rsidRPr="00CD6B52">
        <w:rPr>
          <w:rFonts w:eastAsia="Times New Roman"/>
        </w:rPr>
        <w:t>adjusted cost for each episode as (observed cost – expected cost) + national mean observed cost.</w:t>
      </w:r>
    </w:p>
    <w:p w14:paraId="7C2C301D" w14:textId="77777777" w:rsidR="006C3944" w:rsidRPr="00CD6B52" w:rsidRDefault="006C3944" w:rsidP="0037388B">
      <w:pPr>
        <w:pStyle w:val="NoSpacing"/>
        <w:rPr>
          <w:rFonts w:eastAsia="Times New Roman"/>
        </w:rPr>
      </w:pPr>
    </w:p>
    <w:p w14:paraId="4FEF37C6" w14:textId="0B0C913B" w:rsidR="003D3F66" w:rsidRPr="00CD6B52" w:rsidRDefault="003D3F66" w:rsidP="0037388B">
      <w:pPr>
        <w:pStyle w:val="NoSpacing"/>
        <w:rPr>
          <w:rFonts w:eastAsia="Times New Roman"/>
        </w:rPr>
      </w:pPr>
      <w:r w:rsidRPr="00CD6B52">
        <w:rPr>
          <w:rFonts w:eastAsia="Times New Roman"/>
        </w:rPr>
        <w:lastRenderedPageBreak/>
        <w:t xml:space="preserve">We examined the impact of including SES or SDS into our risk adjustment model with three tests: F-test of significance, difference in MSPB-Hospital measure scores, and correlation between MSPB-Hospital measure scores.  First, we performed F-tests to assess the significance of SES and SDS on predicting resource use.  The F-test revealed many significant p-values at the MDC level (see Appendix Table 2b4-4 and 2b4-6).  This indicates that SES and SDS are likely predictive factors for determining resource use among beneficiaries for the relevant MDCs.  </w:t>
      </w:r>
    </w:p>
    <w:p w14:paraId="3FC2087A" w14:textId="77777777" w:rsidR="006C3944" w:rsidRPr="00CD6B52" w:rsidRDefault="006C3944" w:rsidP="0037388B">
      <w:pPr>
        <w:pStyle w:val="NoSpacing"/>
        <w:rPr>
          <w:rFonts w:eastAsia="Times New Roman"/>
        </w:rPr>
      </w:pPr>
    </w:p>
    <w:p w14:paraId="273B942D" w14:textId="4B714CFB" w:rsidR="003D3F66" w:rsidRDefault="003D3F66" w:rsidP="0037388B">
      <w:pPr>
        <w:pStyle w:val="NoSpacing"/>
        <w:rPr>
          <w:rFonts w:eastAsia="Times New Roman"/>
        </w:rPr>
      </w:pPr>
      <w:r w:rsidRPr="00CD6B52">
        <w:rPr>
          <w:rFonts w:eastAsia="Times New Roman"/>
        </w:rPr>
        <w:t>Overall, SES and SDS are likely predictive of variation in resource use.  However, when including SES or SDS in our risk adjustment regression with other variables, the very minor change in hospital scores indicates that SES and SDS effects on hospital scores are largely captured through existing risk adjustment variables. We sought to determine the effect of incorporating SES or SDS into our risk adjustment model by determining the difference in MSPB-Hospital measure scores when including SES or SDS.  In both cases, the differences in MSPB-Hospital measure scores were minimal (see Appendix Table 2b4-5 and 2b4-7).  When including SES in risk adjustment, the MSPB-Hospital measure score for 97% of hospitals changed by ±0.01 or less.  When including SDS in risk adjustment, the MSPB-Hospital measure score for 95% of hospitals changed by ±0.01 or less.  Finally, we analyzed the correlation between MSPB-Hospital measure scores calculated with and without SES or SDS.  The MSPB-Hospital measure scores calculated with and without SES were highly correlated (&gt;0.998), as were measure scores calculated with and without SDS (&gt;0.997).  Because inclusion of SES and SDS factors has a minimal impact on the measure score and due to the high correlation values, we do not believe that including SES or SDS factors in the MSPB-Hospital risk adjustment methodology is appropriate.</w:t>
      </w:r>
    </w:p>
    <w:p w14:paraId="54A32262" w14:textId="116AE458" w:rsidR="006C3944" w:rsidRPr="00CD6B52" w:rsidRDefault="006C3944" w:rsidP="0037388B">
      <w:pPr>
        <w:pStyle w:val="NoSpacing"/>
        <w:rPr>
          <w:rFonts w:eastAsia="Times New Roman"/>
          <w:b/>
        </w:rPr>
      </w:pPr>
    </w:p>
    <w:p w14:paraId="4289841F" w14:textId="762AF62A" w:rsidR="006C3944" w:rsidRPr="00CD6B52" w:rsidRDefault="006C3944" w:rsidP="0037388B">
      <w:pPr>
        <w:pStyle w:val="NoSpacing"/>
      </w:pPr>
      <w:r w:rsidRPr="0037388B">
        <w:rPr>
          <w:rFonts w:eastAsia="Times New Roman"/>
          <w:bCs/>
          <w:u w:val="single"/>
        </w:rPr>
        <w:t>Previous Response (2016) Appendix A:</w:t>
      </w:r>
      <w:r w:rsidR="0037388B">
        <w:rPr>
          <w:rFonts w:eastAsia="Times New Roman"/>
          <w:b/>
        </w:rPr>
        <w:t xml:space="preserve"> </w:t>
      </w:r>
      <w:r w:rsidRPr="00CD6B52">
        <w:t>The MSPB-Hospital measure risk adjustment methodology is based on the CMS-HCC risk adjustment methodology, as described in the original measure submission.  The measure uses OLS regressions for each Major Diagnostic Category to calculate expected episode cost.</w:t>
      </w:r>
    </w:p>
    <w:p w14:paraId="598471A5" w14:textId="77777777" w:rsidR="006C3944" w:rsidRDefault="006C3944" w:rsidP="0037388B">
      <w:pPr>
        <w:pStyle w:val="NoSpacing"/>
      </w:pPr>
    </w:p>
    <w:p w14:paraId="309E7127" w14:textId="34F894D5" w:rsidR="006C3944" w:rsidRDefault="006C3944" w:rsidP="0037388B">
      <w:pPr>
        <w:pStyle w:val="NoSpacing"/>
      </w:pPr>
      <w:r w:rsidRPr="00CD6B52">
        <w:t>The original submission included analysis on both socioeconomic status (SES) and sociodemographic status (SDS), where SDS is defined as SES and race considered together.  The SES variable used was family income-to-poverty ratio, while race was calculated as non-black or black.  Family income-to-poverty ratio was selected to strike a balance between individual and community factors related to SES, as individual family members may pool financial resources to provide care for older relatives.  Empirical testing of SDS in the original submission included an F-test of significance, the difference in MSPB-Hospital measure score, and the correlation between measure scores calculated with SES/SDS and measure scores calculated without the SES or SDS variable.</w:t>
      </w:r>
    </w:p>
    <w:p w14:paraId="3F728ED7" w14:textId="77777777" w:rsidR="0037388B" w:rsidRPr="00CD6B52" w:rsidRDefault="0037388B" w:rsidP="0037388B">
      <w:pPr>
        <w:pStyle w:val="NoSpacing"/>
      </w:pPr>
    </w:p>
    <w:p w14:paraId="2C765D22" w14:textId="486A66DA" w:rsidR="006C3944" w:rsidRDefault="006C3944" w:rsidP="0037388B">
      <w:pPr>
        <w:pStyle w:val="NoSpacing"/>
      </w:pPr>
      <w:r w:rsidRPr="0037388B">
        <w:rPr>
          <w:rFonts w:ascii="Times New Roman" w:hAnsi="Times New Roman"/>
          <w:i/>
          <w:iCs/>
        </w:rPr>
        <w:t>NQF Committee Feedback</w:t>
      </w:r>
      <w:r w:rsidR="0037388B" w:rsidRPr="0037388B">
        <w:rPr>
          <w:rFonts w:ascii="Times New Roman" w:hAnsi="Times New Roman"/>
          <w:i/>
          <w:iCs/>
        </w:rPr>
        <w:t>:</w:t>
      </w:r>
      <w:r w:rsidR="0037388B">
        <w:rPr>
          <w:rFonts w:ascii="Times New Roman" w:hAnsi="Times New Roman"/>
        </w:rPr>
        <w:t xml:space="preserve"> </w:t>
      </w:r>
      <w:r w:rsidRPr="00CD6B52">
        <w:t>Committee members pointed out three areas that could require further investigation for risk adjustment.  First, some members recognized that inclusion of SDS in risk adjustment has little impact on measure scores for the vast majority of providers, but expressed concern that not including SDS variables in risk adjustment could have a large impact on providers at the edge of the distribution.  Second, the committee asked whether Acumen tested the use of a dual eligibility flag for risk adjustment to account for SDS factors.  Third, one committee member noted that the disability variable taken from the enrollment file may not include the entire originally disabled population, as the Enrollment Data Base (EDB) contains a disability variable that turns from 1 to 0 when a beneficiary becomes 65 years old.</w:t>
      </w:r>
    </w:p>
    <w:p w14:paraId="5143171B" w14:textId="77777777" w:rsidR="0037388B" w:rsidRPr="00CD6B52" w:rsidRDefault="0037388B" w:rsidP="0037388B">
      <w:pPr>
        <w:pStyle w:val="NoSpacing"/>
      </w:pPr>
    </w:p>
    <w:p w14:paraId="45E9DD55" w14:textId="211CED7D" w:rsidR="006C3944" w:rsidRPr="00CD6B52" w:rsidRDefault="006C3944" w:rsidP="0037388B">
      <w:pPr>
        <w:pStyle w:val="NoSpacing"/>
      </w:pPr>
      <w:r w:rsidRPr="0037388B">
        <w:rPr>
          <w:rFonts w:ascii="Times New Roman" w:hAnsi="Times New Roman"/>
          <w:i/>
          <w:iCs/>
        </w:rPr>
        <w:t>Methods</w:t>
      </w:r>
      <w:r w:rsidR="0037388B" w:rsidRPr="0037388B">
        <w:rPr>
          <w:rFonts w:ascii="Times New Roman" w:hAnsi="Times New Roman"/>
          <w:i/>
          <w:iCs/>
        </w:rPr>
        <w:t>:</w:t>
      </w:r>
      <w:r w:rsidR="0037388B">
        <w:rPr>
          <w:rFonts w:ascii="Times New Roman" w:hAnsi="Times New Roman"/>
        </w:rPr>
        <w:t xml:space="preserve"> </w:t>
      </w:r>
      <w:r w:rsidRPr="00CD6B52">
        <w:t xml:space="preserve">Acumen ran analyses using two versions of a risk adjustment model that account for dual status by including either (i) separate flags for full and partial dual status or (ii) one flag for full or partial </w:t>
      </w:r>
      <w:r w:rsidRPr="00CD6B52">
        <w:lastRenderedPageBreak/>
        <w:t>dual status.  The first analysis shows the distribution of the difference between a hospital’s MSPB-Hospital measure score when calculating expected cost normally and when calculating expected cost using one of the two models accounting for dual status mentioned above.  The difference was calculated as (MSPB-Hospital score) – (MSPB-Hospital score, adjusted for dual enrollment).  Dual enrollment was identified using the dual enrollment variable in the Common Medicare Enrollment (CME) file.</w:t>
      </w:r>
      <w:r w:rsidRPr="00CD6B52">
        <w:rPr>
          <w:rStyle w:val="FootnoteReference"/>
        </w:rPr>
        <w:footnoteReference w:id="52"/>
      </w:r>
      <w:r w:rsidRPr="00CD6B52">
        <w:t xml:space="preserve">  Acumen also calculated the mean MSPB-Hospital measure score for providers based on the percent of beneficiaries with full or partial dual status.  Finally, Acumen conducted an analysis of episodes for non-dual beneficiaries and episodes for dual beneficiaries to identify whether the measure score for hospitals that treat high proportions of dual beneficiaries are affected significantly by their dual population’s episodes or not.</w:t>
      </w:r>
    </w:p>
    <w:p w14:paraId="58DD69CE" w14:textId="77777777" w:rsidR="006C3944" w:rsidRDefault="006C3944" w:rsidP="0037388B">
      <w:pPr>
        <w:pStyle w:val="NoSpacing"/>
      </w:pPr>
    </w:p>
    <w:p w14:paraId="37DCD082" w14:textId="321DDF23" w:rsidR="006C3944" w:rsidRDefault="006C3944" w:rsidP="0037388B">
      <w:pPr>
        <w:pStyle w:val="NoSpacing"/>
      </w:pPr>
      <w:r w:rsidRPr="00CD6B52">
        <w:t>Acumen also investigated the originally disabled variable to identify whether beneficiaries older than the age of 65 had an active originally disabled flag (i.e., variable remained having a value of 1).</w:t>
      </w:r>
    </w:p>
    <w:p w14:paraId="3F0622BF" w14:textId="77777777" w:rsidR="0037388B" w:rsidRPr="00CD6B52" w:rsidRDefault="0037388B" w:rsidP="0037388B">
      <w:pPr>
        <w:pStyle w:val="NoSpacing"/>
      </w:pPr>
    </w:p>
    <w:p w14:paraId="53DD1489" w14:textId="72EABB3C" w:rsidR="006C3944" w:rsidRDefault="006C3944" w:rsidP="0037388B">
      <w:pPr>
        <w:pStyle w:val="NoSpacing"/>
      </w:pPr>
      <w:r w:rsidRPr="0037388B">
        <w:rPr>
          <w:rFonts w:ascii="Times New Roman" w:hAnsi="Times New Roman"/>
          <w:i/>
          <w:iCs/>
        </w:rPr>
        <w:t>Results</w:t>
      </w:r>
      <w:r w:rsidR="0037388B">
        <w:rPr>
          <w:rFonts w:ascii="Times New Roman" w:hAnsi="Times New Roman"/>
          <w:i/>
          <w:iCs/>
        </w:rPr>
        <w:t xml:space="preserve">: </w:t>
      </w:r>
      <w:r w:rsidRPr="00CD6B52">
        <w:t xml:space="preserve">Supplementary Table 5 shows that the standard deviation of the difference between provider’s MSPB-Hospital measure score when calculated normally and when risk adjusting for dual beneficiaries is 0.003.  The standard deviation does not change based on using separate flags for full and partial dual status or when using a single flag for full or partial dual status.  </w:t>
      </w:r>
    </w:p>
    <w:p w14:paraId="0B394193" w14:textId="77777777" w:rsidR="006C3944" w:rsidRPr="00CD6B52" w:rsidRDefault="006C3944" w:rsidP="0037388B">
      <w:pPr>
        <w:pStyle w:val="NoSpacing"/>
      </w:pPr>
    </w:p>
    <w:p w14:paraId="6369C108" w14:textId="77777777" w:rsidR="006C3944" w:rsidRPr="00CD6B52" w:rsidRDefault="006C3944" w:rsidP="0037388B">
      <w:pPr>
        <w:pStyle w:val="NoSpacing"/>
        <w:rPr>
          <w:rFonts w:ascii="Times New Roman" w:hAnsi="Times New Roman"/>
        </w:rPr>
      </w:pPr>
      <w:r w:rsidRPr="00CD6B52">
        <w:rPr>
          <w:rFonts w:ascii="Times New Roman" w:hAnsi="Times New Roman"/>
        </w:rPr>
        <w:t>Supplementary Table 5: Difference in MSPB-Hospital Score When Risk Adjusting for Beneficiary Dual Status</w:t>
      </w:r>
    </w:p>
    <w:tbl>
      <w:tblPr>
        <w:tblW w:w="5662" w:type="dxa"/>
        <w:jc w:val="center"/>
        <w:tblLook w:val="04A0" w:firstRow="1" w:lastRow="0" w:firstColumn="1" w:lastColumn="0" w:noHBand="0" w:noVBand="1"/>
      </w:tblPr>
      <w:tblGrid>
        <w:gridCol w:w="2367"/>
        <w:gridCol w:w="1133"/>
        <w:gridCol w:w="1194"/>
        <w:gridCol w:w="1132"/>
      </w:tblGrid>
      <w:tr w:rsidR="006C3944" w:rsidRPr="006C3944" w14:paraId="184AE814" w14:textId="77777777" w:rsidTr="006C3944">
        <w:trPr>
          <w:cantSplit/>
          <w:trHeight w:val="509"/>
          <w:tblHeader/>
          <w:jc w:val="center"/>
        </w:trPr>
        <w:tc>
          <w:tcPr>
            <w:tcW w:w="2367" w:type="dxa"/>
            <w:vMerge w:val="restart"/>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6B1F3402"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Type of Dual Flag</w:t>
            </w:r>
          </w:p>
        </w:tc>
        <w:tc>
          <w:tcPr>
            <w:tcW w:w="1097" w:type="dxa"/>
            <w:vMerge w:val="restart"/>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271B2458"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 of Providers</w:t>
            </w:r>
          </w:p>
        </w:tc>
        <w:tc>
          <w:tcPr>
            <w:tcW w:w="1066" w:type="dxa"/>
            <w:vMerge w:val="restart"/>
            <w:tcBorders>
              <w:top w:val="single" w:sz="8" w:space="0" w:color="auto"/>
              <w:left w:val="single" w:sz="4" w:space="0" w:color="auto"/>
              <w:bottom w:val="single" w:sz="4" w:space="0" w:color="auto"/>
              <w:right w:val="single" w:sz="4" w:space="0" w:color="auto"/>
            </w:tcBorders>
            <w:shd w:val="clear" w:color="000000" w:fill="203764"/>
            <w:noWrap/>
            <w:vAlign w:val="center"/>
            <w:hideMark/>
          </w:tcPr>
          <w:p w14:paraId="574E01EF"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Mean Difference</w:t>
            </w:r>
          </w:p>
        </w:tc>
        <w:tc>
          <w:tcPr>
            <w:tcW w:w="1132" w:type="dxa"/>
            <w:vMerge w:val="restart"/>
            <w:tcBorders>
              <w:top w:val="single" w:sz="8" w:space="0" w:color="auto"/>
              <w:left w:val="single" w:sz="4" w:space="0" w:color="auto"/>
              <w:bottom w:val="single" w:sz="4" w:space="0" w:color="auto"/>
              <w:right w:val="single" w:sz="4" w:space="0" w:color="auto"/>
            </w:tcBorders>
            <w:shd w:val="clear" w:color="000000" w:fill="203764"/>
            <w:noWrap/>
            <w:vAlign w:val="center"/>
            <w:hideMark/>
          </w:tcPr>
          <w:p w14:paraId="66AD0FFA"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Std Dev.</w:t>
            </w:r>
          </w:p>
        </w:tc>
      </w:tr>
      <w:tr w:rsidR="006C3944" w:rsidRPr="006C3944" w14:paraId="1A4438FF" w14:textId="77777777" w:rsidTr="006C3944">
        <w:trPr>
          <w:trHeight w:val="509"/>
          <w:jc w:val="center"/>
        </w:trPr>
        <w:tc>
          <w:tcPr>
            <w:tcW w:w="2367" w:type="dxa"/>
            <w:vMerge/>
            <w:tcBorders>
              <w:top w:val="single" w:sz="8" w:space="0" w:color="auto"/>
              <w:left w:val="single" w:sz="8" w:space="0" w:color="auto"/>
              <w:bottom w:val="single" w:sz="4" w:space="0" w:color="auto"/>
              <w:right w:val="single" w:sz="4" w:space="0" w:color="auto"/>
            </w:tcBorders>
            <w:vAlign w:val="center"/>
            <w:hideMark/>
          </w:tcPr>
          <w:p w14:paraId="0CB5FD38" w14:textId="77777777" w:rsidR="006C3944" w:rsidRPr="00CD6B52" w:rsidRDefault="006C3944" w:rsidP="0037388B">
            <w:pPr>
              <w:pStyle w:val="NoSpacing"/>
              <w:rPr>
                <w:rFonts w:ascii="Times New Roman" w:eastAsia="Times New Roman" w:hAnsi="Times New Roman"/>
                <w:b/>
                <w:color w:val="FFFFFF"/>
              </w:rPr>
            </w:pPr>
          </w:p>
        </w:tc>
        <w:tc>
          <w:tcPr>
            <w:tcW w:w="1097" w:type="dxa"/>
            <w:vMerge/>
            <w:tcBorders>
              <w:top w:val="single" w:sz="8" w:space="0" w:color="auto"/>
              <w:left w:val="single" w:sz="8" w:space="0" w:color="auto"/>
              <w:bottom w:val="single" w:sz="4" w:space="0" w:color="auto"/>
              <w:right w:val="single" w:sz="4" w:space="0" w:color="auto"/>
            </w:tcBorders>
            <w:vAlign w:val="center"/>
            <w:hideMark/>
          </w:tcPr>
          <w:p w14:paraId="3CBFF86E" w14:textId="77777777" w:rsidR="006C3944" w:rsidRPr="00CD6B52" w:rsidRDefault="006C3944" w:rsidP="0037388B">
            <w:pPr>
              <w:pStyle w:val="NoSpacing"/>
              <w:rPr>
                <w:rFonts w:ascii="Times New Roman" w:eastAsia="Times New Roman" w:hAnsi="Times New Roman"/>
                <w:b/>
                <w:color w:val="FFFFFF"/>
              </w:rPr>
            </w:pPr>
          </w:p>
        </w:tc>
        <w:tc>
          <w:tcPr>
            <w:tcW w:w="1066" w:type="dxa"/>
            <w:vMerge/>
            <w:tcBorders>
              <w:top w:val="single" w:sz="8" w:space="0" w:color="auto"/>
              <w:left w:val="single" w:sz="4" w:space="0" w:color="auto"/>
              <w:bottom w:val="single" w:sz="4" w:space="0" w:color="auto"/>
              <w:right w:val="single" w:sz="4" w:space="0" w:color="auto"/>
            </w:tcBorders>
            <w:vAlign w:val="center"/>
            <w:hideMark/>
          </w:tcPr>
          <w:p w14:paraId="2BAA5872" w14:textId="77777777" w:rsidR="006C3944" w:rsidRPr="00CD6B52" w:rsidRDefault="006C3944" w:rsidP="0037388B">
            <w:pPr>
              <w:pStyle w:val="NoSpacing"/>
              <w:rPr>
                <w:rFonts w:ascii="Times New Roman" w:eastAsia="Times New Roman" w:hAnsi="Times New Roman"/>
                <w:b/>
                <w:color w:val="FFFFFF"/>
              </w:rPr>
            </w:pPr>
          </w:p>
        </w:tc>
        <w:tc>
          <w:tcPr>
            <w:tcW w:w="1132" w:type="dxa"/>
            <w:vMerge/>
            <w:tcBorders>
              <w:top w:val="single" w:sz="8" w:space="0" w:color="auto"/>
              <w:left w:val="single" w:sz="4" w:space="0" w:color="auto"/>
              <w:bottom w:val="single" w:sz="4" w:space="0" w:color="auto"/>
              <w:right w:val="single" w:sz="4" w:space="0" w:color="auto"/>
            </w:tcBorders>
            <w:vAlign w:val="center"/>
            <w:hideMark/>
          </w:tcPr>
          <w:p w14:paraId="410FE801" w14:textId="77777777" w:rsidR="006C3944" w:rsidRPr="00CD6B52" w:rsidRDefault="006C3944" w:rsidP="0037388B">
            <w:pPr>
              <w:pStyle w:val="NoSpacing"/>
              <w:rPr>
                <w:rFonts w:ascii="Times New Roman" w:eastAsia="Times New Roman" w:hAnsi="Times New Roman"/>
                <w:b/>
                <w:color w:val="FFFFFF"/>
              </w:rPr>
            </w:pPr>
          </w:p>
        </w:tc>
      </w:tr>
      <w:tr w:rsidR="006C3944" w:rsidRPr="006C3944" w14:paraId="31D9EF24" w14:textId="77777777" w:rsidTr="006C3944">
        <w:trPr>
          <w:trHeight w:val="107"/>
          <w:jc w:val="center"/>
        </w:trPr>
        <w:tc>
          <w:tcPr>
            <w:tcW w:w="23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B3ED1"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Separate Flags for Full and Partial Dual</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4FB5A9E6"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3,298</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0743AB75"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0.001</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A15653F"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0.003</w:t>
            </w:r>
          </w:p>
        </w:tc>
      </w:tr>
      <w:tr w:rsidR="006C3944" w:rsidRPr="006C3944" w14:paraId="6856AFEA" w14:textId="77777777" w:rsidTr="006C3944">
        <w:trPr>
          <w:trHeight w:val="114"/>
          <w:jc w:val="center"/>
        </w:trPr>
        <w:tc>
          <w:tcPr>
            <w:tcW w:w="23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7F5F9"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Single Flag for Full or Partial Dual</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C640647"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3,298</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2451D42C"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0.001</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245518E"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0.003</w:t>
            </w:r>
          </w:p>
        </w:tc>
      </w:tr>
    </w:tbl>
    <w:p w14:paraId="329E214F" w14:textId="77777777" w:rsidR="006C3944" w:rsidRDefault="006C3944" w:rsidP="0037388B">
      <w:pPr>
        <w:pStyle w:val="NoSpacing"/>
      </w:pPr>
    </w:p>
    <w:p w14:paraId="60A7A39C" w14:textId="777096E8" w:rsidR="006C3944" w:rsidRDefault="006C3944" w:rsidP="0037388B">
      <w:pPr>
        <w:pStyle w:val="NoSpacing"/>
      </w:pPr>
      <w:r w:rsidRPr="00CD6B52">
        <w:t>Supplementary Table 6 shows the distribution of the difference in MSPB-Hospital measure scores when adjusting for beneficiary dual status.  When using separate flags for full dual status and partial dual status, the 0.1</w:t>
      </w:r>
      <w:r w:rsidRPr="00CD6B52">
        <w:rPr>
          <w:vertAlign w:val="superscript"/>
        </w:rPr>
        <w:t>th</w:t>
      </w:r>
      <w:r w:rsidRPr="00CD6B52">
        <w:t xml:space="preserve"> percentile has a difference of -0.025, while the 99.9</w:t>
      </w:r>
      <w:r w:rsidRPr="00CD6B52">
        <w:rPr>
          <w:vertAlign w:val="superscript"/>
        </w:rPr>
        <w:t>th</w:t>
      </w:r>
      <w:r w:rsidRPr="00CD6B52">
        <w:t xml:space="preserve"> percentile has a difference of 0.020.  When using a single flag for full dual status or partial dual status, the 0.1</w:t>
      </w:r>
      <w:r w:rsidRPr="00CD6B52">
        <w:rPr>
          <w:vertAlign w:val="superscript"/>
        </w:rPr>
        <w:t>th</w:t>
      </w:r>
      <w:r w:rsidRPr="00CD6B52">
        <w:t xml:space="preserve"> percentile has a difference of -0.029, while the 99.9</w:t>
      </w:r>
      <w:r w:rsidRPr="00CD6B52">
        <w:rPr>
          <w:vertAlign w:val="superscript"/>
        </w:rPr>
        <w:t>th</w:t>
      </w:r>
      <w:r w:rsidRPr="00CD6B52">
        <w:t xml:space="preserve"> percentile has a difference of 0.017.  </w:t>
      </w:r>
    </w:p>
    <w:p w14:paraId="355A3FDD" w14:textId="77777777" w:rsidR="006C3944" w:rsidRPr="00CD6B52" w:rsidRDefault="006C3944" w:rsidP="0037388B">
      <w:pPr>
        <w:pStyle w:val="NoSpacing"/>
      </w:pPr>
    </w:p>
    <w:p w14:paraId="1A3C7E54" w14:textId="77777777" w:rsidR="006C3944" w:rsidRPr="00CD6B52" w:rsidRDefault="006C3944" w:rsidP="0037388B">
      <w:pPr>
        <w:pStyle w:val="NoSpacing"/>
        <w:rPr>
          <w:rFonts w:ascii="Times New Roman" w:hAnsi="Times New Roman"/>
        </w:rPr>
      </w:pPr>
      <w:r w:rsidRPr="00CD6B52">
        <w:rPr>
          <w:rFonts w:ascii="Times New Roman" w:hAnsi="Times New Roman"/>
        </w:rPr>
        <w:t>Supplementary Table 6: Distribution of Difference in MSPB-Hospital Score When Risk Adjusting for Beneficiary Dual Status</w:t>
      </w:r>
    </w:p>
    <w:tbl>
      <w:tblPr>
        <w:tblW w:w="9827" w:type="dxa"/>
        <w:jc w:val="center"/>
        <w:tblCellMar>
          <w:left w:w="72" w:type="dxa"/>
          <w:right w:w="72" w:type="dxa"/>
        </w:tblCellMar>
        <w:tblLook w:val="04A0" w:firstRow="1" w:lastRow="0" w:firstColumn="1" w:lastColumn="0" w:noHBand="0" w:noVBand="1"/>
      </w:tblPr>
      <w:tblGrid>
        <w:gridCol w:w="1547"/>
        <w:gridCol w:w="873"/>
        <w:gridCol w:w="990"/>
        <w:gridCol w:w="990"/>
        <w:gridCol w:w="900"/>
        <w:gridCol w:w="794"/>
        <w:gridCol w:w="1033"/>
        <w:gridCol w:w="990"/>
        <w:gridCol w:w="900"/>
        <w:gridCol w:w="810"/>
      </w:tblGrid>
      <w:tr w:rsidR="006C3944" w:rsidRPr="006C3944" w14:paraId="78FC5DD4" w14:textId="77777777" w:rsidTr="006C3944">
        <w:trPr>
          <w:cantSplit/>
          <w:trHeight w:val="255"/>
          <w:tblHeader/>
          <w:jc w:val="center"/>
        </w:trPr>
        <w:tc>
          <w:tcPr>
            <w:tcW w:w="1547" w:type="dxa"/>
            <w:vMerge w:val="restart"/>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1DC70A26"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Type of Dual Flag</w:t>
            </w:r>
          </w:p>
        </w:tc>
        <w:tc>
          <w:tcPr>
            <w:tcW w:w="8280" w:type="dxa"/>
            <w:gridSpan w:val="9"/>
            <w:tcBorders>
              <w:top w:val="single" w:sz="8" w:space="0" w:color="auto"/>
              <w:left w:val="single" w:sz="4" w:space="0" w:color="auto"/>
              <w:bottom w:val="single" w:sz="4" w:space="0" w:color="auto"/>
              <w:right w:val="single" w:sz="4" w:space="0" w:color="000000"/>
            </w:tcBorders>
            <w:shd w:val="clear" w:color="000000" w:fill="305496"/>
            <w:noWrap/>
            <w:vAlign w:val="center"/>
            <w:hideMark/>
          </w:tcPr>
          <w:p w14:paraId="77DD1F08"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Percentiles</w:t>
            </w:r>
          </w:p>
        </w:tc>
      </w:tr>
      <w:tr w:rsidR="006C3944" w:rsidRPr="006C3944" w14:paraId="69BEBDD8" w14:textId="77777777" w:rsidTr="006C3944">
        <w:trPr>
          <w:trHeight w:val="255"/>
          <w:jc w:val="center"/>
        </w:trPr>
        <w:tc>
          <w:tcPr>
            <w:tcW w:w="1547" w:type="dxa"/>
            <w:vMerge/>
            <w:tcBorders>
              <w:top w:val="single" w:sz="8" w:space="0" w:color="auto"/>
              <w:left w:val="single" w:sz="8" w:space="0" w:color="auto"/>
              <w:bottom w:val="single" w:sz="4" w:space="0" w:color="auto"/>
              <w:right w:val="single" w:sz="4" w:space="0" w:color="auto"/>
            </w:tcBorders>
            <w:vAlign w:val="center"/>
            <w:hideMark/>
          </w:tcPr>
          <w:p w14:paraId="04A88BD3" w14:textId="77777777" w:rsidR="006C3944" w:rsidRPr="00CD6B52" w:rsidRDefault="006C3944" w:rsidP="0037388B">
            <w:pPr>
              <w:pStyle w:val="NoSpacing"/>
              <w:rPr>
                <w:rFonts w:ascii="Times New Roman" w:eastAsia="Times New Roman" w:hAnsi="Times New Roman"/>
                <w:b/>
                <w:color w:val="FFFFFF"/>
              </w:rPr>
            </w:pPr>
          </w:p>
        </w:tc>
        <w:tc>
          <w:tcPr>
            <w:tcW w:w="873" w:type="dxa"/>
            <w:tcBorders>
              <w:top w:val="nil"/>
              <w:left w:val="single" w:sz="4" w:space="0" w:color="auto"/>
              <w:bottom w:val="single" w:sz="4" w:space="0" w:color="auto"/>
              <w:right w:val="single" w:sz="4" w:space="0" w:color="auto"/>
            </w:tcBorders>
            <w:shd w:val="clear" w:color="000000" w:fill="203764"/>
            <w:noWrap/>
            <w:vAlign w:val="center"/>
            <w:hideMark/>
          </w:tcPr>
          <w:p w14:paraId="5108D03A"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0.1th</w:t>
            </w:r>
          </w:p>
        </w:tc>
        <w:tc>
          <w:tcPr>
            <w:tcW w:w="990" w:type="dxa"/>
            <w:tcBorders>
              <w:top w:val="nil"/>
              <w:left w:val="nil"/>
              <w:bottom w:val="single" w:sz="4" w:space="0" w:color="auto"/>
              <w:right w:val="single" w:sz="4" w:space="0" w:color="auto"/>
            </w:tcBorders>
            <w:shd w:val="clear" w:color="000000" w:fill="203764"/>
            <w:noWrap/>
            <w:vAlign w:val="center"/>
            <w:hideMark/>
          </w:tcPr>
          <w:p w14:paraId="5A293236"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1st</w:t>
            </w:r>
          </w:p>
        </w:tc>
        <w:tc>
          <w:tcPr>
            <w:tcW w:w="990" w:type="dxa"/>
            <w:tcBorders>
              <w:top w:val="nil"/>
              <w:left w:val="nil"/>
              <w:bottom w:val="single" w:sz="4" w:space="0" w:color="auto"/>
              <w:right w:val="single" w:sz="4" w:space="0" w:color="auto"/>
            </w:tcBorders>
            <w:shd w:val="clear" w:color="000000" w:fill="203764"/>
            <w:noWrap/>
            <w:vAlign w:val="center"/>
            <w:hideMark/>
          </w:tcPr>
          <w:p w14:paraId="79782618"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5th</w:t>
            </w:r>
          </w:p>
        </w:tc>
        <w:tc>
          <w:tcPr>
            <w:tcW w:w="900" w:type="dxa"/>
            <w:tcBorders>
              <w:top w:val="nil"/>
              <w:left w:val="nil"/>
              <w:bottom w:val="single" w:sz="4" w:space="0" w:color="auto"/>
              <w:right w:val="single" w:sz="4" w:space="0" w:color="auto"/>
            </w:tcBorders>
            <w:shd w:val="clear" w:color="000000" w:fill="203764"/>
            <w:noWrap/>
            <w:vAlign w:val="center"/>
            <w:hideMark/>
          </w:tcPr>
          <w:p w14:paraId="115A56D1"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25th</w:t>
            </w:r>
          </w:p>
        </w:tc>
        <w:tc>
          <w:tcPr>
            <w:tcW w:w="794" w:type="dxa"/>
            <w:tcBorders>
              <w:top w:val="nil"/>
              <w:left w:val="nil"/>
              <w:bottom w:val="single" w:sz="4" w:space="0" w:color="auto"/>
              <w:right w:val="single" w:sz="4" w:space="0" w:color="auto"/>
            </w:tcBorders>
            <w:shd w:val="clear" w:color="000000" w:fill="203764"/>
            <w:noWrap/>
            <w:vAlign w:val="center"/>
            <w:hideMark/>
          </w:tcPr>
          <w:p w14:paraId="51C13936"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50th</w:t>
            </w:r>
          </w:p>
        </w:tc>
        <w:tc>
          <w:tcPr>
            <w:tcW w:w="1033" w:type="dxa"/>
            <w:tcBorders>
              <w:top w:val="nil"/>
              <w:left w:val="nil"/>
              <w:bottom w:val="single" w:sz="4" w:space="0" w:color="auto"/>
              <w:right w:val="single" w:sz="4" w:space="0" w:color="auto"/>
            </w:tcBorders>
            <w:shd w:val="clear" w:color="000000" w:fill="203764"/>
            <w:noWrap/>
            <w:vAlign w:val="center"/>
            <w:hideMark/>
          </w:tcPr>
          <w:p w14:paraId="7CBCA9AD"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75th</w:t>
            </w:r>
          </w:p>
        </w:tc>
        <w:tc>
          <w:tcPr>
            <w:tcW w:w="990" w:type="dxa"/>
            <w:tcBorders>
              <w:top w:val="nil"/>
              <w:left w:val="nil"/>
              <w:bottom w:val="single" w:sz="4" w:space="0" w:color="auto"/>
              <w:right w:val="single" w:sz="4" w:space="0" w:color="auto"/>
            </w:tcBorders>
            <w:shd w:val="clear" w:color="000000" w:fill="203764"/>
            <w:noWrap/>
            <w:vAlign w:val="center"/>
            <w:hideMark/>
          </w:tcPr>
          <w:p w14:paraId="6CC6429D"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95th</w:t>
            </w:r>
          </w:p>
        </w:tc>
        <w:tc>
          <w:tcPr>
            <w:tcW w:w="900" w:type="dxa"/>
            <w:tcBorders>
              <w:top w:val="nil"/>
              <w:left w:val="nil"/>
              <w:bottom w:val="single" w:sz="4" w:space="0" w:color="auto"/>
              <w:right w:val="single" w:sz="4" w:space="0" w:color="auto"/>
            </w:tcBorders>
            <w:shd w:val="clear" w:color="000000" w:fill="203764"/>
            <w:noWrap/>
            <w:vAlign w:val="center"/>
            <w:hideMark/>
          </w:tcPr>
          <w:p w14:paraId="0CF6691D"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99th</w:t>
            </w:r>
          </w:p>
        </w:tc>
        <w:tc>
          <w:tcPr>
            <w:tcW w:w="810" w:type="dxa"/>
            <w:tcBorders>
              <w:top w:val="nil"/>
              <w:left w:val="nil"/>
              <w:bottom w:val="single" w:sz="4" w:space="0" w:color="auto"/>
              <w:right w:val="single" w:sz="4" w:space="0" w:color="auto"/>
            </w:tcBorders>
            <w:shd w:val="clear" w:color="000000" w:fill="203764"/>
            <w:noWrap/>
            <w:vAlign w:val="center"/>
            <w:hideMark/>
          </w:tcPr>
          <w:p w14:paraId="642B3C8C"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99.9th</w:t>
            </w:r>
          </w:p>
        </w:tc>
      </w:tr>
      <w:tr w:rsidR="006C3944" w:rsidRPr="006C3944" w14:paraId="5AA1E4B2" w14:textId="77777777" w:rsidTr="006C3944">
        <w:trPr>
          <w:trHeight w:val="255"/>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5F264"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Separate Flags for Full and Partial Dual</w:t>
            </w:r>
          </w:p>
        </w:tc>
        <w:tc>
          <w:tcPr>
            <w:tcW w:w="873" w:type="dxa"/>
            <w:tcBorders>
              <w:top w:val="single" w:sz="4" w:space="0" w:color="auto"/>
              <w:left w:val="nil"/>
              <w:bottom w:val="single" w:sz="4" w:space="0" w:color="auto"/>
              <w:right w:val="single" w:sz="4" w:space="0" w:color="auto"/>
            </w:tcBorders>
            <w:shd w:val="clear" w:color="auto" w:fill="auto"/>
            <w:noWrap/>
            <w:vAlign w:val="center"/>
            <w:hideMark/>
          </w:tcPr>
          <w:p w14:paraId="0EB0C7E3"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-0.025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EF115F9"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1E4C85F"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-0.002</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0E7D953"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-0.001</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098925E3"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0.000</w:t>
            </w: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14:paraId="6D7F3C1F"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0.002</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532561D"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0.005</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71E8342"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0.010</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289E43F5"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0.020</w:t>
            </w:r>
          </w:p>
        </w:tc>
      </w:tr>
      <w:tr w:rsidR="006C3944" w:rsidRPr="006C3944" w14:paraId="7B4E1089" w14:textId="77777777" w:rsidTr="006C3944">
        <w:trPr>
          <w:trHeight w:val="270"/>
          <w:jc w:val="center"/>
        </w:trPr>
        <w:tc>
          <w:tcPr>
            <w:tcW w:w="1547"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FCF6093"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Single Flag for Full or Partial Dual</w:t>
            </w:r>
          </w:p>
        </w:tc>
        <w:tc>
          <w:tcPr>
            <w:tcW w:w="873" w:type="dxa"/>
            <w:tcBorders>
              <w:top w:val="single" w:sz="4" w:space="0" w:color="auto"/>
              <w:left w:val="nil"/>
              <w:bottom w:val="single" w:sz="8" w:space="0" w:color="auto"/>
              <w:right w:val="single" w:sz="4" w:space="0" w:color="auto"/>
            </w:tcBorders>
            <w:shd w:val="clear" w:color="auto" w:fill="auto"/>
            <w:noWrap/>
            <w:vAlign w:val="center"/>
            <w:hideMark/>
          </w:tcPr>
          <w:p w14:paraId="21B8AE10"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-0.029</w:t>
            </w:r>
          </w:p>
        </w:tc>
        <w:tc>
          <w:tcPr>
            <w:tcW w:w="990" w:type="dxa"/>
            <w:tcBorders>
              <w:top w:val="single" w:sz="4" w:space="0" w:color="auto"/>
              <w:left w:val="nil"/>
              <w:bottom w:val="single" w:sz="8" w:space="0" w:color="auto"/>
              <w:right w:val="single" w:sz="4" w:space="0" w:color="auto"/>
            </w:tcBorders>
            <w:shd w:val="clear" w:color="auto" w:fill="auto"/>
            <w:noWrap/>
            <w:vAlign w:val="center"/>
            <w:hideMark/>
          </w:tcPr>
          <w:p w14:paraId="44FA5A4D"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-0.005</w:t>
            </w:r>
          </w:p>
        </w:tc>
        <w:tc>
          <w:tcPr>
            <w:tcW w:w="990" w:type="dxa"/>
            <w:tcBorders>
              <w:top w:val="single" w:sz="4" w:space="0" w:color="auto"/>
              <w:left w:val="nil"/>
              <w:bottom w:val="single" w:sz="8" w:space="0" w:color="auto"/>
              <w:right w:val="single" w:sz="4" w:space="0" w:color="auto"/>
            </w:tcBorders>
            <w:shd w:val="clear" w:color="auto" w:fill="auto"/>
            <w:noWrap/>
            <w:vAlign w:val="center"/>
            <w:hideMark/>
          </w:tcPr>
          <w:p w14:paraId="5367288B"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-0.002</w:t>
            </w:r>
          </w:p>
        </w:tc>
        <w:tc>
          <w:tcPr>
            <w:tcW w:w="900" w:type="dxa"/>
            <w:tcBorders>
              <w:top w:val="single" w:sz="4" w:space="0" w:color="auto"/>
              <w:left w:val="nil"/>
              <w:bottom w:val="single" w:sz="8" w:space="0" w:color="auto"/>
              <w:right w:val="single" w:sz="4" w:space="0" w:color="auto"/>
            </w:tcBorders>
            <w:shd w:val="clear" w:color="auto" w:fill="auto"/>
            <w:noWrap/>
            <w:vAlign w:val="center"/>
            <w:hideMark/>
          </w:tcPr>
          <w:p w14:paraId="378B3DE7"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-0.001</w:t>
            </w:r>
          </w:p>
        </w:tc>
        <w:tc>
          <w:tcPr>
            <w:tcW w:w="794" w:type="dxa"/>
            <w:tcBorders>
              <w:top w:val="single" w:sz="4" w:space="0" w:color="auto"/>
              <w:left w:val="nil"/>
              <w:bottom w:val="single" w:sz="8" w:space="0" w:color="auto"/>
              <w:right w:val="single" w:sz="4" w:space="0" w:color="auto"/>
            </w:tcBorders>
            <w:shd w:val="clear" w:color="auto" w:fill="auto"/>
            <w:noWrap/>
            <w:vAlign w:val="center"/>
            <w:hideMark/>
          </w:tcPr>
          <w:p w14:paraId="73D2A5D9"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0.000</w:t>
            </w:r>
          </w:p>
        </w:tc>
        <w:tc>
          <w:tcPr>
            <w:tcW w:w="1033" w:type="dxa"/>
            <w:tcBorders>
              <w:top w:val="single" w:sz="4" w:space="0" w:color="auto"/>
              <w:left w:val="nil"/>
              <w:bottom w:val="single" w:sz="8" w:space="0" w:color="auto"/>
              <w:right w:val="single" w:sz="4" w:space="0" w:color="auto"/>
            </w:tcBorders>
            <w:shd w:val="clear" w:color="auto" w:fill="auto"/>
            <w:noWrap/>
            <w:vAlign w:val="center"/>
            <w:hideMark/>
          </w:tcPr>
          <w:p w14:paraId="73317B5A"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0.002</w:t>
            </w:r>
          </w:p>
        </w:tc>
        <w:tc>
          <w:tcPr>
            <w:tcW w:w="990" w:type="dxa"/>
            <w:tcBorders>
              <w:top w:val="single" w:sz="4" w:space="0" w:color="auto"/>
              <w:left w:val="nil"/>
              <w:bottom w:val="single" w:sz="8" w:space="0" w:color="auto"/>
              <w:right w:val="single" w:sz="4" w:space="0" w:color="auto"/>
            </w:tcBorders>
            <w:shd w:val="clear" w:color="auto" w:fill="auto"/>
            <w:noWrap/>
            <w:vAlign w:val="center"/>
            <w:hideMark/>
          </w:tcPr>
          <w:p w14:paraId="4C561FE9"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0.005</w:t>
            </w:r>
          </w:p>
        </w:tc>
        <w:tc>
          <w:tcPr>
            <w:tcW w:w="900" w:type="dxa"/>
            <w:tcBorders>
              <w:top w:val="single" w:sz="4" w:space="0" w:color="auto"/>
              <w:left w:val="nil"/>
              <w:bottom w:val="single" w:sz="8" w:space="0" w:color="auto"/>
              <w:right w:val="single" w:sz="4" w:space="0" w:color="auto"/>
            </w:tcBorders>
            <w:shd w:val="clear" w:color="auto" w:fill="auto"/>
            <w:noWrap/>
            <w:vAlign w:val="center"/>
            <w:hideMark/>
          </w:tcPr>
          <w:p w14:paraId="1F12FCFF"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0.010</w:t>
            </w:r>
          </w:p>
        </w:tc>
        <w:tc>
          <w:tcPr>
            <w:tcW w:w="810" w:type="dxa"/>
            <w:tcBorders>
              <w:top w:val="single" w:sz="4" w:space="0" w:color="auto"/>
              <w:left w:val="nil"/>
              <w:bottom w:val="single" w:sz="8" w:space="0" w:color="auto"/>
              <w:right w:val="single" w:sz="4" w:space="0" w:color="auto"/>
            </w:tcBorders>
            <w:shd w:val="clear" w:color="auto" w:fill="auto"/>
            <w:noWrap/>
            <w:vAlign w:val="center"/>
            <w:hideMark/>
          </w:tcPr>
          <w:p w14:paraId="368083D3"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0.017</w:t>
            </w:r>
          </w:p>
        </w:tc>
      </w:tr>
    </w:tbl>
    <w:p w14:paraId="4FABD20F" w14:textId="77777777" w:rsidR="006C3944" w:rsidRDefault="006C3944" w:rsidP="0037388B">
      <w:pPr>
        <w:pStyle w:val="NoSpacing"/>
      </w:pPr>
    </w:p>
    <w:p w14:paraId="7CDD64A2" w14:textId="0DA670EE" w:rsidR="006C3944" w:rsidRDefault="006C3944" w:rsidP="0037388B">
      <w:pPr>
        <w:pStyle w:val="NoSpacing"/>
      </w:pPr>
      <w:r w:rsidRPr="00CD6B52">
        <w:t>Supplementary Table 7 shows the mean MSPB-Hospital measure score for hospitals, broken out by percent of beneficiaries with any episodes with full or partial dual status.  There is not a clear trend for MSPB-Hospital measure scores based on the percent of dual-eligible beneficiaries, although hospitals with greater than 60% of beneficiaries having a dual-eligible episode have a higher MSPB-Hospital score on average.  Supplementary Table 7 also shows the mean MSPB-Hospital measure score when restricting a hospital’s episodes to their dual and non-dual episodes respectively.  These scores are similar, with scores for non-dual episodes being slightly higher for hospitals with 20 percent or higher of their beneficiaries having a dual episode.</w:t>
      </w:r>
    </w:p>
    <w:p w14:paraId="45470804" w14:textId="77777777" w:rsidR="006C3944" w:rsidRPr="00CD6B52" w:rsidRDefault="006C3944" w:rsidP="0037388B">
      <w:pPr>
        <w:pStyle w:val="NoSpacing"/>
      </w:pPr>
    </w:p>
    <w:p w14:paraId="546A8746" w14:textId="77777777" w:rsidR="006C3944" w:rsidRPr="00CD6B52" w:rsidRDefault="006C3944" w:rsidP="0037388B">
      <w:pPr>
        <w:pStyle w:val="NoSpacing"/>
        <w:rPr>
          <w:rFonts w:ascii="Times New Roman" w:hAnsi="Times New Roman"/>
        </w:rPr>
      </w:pPr>
      <w:r w:rsidRPr="00CD6B52">
        <w:rPr>
          <w:rFonts w:ascii="Times New Roman" w:hAnsi="Times New Roman"/>
        </w:rPr>
        <w:t>Supplementary Table 7: MSPB-Hospital Measure Scores by % of Dual Beneficiary Episodes</w:t>
      </w:r>
    </w:p>
    <w:tbl>
      <w:tblPr>
        <w:tblW w:w="8237" w:type="dxa"/>
        <w:jc w:val="center"/>
        <w:tblLook w:val="04A0" w:firstRow="1" w:lastRow="0" w:firstColumn="1" w:lastColumn="0" w:noHBand="0" w:noVBand="1"/>
      </w:tblPr>
      <w:tblGrid>
        <w:gridCol w:w="3425"/>
        <w:gridCol w:w="1133"/>
        <w:gridCol w:w="1035"/>
        <w:gridCol w:w="952"/>
        <w:gridCol w:w="1048"/>
        <w:gridCol w:w="1048"/>
      </w:tblGrid>
      <w:tr w:rsidR="006C3944" w:rsidRPr="006C3944" w14:paraId="0472A403" w14:textId="77777777" w:rsidTr="006C3944">
        <w:trPr>
          <w:trHeight w:val="784"/>
          <w:tblHeader/>
          <w:jc w:val="center"/>
        </w:trPr>
        <w:tc>
          <w:tcPr>
            <w:tcW w:w="3425" w:type="dxa"/>
            <w:tcBorders>
              <w:top w:val="single" w:sz="8" w:space="0" w:color="auto"/>
              <w:left w:val="single" w:sz="4" w:space="0" w:color="auto"/>
              <w:bottom w:val="single" w:sz="4" w:space="0" w:color="000000"/>
              <w:right w:val="single" w:sz="4" w:space="0" w:color="auto"/>
            </w:tcBorders>
            <w:shd w:val="clear" w:color="000000" w:fill="203764"/>
            <w:noWrap/>
            <w:vAlign w:val="center"/>
            <w:hideMark/>
          </w:tcPr>
          <w:p w14:paraId="15D45BFA"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Range</w:t>
            </w:r>
          </w:p>
        </w:tc>
        <w:tc>
          <w:tcPr>
            <w:tcW w:w="1050" w:type="dxa"/>
            <w:tcBorders>
              <w:top w:val="single" w:sz="8" w:space="0" w:color="auto"/>
              <w:left w:val="single" w:sz="4" w:space="0" w:color="auto"/>
              <w:bottom w:val="single" w:sz="4" w:space="0" w:color="auto"/>
              <w:right w:val="single" w:sz="4" w:space="0" w:color="auto"/>
            </w:tcBorders>
            <w:shd w:val="clear" w:color="000000" w:fill="203764"/>
            <w:noWrap/>
            <w:vAlign w:val="center"/>
            <w:hideMark/>
          </w:tcPr>
          <w:p w14:paraId="0ED94D9B"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 of Providers</w:t>
            </w:r>
          </w:p>
        </w:tc>
        <w:tc>
          <w:tcPr>
            <w:tcW w:w="866" w:type="dxa"/>
            <w:tcBorders>
              <w:top w:val="single" w:sz="8" w:space="0" w:color="auto"/>
              <w:left w:val="single" w:sz="4" w:space="0" w:color="auto"/>
              <w:bottom w:val="single" w:sz="4" w:space="0" w:color="auto"/>
              <w:right w:val="single" w:sz="4" w:space="0" w:color="auto"/>
            </w:tcBorders>
            <w:shd w:val="clear" w:color="000000" w:fill="203764"/>
            <w:noWrap/>
            <w:vAlign w:val="center"/>
            <w:hideMark/>
          </w:tcPr>
          <w:p w14:paraId="4182E73C"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Mean MSPB-Hospital Measure Score</w:t>
            </w:r>
          </w:p>
        </w:tc>
        <w:tc>
          <w:tcPr>
            <w:tcW w:w="952" w:type="dxa"/>
            <w:tcBorders>
              <w:top w:val="single" w:sz="8" w:space="0" w:color="auto"/>
              <w:left w:val="single" w:sz="4" w:space="0" w:color="auto"/>
              <w:bottom w:val="single" w:sz="4" w:space="0" w:color="auto"/>
              <w:right w:val="single" w:sz="4" w:space="0" w:color="auto"/>
            </w:tcBorders>
            <w:shd w:val="clear" w:color="000000" w:fill="203764"/>
            <w:noWrap/>
            <w:vAlign w:val="center"/>
            <w:hideMark/>
          </w:tcPr>
          <w:p w14:paraId="55EDBDEA"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eastAsia="Times New Roman" w:hAnsi="Times New Roman"/>
                <w:b/>
                <w:color w:val="FFFFFF"/>
              </w:rPr>
              <w:t>Std Dev.</w:t>
            </w:r>
          </w:p>
        </w:tc>
        <w:tc>
          <w:tcPr>
            <w:tcW w:w="972" w:type="dxa"/>
            <w:tcBorders>
              <w:top w:val="single" w:sz="8" w:space="0" w:color="auto"/>
              <w:left w:val="single" w:sz="4" w:space="0" w:color="auto"/>
              <w:right w:val="single" w:sz="4" w:space="0" w:color="auto"/>
            </w:tcBorders>
            <w:shd w:val="clear" w:color="000000" w:fill="203764"/>
            <w:vAlign w:val="center"/>
          </w:tcPr>
          <w:p w14:paraId="1C9BA109"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hAnsi="Times New Roman"/>
                <w:b/>
                <w:color w:val="FFFFFF"/>
              </w:rPr>
              <w:t>Mean Score for Dual Episodes</w:t>
            </w:r>
          </w:p>
        </w:tc>
        <w:tc>
          <w:tcPr>
            <w:tcW w:w="972" w:type="dxa"/>
            <w:tcBorders>
              <w:top w:val="single" w:sz="8" w:space="0" w:color="auto"/>
              <w:left w:val="single" w:sz="4" w:space="0" w:color="auto"/>
              <w:right w:val="single" w:sz="4" w:space="0" w:color="auto"/>
            </w:tcBorders>
            <w:shd w:val="clear" w:color="000000" w:fill="203764"/>
            <w:vAlign w:val="center"/>
          </w:tcPr>
          <w:p w14:paraId="197DA6BF" w14:textId="77777777" w:rsidR="006C3944" w:rsidRPr="00CD6B52" w:rsidRDefault="006C3944" w:rsidP="0037388B">
            <w:pPr>
              <w:pStyle w:val="NoSpacing"/>
              <w:rPr>
                <w:rFonts w:ascii="Times New Roman" w:eastAsia="Times New Roman" w:hAnsi="Times New Roman"/>
                <w:b/>
                <w:color w:val="FFFFFF"/>
              </w:rPr>
            </w:pPr>
            <w:r w:rsidRPr="00CD6B52">
              <w:rPr>
                <w:rFonts w:ascii="Times New Roman" w:hAnsi="Times New Roman"/>
                <w:b/>
                <w:color w:val="FFFFFF"/>
              </w:rPr>
              <w:t>Mean Score for Non Dual Episodes</w:t>
            </w:r>
          </w:p>
        </w:tc>
      </w:tr>
      <w:tr w:rsidR="006C3944" w:rsidRPr="006C3944" w14:paraId="29545B33" w14:textId="77777777" w:rsidTr="006C3944">
        <w:trPr>
          <w:trHeight w:val="255"/>
          <w:jc w:val="center"/>
        </w:trPr>
        <w:tc>
          <w:tcPr>
            <w:tcW w:w="3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CA87"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1) 0% &lt;= % of Beneficiaries with Any Full or Partial Dual Episode &lt;= 10%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620862CD"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185</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76C3306E"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0.980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14:paraId="3925E39F"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0.080</w:t>
            </w:r>
          </w:p>
        </w:tc>
        <w:tc>
          <w:tcPr>
            <w:tcW w:w="972" w:type="dxa"/>
            <w:tcBorders>
              <w:top w:val="single" w:sz="4" w:space="0" w:color="auto"/>
              <w:left w:val="nil"/>
              <w:bottom w:val="single" w:sz="4" w:space="0" w:color="auto"/>
              <w:right w:val="single" w:sz="4" w:space="0" w:color="auto"/>
            </w:tcBorders>
            <w:vAlign w:val="center"/>
          </w:tcPr>
          <w:p w14:paraId="7D9A27BF"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1.002</w:t>
            </w:r>
          </w:p>
        </w:tc>
        <w:tc>
          <w:tcPr>
            <w:tcW w:w="972" w:type="dxa"/>
            <w:tcBorders>
              <w:top w:val="single" w:sz="4" w:space="0" w:color="auto"/>
              <w:left w:val="nil"/>
              <w:bottom w:val="single" w:sz="4" w:space="0" w:color="auto"/>
              <w:right w:val="single" w:sz="4" w:space="0" w:color="auto"/>
            </w:tcBorders>
            <w:vAlign w:val="center"/>
          </w:tcPr>
          <w:p w14:paraId="1DF3B430"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0.979</w:t>
            </w:r>
          </w:p>
        </w:tc>
      </w:tr>
      <w:tr w:rsidR="006C3944" w:rsidRPr="006C3944" w14:paraId="3A4B2FD7" w14:textId="77777777" w:rsidTr="006C3944">
        <w:trPr>
          <w:trHeight w:val="255"/>
          <w:jc w:val="center"/>
        </w:trPr>
        <w:tc>
          <w:tcPr>
            <w:tcW w:w="3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3B6B20"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2) 10% &lt; % of Beneficiaries with Any Full or Partial Dual Episode &lt;= 20%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16897BED"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692</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3363E9A6"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0.986</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14:paraId="1B0741C6"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0.074</w:t>
            </w:r>
          </w:p>
        </w:tc>
        <w:tc>
          <w:tcPr>
            <w:tcW w:w="972" w:type="dxa"/>
            <w:tcBorders>
              <w:top w:val="single" w:sz="4" w:space="0" w:color="auto"/>
              <w:left w:val="nil"/>
              <w:bottom w:val="single" w:sz="4" w:space="0" w:color="auto"/>
              <w:right w:val="single" w:sz="4" w:space="0" w:color="auto"/>
            </w:tcBorders>
            <w:vAlign w:val="center"/>
          </w:tcPr>
          <w:p w14:paraId="007312D0"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0.994</w:t>
            </w:r>
          </w:p>
        </w:tc>
        <w:tc>
          <w:tcPr>
            <w:tcW w:w="972" w:type="dxa"/>
            <w:tcBorders>
              <w:top w:val="single" w:sz="4" w:space="0" w:color="auto"/>
              <w:left w:val="nil"/>
              <w:bottom w:val="single" w:sz="4" w:space="0" w:color="auto"/>
              <w:right w:val="single" w:sz="4" w:space="0" w:color="auto"/>
            </w:tcBorders>
            <w:vAlign w:val="center"/>
          </w:tcPr>
          <w:p w14:paraId="59A56CC9"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0.987</w:t>
            </w:r>
          </w:p>
        </w:tc>
      </w:tr>
      <w:tr w:rsidR="006C3944" w:rsidRPr="006C3944" w14:paraId="30C9D10A" w14:textId="77777777" w:rsidTr="006C3944">
        <w:trPr>
          <w:trHeight w:val="255"/>
          <w:jc w:val="center"/>
        </w:trPr>
        <w:tc>
          <w:tcPr>
            <w:tcW w:w="3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721B8"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3) 20% &lt; % of Beneficiaries with Any Full or Partial Dual Episode &lt;= 30%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02558F27"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933</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27616FA9"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0.982</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14:paraId="60056B7B"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0.071</w:t>
            </w:r>
          </w:p>
        </w:tc>
        <w:tc>
          <w:tcPr>
            <w:tcW w:w="972" w:type="dxa"/>
            <w:tcBorders>
              <w:top w:val="single" w:sz="4" w:space="0" w:color="auto"/>
              <w:left w:val="nil"/>
              <w:bottom w:val="single" w:sz="4" w:space="0" w:color="auto"/>
              <w:right w:val="single" w:sz="4" w:space="0" w:color="auto"/>
            </w:tcBorders>
            <w:vAlign w:val="center"/>
          </w:tcPr>
          <w:p w14:paraId="4AF92A4B"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0.982</w:t>
            </w:r>
          </w:p>
        </w:tc>
        <w:tc>
          <w:tcPr>
            <w:tcW w:w="972" w:type="dxa"/>
            <w:tcBorders>
              <w:top w:val="single" w:sz="4" w:space="0" w:color="auto"/>
              <w:left w:val="nil"/>
              <w:bottom w:val="single" w:sz="4" w:space="0" w:color="auto"/>
              <w:right w:val="single" w:sz="4" w:space="0" w:color="auto"/>
            </w:tcBorders>
            <w:vAlign w:val="center"/>
          </w:tcPr>
          <w:p w14:paraId="53D86C91"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0.984</w:t>
            </w:r>
          </w:p>
        </w:tc>
      </w:tr>
      <w:tr w:rsidR="006C3944" w:rsidRPr="006C3944" w14:paraId="1544BEB3" w14:textId="77777777" w:rsidTr="006C3944">
        <w:trPr>
          <w:trHeight w:val="255"/>
          <w:jc w:val="center"/>
        </w:trPr>
        <w:tc>
          <w:tcPr>
            <w:tcW w:w="3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6548B8"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4) 30% &lt; % of Beneficiaries with Any Full or Partial Dual Episode &lt;= 40%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4DA39DC0"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694</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18E79F9A"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0.985</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14:paraId="08E28A0D"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0.080</w:t>
            </w:r>
          </w:p>
        </w:tc>
        <w:tc>
          <w:tcPr>
            <w:tcW w:w="972" w:type="dxa"/>
            <w:tcBorders>
              <w:top w:val="single" w:sz="4" w:space="0" w:color="auto"/>
              <w:left w:val="nil"/>
              <w:bottom w:val="single" w:sz="4" w:space="0" w:color="auto"/>
              <w:right w:val="single" w:sz="4" w:space="0" w:color="auto"/>
            </w:tcBorders>
            <w:vAlign w:val="center"/>
          </w:tcPr>
          <w:p w14:paraId="75D6C38D"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0.982</w:t>
            </w:r>
          </w:p>
        </w:tc>
        <w:tc>
          <w:tcPr>
            <w:tcW w:w="972" w:type="dxa"/>
            <w:tcBorders>
              <w:top w:val="single" w:sz="4" w:space="0" w:color="auto"/>
              <w:left w:val="nil"/>
              <w:bottom w:val="single" w:sz="4" w:space="0" w:color="auto"/>
              <w:right w:val="single" w:sz="4" w:space="0" w:color="auto"/>
            </w:tcBorders>
            <w:vAlign w:val="center"/>
          </w:tcPr>
          <w:p w14:paraId="4B18E638"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0.987</w:t>
            </w:r>
          </w:p>
        </w:tc>
      </w:tr>
      <w:tr w:rsidR="006C3944" w:rsidRPr="006C3944" w14:paraId="2B11D81B" w14:textId="77777777" w:rsidTr="006C3944">
        <w:trPr>
          <w:trHeight w:val="255"/>
          <w:jc w:val="center"/>
        </w:trPr>
        <w:tc>
          <w:tcPr>
            <w:tcW w:w="3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49007"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5) 40% &lt; % of Beneficiaries with Any Full or Partial Dual Episode &lt;= 50%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0C261C76"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336</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2D1E8C06"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0.974</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14:paraId="07EE7BA7"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0.099</w:t>
            </w:r>
          </w:p>
        </w:tc>
        <w:tc>
          <w:tcPr>
            <w:tcW w:w="972" w:type="dxa"/>
            <w:tcBorders>
              <w:top w:val="single" w:sz="4" w:space="0" w:color="auto"/>
              <w:left w:val="nil"/>
              <w:bottom w:val="single" w:sz="4" w:space="0" w:color="auto"/>
              <w:right w:val="single" w:sz="4" w:space="0" w:color="auto"/>
            </w:tcBorders>
            <w:vAlign w:val="center"/>
          </w:tcPr>
          <w:p w14:paraId="630A755B"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0.972</w:t>
            </w:r>
          </w:p>
        </w:tc>
        <w:tc>
          <w:tcPr>
            <w:tcW w:w="972" w:type="dxa"/>
            <w:tcBorders>
              <w:top w:val="single" w:sz="4" w:space="0" w:color="auto"/>
              <w:left w:val="nil"/>
              <w:bottom w:val="single" w:sz="4" w:space="0" w:color="auto"/>
              <w:right w:val="single" w:sz="4" w:space="0" w:color="auto"/>
            </w:tcBorders>
            <w:vAlign w:val="center"/>
          </w:tcPr>
          <w:p w14:paraId="23450D09"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0.975</w:t>
            </w:r>
          </w:p>
        </w:tc>
      </w:tr>
      <w:tr w:rsidR="006C3944" w:rsidRPr="006C3944" w14:paraId="2AEBD563" w14:textId="77777777" w:rsidTr="006C3944">
        <w:trPr>
          <w:trHeight w:val="255"/>
          <w:jc w:val="center"/>
        </w:trPr>
        <w:tc>
          <w:tcPr>
            <w:tcW w:w="3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C425F"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6) 50% &lt; % of Beneficiaries with Any Full or Partial Dual Episode &lt;= 60%</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13AB2A0E"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185</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28791203"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0.983</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14:paraId="47B4B609"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0.123</w:t>
            </w:r>
          </w:p>
        </w:tc>
        <w:tc>
          <w:tcPr>
            <w:tcW w:w="972" w:type="dxa"/>
            <w:tcBorders>
              <w:top w:val="single" w:sz="4" w:space="0" w:color="auto"/>
              <w:left w:val="nil"/>
              <w:bottom w:val="single" w:sz="4" w:space="0" w:color="auto"/>
              <w:right w:val="single" w:sz="4" w:space="0" w:color="auto"/>
            </w:tcBorders>
            <w:vAlign w:val="center"/>
          </w:tcPr>
          <w:p w14:paraId="7AB852E7"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0.976</w:t>
            </w:r>
          </w:p>
        </w:tc>
        <w:tc>
          <w:tcPr>
            <w:tcW w:w="972" w:type="dxa"/>
            <w:tcBorders>
              <w:top w:val="single" w:sz="4" w:space="0" w:color="auto"/>
              <w:left w:val="nil"/>
              <w:bottom w:val="single" w:sz="4" w:space="0" w:color="auto"/>
              <w:right w:val="single" w:sz="4" w:space="0" w:color="auto"/>
            </w:tcBorders>
            <w:vAlign w:val="center"/>
          </w:tcPr>
          <w:p w14:paraId="0C516DBE"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0.989</w:t>
            </w:r>
          </w:p>
        </w:tc>
      </w:tr>
      <w:tr w:rsidR="006C3944" w:rsidRPr="006C3944" w14:paraId="0A3AD46C" w14:textId="77777777" w:rsidTr="006C3944">
        <w:trPr>
          <w:trHeight w:val="270"/>
          <w:jc w:val="center"/>
        </w:trPr>
        <w:tc>
          <w:tcPr>
            <w:tcW w:w="3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5F5C1"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7) 60% &lt; % of Beneficiaries with Any Full or Partial Dual Episode</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4691CF32"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186</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62C68216"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1.021</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14:paraId="7479666C"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eastAsia="Times New Roman" w:hAnsi="Times New Roman"/>
                <w:color w:val="000000"/>
              </w:rPr>
              <w:t>0.168</w:t>
            </w:r>
          </w:p>
        </w:tc>
        <w:tc>
          <w:tcPr>
            <w:tcW w:w="972" w:type="dxa"/>
            <w:tcBorders>
              <w:top w:val="single" w:sz="4" w:space="0" w:color="auto"/>
              <w:left w:val="nil"/>
              <w:bottom w:val="single" w:sz="4" w:space="0" w:color="auto"/>
              <w:right w:val="single" w:sz="4" w:space="0" w:color="auto"/>
            </w:tcBorders>
            <w:vAlign w:val="center"/>
          </w:tcPr>
          <w:p w14:paraId="705B34AB"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1.018</w:t>
            </w:r>
          </w:p>
        </w:tc>
        <w:tc>
          <w:tcPr>
            <w:tcW w:w="972" w:type="dxa"/>
            <w:tcBorders>
              <w:top w:val="single" w:sz="4" w:space="0" w:color="auto"/>
              <w:left w:val="nil"/>
              <w:bottom w:val="single" w:sz="4" w:space="0" w:color="auto"/>
              <w:right w:val="single" w:sz="4" w:space="0" w:color="auto"/>
            </w:tcBorders>
            <w:vAlign w:val="center"/>
          </w:tcPr>
          <w:p w14:paraId="760072A3" w14:textId="77777777" w:rsidR="006C3944" w:rsidRPr="00CD6B52" w:rsidRDefault="006C3944" w:rsidP="0037388B">
            <w:pPr>
              <w:pStyle w:val="NoSpacing"/>
              <w:rPr>
                <w:rFonts w:ascii="Times New Roman" w:eastAsia="Times New Roman" w:hAnsi="Times New Roman"/>
                <w:color w:val="000000"/>
              </w:rPr>
            </w:pPr>
            <w:r w:rsidRPr="00CD6B52">
              <w:rPr>
                <w:rFonts w:ascii="Times New Roman" w:hAnsi="Times New Roman"/>
                <w:color w:val="000000"/>
              </w:rPr>
              <w:t>1.037</w:t>
            </w:r>
          </w:p>
        </w:tc>
      </w:tr>
    </w:tbl>
    <w:p w14:paraId="3E3E00F3" w14:textId="77777777" w:rsidR="006C3944" w:rsidRDefault="006C3944" w:rsidP="0037388B">
      <w:pPr>
        <w:pStyle w:val="NoSpacing"/>
      </w:pPr>
    </w:p>
    <w:p w14:paraId="0DF3FACB" w14:textId="510B6C13" w:rsidR="006C3944" w:rsidRPr="00CD6B52" w:rsidRDefault="006C3944" w:rsidP="0037388B">
      <w:pPr>
        <w:pStyle w:val="NoSpacing"/>
      </w:pPr>
      <w:r w:rsidRPr="00CD6B52">
        <w:t>Acumen’s disability indicator is constructed from a field in the CMS EDB data, which obtains disability information using data from the CME file.  Acumen reviewed the disability flag for beneficiaries who turned 65 between March 2015 and March 2016 and found that less than 0.001% of beneficiaries who had the disability flag in March 2015 did not have the disability flag in March 2016.</w:t>
      </w:r>
    </w:p>
    <w:p w14:paraId="7D29EA77" w14:textId="55AEC90E" w:rsidR="006C3944" w:rsidRPr="00A2289C" w:rsidRDefault="006C3944" w:rsidP="0037388B">
      <w:pPr>
        <w:pStyle w:val="NoSpacing"/>
        <w:rPr>
          <w:rFonts w:ascii="Times New Roman" w:hAnsi="Times New Roman"/>
        </w:rPr>
      </w:pPr>
      <w:r w:rsidRPr="00A2289C">
        <w:rPr>
          <w:rFonts w:ascii="Times New Roman" w:hAnsi="Times New Roman"/>
          <w:i/>
          <w:iCs/>
        </w:rPr>
        <w:t>Interpretation</w:t>
      </w:r>
      <w:r w:rsidR="00A2289C" w:rsidRPr="00A2289C">
        <w:rPr>
          <w:rFonts w:ascii="Times New Roman" w:hAnsi="Times New Roman"/>
          <w:i/>
          <w:iCs/>
        </w:rPr>
        <w:t>:</w:t>
      </w:r>
      <w:r w:rsidR="00A2289C">
        <w:rPr>
          <w:rFonts w:ascii="Times New Roman" w:hAnsi="Times New Roman"/>
        </w:rPr>
        <w:t xml:space="preserve"> </w:t>
      </w:r>
      <w:r w:rsidRPr="00CD6B52">
        <w:t xml:space="preserve">The first two analyses show that, in line with the original measure submission, there is a low impact of including the dual-eligibility flag as an SDS factor in risk adjustment.  Most providers have a very minor change in their MSPB-Hospital measure score.  In addition, the tails of the distributions are not disproportionately affected, as the overall magnitude of the change is low for almost all hospitals.  The third analysis shows that specific hospitals are not affected by the inclusion of a dual enrollment flag, since measure scores do not vary much by percent of population that is dual status and measure scores are stable within a hospital across the dual and non-dual beneficiary populations.  As such, including beneficiary dual status in the risk adjustment model has a minimal impact on MSPB-Hospital </w:t>
      </w:r>
      <w:r w:rsidRPr="00CD6B52">
        <w:lastRenderedPageBreak/>
        <w:t>measure score. The recent ASPE report showed some differences in measure performance between hospitals with a high amount of Disproportionate Share Hospital payments and a low amount.</w:t>
      </w:r>
      <w:r w:rsidRPr="00CD6B52">
        <w:rPr>
          <w:rStyle w:val="FootnoteReference"/>
        </w:rPr>
        <w:footnoteReference w:id="53"/>
      </w:r>
      <w:r w:rsidRPr="00CD6B52">
        <w:t xml:space="preserve">  The analysis in Supplementary Table 7 suggests that these differences may be driven by hospitals with a very high concentration of dual eligible beneficiaries (above 60%), and that measure scores are high for both duals and non-duals in these hospitals.  This suggests that these hospitals are relatively higher-cost hospitals for all types of patients.</w:t>
      </w:r>
    </w:p>
    <w:p w14:paraId="2D5F188F" w14:textId="77777777" w:rsidR="006C3944" w:rsidRDefault="006C3944" w:rsidP="0037388B">
      <w:pPr>
        <w:pStyle w:val="NoSpacing"/>
      </w:pPr>
    </w:p>
    <w:p w14:paraId="4C14E37F" w14:textId="0C0F01B0" w:rsidR="006C3944" w:rsidRPr="00CD6B52" w:rsidRDefault="0037388B" w:rsidP="0037388B">
      <w:pPr>
        <w:pStyle w:val="NoSpacing"/>
      </w:pPr>
      <w:r w:rsidRPr="00CD6B52">
        <w:t>In regard to</w:t>
      </w:r>
      <w:r w:rsidR="006C3944" w:rsidRPr="00CD6B52">
        <w:t xml:space="preserve"> the construction of the disability flag, the analysis shows that beneficiaries do not have their disability code reset when they turn 65.  As such, the MSPB-Hospital measure’s disability flag does continue to capture the originally disabled population.  This implies that Acumen is using different information on disability from the problematic variable that the committee member identified.</w:t>
      </w:r>
    </w:p>
    <w:p w14:paraId="5B022053" w14:textId="58BBB8FB" w:rsidR="006C3944" w:rsidRDefault="006C3944" w:rsidP="0037388B">
      <w:pPr>
        <w:pStyle w:val="NoSpacing"/>
        <w:rPr>
          <w:rFonts w:eastAsia="Times New Roman"/>
          <w:iCs/>
        </w:rPr>
      </w:pPr>
    </w:p>
    <w:p w14:paraId="34B44CED" w14:textId="77777777" w:rsidR="006C3944" w:rsidRPr="00CD6B52" w:rsidRDefault="006C3944" w:rsidP="0037388B">
      <w:pPr>
        <w:pStyle w:val="NoSpacing"/>
        <w:rPr>
          <w:rFonts w:eastAsia="Times New Roman"/>
          <w:iCs/>
        </w:rPr>
      </w:pPr>
    </w:p>
    <w:p w14:paraId="0ED63A3C" w14:textId="0F9CB06E" w:rsidR="003D3F66" w:rsidRPr="00CD6B52" w:rsidRDefault="003D3F66" w:rsidP="0037388B">
      <w:pPr>
        <w:pStyle w:val="NoSpacing"/>
        <w:rPr>
          <w:iCs/>
        </w:rPr>
      </w:pPr>
      <w:r w:rsidRPr="0037388B">
        <w:rPr>
          <w:bCs/>
          <w:iCs/>
          <w:u w:val="single"/>
        </w:rPr>
        <w:t xml:space="preserve">Previous </w:t>
      </w:r>
      <w:r w:rsidR="006C3944" w:rsidRPr="0037388B">
        <w:rPr>
          <w:bCs/>
          <w:iCs/>
          <w:u w:val="single"/>
        </w:rPr>
        <w:t>R</w:t>
      </w:r>
      <w:r w:rsidRPr="0037388B">
        <w:rPr>
          <w:bCs/>
          <w:iCs/>
          <w:u w:val="single"/>
        </w:rPr>
        <w:t>esponse (2013):</w:t>
      </w:r>
      <w:r w:rsidR="0037388B">
        <w:rPr>
          <w:bCs/>
          <w:iCs/>
          <w:u w:val="single"/>
        </w:rPr>
        <w:t xml:space="preserve"> </w:t>
      </w:r>
      <w:r w:rsidRPr="00CD6B52">
        <w:rPr>
          <w:iCs/>
        </w:rPr>
        <w:t>Because the CMS-HCC model has already been extensively tested, we focus on adapting the CMS-HCC model to the MSPB Measure methodology.  To empirical evaluate the MSPB risk-adjustment methodology, we analyzed two specifications of the modified CMS-HCC risk-adjustment methodology by using R2 to measure model ability to explain variation: (1) evaluate the health status variables in the risk-adjustment by using one year of data prior to calculate comorbidities rather than 90 days; and (2) evaluate options for stratifying the risk-adjustment model (e.g., by MDC, MDC/Institutional Status).  To demonstrate the validity of the MSPB risk-adjustment methodology, we (3) calculated the distribution of episode spending and R-squared by decile to examine the model’s ability to predict both very low and high cost episodes. Specifically, we created a “risk score” for each episode calculated as the predicted values from each episode divided by the national average predicted value.  After arranging episodes into deciles based on the risk score, we calculated the R-squared for each decile using the formula 1-(SSE/SST), where SSE = the sum of (episode observed spending – episode predicted spending) and SST = the sum of (episode observed spending – average overall observed spending).</w:t>
      </w:r>
    </w:p>
    <w:p w14:paraId="1D7F800C" w14:textId="77777777" w:rsidR="003D3F66" w:rsidRPr="007B0444" w:rsidRDefault="003D3F66" w:rsidP="0037388B">
      <w:pPr>
        <w:pStyle w:val="NoSpacing"/>
        <w:rPr>
          <w:rFonts w:cstheme="minorHAnsi"/>
          <w:b/>
        </w:rPr>
      </w:pPr>
    </w:p>
    <w:p w14:paraId="4F0EF7BD" w14:textId="074D1B06" w:rsidR="00C427B8" w:rsidRPr="0087107A" w:rsidRDefault="00C427B8" w:rsidP="00C427B8">
      <w:pPr>
        <w:autoSpaceDE w:val="0"/>
        <w:autoSpaceDN w:val="0"/>
        <w:adjustRightInd w:val="0"/>
        <w:spacing w:after="0" w:line="240" w:lineRule="auto"/>
        <w:rPr>
          <w:rFonts w:cstheme="minorHAnsi"/>
          <w:b/>
          <w:bCs/>
          <w:color w:val="0070C0"/>
        </w:rPr>
      </w:pPr>
      <w:r w:rsidRPr="007B0444">
        <w:rPr>
          <w:rFonts w:cstheme="minorHAnsi"/>
          <w:b/>
          <w:bCs/>
        </w:rPr>
        <w:t xml:space="preserve">2b3.5. Describe the method of testing/analysis used to develop and validate the adequacy of the statistical model </w:t>
      </w:r>
      <w:r w:rsidRPr="007B0444">
        <w:rPr>
          <w:rFonts w:cstheme="minorHAnsi"/>
          <w:b/>
          <w:bCs/>
          <w:u w:val="single"/>
        </w:rPr>
        <w:t>or</w:t>
      </w:r>
      <w:r w:rsidRPr="007B0444">
        <w:rPr>
          <w:rFonts w:cstheme="minorHAnsi"/>
          <w:b/>
          <w:bCs/>
        </w:rPr>
        <w:t xml:space="preserve"> stratification approach</w:t>
      </w:r>
      <w:r w:rsidRPr="007B0444">
        <w:rPr>
          <w:rFonts w:cstheme="minorHAnsi"/>
          <w:bCs/>
        </w:rPr>
        <w:t xml:space="preserve"> (</w:t>
      </w:r>
      <w:r w:rsidRPr="007B0444">
        <w:rPr>
          <w:rFonts w:cstheme="minorHAnsi"/>
          <w:bCs/>
          <w:i/>
        </w:rPr>
        <w:t>describe the steps―</w:t>
      </w:r>
      <w:r w:rsidRPr="009C4055">
        <w:rPr>
          <w:rFonts w:cstheme="minorHAnsi"/>
          <w:bCs/>
          <w:i/>
        </w:rPr>
        <w:t>do not just name a method; what statistical analysis was used</w:t>
      </w:r>
      <w:r w:rsidRPr="009C4055">
        <w:rPr>
          <w:rFonts w:cstheme="minorHAnsi"/>
          <w:bCs/>
        </w:rPr>
        <w:t>)</w:t>
      </w:r>
      <w:r w:rsidR="009A2F1E">
        <w:rPr>
          <w:rFonts w:cstheme="minorHAnsi"/>
          <w:bCs/>
        </w:rPr>
        <w:t xml:space="preserve">. </w:t>
      </w:r>
      <w:r w:rsidRPr="009C4055">
        <w:rPr>
          <w:rFonts w:cstheme="minorHAnsi"/>
          <w:bCs/>
          <w:i/>
        </w:rPr>
        <w:t>Provide the statistical results from testing the approach to controlling for differences in patient characteristics (case mix) below</w:t>
      </w:r>
      <w:r w:rsidRPr="009C4055">
        <w:rPr>
          <w:rFonts w:cstheme="minorHAnsi"/>
          <w:bCs/>
        </w:rPr>
        <w:t>.</w:t>
      </w:r>
      <w:r w:rsidRPr="009C4055">
        <w:rPr>
          <w:rFonts w:cstheme="minorHAnsi"/>
          <w:bCs/>
        </w:rPr>
        <w:br/>
      </w:r>
      <w:r w:rsidRPr="009C4055">
        <w:rPr>
          <w:rFonts w:cstheme="minorHAnsi"/>
          <w:b/>
          <w:bCs/>
          <w:i/>
        </w:rPr>
        <w:t xml:space="preserve">If stratified, skip to </w:t>
      </w:r>
      <w:hyperlink w:anchor="question2b49" w:history="1">
        <w:r w:rsidRPr="009C4055">
          <w:rPr>
            <w:rStyle w:val="Hyperlink"/>
            <w:rFonts w:cstheme="minorHAnsi"/>
            <w:b/>
            <w:bCs/>
            <w:i/>
          </w:rPr>
          <w:t>2b3.9</w:t>
        </w:r>
      </w:hyperlink>
    </w:p>
    <w:p w14:paraId="7A50A3D0" w14:textId="77777777" w:rsidR="00BF03D7" w:rsidRDefault="00BF03D7" w:rsidP="009A2F1E">
      <w:pPr>
        <w:autoSpaceDE w:val="0"/>
        <w:autoSpaceDN w:val="0"/>
        <w:adjustRightInd w:val="0"/>
        <w:spacing w:after="0" w:line="240" w:lineRule="auto"/>
        <w:rPr>
          <w:rFonts w:ascii="Times New Roman" w:hAnsi="Times New Roman" w:cs="Times New Roman"/>
          <w:bCs/>
          <w:color w:val="0070C0"/>
        </w:rPr>
      </w:pPr>
    </w:p>
    <w:p w14:paraId="38132C40" w14:textId="5D755BD3" w:rsidR="00C30727" w:rsidRPr="00C93347" w:rsidRDefault="00E513C8" w:rsidP="00E171BA">
      <w:pPr>
        <w:pStyle w:val="NoSpacing"/>
        <w:rPr>
          <w:rFonts w:ascii="Times New Roman" w:hAnsi="Times New Roman"/>
          <w:color w:val="FF0000"/>
        </w:rPr>
      </w:pPr>
      <w:r w:rsidRPr="00C93347">
        <w:rPr>
          <w:rFonts w:ascii="Times New Roman" w:hAnsi="Times New Roman"/>
          <w:color w:val="FF0000"/>
        </w:rPr>
        <w:t xml:space="preserve">In addition to other empirical validation (see Section 2b1.3), we conducted </w:t>
      </w:r>
      <w:r w:rsidR="0052166A" w:rsidRPr="00C93347">
        <w:rPr>
          <w:rFonts w:ascii="Times New Roman" w:hAnsi="Times New Roman"/>
          <w:color w:val="FF0000"/>
        </w:rPr>
        <w:t>two</w:t>
      </w:r>
      <w:r w:rsidRPr="00C93347">
        <w:rPr>
          <w:rFonts w:ascii="Times New Roman" w:hAnsi="Times New Roman"/>
          <w:color w:val="FF0000"/>
        </w:rPr>
        <w:t xml:space="preserve"> analyses to assess the adequacy of our risk adjustment model. </w:t>
      </w:r>
    </w:p>
    <w:p w14:paraId="4928014B" w14:textId="77777777" w:rsidR="00C30727" w:rsidRPr="00C93347" w:rsidRDefault="00C30727" w:rsidP="00E171BA">
      <w:pPr>
        <w:pStyle w:val="NoSpacing"/>
        <w:rPr>
          <w:rFonts w:ascii="Times New Roman" w:hAnsi="Times New Roman"/>
          <w:color w:val="FF0000"/>
        </w:rPr>
      </w:pPr>
    </w:p>
    <w:p w14:paraId="04FC583E" w14:textId="5A74E008" w:rsidR="00C30727" w:rsidRPr="00C93347" w:rsidRDefault="00E513C8" w:rsidP="00E171BA">
      <w:pPr>
        <w:pStyle w:val="NoSpacing"/>
        <w:rPr>
          <w:rFonts w:ascii="Times New Roman" w:hAnsi="Times New Roman"/>
          <w:color w:val="FF0000"/>
        </w:rPr>
      </w:pPr>
      <w:r w:rsidRPr="00C93347">
        <w:rPr>
          <w:rFonts w:ascii="Times New Roman" w:hAnsi="Times New Roman"/>
          <w:color w:val="FF0000"/>
        </w:rPr>
        <w:t xml:space="preserve">First, </w:t>
      </w:r>
      <w:r w:rsidR="00C30727" w:rsidRPr="00C93347">
        <w:rPr>
          <w:rFonts w:ascii="Times New Roman" w:hAnsi="Times New Roman"/>
          <w:color w:val="FF0000"/>
        </w:rPr>
        <w:t xml:space="preserve">we </w:t>
      </w:r>
      <w:r w:rsidR="0087107A" w:rsidRPr="00C93347">
        <w:rPr>
          <w:rFonts w:ascii="Times New Roman" w:hAnsi="Times New Roman"/>
          <w:color w:val="FF0000"/>
        </w:rPr>
        <w:t xml:space="preserve">examined </w:t>
      </w:r>
      <w:r w:rsidR="00C30727" w:rsidRPr="00C93347">
        <w:rPr>
          <w:rFonts w:ascii="Times New Roman" w:hAnsi="Times New Roman"/>
          <w:color w:val="FF0000"/>
        </w:rPr>
        <w:t xml:space="preserve">the variation in observed episode cost </w:t>
      </w:r>
      <w:r w:rsidR="00B16CCA" w:rsidRPr="00C93347">
        <w:rPr>
          <w:rFonts w:ascii="Times New Roman" w:hAnsi="Times New Roman"/>
          <w:color w:val="FF0000"/>
        </w:rPr>
        <w:t xml:space="preserve">that is </w:t>
      </w:r>
      <w:r w:rsidR="00C30727" w:rsidRPr="00C93347">
        <w:rPr>
          <w:rFonts w:ascii="Times New Roman" w:hAnsi="Times New Roman"/>
          <w:color w:val="FF0000"/>
        </w:rPr>
        <w:t xml:space="preserve">captured </w:t>
      </w:r>
      <w:r w:rsidR="009C0992" w:rsidRPr="00C93347">
        <w:rPr>
          <w:rFonts w:ascii="Times New Roman" w:hAnsi="Times New Roman"/>
          <w:color w:val="FF0000"/>
        </w:rPr>
        <w:t xml:space="preserve">by </w:t>
      </w:r>
      <w:r w:rsidR="00B16CCA" w:rsidRPr="00C93347">
        <w:rPr>
          <w:rFonts w:ascii="Times New Roman" w:hAnsi="Times New Roman"/>
          <w:color w:val="FF0000"/>
        </w:rPr>
        <w:t>our risk adjustment</w:t>
      </w:r>
      <w:r w:rsidR="00C30727" w:rsidRPr="00C93347">
        <w:rPr>
          <w:rFonts w:ascii="Times New Roman" w:hAnsi="Times New Roman"/>
          <w:color w:val="FF0000"/>
        </w:rPr>
        <w:t xml:space="preserve"> models and </w:t>
      </w:r>
      <w:r w:rsidR="00FC147C" w:rsidRPr="00C93347">
        <w:rPr>
          <w:rFonts w:ascii="Times New Roman" w:hAnsi="Times New Roman"/>
          <w:color w:val="FF0000"/>
        </w:rPr>
        <w:t xml:space="preserve">model </w:t>
      </w:r>
      <w:r w:rsidR="00C30727" w:rsidRPr="00C93347">
        <w:rPr>
          <w:rFonts w:ascii="Times New Roman" w:hAnsi="Times New Roman"/>
          <w:color w:val="FF0000"/>
        </w:rPr>
        <w:t>parameter estimates</w:t>
      </w:r>
      <w:r w:rsidR="00B16CCA" w:rsidRPr="00C93347">
        <w:rPr>
          <w:rFonts w:ascii="Times New Roman" w:hAnsi="Times New Roman"/>
          <w:color w:val="FF0000"/>
        </w:rPr>
        <w:t>. S</w:t>
      </w:r>
      <w:r w:rsidR="00FC147C" w:rsidRPr="00C93347">
        <w:rPr>
          <w:rFonts w:ascii="Times New Roman" w:hAnsi="Times New Roman"/>
          <w:color w:val="FF0000"/>
        </w:rPr>
        <w:t>pecifically</w:t>
      </w:r>
      <w:r w:rsidR="00B16CCA" w:rsidRPr="00C93347">
        <w:rPr>
          <w:rFonts w:ascii="Times New Roman" w:hAnsi="Times New Roman"/>
          <w:color w:val="FF0000"/>
        </w:rPr>
        <w:t>, we</w:t>
      </w:r>
      <w:r w:rsidR="00FC147C" w:rsidRPr="00C93347">
        <w:rPr>
          <w:rFonts w:ascii="Times New Roman" w:hAnsi="Times New Roman"/>
          <w:color w:val="FF0000"/>
        </w:rPr>
        <w:t xml:space="preserve"> examin</w:t>
      </w:r>
      <w:r w:rsidR="00B16CCA" w:rsidRPr="00C93347">
        <w:rPr>
          <w:rFonts w:ascii="Times New Roman" w:hAnsi="Times New Roman"/>
          <w:color w:val="FF0000"/>
        </w:rPr>
        <w:t>ed</w:t>
      </w:r>
      <w:r w:rsidR="00FC147C" w:rsidRPr="00C93347">
        <w:rPr>
          <w:rFonts w:ascii="Times New Roman" w:hAnsi="Times New Roman"/>
          <w:color w:val="FF0000"/>
        </w:rPr>
        <w:t xml:space="preserve"> </w:t>
      </w:r>
      <w:r w:rsidR="009A2F1E" w:rsidRPr="00C93347">
        <w:rPr>
          <w:rFonts w:ascii="Times New Roman" w:hAnsi="Times New Roman"/>
          <w:color w:val="FF0000"/>
        </w:rPr>
        <w:t xml:space="preserve">R-squared and adjusted R-squared </w:t>
      </w:r>
      <w:r w:rsidR="0087107A" w:rsidRPr="00C93347">
        <w:rPr>
          <w:rFonts w:ascii="Times New Roman" w:hAnsi="Times New Roman"/>
          <w:color w:val="FF0000"/>
        </w:rPr>
        <w:t xml:space="preserve">fit statistics and model parameter estimates by </w:t>
      </w:r>
      <w:r w:rsidR="009C0992" w:rsidRPr="00C93347">
        <w:rPr>
          <w:rFonts w:ascii="Times New Roman" w:hAnsi="Times New Roman"/>
          <w:color w:val="FF0000"/>
        </w:rPr>
        <w:t>M</w:t>
      </w:r>
      <w:r w:rsidR="00B16CCA" w:rsidRPr="00C93347">
        <w:rPr>
          <w:rFonts w:ascii="Times New Roman" w:hAnsi="Times New Roman"/>
          <w:color w:val="FF0000"/>
        </w:rPr>
        <w:t xml:space="preserve">ajor </w:t>
      </w:r>
      <w:r w:rsidR="009C0992" w:rsidRPr="00C93347">
        <w:rPr>
          <w:rFonts w:ascii="Times New Roman" w:hAnsi="Times New Roman"/>
          <w:color w:val="FF0000"/>
        </w:rPr>
        <w:t>D</w:t>
      </w:r>
      <w:r w:rsidR="00B16CCA" w:rsidRPr="00C93347">
        <w:rPr>
          <w:rFonts w:ascii="Times New Roman" w:hAnsi="Times New Roman"/>
          <w:color w:val="FF0000"/>
        </w:rPr>
        <w:t xml:space="preserve">iagnostic </w:t>
      </w:r>
      <w:r w:rsidR="009C0992" w:rsidRPr="00C93347">
        <w:rPr>
          <w:rFonts w:ascii="Times New Roman" w:hAnsi="Times New Roman"/>
          <w:color w:val="FF0000"/>
        </w:rPr>
        <w:t>C</w:t>
      </w:r>
      <w:r w:rsidR="00B16CCA" w:rsidRPr="00C93347">
        <w:rPr>
          <w:rFonts w:ascii="Times New Roman" w:hAnsi="Times New Roman"/>
          <w:color w:val="FF0000"/>
        </w:rPr>
        <w:t>ategory</w:t>
      </w:r>
      <w:r w:rsidR="009C0992" w:rsidRPr="00C93347">
        <w:rPr>
          <w:rFonts w:ascii="Times New Roman" w:hAnsi="Times New Roman"/>
          <w:color w:val="FF0000"/>
        </w:rPr>
        <w:t xml:space="preserve"> (MDC)</w:t>
      </w:r>
      <w:r w:rsidR="0087107A" w:rsidRPr="00C93347">
        <w:rPr>
          <w:rFonts w:ascii="Times New Roman" w:hAnsi="Times New Roman"/>
          <w:color w:val="FF0000"/>
        </w:rPr>
        <w:t>.</w:t>
      </w:r>
      <w:r w:rsidRPr="00C93347">
        <w:rPr>
          <w:rFonts w:ascii="Times New Roman" w:hAnsi="Times New Roman"/>
          <w:color w:val="FF0000"/>
        </w:rPr>
        <w:t xml:space="preserve"> </w:t>
      </w:r>
      <w:r w:rsidR="00BF03D7" w:rsidRPr="00C93347">
        <w:rPr>
          <w:rFonts w:ascii="Times New Roman" w:hAnsi="Times New Roman"/>
          <w:color w:val="FF0000"/>
        </w:rPr>
        <w:t xml:space="preserve">R-squared fit statistics </w:t>
      </w:r>
      <w:r w:rsidR="00B16CCA" w:rsidRPr="00C93347">
        <w:rPr>
          <w:rFonts w:ascii="Times New Roman" w:hAnsi="Times New Roman"/>
          <w:color w:val="FF0000"/>
        </w:rPr>
        <w:t xml:space="preserve">summarize the extent to which the clinical factors included in the MSPB Hospital measures risk adjustment regression model </w:t>
      </w:r>
      <w:r w:rsidR="00BF03D7" w:rsidRPr="00C93347">
        <w:rPr>
          <w:rFonts w:ascii="Times New Roman" w:hAnsi="Times New Roman"/>
          <w:color w:val="FF0000"/>
        </w:rPr>
        <w:t xml:space="preserve">explain variation in observed episode cost. </w:t>
      </w:r>
      <w:r w:rsidR="00B26750" w:rsidRPr="00C93347">
        <w:rPr>
          <w:rFonts w:ascii="Times New Roman" w:hAnsi="Times New Roman"/>
          <w:color w:val="FF0000"/>
        </w:rPr>
        <w:t>T</w:t>
      </w:r>
      <w:r w:rsidR="00BF03D7" w:rsidRPr="00C93347">
        <w:rPr>
          <w:rFonts w:ascii="Times New Roman" w:hAnsi="Times New Roman"/>
          <w:color w:val="FF0000"/>
        </w:rPr>
        <w:t xml:space="preserve">hese fit statistics should be interpreted with caution, as a </w:t>
      </w:r>
      <w:r w:rsidR="00C36A94" w:rsidRPr="00C93347">
        <w:rPr>
          <w:rFonts w:ascii="Times New Roman" w:hAnsi="Times New Roman"/>
          <w:color w:val="FF0000"/>
        </w:rPr>
        <w:t>low</w:t>
      </w:r>
      <w:r w:rsidR="00BF03D7" w:rsidRPr="00C93347">
        <w:rPr>
          <w:rFonts w:ascii="Times New Roman" w:hAnsi="Times New Roman"/>
          <w:color w:val="FF0000"/>
        </w:rPr>
        <w:t xml:space="preserve"> </w:t>
      </w:r>
      <w:r w:rsidR="00C30727" w:rsidRPr="00C93347">
        <w:rPr>
          <w:rFonts w:ascii="Times New Roman" w:hAnsi="Times New Roman"/>
          <w:color w:val="FF0000"/>
        </w:rPr>
        <w:t>R-squared does not necessarily indicate that</w:t>
      </w:r>
      <w:r w:rsidR="00C36A94" w:rsidRPr="00C93347">
        <w:rPr>
          <w:rFonts w:ascii="Times New Roman" w:hAnsi="Times New Roman"/>
          <w:color w:val="FF0000"/>
        </w:rPr>
        <w:t xml:space="preserve"> unexplained variation is </w:t>
      </w:r>
      <w:r w:rsidR="00B26750" w:rsidRPr="00C93347">
        <w:rPr>
          <w:rFonts w:ascii="Times New Roman" w:hAnsi="Times New Roman"/>
          <w:color w:val="FF0000"/>
        </w:rPr>
        <w:t xml:space="preserve">attributable to variation in </w:t>
      </w:r>
      <w:r w:rsidR="00C36A94" w:rsidRPr="00C93347">
        <w:rPr>
          <w:rFonts w:ascii="Times New Roman" w:hAnsi="Times New Roman"/>
          <w:color w:val="FF0000"/>
        </w:rPr>
        <w:t>clinical care</w:t>
      </w:r>
      <w:r w:rsidR="00B26750" w:rsidRPr="00C93347">
        <w:rPr>
          <w:rFonts w:ascii="Times New Roman" w:hAnsi="Times New Roman"/>
          <w:color w:val="FF0000"/>
        </w:rPr>
        <w:t xml:space="preserve"> efficiency</w:t>
      </w:r>
      <w:r w:rsidR="00C36A94" w:rsidRPr="00C93347">
        <w:rPr>
          <w:rFonts w:ascii="Times New Roman" w:hAnsi="Times New Roman"/>
          <w:color w:val="FF0000"/>
        </w:rPr>
        <w:t xml:space="preserve"> or vice versa</w:t>
      </w:r>
      <w:r w:rsidR="00C30727" w:rsidRPr="00C93347">
        <w:rPr>
          <w:rFonts w:ascii="Times New Roman" w:hAnsi="Times New Roman"/>
          <w:color w:val="FF0000"/>
        </w:rPr>
        <w:t xml:space="preserve">. </w:t>
      </w:r>
      <w:r w:rsidR="00B26750" w:rsidRPr="00C93347">
        <w:rPr>
          <w:rFonts w:ascii="Times New Roman" w:hAnsi="Times New Roman"/>
          <w:color w:val="FF0000"/>
        </w:rPr>
        <w:t xml:space="preserve">Further, </w:t>
      </w:r>
      <w:r w:rsidR="00C30727" w:rsidRPr="00C93347">
        <w:rPr>
          <w:rFonts w:ascii="Times New Roman" w:hAnsi="Times New Roman"/>
          <w:color w:val="FF0000"/>
        </w:rPr>
        <w:t xml:space="preserve">individual risk adjustment coefficients and parameters should be viewed in the context of the entire model and set of MDCs, rather than being analyzed individually. For instance, coefficients indicate the incremental effect of a model variable, </w:t>
      </w:r>
      <w:r w:rsidR="00C30727" w:rsidRPr="00C93347">
        <w:rPr>
          <w:rFonts w:ascii="Times New Roman" w:hAnsi="Times New Roman"/>
          <w:color w:val="FF0000"/>
        </w:rPr>
        <w:lastRenderedPageBreak/>
        <w:t xml:space="preserve">holding all other variables fixed. </w:t>
      </w:r>
      <w:r w:rsidR="00B26750" w:rsidRPr="00C93347">
        <w:rPr>
          <w:rFonts w:ascii="Times New Roman" w:hAnsi="Times New Roman"/>
          <w:color w:val="FF0000"/>
        </w:rPr>
        <w:t>And</w:t>
      </w:r>
      <w:r w:rsidR="00C30727" w:rsidRPr="00C93347">
        <w:rPr>
          <w:rFonts w:ascii="Times New Roman" w:hAnsi="Times New Roman"/>
          <w:color w:val="FF0000"/>
        </w:rPr>
        <w:t>, interactions between model variables must be interpreted in concert with the effects of those variables in isolation.</w:t>
      </w:r>
    </w:p>
    <w:p w14:paraId="16809C89" w14:textId="34BED32E" w:rsidR="00C30727" w:rsidRPr="00C93347" w:rsidRDefault="00C30727" w:rsidP="00E171BA">
      <w:pPr>
        <w:pStyle w:val="NoSpacing"/>
        <w:rPr>
          <w:rFonts w:ascii="Times New Roman" w:hAnsi="Times New Roman"/>
          <w:color w:val="FF0000"/>
        </w:rPr>
      </w:pPr>
    </w:p>
    <w:p w14:paraId="0835592D" w14:textId="60EA3CA8" w:rsidR="00D902D1" w:rsidRPr="00C93347" w:rsidRDefault="00E513C8" w:rsidP="00E171BA">
      <w:pPr>
        <w:pStyle w:val="NoSpacing"/>
        <w:rPr>
          <w:rFonts w:ascii="Times New Roman" w:hAnsi="Times New Roman"/>
          <w:color w:val="FF0000"/>
        </w:rPr>
      </w:pPr>
      <w:r w:rsidRPr="00C93347">
        <w:rPr>
          <w:rFonts w:ascii="Times New Roman" w:hAnsi="Times New Roman"/>
          <w:color w:val="FF0000"/>
        </w:rPr>
        <w:t xml:space="preserve">Second, we </w:t>
      </w:r>
      <w:r w:rsidR="00C30727" w:rsidRPr="00C93347">
        <w:rPr>
          <w:rFonts w:ascii="Times New Roman" w:hAnsi="Times New Roman"/>
          <w:color w:val="FF0000"/>
        </w:rPr>
        <w:t>examined the model</w:t>
      </w:r>
      <w:r w:rsidR="00FC147C" w:rsidRPr="00C93347">
        <w:rPr>
          <w:rFonts w:ascii="Times New Roman" w:hAnsi="Times New Roman"/>
          <w:color w:val="FF0000"/>
        </w:rPr>
        <w:t>’s</w:t>
      </w:r>
      <w:r w:rsidR="00C30727" w:rsidRPr="00C93347">
        <w:rPr>
          <w:rFonts w:ascii="Times New Roman" w:hAnsi="Times New Roman"/>
          <w:color w:val="FF0000"/>
        </w:rPr>
        <w:t xml:space="preserve"> ability to predict episode costs at varying levels of risk. </w:t>
      </w:r>
      <w:r w:rsidR="00B26750" w:rsidRPr="00C93347">
        <w:rPr>
          <w:rFonts w:ascii="Times New Roman" w:hAnsi="Times New Roman"/>
          <w:color w:val="FF0000"/>
        </w:rPr>
        <w:t xml:space="preserve">As an episode’s cost is expected </w:t>
      </w:r>
      <w:r w:rsidR="009C0992" w:rsidRPr="00C93347">
        <w:rPr>
          <w:rFonts w:ascii="Times New Roman" w:hAnsi="Times New Roman"/>
          <w:color w:val="FF0000"/>
        </w:rPr>
        <w:t xml:space="preserve">to </w:t>
      </w:r>
      <w:r w:rsidR="00B26750" w:rsidRPr="00C93347">
        <w:rPr>
          <w:rFonts w:ascii="Times New Roman" w:hAnsi="Times New Roman"/>
          <w:color w:val="FF0000"/>
        </w:rPr>
        <w:t>rise with a patient’s clinical risk, we</w:t>
      </w:r>
      <w:r w:rsidR="00FC147C" w:rsidRPr="00C93347">
        <w:rPr>
          <w:rFonts w:ascii="Times New Roman" w:hAnsi="Times New Roman"/>
          <w:color w:val="FF0000"/>
        </w:rPr>
        <w:t xml:space="preserve"> first</w:t>
      </w:r>
      <w:r w:rsidR="00C30727" w:rsidRPr="00C93347">
        <w:rPr>
          <w:rFonts w:ascii="Times New Roman" w:hAnsi="Times New Roman"/>
          <w:color w:val="FF0000"/>
        </w:rPr>
        <w:t xml:space="preserve"> allocated episodes into risk deciles by </w:t>
      </w:r>
      <w:r w:rsidR="0087107A" w:rsidRPr="00C93347">
        <w:rPr>
          <w:rFonts w:ascii="Times New Roman" w:hAnsi="Times New Roman"/>
          <w:color w:val="FF0000"/>
        </w:rPr>
        <w:t>the</w:t>
      </w:r>
      <w:r w:rsidR="00B26750" w:rsidRPr="00C93347">
        <w:rPr>
          <w:rFonts w:ascii="Times New Roman" w:hAnsi="Times New Roman"/>
          <w:color w:val="FF0000"/>
        </w:rPr>
        <w:t>ir</w:t>
      </w:r>
      <w:r w:rsidR="0087107A" w:rsidRPr="00C93347">
        <w:rPr>
          <w:rFonts w:ascii="Times New Roman" w:hAnsi="Times New Roman"/>
          <w:color w:val="FF0000"/>
        </w:rPr>
        <w:t xml:space="preserve"> </w:t>
      </w:r>
      <w:r w:rsidR="00B26750" w:rsidRPr="00C93347">
        <w:rPr>
          <w:rFonts w:ascii="Times New Roman" w:hAnsi="Times New Roman"/>
          <w:color w:val="FF0000"/>
        </w:rPr>
        <w:t xml:space="preserve">ratio of </w:t>
      </w:r>
      <w:r w:rsidR="0087107A" w:rsidRPr="00C93347">
        <w:rPr>
          <w:rFonts w:ascii="Times New Roman" w:hAnsi="Times New Roman"/>
          <w:color w:val="FF0000"/>
        </w:rPr>
        <w:t>expected cost to national average episode cost</w:t>
      </w:r>
      <w:r w:rsidR="00C30727" w:rsidRPr="00C93347">
        <w:rPr>
          <w:rFonts w:ascii="Times New Roman" w:hAnsi="Times New Roman"/>
          <w:color w:val="FF0000"/>
        </w:rPr>
        <w:t xml:space="preserve">. Then, we </w:t>
      </w:r>
      <w:r w:rsidR="00B26750" w:rsidRPr="00C93347">
        <w:rPr>
          <w:rFonts w:ascii="Times New Roman" w:hAnsi="Times New Roman"/>
          <w:color w:val="FF0000"/>
        </w:rPr>
        <w:t>examined</w:t>
      </w:r>
      <w:r w:rsidR="0087107A" w:rsidRPr="00C93347">
        <w:rPr>
          <w:rFonts w:ascii="Times New Roman" w:hAnsi="Times New Roman"/>
          <w:color w:val="FF0000"/>
        </w:rPr>
        <w:t xml:space="preserve"> </w:t>
      </w:r>
      <w:r w:rsidR="00401B34" w:rsidRPr="00C93347">
        <w:rPr>
          <w:rFonts w:ascii="Times New Roman" w:hAnsi="Times New Roman"/>
          <w:color w:val="FF0000"/>
        </w:rPr>
        <w:t xml:space="preserve">the difference between a decile’s average expected costs and average observed costs, </w:t>
      </w:r>
      <w:r w:rsidR="0087107A" w:rsidRPr="00C93347">
        <w:rPr>
          <w:rFonts w:ascii="Times New Roman" w:hAnsi="Times New Roman"/>
          <w:color w:val="FF0000"/>
        </w:rPr>
        <w:t xml:space="preserve">the </w:t>
      </w:r>
      <w:r w:rsidR="00B26750" w:rsidRPr="00C93347">
        <w:rPr>
          <w:rFonts w:ascii="Times New Roman" w:hAnsi="Times New Roman"/>
          <w:color w:val="FF0000"/>
        </w:rPr>
        <w:t xml:space="preserve">ratio </w:t>
      </w:r>
      <w:r w:rsidR="00401B34" w:rsidRPr="00C93347">
        <w:rPr>
          <w:rFonts w:ascii="Times New Roman" w:hAnsi="Times New Roman"/>
          <w:color w:val="FF0000"/>
        </w:rPr>
        <w:t xml:space="preserve">between these costs </w:t>
      </w:r>
      <w:r w:rsidR="00C30727" w:rsidRPr="00C93347">
        <w:rPr>
          <w:rFonts w:ascii="Times New Roman" w:hAnsi="Times New Roman"/>
          <w:color w:val="FF0000"/>
        </w:rPr>
        <w:t>(predictive</w:t>
      </w:r>
      <w:r w:rsidR="00B26750" w:rsidRPr="00C93347">
        <w:rPr>
          <w:rFonts w:ascii="Times New Roman" w:hAnsi="Times New Roman"/>
          <w:color w:val="FF0000"/>
        </w:rPr>
        <w:t xml:space="preserve"> ratio</w:t>
      </w:r>
      <w:r w:rsidR="00C30727" w:rsidRPr="00C93347">
        <w:rPr>
          <w:rFonts w:ascii="Times New Roman" w:hAnsi="Times New Roman"/>
          <w:color w:val="FF0000"/>
        </w:rPr>
        <w:t>)</w:t>
      </w:r>
      <w:r w:rsidR="00401B34" w:rsidRPr="00C93347">
        <w:rPr>
          <w:rFonts w:ascii="Times New Roman" w:hAnsi="Times New Roman"/>
          <w:color w:val="FF0000"/>
        </w:rPr>
        <w:t xml:space="preserve">, </w:t>
      </w:r>
      <w:r w:rsidR="00B26750" w:rsidRPr="00C93347">
        <w:rPr>
          <w:rFonts w:ascii="Times New Roman" w:hAnsi="Times New Roman"/>
          <w:color w:val="FF0000"/>
        </w:rPr>
        <w:t>and</w:t>
      </w:r>
      <w:r w:rsidR="00C30727" w:rsidRPr="00C93347">
        <w:rPr>
          <w:rFonts w:ascii="Times New Roman" w:hAnsi="Times New Roman"/>
          <w:color w:val="FF0000"/>
        </w:rPr>
        <w:t xml:space="preserve"> the average O/E cost ratio</w:t>
      </w:r>
      <w:r w:rsidR="0087107A" w:rsidRPr="00C93347">
        <w:rPr>
          <w:rFonts w:ascii="Times New Roman" w:hAnsi="Times New Roman"/>
          <w:color w:val="FF0000"/>
        </w:rPr>
        <w:t xml:space="preserve"> </w:t>
      </w:r>
      <w:r w:rsidR="00B26750" w:rsidRPr="00C93347">
        <w:rPr>
          <w:rFonts w:ascii="Times New Roman" w:hAnsi="Times New Roman"/>
          <w:color w:val="FF0000"/>
        </w:rPr>
        <w:t>across</w:t>
      </w:r>
      <w:r w:rsidR="0087107A" w:rsidRPr="00C93347">
        <w:rPr>
          <w:rFonts w:ascii="Times New Roman" w:hAnsi="Times New Roman"/>
          <w:color w:val="FF0000"/>
        </w:rPr>
        <w:t xml:space="preserve"> decile</w:t>
      </w:r>
      <w:r w:rsidR="00B26750" w:rsidRPr="00C93347">
        <w:rPr>
          <w:rFonts w:ascii="Times New Roman" w:hAnsi="Times New Roman"/>
          <w:color w:val="FF0000"/>
        </w:rPr>
        <w:t>s</w:t>
      </w:r>
      <w:r w:rsidR="00342009" w:rsidRPr="00C93347">
        <w:rPr>
          <w:rFonts w:ascii="Times New Roman" w:hAnsi="Times New Roman"/>
          <w:color w:val="FF0000"/>
        </w:rPr>
        <w:t xml:space="preserve">. A predictive ratio close to 1.0 is indicative of accurate cost prediction within a risk decile while an average O/E (or average E/O) ratio </w:t>
      </w:r>
      <w:r w:rsidR="007A0302" w:rsidRPr="00C93347">
        <w:rPr>
          <w:rFonts w:ascii="Times New Roman" w:hAnsi="Times New Roman"/>
          <w:color w:val="FF0000"/>
        </w:rPr>
        <w:t xml:space="preserve">close to 1.0 is indicative of accurate cost prediction for the average episode within a decile. </w:t>
      </w:r>
    </w:p>
    <w:p w14:paraId="2842B308" w14:textId="77777777" w:rsidR="007A0302" w:rsidRPr="00C93347" w:rsidRDefault="007A0302" w:rsidP="00E171BA">
      <w:pPr>
        <w:pStyle w:val="NoSpacing"/>
        <w:rPr>
          <w:rFonts w:ascii="Times New Roman" w:hAnsi="Times New Roman"/>
          <w:b/>
          <w:color w:val="FF0000"/>
        </w:rPr>
      </w:pPr>
    </w:p>
    <w:p w14:paraId="7F7AB298" w14:textId="180E9559" w:rsidR="00D902D1" w:rsidRPr="00C93347" w:rsidRDefault="00D902D1" w:rsidP="00E171BA">
      <w:pPr>
        <w:pStyle w:val="NoSpacing"/>
        <w:rPr>
          <w:rFonts w:ascii="Times New Roman" w:hAnsi="Times New Roman"/>
          <w:color w:val="FF0000"/>
        </w:rPr>
      </w:pPr>
      <w:r w:rsidRPr="00C93347">
        <w:rPr>
          <w:rFonts w:ascii="Times New Roman" w:hAnsi="Times New Roman"/>
          <w:color w:val="FF0000"/>
        </w:rPr>
        <w:t>Results and interpretation of these analyses are discussed below in Sections 2b3.6-2b3.10.</w:t>
      </w:r>
    </w:p>
    <w:p w14:paraId="4422C5BA" w14:textId="77777777" w:rsidR="009A2F1E" w:rsidRPr="00E171BA" w:rsidRDefault="009A2F1E" w:rsidP="00E171BA">
      <w:pPr>
        <w:pStyle w:val="NoSpacing"/>
        <w:rPr>
          <w:rFonts w:cstheme="minorHAnsi"/>
          <w:b/>
          <w:color w:val="FF0000"/>
        </w:rPr>
      </w:pPr>
    </w:p>
    <w:p w14:paraId="3EB51D03" w14:textId="77777777" w:rsidR="009C4055" w:rsidRPr="007B0444" w:rsidRDefault="00C427B8" w:rsidP="00C427B8">
      <w:pPr>
        <w:autoSpaceDE w:val="0"/>
        <w:autoSpaceDN w:val="0"/>
        <w:adjustRightInd w:val="0"/>
        <w:spacing w:after="0" w:line="240" w:lineRule="auto"/>
        <w:rPr>
          <w:rFonts w:cstheme="minorHAnsi"/>
          <w:b/>
          <w:bCs/>
        </w:rPr>
      </w:pPr>
      <w:r w:rsidRPr="007B0444">
        <w:rPr>
          <w:rFonts w:cstheme="minorHAnsi"/>
          <w:b/>
          <w:bCs/>
        </w:rPr>
        <w:t>2b3.6. Statistical Risk Model Discrimination Statistics</w:t>
      </w:r>
      <w:r w:rsidRPr="007B0444">
        <w:rPr>
          <w:rFonts w:cstheme="minorHAnsi"/>
          <w:bCs/>
        </w:rPr>
        <w:t xml:space="preserve"> (</w:t>
      </w:r>
      <w:r w:rsidRPr="007B0444">
        <w:rPr>
          <w:rFonts w:cstheme="minorHAnsi"/>
          <w:bCs/>
          <w:i/>
        </w:rPr>
        <w:t>e.g., c-statistic, R-squared</w:t>
      </w:r>
      <w:r w:rsidRPr="007B0444">
        <w:rPr>
          <w:rFonts w:cstheme="minorHAnsi"/>
          <w:bCs/>
        </w:rPr>
        <w:t>)</w:t>
      </w:r>
      <w:r w:rsidRPr="007B0444">
        <w:rPr>
          <w:rFonts w:cstheme="minorHAnsi"/>
          <w:b/>
          <w:bCs/>
        </w:rPr>
        <w:t xml:space="preserve">:  </w:t>
      </w:r>
    </w:p>
    <w:p w14:paraId="0DBAF7C7" w14:textId="7184FC40" w:rsidR="009A2F1E" w:rsidRPr="00C93347" w:rsidRDefault="009A2F1E" w:rsidP="00E171BA">
      <w:pPr>
        <w:pStyle w:val="NoSpacing"/>
        <w:rPr>
          <w:rFonts w:ascii="Times New Roman" w:hAnsi="Times New Roman"/>
          <w:color w:val="FF0000"/>
        </w:rPr>
      </w:pPr>
      <w:r w:rsidRPr="00C93347">
        <w:rPr>
          <w:rFonts w:ascii="Times New Roman" w:hAnsi="Times New Roman"/>
          <w:color w:val="FF0000"/>
        </w:rPr>
        <w:t xml:space="preserve">The range of R-squared values for the MSPB </w:t>
      </w:r>
      <w:r w:rsidR="00FC5142" w:rsidRPr="00C93347">
        <w:rPr>
          <w:rFonts w:ascii="Times New Roman" w:hAnsi="Times New Roman"/>
          <w:color w:val="FF0000"/>
        </w:rPr>
        <w:t>Hospital</w:t>
      </w:r>
      <w:r w:rsidRPr="00C93347">
        <w:rPr>
          <w:rFonts w:ascii="Times New Roman" w:hAnsi="Times New Roman"/>
          <w:color w:val="FF0000"/>
        </w:rPr>
        <w:t xml:space="preserve"> measure risk adjust models, calculated by dividing explained sum of squares by total sum of squares</w:t>
      </w:r>
      <w:r w:rsidR="00B26750" w:rsidRPr="00C93347">
        <w:rPr>
          <w:rFonts w:ascii="Times New Roman" w:hAnsi="Times New Roman"/>
          <w:color w:val="FF0000"/>
        </w:rPr>
        <w:t>, spanned</w:t>
      </w:r>
      <w:r w:rsidRPr="00C93347">
        <w:rPr>
          <w:rFonts w:ascii="Times New Roman" w:hAnsi="Times New Roman"/>
          <w:color w:val="FF0000"/>
        </w:rPr>
        <w:t xml:space="preserve"> </w:t>
      </w:r>
      <w:r w:rsidR="00B26750" w:rsidRPr="00C93347">
        <w:rPr>
          <w:rFonts w:ascii="Times New Roman" w:hAnsi="Times New Roman"/>
          <w:color w:val="FF0000"/>
        </w:rPr>
        <w:t>from</w:t>
      </w:r>
      <w:r w:rsidRPr="00C93347">
        <w:rPr>
          <w:rFonts w:ascii="Times New Roman" w:hAnsi="Times New Roman"/>
          <w:color w:val="FF0000"/>
        </w:rPr>
        <w:t xml:space="preserve"> </w:t>
      </w:r>
      <w:r w:rsidR="00EB1607" w:rsidRPr="00C93347">
        <w:rPr>
          <w:rFonts w:ascii="Times New Roman" w:hAnsi="Times New Roman"/>
          <w:color w:val="FF0000"/>
        </w:rPr>
        <w:t>0.</w:t>
      </w:r>
      <w:r w:rsidR="0052166A" w:rsidRPr="00C93347">
        <w:rPr>
          <w:rFonts w:ascii="Times New Roman" w:hAnsi="Times New Roman"/>
          <w:color w:val="FF0000"/>
        </w:rPr>
        <w:t>11</w:t>
      </w:r>
      <w:r w:rsidR="00EB1607" w:rsidRPr="00C93347">
        <w:rPr>
          <w:rFonts w:ascii="Times New Roman" w:hAnsi="Times New Roman"/>
          <w:color w:val="FF0000"/>
        </w:rPr>
        <w:t xml:space="preserve"> </w:t>
      </w:r>
      <w:r w:rsidR="00B26750" w:rsidRPr="00C93347">
        <w:rPr>
          <w:rFonts w:ascii="Times New Roman" w:hAnsi="Times New Roman"/>
          <w:color w:val="FF0000"/>
        </w:rPr>
        <w:t>to</w:t>
      </w:r>
      <w:r w:rsidR="00EB1607" w:rsidRPr="00C93347">
        <w:rPr>
          <w:rFonts w:ascii="Times New Roman" w:hAnsi="Times New Roman"/>
          <w:color w:val="FF0000"/>
        </w:rPr>
        <w:t xml:space="preserve"> 0.</w:t>
      </w:r>
      <w:r w:rsidR="0052166A" w:rsidRPr="00C93347">
        <w:rPr>
          <w:rFonts w:ascii="Times New Roman" w:hAnsi="Times New Roman"/>
          <w:color w:val="FF0000"/>
        </w:rPr>
        <w:t>67</w:t>
      </w:r>
      <w:r w:rsidRPr="00C93347">
        <w:rPr>
          <w:rFonts w:ascii="Times New Roman" w:hAnsi="Times New Roman"/>
          <w:color w:val="FF0000"/>
        </w:rPr>
        <w:t xml:space="preserve"> across the MDCs. The adjusted R-squared range </w:t>
      </w:r>
      <w:r w:rsidR="00B26750" w:rsidRPr="00C93347">
        <w:rPr>
          <w:rFonts w:ascii="Times New Roman" w:hAnsi="Times New Roman"/>
          <w:color w:val="FF0000"/>
        </w:rPr>
        <w:t>similarly spanned from</w:t>
      </w:r>
      <w:r w:rsidR="00E477BA" w:rsidRPr="00C93347">
        <w:rPr>
          <w:rFonts w:ascii="Times New Roman" w:hAnsi="Times New Roman"/>
          <w:color w:val="FF0000"/>
        </w:rPr>
        <w:t xml:space="preserve"> </w:t>
      </w:r>
      <w:r w:rsidR="00EB1607" w:rsidRPr="00C93347">
        <w:rPr>
          <w:rFonts w:ascii="Times New Roman" w:hAnsi="Times New Roman"/>
          <w:color w:val="FF0000"/>
        </w:rPr>
        <w:t>0.</w:t>
      </w:r>
      <w:r w:rsidR="0052166A" w:rsidRPr="00C93347">
        <w:rPr>
          <w:rFonts w:ascii="Times New Roman" w:hAnsi="Times New Roman"/>
          <w:color w:val="FF0000"/>
        </w:rPr>
        <w:t>11</w:t>
      </w:r>
      <w:r w:rsidR="00EB1607" w:rsidRPr="00C93347">
        <w:rPr>
          <w:rFonts w:ascii="Times New Roman" w:hAnsi="Times New Roman"/>
          <w:color w:val="FF0000"/>
        </w:rPr>
        <w:t xml:space="preserve"> </w:t>
      </w:r>
      <w:r w:rsidR="00B26750" w:rsidRPr="00C93347">
        <w:rPr>
          <w:rFonts w:ascii="Times New Roman" w:hAnsi="Times New Roman"/>
          <w:color w:val="FF0000"/>
        </w:rPr>
        <w:t>to</w:t>
      </w:r>
      <w:r w:rsidR="00EB1607" w:rsidRPr="00C93347">
        <w:rPr>
          <w:rFonts w:ascii="Times New Roman" w:hAnsi="Times New Roman"/>
          <w:color w:val="FF0000"/>
        </w:rPr>
        <w:t xml:space="preserve"> 0.6</w:t>
      </w:r>
      <w:r w:rsidR="0052166A" w:rsidRPr="00C93347">
        <w:rPr>
          <w:rFonts w:ascii="Times New Roman" w:hAnsi="Times New Roman"/>
          <w:color w:val="FF0000"/>
        </w:rPr>
        <w:t>7</w:t>
      </w:r>
      <w:r w:rsidRPr="00C93347">
        <w:rPr>
          <w:rFonts w:ascii="Times New Roman" w:hAnsi="Times New Roman"/>
          <w:color w:val="FF0000"/>
        </w:rPr>
        <w:t xml:space="preserve">. </w:t>
      </w:r>
    </w:p>
    <w:p w14:paraId="0D06470C" w14:textId="77777777" w:rsidR="00BD0608" w:rsidRPr="00C93347" w:rsidRDefault="00BD0608" w:rsidP="00E171BA">
      <w:pPr>
        <w:pStyle w:val="NoSpacing"/>
        <w:rPr>
          <w:rFonts w:ascii="Times New Roman" w:hAnsi="Times New Roman"/>
          <w:color w:val="FF0000"/>
        </w:rPr>
      </w:pPr>
    </w:p>
    <w:p w14:paraId="58C045F0" w14:textId="63B16B49" w:rsidR="009A2F1E" w:rsidRPr="00C93347" w:rsidRDefault="00BD0608" w:rsidP="00E171BA">
      <w:pPr>
        <w:pStyle w:val="NoSpacing"/>
        <w:rPr>
          <w:rFonts w:ascii="Times New Roman" w:hAnsi="Times New Roman"/>
          <w:color w:val="FF0000"/>
        </w:rPr>
      </w:pPr>
      <w:r w:rsidRPr="00C93347">
        <w:rPr>
          <w:rFonts w:ascii="Times New Roman" w:hAnsi="Times New Roman"/>
          <w:color w:val="FF0000"/>
        </w:rPr>
        <w:t xml:space="preserve">Appendix Table 2b3.6.a provides the R-squared and adjusted R-squared values for each risk adjustment model. Appendix Table </w:t>
      </w:r>
      <w:r w:rsidR="00A659F7" w:rsidRPr="00C93347">
        <w:rPr>
          <w:rFonts w:ascii="Times New Roman" w:hAnsi="Times New Roman"/>
          <w:color w:val="FF0000"/>
        </w:rPr>
        <w:t>2</w:t>
      </w:r>
      <w:r w:rsidR="00B54FF9" w:rsidRPr="00C93347">
        <w:rPr>
          <w:rFonts w:ascii="Times New Roman" w:hAnsi="Times New Roman"/>
          <w:color w:val="FF0000"/>
        </w:rPr>
        <w:t xml:space="preserve">b3.6.b provides regression coefficients, standard errors and other statistics for each model. </w:t>
      </w:r>
    </w:p>
    <w:p w14:paraId="286DB234" w14:textId="289E7B2F" w:rsidR="003D3F66" w:rsidRPr="003D3F66" w:rsidRDefault="003D3F66" w:rsidP="00E171BA">
      <w:pPr>
        <w:pStyle w:val="NoSpacing"/>
      </w:pPr>
    </w:p>
    <w:p w14:paraId="38A26253" w14:textId="4A0274D5" w:rsidR="003D3F66" w:rsidRPr="00CD6B52" w:rsidRDefault="003D3F66" w:rsidP="00E171BA">
      <w:pPr>
        <w:pStyle w:val="NoSpacing"/>
        <w:rPr>
          <w:b/>
        </w:rPr>
      </w:pPr>
      <w:r w:rsidRPr="00E171BA">
        <w:rPr>
          <w:bCs/>
          <w:u w:val="single"/>
        </w:rPr>
        <w:t>Previous Response (2016):</w:t>
      </w:r>
      <w:r w:rsidR="006C3944" w:rsidRPr="006C3944">
        <w:rPr>
          <w:b/>
        </w:rPr>
        <w:t xml:space="preserve"> </w:t>
      </w:r>
      <w:r w:rsidRPr="00CD6B52">
        <w:rPr>
          <w:rFonts w:eastAsia="Times New Roman"/>
        </w:rPr>
        <w:t>The average R-squared for the MSPB-Hospital measure risk adjustment model across all MDCs is 0.3014.  The overall R-squared, calculated by comparing residuals to the difference between observed costs and the national mean cost across all MDCs, is 0.4757.  Appendix Table 2b4-A also includes regression coefficients and standard errors for each of the covariates used in the risk adjustment models.  More information on discrimination testing for the CMS-HCC model can be found at Pope et al. 2011.</w:t>
      </w:r>
      <w:r w:rsidRPr="00CD6B52">
        <w:rPr>
          <w:rStyle w:val="FootnoteReference"/>
          <w:rFonts w:ascii="Times New Roman" w:hAnsi="Times New Roman"/>
        </w:rPr>
        <w:footnoteReference w:id="54"/>
      </w:r>
    </w:p>
    <w:p w14:paraId="51DF7BEF" w14:textId="77777777" w:rsidR="003D3F66" w:rsidRPr="00CD6B52" w:rsidRDefault="003D3F66" w:rsidP="00E171BA">
      <w:pPr>
        <w:pStyle w:val="NoSpacing"/>
        <w:rPr>
          <w:b/>
          <w:u w:val="single"/>
        </w:rPr>
      </w:pPr>
    </w:p>
    <w:p w14:paraId="2AEC2623" w14:textId="4BD1C86A" w:rsidR="003D3F66" w:rsidRPr="00CD6B52" w:rsidRDefault="003D3F66" w:rsidP="00E171BA">
      <w:pPr>
        <w:pStyle w:val="NoSpacing"/>
      </w:pPr>
      <w:r w:rsidRPr="00E171BA">
        <w:rPr>
          <w:bCs/>
          <w:u w:val="single"/>
        </w:rPr>
        <w:t>Previous response (2013):</w:t>
      </w:r>
      <w:r w:rsidR="006C3944" w:rsidRPr="006C3944">
        <w:rPr>
          <w:b/>
        </w:rPr>
        <w:t xml:space="preserve"> </w:t>
      </w:r>
      <w:r w:rsidRPr="00CD6B52">
        <w:t xml:space="preserve">The overall R-squared for the MSPB Measure risk adjustment model described in S.9.2. </w:t>
      </w:r>
      <w:proofErr w:type="gramStart"/>
      <w:r w:rsidRPr="00CD6B52">
        <w:t>through</w:t>
      </w:r>
      <w:proofErr w:type="gramEnd"/>
      <w:r w:rsidRPr="00CD6B52">
        <w:t xml:space="preserve"> S.9.4. </w:t>
      </w:r>
      <w:proofErr w:type="gramStart"/>
      <w:r w:rsidRPr="00CD6B52">
        <w:t>is</w:t>
      </w:r>
      <w:proofErr w:type="gramEnd"/>
      <w:r w:rsidRPr="00CD6B52">
        <w:t xml:space="preserve"> 0.4621.  For your reference, the “Additional Information” Appendix beginning on page 24 of the “Scientific Acceptability” section also includes regression coefficients, standard error, and p-values of the covariates used in the risk-adjustment models.  Recalling that the risk model relies on the existing CMS-HCC model, more information on discrimination testing for the CMS-HCC model can be found at Pope et al. 2011.</w:t>
      </w:r>
      <w:r w:rsidRPr="00CD6B52">
        <w:rPr>
          <w:rStyle w:val="FootnoteReference"/>
        </w:rPr>
        <w:footnoteReference w:id="55"/>
      </w:r>
      <w:r w:rsidRPr="00CD6B52">
        <w:t xml:space="preserve"> </w:t>
      </w:r>
    </w:p>
    <w:p w14:paraId="06104136" w14:textId="77777777" w:rsidR="003D3F66" w:rsidRPr="00CD6B52" w:rsidRDefault="003D3F66" w:rsidP="009A2F1E">
      <w:pPr>
        <w:autoSpaceDE w:val="0"/>
        <w:autoSpaceDN w:val="0"/>
        <w:adjustRightInd w:val="0"/>
        <w:spacing w:after="0" w:line="240" w:lineRule="auto"/>
        <w:rPr>
          <w:rFonts w:ascii="Times New Roman" w:hAnsi="Times New Roman" w:cs="Times New Roman"/>
          <w:b/>
          <w:bCs/>
        </w:rPr>
      </w:pPr>
    </w:p>
    <w:p w14:paraId="2456E1E1" w14:textId="6347EE50" w:rsidR="00C427B8" w:rsidRPr="007B0444" w:rsidRDefault="00C427B8" w:rsidP="009A2F1E">
      <w:pPr>
        <w:autoSpaceDE w:val="0"/>
        <w:autoSpaceDN w:val="0"/>
        <w:adjustRightInd w:val="0"/>
        <w:spacing w:after="0" w:line="240" w:lineRule="auto"/>
        <w:rPr>
          <w:rFonts w:cstheme="minorHAnsi"/>
          <w:b/>
          <w:bCs/>
        </w:rPr>
      </w:pPr>
    </w:p>
    <w:p w14:paraId="34242EF5" w14:textId="77777777" w:rsidR="00C427B8" w:rsidRPr="007B0444" w:rsidRDefault="00C427B8" w:rsidP="00C427B8">
      <w:pPr>
        <w:autoSpaceDE w:val="0"/>
        <w:autoSpaceDN w:val="0"/>
        <w:adjustRightInd w:val="0"/>
        <w:spacing w:after="0" w:line="240" w:lineRule="auto"/>
        <w:rPr>
          <w:rFonts w:cstheme="minorHAnsi"/>
          <w:bCs/>
        </w:rPr>
      </w:pPr>
      <w:r w:rsidRPr="007B0444">
        <w:rPr>
          <w:rFonts w:cstheme="minorHAnsi"/>
          <w:b/>
          <w:bCs/>
        </w:rPr>
        <w:t xml:space="preserve">2b3.7. Statistical Risk Model Calibration Statistics </w:t>
      </w:r>
      <w:r w:rsidRPr="007B0444">
        <w:rPr>
          <w:rFonts w:cstheme="minorHAnsi"/>
          <w:bCs/>
        </w:rPr>
        <w:t>(</w:t>
      </w:r>
      <w:r w:rsidRPr="007B0444">
        <w:rPr>
          <w:rFonts w:cstheme="minorHAnsi"/>
          <w:bCs/>
          <w:i/>
        </w:rPr>
        <w:t>e.g., Hosmer-Lemeshow statistic</w:t>
      </w:r>
      <w:r w:rsidRPr="007B0444">
        <w:rPr>
          <w:rFonts w:cstheme="minorHAnsi"/>
          <w:bCs/>
        </w:rPr>
        <w:t xml:space="preserve">):  </w:t>
      </w:r>
    </w:p>
    <w:p w14:paraId="0CBEC8CD" w14:textId="4DBB1EDF" w:rsidR="00865CE8" w:rsidRPr="00C93347" w:rsidRDefault="009A2F1E" w:rsidP="00E340DE">
      <w:pPr>
        <w:pStyle w:val="NoSpacing"/>
        <w:rPr>
          <w:rFonts w:ascii="Times New Roman" w:hAnsi="Times New Roman"/>
          <w:color w:val="FF0000"/>
        </w:rPr>
      </w:pPr>
      <w:r w:rsidRPr="00C93347">
        <w:rPr>
          <w:rFonts w:ascii="Times New Roman" w:hAnsi="Times New Roman"/>
          <w:color w:val="FF0000"/>
        </w:rPr>
        <w:t>We interpret calibration as how accurately the risk model’s predictions match the actual episode cost. We calculate the average O/E cost ratio for each risk decile to demonstrate the model’s prediction accuracy</w:t>
      </w:r>
      <w:r w:rsidR="00EB1607" w:rsidRPr="00C93347">
        <w:rPr>
          <w:rFonts w:ascii="Times New Roman" w:hAnsi="Times New Roman"/>
          <w:color w:val="FF0000"/>
        </w:rPr>
        <w:t xml:space="preserve"> for both high and </w:t>
      </w:r>
      <w:r w:rsidR="00865CE8" w:rsidRPr="00C93347">
        <w:rPr>
          <w:rFonts w:ascii="Times New Roman" w:hAnsi="Times New Roman"/>
          <w:color w:val="FF0000"/>
        </w:rPr>
        <w:t>low-cost</w:t>
      </w:r>
      <w:r w:rsidR="00EB1607" w:rsidRPr="00C93347">
        <w:rPr>
          <w:rFonts w:ascii="Times New Roman" w:hAnsi="Times New Roman"/>
          <w:color w:val="FF0000"/>
        </w:rPr>
        <w:t xml:space="preserve"> episodes</w:t>
      </w:r>
      <w:r w:rsidRPr="00C93347">
        <w:rPr>
          <w:rFonts w:ascii="Times New Roman" w:hAnsi="Times New Roman"/>
          <w:color w:val="FF0000"/>
        </w:rPr>
        <w:t xml:space="preserve">. </w:t>
      </w:r>
      <w:r w:rsidR="00865CE8" w:rsidRPr="00C93347">
        <w:rPr>
          <w:rFonts w:ascii="Times New Roman" w:hAnsi="Times New Roman"/>
          <w:color w:val="FF0000"/>
        </w:rPr>
        <w:t>The a</w:t>
      </w:r>
      <w:r w:rsidR="000C4D44" w:rsidRPr="00C93347">
        <w:rPr>
          <w:rFonts w:ascii="Times New Roman" w:hAnsi="Times New Roman"/>
          <w:color w:val="FF0000"/>
        </w:rPr>
        <w:t xml:space="preserve">verage expected cost differed </w:t>
      </w:r>
      <w:r w:rsidR="00865CE8" w:rsidRPr="00C93347">
        <w:rPr>
          <w:rFonts w:ascii="Times New Roman" w:hAnsi="Times New Roman"/>
          <w:color w:val="FF0000"/>
        </w:rPr>
        <w:t xml:space="preserve">from the average observed episode cost </w:t>
      </w:r>
      <w:r w:rsidR="00894D33" w:rsidRPr="00C93347">
        <w:rPr>
          <w:rFonts w:ascii="Times New Roman" w:hAnsi="Times New Roman"/>
          <w:color w:val="FF0000"/>
        </w:rPr>
        <w:t xml:space="preserve">by </w:t>
      </w:r>
      <w:r w:rsidR="00865CE8" w:rsidRPr="00C93347">
        <w:rPr>
          <w:rFonts w:ascii="Times New Roman" w:hAnsi="Times New Roman"/>
          <w:color w:val="FF0000"/>
        </w:rPr>
        <w:t>0.06 percent to 1.09 percent</w:t>
      </w:r>
      <w:r w:rsidR="00894D33" w:rsidRPr="00C93347">
        <w:rPr>
          <w:rFonts w:ascii="Times New Roman" w:hAnsi="Times New Roman"/>
          <w:color w:val="FF0000"/>
        </w:rPr>
        <w:t xml:space="preserve"> in absolute value</w:t>
      </w:r>
      <w:r w:rsidR="00865CE8" w:rsidRPr="00C93347">
        <w:rPr>
          <w:rFonts w:ascii="Times New Roman" w:hAnsi="Times New Roman"/>
          <w:color w:val="FF0000"/>
        </w:rPr>
        <w:t xml:space="preserve"> across deciles. Further, both the predictive and O/E cost ratios were close to one, ranging from 0.99 to 1.01</w:t>
      </w:r>
      <w:r w:rsidR="003F315F" w:rsidRPr="00C93347">
        <w:rPr>
          <w:rFonts w:ascii="Times New Roman" w:hAnsi="Times New Roman"/>
          <w:color w:val="FF0000"/>
        </w:rPr>
        <w:t xml:space="preserve"> across risk</w:t>
      </w:r>
      <w:r w:rsidR="00865CE8" w:rsidRPr="00C93347">
        <w:rPr>
          <w:rFonts w:ascii="Times New Roman" w:hAnsi="Times New Roman"/>
          <w:color w:val="FF0000"/>
        </w:rPr>
        <w:t xml:space="preserve"> decile</w:t>
      </w:r>
      <w:r w:rsidR="003F315F" w:rsidRPr="00C93347">
        <w:rPr>
          <w:rFonts w:ascii="Times New Roman" w:hAnsi="Times New Roman"/>
          <w:color w:val="FF0000"/>
        </w:rPr>
        <w:t>s</w:t>
      </w:r>
      <w:r w:rsidR="00865CE8" w:rsidRPr="00C93347">
        <w:rPr>
          <w:rFonts w:ascii="Times New Roman" w:hAnsi="Times New Roman"/>
          <w:color w:val="FF0000"/>
        </w:rPr>
        <w:t xml:space="preserve">.  </w:t>
      </w:r>
    </w:p>
    <w:p w14:paraId="54477B7F" w14:textId="0BB87313" w:rsidR="00EB1607" w:rsidRDefault="00EB1607" w:rsidP="00865CE8">
      <w:pPr>
        <w:autoSpaceDE w:val="0"/>
        <w:autoSpaceDN w:val="0"/>
        <w:adjustRightInd w:val="0"/>
        <w:spacing w:after="0" w:line="240" w:lineRule="auto"/>
        <w:rPr>
          <w:rFonts w:cstheme="minorHAnsi"/>
          <w:b/>
          <w:bCs/>
        </w:rPr>
      </w:pPr>
    </w:p>
    <w:p w14:paraId="0A2A1F0F" w14:textId="59AF2F19" w:rsidR="006B5058" w:rsidRPr="00E340DE" w:rsidRDefault="003D3F66" w:rsidP="00E340DE">
      <w:pPr>
        <w:pStyle w:val="NoSpacing"/>
        <w:rPr>
          <w:u w:val="single"/>
        </w:rPr>
      </w:pPr>
      <w:r w:rsidRPr="00E340DE">
        <w:rPr>
          <w:u w:val="single"/>
        </w:rPr>
        <w:t>Previous Response (2016):</w:t>
      </w:r>
    </w:p>
    <w:p w14:paraId="53CDE09F" w14:textId="77777777" w:rsidR="00E340DE" w:rsidRDefault="003D3F66" w:rsidP="00E340DE">
      <w:pPr>
        <w:pStyle w:val="NoSpacing"/>
        <w:numPr>
          <w:ilvl w:val="0"/>
          <w:numId w:val="16"/>
        </w:numPr>
        <w:rPr>
          <w:rFonts w:eastAsia="Times New Roman"/>
        </w:rPr>
      </w:pPr>
      <w:r w:rsidRPr="00E340DE">
        <w:rPr>
          <w:rFonts w:eastAsia="Times New Roman"/>
          <w:i/>
        </w:rPr>
        <w:lastRenderedPageBreak/>
        <w:t>Evaluate options for look-back periods</w:t>
      </w:r>
      <w:r w:rsidRPr="00E340DE">
        <w:rPr>
          <w:rFonts w:eastAsia="Times New Roman"/>
        </w:rPr>
        <w:t>: When changing the HCC “look-back” period from 90 days to 365 days: (i) 6.7% of episodes are dropped and (ii) the overall model fit (i.e., average of R-squared across all MDCs) decreases from 0.3014 to 0.2997.  The R-squared, when calculated overall across MDCs, decreases from 0.4757 to 0.4736.  More detailed statistics are shown in Appendix Table 2b4-1.</w:t>
      </w:r>
    </w:p>
    <w:p w14:paraId="44D8ECA7" w14:textId="3B7D5FB8" w:rsidR="003D3F66" w:rsidRPr="00E340DE" w:rsidRDefault="003D3F66" w:rsidP="00E340DE">
      <w:pPr>
        <w:pStyle w:val="NoSpacing"/>
        <w:numPr>
          <w:ilvl w:val="0"/>
          <w:numId w:val="16"/>
        </w:numPr>
        <w:rPr>
          <w:rFonts w:eastAsia="Times New Roman"/>
        </w:rPr>
      </w:pPr>
      <w:r w:rsidRPr="00E340DE">
        <w:rPr>
          <w:rFonts w:eastAsia="Times New Roman"/>
          <w:i/>
        </w:rPr>
        <w:t>Evaluate options for stratification of risk adjustment model</w:t>
      </w:r>
      <w:r w:rsidRPr="00E340DE">
        <w:rPr>
          <w:rFonts w:eastAsia="Times New Roman"/>
        </w:rPr>
        <w:t>: When stratifying the risk adjustment model by MDC only, but with an indicator for institutional status (e.g., Long-Term Institutional (LTI) indicator) (current specification), the average R-squared across MDCs is 0.3014 and the overall R-squared is 0.4757.  On the other hand, when stratifying the risk adjustment model by MDC, but with separate regressions for institutional and community beneficiaries, the average R-squared across MDCs is 0.3060 and the overall R-squared is 0.4778.   In addition, when averaging across MDCs, 60.27% of regression variables have a p-value of less than 0.1 when using the MDC model, while only 48.93% of regression variables have a p-value of less than 0.1 when using the MDC/Institutional model.  Further statistics by MDC are shown in Appendix Table 2b4-2.</w:t>
      </w:r>
    </w:p>
    <w:p w14:paraId="050FB10A" w14:textId="77777777" w:rsidR="00E340DE" w:rsidRPr="00CD6B52" w:rsidRDefault="00E340DE" w:rsidP="00E340DE">
      <w:pPr>
        <w:pStyle w:val="NoSpacing"/>
        <w:rPr>
          <w:rFonts w:eastAsia="Times New Roman"/>
        </w:rPr>
      </w:pPr>
    </w:p>
    <w:p w14:paraId="50FB9AEF" w14:textId="57A19E8D" w:rsidR="003D3F66" w:rsidRPr="00E340DE" w:rsidRDefault="003D3F66" w:rsidP="00E340DE">
      <w:pPr>
        <w:pStyle w:val="NoSpacing"/>
        <w:rPr>
          <w:iCs/>
          <w:u w:val="single"/>
        </w:rPr>
      </w:pPr>
      <w:r w:rsidRPr="00E340DE">
        <w:rPr>
          <w:iCs/>
          <w:u w:val="single"/>
        </w:rPr>
        <w:t xml:space="preserve">Previous </w:t>
      </w:r>
      <w:r w:rsidR="006C3944" w:rsidRPr="00E340DE">
        <w:rPr>
          <w:iCs/>
          <w:u w:val="single"/>
        </w:rPr>
        <w:t>R</w:t>
      </w:r>
      <w:r w:rsidRPr="00E340DE">
        <w:rPr>
          <w:iCs/>
          <w:u w:val="single"/>
        </w:rPr>
        <w:t>esponse (2013):</w:t>
      </w:r>
    </w:p>
    <w:p w14:paraId="5F739B9D" w14:textId="67FB4C66" w:rsidR="003D3F66" w:rsidRPr="00CD6B52" w:rsidRDefault="003D3F66" w:rsidP="00E340DE">
      <w:pPr>
        <w:pStyle w:val="NoSpacing"/>
        <w:numPr>
          <w:ilvl w:val="0"/>
          <w:numId w:val="17"/>
        </w:numPr>
        <w:rPr>
          <w:iCs/>
        </w:rPr>
      </w:pPr>
      <w:r w:rsidRPr="00CD6B52">
        <w:rPr>
          <w:iCs/>
        </w:rPr>
        <w:t>Assessing the use of one year of data prior to the index admission to calculate comorbidities in the risk adjustment methodology rather than 90 days: When changing the HCC “look-back” period from 90 days to 365 days: (i) 6% of episodes are dropped (see Table 19 in the appendix) and (ii) the model fit (i.e., R-squared) decreases from 0.4621 to 0.4601.  The impact analysis also reveals that, despite the drop in episodes included and a decrease in model fit, most hospitals experience only a small change in their MSPB Measure values when switching the “look-back” period from 90 days to 365 days; in fact, Table 20 in the appendix shows that 78% of hospitals experience a gain or loss in the MSPB Measure values of less than 1 percentage point.</w:t>
      </w:r>
    </w:p>
    <w:p w14:paraId="7125B93D" w14:textId="7420ABC8" w:rsidR="003D3F66" w:rsidRPr="00CD6B52" w:rsidRDefault="003D3F66" w:rsidP="00E340DE">
      <w:pPr>
        <w:pStyle w:val="NoSpacing"/>
        <w:numPr>
          <w:ilvl w:val="0"/>
          <w:numId w:val="18"/>
        </w:numPr>
        <w:rPr>
          <w:iCs/>
        </w:rPr>
      </w:pPr>
      <w:r w:rsidRPr="00CD6B52">
        <w:rPr>
          <w:iCs/>
        </w:rPr>
        <w:t xml:space="preserve"> Evaluating options for stratifying the risk adjustment model (e.g., by MDC, MDC/Institutional Status): When stratifying the risk-adjustment model by MDC with a Long-Term Institutional (LTI) indicator (current specification), the R-squared is 0.4621.  On the other hand, when stratifying the risk-adjustment model by MDC, but with separate regressions for institutional and community beneficiaries, the R-squared is 0.4645.  When stratifying the risk-adjustment model by MDC, but with separate regressions for MDC type (i.e., MED, SURG), the R-squared is 0.4636. The MDC option was preferred because: (i) the improvement in R-squared is very small when moving to the MDC/Institutional Status specification and (ii) increasing the number of stratifications increases the risk of over-fitting, especially for MDCs with relatively few admissions.  </w:t>
      </w:r>
    </w:p>
    <w:p w14:paraId="30AEC4F3" w14:textId="77777777" w:rsidR="003D3F66" w:rsidRPr="007B0444" w:rsidRDefault="003D3F66" w:rsidP="00E340DE">
      <w:pPr>
        <w:pStyle w:val="NoSpacing"/>
        <w:rPr>
          <w:rFonts w:cstheme="minorHAnsi"/>
        </w:rPr>
      </w:pPr>
    </w:p>
    <w:p w14:paraId="08AB4BC1" w14:textId="20A9E875" w:rsidR="00D902D1" w:rsidRPr="00C93347" w:rsidRDefault="00C427B8" w:rsidP="00E340DE">
      <w:pPr>
        <w:pStyle w:val="NoSpacing"/>
        <w:rPr>
          <w:rFonts w:ascii="Times New Roman" w:hAnsi="Times New Roman"/>
          <w:color w:val="FF0000"/>
        </w:rPr>
      </w:pPr>
      <w:r w:rsidRPr="007B0444">
        <w:rPr>
          <w:rFonts w:cstheme="minorHAnsi"/>
          <w:b/>
        </w:rPr>
        <w:t>2b3.8. Statistical Risk Model Calibration – Risk decile plots or calibration curves</w:t>
      </w:r>
      <w:proofErr w:type="gramStart"/>
      <w:r w:rsidRPr="007B0444">
        <w:rPr>
          <w:rFonts w:cstheme="minorHAnsi"/>
        </w:rPr>
        <w:t>:</w:t>
      </w:r>
      <w:proofErr w:type="gramEnd"/>
      <w:r w:rsidRPr="007B0444">
        <w:rPr>
          <w:rFonts w:cstheme="minorHAnsi"/>
        </w:rPr>
        <w:br/>
      </w:r>
      <w:r w:rsidR="009A2F1E" w:rsidRPr="00C93347">
        <w:rPr>
          <w:rFonts w:ascii="Times New Roman" w:hAnsi="Times New Roman"/>
          <w:color w:val="FF0000"/>
        </w:rPr>
        <w:t xml:space="preserve">Analysis of predictive ratios by risk decile for the measure shows that the model has consistent predictive ratios across risk score deciles, with each decile having a predictive ratio between 0.99 and 1.01. </w:t>
      </w:r>
      <w:r w:rsidR="00D902D1" w:rsidRPr="00C93347">
        <w:rPr>
          <w:rFonts w:ascii="Times New Roman" w:hAnsi="Times New Roman"/>
          <w:color w:val="FF0000"/>
        </w:rPr>
        <w:t>Full results can be seen in Appendix Table 2b3.7.</w:t>
      </w:r>
    </w:p>
    <w:p w14:paraId="314784CE" w14:textId="77777777" w:rsidR="00894D33" w:rsidRPr="00E340DE" w:rsidRDefault="00894D33" w:rsidP="00E340DE">
      <w:pPr>
        <w:pStyle w:val="NoSpacing"/>
        <w:rPr>
          <w:color w:val="FF0000"/>
        </w:rPr>
      </w:pPr>
    </w:p>
    <w:p w14:paraId="7206BC9F" w14:textId="3BC1D0DE" w:rsidR="003D3F66" w:rsidRDefault="003D3F66" w:rsidP="00E340DE">
      <w:pPr>
        <w:pStyle w:val="NoSpacing"/>
      </w:pPr>
      <w:r w:rsidRPr="00E340DE">
        <w:rPr>
          <w:rFonts w:eastAsia="Times New Roman"/>
          <w:u w:val="single"/>
        </w:rPr>
        <w:t>Previous Response (2016):</w:t>
      </w:r>
      <w:r w:rsidR="006C3944" w:rsidRPr="00CD6B52">
        <w:rPr>
          <w:rFonts w:eastAsia="Times New Roman"/>
          <w:b/>
          <w:bCs/>
        </w:rPr>
        <w:t xml:space="preserve"> </w:t>
      </w:r>
      <w:r w:rsidRPr="00CD6B52">
        <w:rPr>
          <w:rFonts w:eastAsia="Times New Roman"/>
        </w:rPr>
        <w:t>Evaluate the validity of the risk adjustment model:</w:t>
      </w:r>
      <w:r w:rsidRPr="00CD6B52">
        <w:t xml:space="preserve"> Table 1 below shows predictive ratios by risk decile for the MSPB-Hospital measure.  The table shows that the model has consistent predictive ratios across risk score deciles, with the first decile having a predictive ratio of 0.994 and the tenth decile having a predictive ratio of 1.011.</w:t>
      </w:r>
    </w:p>
    <w:p w14:paraId="1576A50D" w14:textId="4C00E580" w:rsidR="00E340DE" w:rsidRDefault="00E340DE" w:rsidP="00E340DE">
      <w:pPr>
        <w:pStyle w:val="NoSpacing"/>
        <w:rPr>
          <w:rFonts w:eastAsia="Times New Roman"/>
          <w:b/>
          <w:bCs/>
        </w:rPr>
      </w:pPr>
    </w:p>
    <w:p w14:paraId="59713298" w14:textId="3810200D" w:rsidR="00F960AD" w:rsidRDefault="00F960AD" w:rsidP="00E340DE">
      <w:pPr>
        <w:pStyle w:val="NoSpacing"/>
        <w:rPr>
          <w:rFonts w:eastAsia="Times New Roman"/>
          <w:b/>
          <w:bCs/>
        </w:rPr>
      </w:pPr>
    </w:p>
    <w:p w14:paraId="5DAA6884" w14:textId="77777777" w:rsidR="00F960AD" w:rsidRPr="00CD6B52" w:rsidRDefault="00F960AD" w:rsidP="00E340DE">
      <w:pPr>
        <w:pStyle w:val="NoSpacing"/>
        <w:rPr>
          <w:rFonts w:eastAsia="Times New Roman"/>
          <w:b/>
          <w:bCs/>
        </w:rPr>
      </w:pPr>
    </w:p>
    <w:p w14:paraId="077F037F" w14:textId="77777777" w:rsidR="003D3F66" w:rsidRPr="006739ED" w:rsidRDefault="003D3F66" w:rsidP="006739ED">
      <w:pPr>
        <w:pStyle w:val="NoSpacing"/>
        <w:jc w:val="center"/>
        <w:rPr>
          <w:rFonts w:ascii="Times New Roman" w:hAnsi="Times New Roman"/>
          <w:b/>
        </w:rPr>
      </w:pPr>
      <w:r w:rsidRPr="006739ED">
        <w:rPr>
          <w:rFonts w:ascii="Times New Roman" w:hAnsi="Times New Roman"/>
          <w:b/>
        </w:rPr>
        <w:lastRenderedPageBreak/>
        <w:t>Table 1: Predictive Ratios by Risk Decile for MSPB-Hospital</w:t>
      </w:r>
    </w:p>
    <w:tbl>
      <w:tblPr>
        <w:tblW w:w="7980" w:type="dxa"/>
        <w:jc w:val="center"/>
        <w:tblLook w:val="04A0" w:firstRow="1" w:lastRow="0" w:firstColumn="1" w:lastColumn="0" w:noHBand="0" w:noVBand="1"/>
      </w:tblPr>
      <w:tblGrid>
        <w:gridCol w:w="1015"/>
        <w:gridCol w:w="1270"/>
        <w:gridCol w:w="2269"/>
        <w:gridCol w:w="1788"/>
        <w:gridCol w:w="1638"/>
      </w:tblGrid>
      <w:tr w:rsidR="003D3F66" w:rsidRPr="006C3944" w14:paraId="3621DF95" w14:textId="77777777" w:rsidTr="003D3F66">
        <w:trPr>
          <w:trHeight w:val="580"/>
          <w:tblHeader/>
          <w:jc w:val="center"/>
        </w:trPr>
        <w:tc>
          <w:tcPr>
            <w:tcW w:w="1015" w:type="dxa"/>
            <w:tcBorders>
              <w:top w:val="single" w:sz="4" w:space="0" w:color="auto"/>
              <w:left w:val="single" w:sz="4" w:space="0" w:color="auto"/>
              <w:bottom w:val="single" w:sz="4" w:space="0" w:color="auto"/>
              <w:right w:val="single" w:sz="4" w:space="0" w:color="auto"/>
            </w:tcBorders>
            <w:shd w:val="clear" w:color="000000" w:fill="203764"/>
            <w:vAlign w:val="center"/>
            <w:hideMark/>
          </w:tcPr>
          <w:p w14:paraId="2EB5C99F" w14:textId="77777777" w:rsidR="003D3F66" w:rsidRPr="00CD6B52" w:rsidRDefault="003D3F66" w:rsidP="00E340DE">
            <w:pPr>
              <w:pStyle w:val="NoSpacing"/>
              <w:rPr>
                <w:rFonts w:ascii="Times New Roman" w:eastAsia="Times New Roman" w:hAnsi="Times New Roman"/>
                <w:b/>
                <w:bCs/>
              </w:rPr>
            </w:pPr>
            <w:r w:rsidRPr="00CD6B52">
              <w:rPr>
                <w:rFonts w:ascii="Times New Roman" w:eastAsia="Times New Roman" w:hAnsi="Times New Roman"/>
                <w:b/>
                <w:bCs/>
              </w:rPr>
              <w:t>Decile</w:t>
            </w:r>
          </w:p>
        </w:tc>
        <w:tc>
          <w:tcPr>
            <w:tcW w:w="1270" w:type="dxa"/>
            <w:tcBorders>
              <w:top w:val="single" w:sz="4" w:space="0" w:color="auto"/>
              <w:left w:val="nil"/>
              <w:bottom w:val="single" w:sz="4" w:space="0" w:color="auto"/>
              <w:right w:val="single" w:sz="4" w:space="0" w:color="auto"/>
            </w:tcBorders>
            <w:shd w:val="clear" w:color="000000" w:fill="305496"/>
            <w:vAlign w:val="center"/>
            <w:hideMark/>
          </w:tcPr>
          <w:p w14:paraId="0F04B23B" w14:textId="77777777" w:rsidR="003D3F66" w:rsidRPr="00FA61A9" w:rsidRDefault="003D3F66" w:rsidP="00E340DE">
            <w:pPr>
              <w:pStyle w:val="NoSpacing"/>
              <w:rPr>
                <w:rFonts w:ascii="Times New Roman" w:eastAsia="Times New Roman" w:hAnsi="Times New Roman"/>
                <w:b/>
                <w:bCs/>
                <w:color w:val="FFFFFF" w:themeColor="background1"/>
              </w:rPr>
            </w:pPr>
            <w:r w:rsidRPr="00FA61A9">
              <w:rPr>
                <w:rFonts w:ascii="Times New Roman" w:eastAsia="Times New Roman" w:hAnsi="Times New Roman"/>
                <w:b/>
                <w:bCs/>
                <w:color w:val="FFFFFF" w:themeColor="background1"/>
              </w:rPr>
              <w:t xml:space="preserve"> Number of Episodes </w:t>
            </w:r>
          </w:p>
        </w:tc>
        <w:tc>
          <w:tcPr>
            <w:tcW w:w="2269" w:type="dxa"/>
            <w:tcBorders>
              <w:top w:val="single" w:sz="4" w:space="0" w:color="auto"/>
              <w:left w:val="nil"/>
              <w:bottom w:val="single" w:sz="4" w:space="0" w:color="auto"/>
              <w:right w:val="single" w:sz="4" w:space="0" w:color="auto"/>
            </w:tcBorders>
            <w:shd w:val="clear" w:color="000000" w:fill="305496"/>
            <w:vAlign w:val="center"/>
            <w:hideMark/>
          </w:tcPr>
          <w:p w14:paraId="42363044" w14:textId="77777777" w:rsidR="003D3F66" w:rsidRPr="00FA61A9" w:rsidRDefault="003D3F66" w:rsidP="00E340DE">
            <w:pPr>
              <w:pStyle w:val="NoSpacing"/>
              <w:rPr>
                <w:rFonts w:ascii="Times New Roman" w:eastAsia="Times New Roman" w:hAnsi="Times New Roman"/>
                <w:b/>
                <w:bCs/>
                <w:color w:val="FFFFFF" w:themeColor="background1"/>
              </w:rPr>
            </w:pPr>
            <w:r w:rsidRPr="00FA61A9">
              <w:rPr>
                <w:rFonts w:ascii="Times New Roman" w:eastAsia="Times New Roman" w:hAnsi="Times New Roman"/>
                <w:b/>
                <w:bCs/>
                <w:color w:val="FFFFFF" w:themeColor="background1"/>
              </w:rPr>
              <w:t xml:space="preserve"> Average Observed Standardized Spending </w:t>
            </w:r>
          </w:p>
        </w:tc>
        <w:tc>
          <w:tcPr>
            <w:tcW w:w="1788" w:type="dxa"/>
            <w:tcBorders>
              <w:top w:val="single" w:sz="4" w:space="0" w:color="auto"/>
              <w:left w:val="nil"/>
              <w:bottom w:val="single" w:sz="4" w:space="0" w:color="auto"/>
              <w:right w:val="single" w:sz="4" w:space="0" w:color="auto"/>
            </w:tcBorders>
            <w:shd w:val="clear" w:color="000000" w:fill="305496"/>
            <w:vAlign w:val="center"/>
            <w:hideMark/>
          </w:tcPr>
          <w:p w14:paraId="33E66856" w14:textId="77777777" w:rsidR="003D3F66" w:rsidRPr="00FA61A9" w:rsidRDefault="003D3F66" w:rsidP="00E340DE">
            <w:pPr>
              <w:pStyle w:val="NoSpacing"/>
              <w:rPr>
                <w:rFonts w:ascii="Times New Roman" w:eastAsia="Times New Roman" w:hAnsi="Times New Roman"/>
                <w:b/>
                <w:bCs/>
                <w:color w:val="FFFFFF" w:themeColor="background1"/>
              </w:rPr>
            </w:pPr>
            <w:r w:rsidRPr="00FA61A9">
              <w:rPr>
                <w:rFonts w:ascii="Times New Roman" w:eastAsia="Times New Roman" w:hAnsi="Times New Roman"/>
                <w:b/>
                <w:bCs/>
                <w:color w:val="FFFFFF" w:themeColor="background1"/>
              </w:rPr>
              <w:t xml:space="preserve"> Average Expected Standardized Spending </w:t>
            </w:r>
          </w:p>
        </w:tc>
        <w:tc>
          <w:tcPr>
            <w:tcW w:w="1638" w:type="dxa"/>
            <w:tcBorders>
              <w:top w:val="single" w:sz="4" w:space="0" w:color="auto"/>
              <w:left w:val="single" w:sz="4" w:space="0" w:color="auto"/>
              <w:bottom w:val="single" w:sz="4" w:space="0" w:color="auto"/>
              <w:right w:val="single" w:sz="8" w:space="0" w:color="auto"/>
            </w:tcBorders>
            <w:shd w:val="clear" w:color="000000" w:fill="305496"/>
            <w:vAlign w:val="center"/>
            <w:hideMark/>
          </w:tcPr>
          <w:p w14:paraId="293D7799" w14:textId="77777777" w:rsidR="003D3F66" w:rsidRPr="00FA61A9" w:rsidRDefault="003D3F66" w:rsidP="00E340DE">
            <w:pPr>
              <w:pStyle w:val="NoSpacing"/>
              <w:rPr>
                <w:rFonts w:ascii="Times New Roman" w:eastAsia="Times New Roman" w:hAnsi="Times New Roman"/>
                <w:b/>
                <w:bCs/>
                <w:color w:val="FFFFFF" w:themeColor="background1"/>
              </w:rPr>
            </w:pPr>
            <w:r w:rsidRPr="00FA61A9">
              <w:rPr>
                <w:rFonts w:ascii="Times New Roman" w:eastAsia="Times New Roman" w:hAnsi="Times New Roman"/>
                <w:b/>
                <w:bCs/>
                <w:color w:val="FFFFFF" w:themeColor="background1"/>
              </w:rPr>
              <w:t xml:space="preserve"> Predictive Ratio </w:t>
            </w:r>
          </w:p>
        </w:tc>
      </w:tr>
      <w:tr w:rsidR="003D3F66" w:rsidRPr="006C3944" w14:paraId="5887FCF8" w14:textId="77777777" w:rsidTr="003D3F66">
        <w:trPr>
          <w:trHeight w:val="193"/>
          <w:jc w:val="center"/>
        </w:trPr>
        <w:tc>
          <w:tcPr>
            <w:tcW w:w="101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C8B170B"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w:t>
            </w:r>
          </w:p>
        </w:tc>
        <w:tc>
          <w:tcPr>
            <w:tcW w:w="127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0EFFD884"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542,061</w:t>
            </w:r>
          </w:p>
        </w:tc>
        <w:tc>
          <w:tcPr>
            <w:tcW w:w="2269"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0821F96D"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$8,570.70</w:t>
            </w:r>
          </w:p>
        </w:tc>
        <w:tc>
          <w:tcPr>
            <w:tcW w:w="1788"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1A6A8A4A"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$8,621.74</w:t>
            </w:r>
          </w:p>
        </w:tc>
        <w:tc>
          <w:tcPr>
            <w:tcW w:w="1638"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447FB7F"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0.994080</w:t>
            </w:r>
          </w:p>
        </w:tc>
      </w:tr>
      <w:tr w:rsidR="003D3F66" w:rsidRPr="006C3944" w14:paraId="10BE07D4" w14:textId="77777777" w:rsidTr="003D3F66">
        <w:trPr>
          <w:trHeight w:val="193"/>
          <w:jc w:val="center"/>
        </w:trPr>
        <w:tc>
          <w:tcPr>
            <w:tcW w:w="1015"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4009B05"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2</w:t>
            </w:r>
          </w:p>
        </w:tc>
        <w:tc>
          <w:tcPr>
            <w:tcW w:w="12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648025B"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542,073</w:t>
            </w:r>
          </w:p>
        </w:tc>
        <w:tc>
          <w:tcPr>
            <w:tcW w:w="226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38F3A7F"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$11,166.26</w:t>
            </w:r>
          </w:p>
        </w:tc>
        <w:tc>
          <w:tcPr>
            <w:tcW w:w="1788"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8C3E105"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$11,288.23</w:t>
            </w:r>
          </w:p>
        </w:tc>
        <w:tc>
          <w:tcPr>
            <w:tcW w:w="1638"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D9C5037"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0.989192</w:t>
            </w:r>
          </w:p>
        </w:tc>
      </w:tr>
      <w:tr w:rsidR="003D3F66" w:rsidRPr="006C3944" w14:paraId="0B3D09CE" w14:textId="77777777" w:rsidTr="003D3F66">
        <w:trPr>
          <w:trHeight w:val="193"/>
          <w:jc w:val="center"/>
        </w:trPr>
        <w:tc>
          <w:tcPr>
            <w:tcW w:w="1015"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53F0C2E"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3</w:t>
            </w:r>
          </w:p>
        </w:tc>
        <w:tc>
          <w:tcPr>
            <w:tcW w:w="12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EC33B72"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542,060</w:t>
            </w:r>
          </w:p>
        </w:tc>
        <w:tc>
          <w:tcPr>
            <w:tcW w:w="226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2CC4C1E"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$13,134.89</w:t>
            </w:r>
          </w:p>
        </w:tc>
        <w:tc>
          <w:tcPr>
            <w:tcW w:w="1788"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2911495"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$13,136.85</w:t>
            </w:r>
          </w:p>
        </w:tc>
        <w:tc>
          <w:tcPr>
            <w:tcW w:w="1638"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2CF715F"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0.999850</w:t>
            </w:r>
          </w:p>
        </w:tc>
      </w:tr>
      <w:tr w:rsidR="003D3F66" w:rsidRPr="006C3944" w14:paraId="14A2A75E" w14:textId="77777777" w:rsidTr="003D3F66">
        <w:trPr>
          <w:trHeight w:val="193"/>
          <w:jc w:val="center"/>
        </w:trPr>
        <w:tc>
          <w:tcPr>
            <w:tcW w:w="1015"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FADD178"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4</w:t>
            </w:r>
          </w:p>
        </w:tc>
        <w:tc>
          <w:tcPr>
            <w:tcW w:w="12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A49B3D3"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542,059</w:t>
            </w:r>
          </w:p>
        </w:tc>
        <w:tc>
          <w:tcPr>
            <w:tcW w:w="226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8846737"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$15,066.59</w:t>
            </w:r>
          </w:p>
        </w:tc>
        <w:tc>
          <w:tcPr>
            <w:tcW w:w="1788"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A788059"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$14,970.63</w:t>
            </w:r>
          </w:p>
        </w:tc>
        <w:tc>
          <w:tcPr>
            <w:tcW w:w="1638"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BE0A83B"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1.006413</w:t>
            </w:r>
          </w:p>
        </w:tc>
      </w:tr>
      <w:tr w:rsidR="003D3F66" w:rsidRPr="006C3944" w14:paraId="073E9B2C" w14:textId="77777777" w:rsidTr="003D3F66">
        <w:trPr>
          <w:trHeight w:val="193"/>
          <w:jc w:val="center"/>
        </w:trPr>
        <w:tc>
          <w:tcPr>
            <w:tcW w:w="1015"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EFB8303"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w:t>
            </w:r>
          </w:p>
        </w:tc>
        <w:tc>
          <w:tcPr>
            <w:tcW w:w="12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1DDD6F7"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542,063</w:t>
            </w:r>
          </w:p>
        </w:tc>
        <w:tc>
          <w:tcPr>
            <w:tcW w:w="226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68CA982"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$17,257.92</w:t>
            </w:r>
          </w:p>
        </w:tc>
        <w:tc>
          <w:tcPr>
            <w:tcW w:w="1788"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D4FA9A9"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$17,122.40</w:t>
            </w:r>
          </w:p>
        </w:tc>
        <w:tc>
          <w:tcPr>
            <w:tcW w:w="1638"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42C6C2C"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1.007915</w:t>
            </w:r>
          </w:p>
        </w:tc>
      </w:tr>
      <w:tr w:rsidR="003D3F66" w:rsidRPr="006C3944" w14:paraId="099D8B65" w14:textId="77777777" w:rsidTr="003D3F66">
        <w:trPr>
          <w:trHeight w:val="193"/>
          <w:jc w:val="center"/>
        </w:trPr>
        <w:tc>
          <w:tcPr>
            <w:tcW w:w="1015"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7D38988"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6</w:t>
            </w:r>
          </w:p>
        </w:tc>
        <w:tc>
          <w:tcPr>
            <w:tcW w:w="12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94FCFC4"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542,064</w:t>
            </w:r>
          </w:p>
        </w:tc>
        <w:tc>
          <w:tcPr>
            <w:tcW w:w="226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5E2763B"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$19,242.71</w:t>
            </w:r>
          </w:p>
        </w:tc>
        <w:tc>
          <w:tcPr>
            <w:tcW w:w="1788"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BDEA215"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$19,377.29</w:t>
            </w:r>
          </w:p>
        </w:tc>
        <w:tc>
          <w:tcPr>
            <w:tcW w:w="1638"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6FCC1A4"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0.993055</w:t>
            </w:r>
          </w:p>
        </w:tc>
      </w:tr>
      <w:tr w:rsidR="003D3F66" w:rsidRPr="006C3944" w14:paraId="10E9DF1D" w14:textId="77777777" w:rsidTr="003D3F66">
        <w:trPr>
          <w:trHeight w:val="193"/>
          <w:jc w:val="center"/>
        </w:trPr>
        <w:tc>
          <w:tcPr>
            <w:tcW w:w="1015"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BF95ADC"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7</w:t>
            </w:r>
          </w:p>
        </w:tc>
        <w:tc>
          <w:tcPr>
            <w:tcW w:w="12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81F9A77"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542,064</w:t>
            </w:r>
          </w:p>
        </w:tc>
        <w:tc>
          <w:tcPr>
            <w:tcW w:w="226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F759A79"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$21,411.22</w:t>
            </w:r>
          </w:p>
        </w:tc>
        <w:tc>
          <w:tcPr>
            <w:tcW w:w="1788"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DB40C98"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$21,642.11</w:t>
            </w:r>
          </w:p>
        </w:tc>
        <w:tc>
          <w:tcPr>
            <w:tcW w:w="1638"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F53E7A1"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0.989332</w:t>
            </w:r>
          </w:p>
        </w:tc>
      </w:tr>
      <w:tr w:rsidR="003D3F66" w:rsidRPr="006C3944" w14:paraId="1081010A" w14:textId="77777777" w:rsidTr="003D3F66">
        <w:trPr>
          <w:trHeight w:val="193"/>
          <w:jc w:val="center"/>
        </w:trPr>
        <w:tc>
          <w:tcPr>
            <w:tcW w:w="1015"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72103EB"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8</w:t>
            </w:r>
          </w:p>
        </w:tc>
        <w:tc>
          <w:tcPr>
            <w:tcW w:w="12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8A04AE7"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542,053</w:t>
            </w:r>
          </w:p>
        </w:tc>
        <w:tc>
          <w:tcPr>
            <w:tcW w:w="226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8665590"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$24,151.26</w:t>
            </w:r>
          </w:p>
        </w:tc>
        <w:tc>
          <w:tcPr>
            <w:tcW w:w="1788"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8ED4065"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$24,304.96</w:t>
            </w:r>
          </w:p>
        </w:tc>
        <w:tc>
          <w:tcPr>
            <w:tcW w:w="1638"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0CC1651"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0.993676</w:t>
            </w:r>
          </w:p>
        </w:tc>
      </w:tr>
      <w:tr w:rsidR="003D3F66" w:rsidRPr="006C3944" w14:paraId="426B07AC" w14:textId="77777777" w:rsidTr="003D3F66">
        <w:trPr>
          <w:trHeight w:val="193"/>
          <w:jc w:val="center"/>
        </w:trPr>
        <w:tc>
          <w:tcPr>
            <w:tcW w:w="1015"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011876B"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9</w:t>
            </w:r>
          </w:p>
        </w:tc>
        <w:tc>
          <w:tcPr>
            <w:tcW w:w="12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B84E2D8"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542,072</w:t>
            </w:r>
          </w:p>
        </w:tc>
        <w:tc>
          <w:tcPr>
            <w:tcW w:w="226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3FF638B"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$28,864.21</w:t>
            </w:r>
          </w:p>
        </w:tc>
        <w:tc>
          <w:tcPr>
            <w:tcW w:w="1788"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79A94B3"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$28,920.72</w:t>
            </w:r>
          </w:p>
        </w:tc>
        <w:tc>
          <w:tcPr>
            <w:tcW w:w="1638"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04782A0"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0.998046</w:t>
            </w:r>
          </w:p>
        </w:tc>
      </w:tr>
      <w:tr w:rsidR="003D3F66" w:rsidRPr="006C3944" w14:paraId="56240864" w14:textId="77777777" w:rsidTr="003D3F66">
        <w:trPr>
          <w:trHeight w:val="204"/>
          <w:jc w:val="center"/>
        </w:trPr>
        <w:tc>
          <w:tcPr>
            <w:tcW w:w="1015"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F121945"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10</w:t>
            </w:r>
          </w:p>
        </w:tc>
        <w:tc>
          <w:tcPr>
            <w:tcW w:w="1270"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4601FFF"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542,064</w:t>
            </w:r>
          </w:p>
        </w:tc>
        <w:tc>
          <w:tcPr>
            <w:tcW w:w="2269"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46B82864"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$46,105.10</w:t>
            </w:r>
          </w:p>
        </w:tc>
        <w:tc>
          <w:tcPr>
            <w:tcW w:w="1788"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21F26B5B"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$45,585.95</w:t>
            </w:r>
          </w:p>
        </w:tc>
        <w:tc>
          <w:tcPr>
            <w:tcW w:w="1638"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C0D5287" w14:textId="77777777" w:rsidR="003D3F66" w:rsidRPr="00CD6B52" w:rsidRDefault="003D3F66" w:rsidP="00E340DE">
            <w:pPr>
              <w:pStyle w:val="NoSpacing"/>
              <w:rPr>
                <w:rFonts w:ascii="Times New Roman" w:eastAsia="Times New Roman" w:hAnsi="Times New Roman"/>
              </w:rPr>
            </w:pPr>
            <w:r w:rsidRPr="00CD6B52">
              <w:rPr>
                <w:rFonts w:ascii="Times New Roman" w:eastAsia="Times New Roman" w:hAnsi="Times New Roman"/>
              </w:rPr>
              <w:t>1.011388</w:t>
            </w:r>
          </w:p>
        </w:tc>
      </w:tr>
    </w:tbl>
    <w:p w14:paraId="2870B7CC" w14:textId="77777777" w:rsidR="00E340DE" w:rsidRDefault="00E340DE" w:rsidP="00E340DE">
      <w:pPr>
        <w:pStyle w:val="NoSpacing"/>
      </w:pPr>
    </w:p>
    <w:p w14:paraId="3F62CE34" w14:textId="03A69362" w:rsidR="003D3F66" w:rsidRPr="00CD6B52" w:rsidRDefault="003D3F66" w:rsidP="00E340DE">
      <w:pPr>
        <w:pStyle w:val="NoSpacing"/>
      </w:pPr>
      <w:r w:rsidRPr="00CD6B52">
        <w:t>The 90/10 ratio calculation shows that the risk adjustment model does effectively shrink the dispersion of the cost distribution.  At the observed cost level, the 90/10 ratio is 6.22.  The costs risk-adjusted by ratio have a 90/10 ratio of 3.40, and the costs risk-adjusted by residual have a 90/10 ratio of 3.21.</w:t>
      </w:r>
    </w:p>
    <w:p w14:paraId="118A122E" w14:textId="77777777" w:rsidR="003D3F66" w:rsidRPr="00CD6B52" w:rsidRDefault="003D3F66" w:rsidP="00E340DE">
      <w:pPr>
        <w:pStyle w:val="NoSpacing"/>
        <w:rPr>
          <w:b/>
          <w:u w:val="single"/>
        </w:rPr>
      </w:pPr>
    </w:p>
    <w:p w14:paraId="68B3203C" w14:textId="6A998126" w:rsidR="003D3F66" w:rsidRPr="00CD6B52" w:rsidRDefault="003D3F66" w:rsidP="00E340DE">
      <w:pPr>
        <w:pStyle w:val="NoSpacing"/>
        <w:rPr>
          <w:b/>
        </w:rPr>
      </w:pPr>
      <w:r w:rsidRPr="00E340DE">
        <w:rPr>
          <w:bCs/>
          <w:u w:val="single"/>
        </w:rPr>
        <w:t xml:space="preserve">Previous </w:t>
      </w:r>
      <w:r w:rsidR="006C3944" w:rsidRPr="00E340DE">
        <w:rPr>
          <w:bCs/>
          <w:u w:val="single"/>
        </w:rPr>
        <w:t>R</w:t>
      </w:r>
      <w:r w:rsidRPr="00E340DE">
        <w:rPr>
          <w:bCs/>
          <w:u w:val="single"/>
        </w:rPr>
        <w:t>esponse (2013):</w:t>
      </w:r>
      <w:r w:rsidR="006C3944">
        <w:rPr>
          <w:b/>
        </w:rPr>
        <w:t xml:space="preserve"> </w:t>
      </w:r>
      <w:r w:rsidRPr="00CD6B52">
        <w:t>Calculate the distribution of episode spending and R-squared by decile to show that the MSPB risk adjustment methodology does equally well predicting spending through all values of the model: The R-squared in the 3rd through 9th deciles are lower than overall R-squared in Table A below (includes outlier episodes) as well as Table B below (excludes outlier episodes).  The R-squared in the 6th and 7th deciles are relatively low, ranging from approximately 1% to 3%.  Additionally, the R-squared is always higher in Table B when outlier episodes are excluded.</w:t>
      </w:r>
      <w:r w:rsidRPr="00CD6B52">
        <w:br/>
      </w:r>
    </w:p>
    <w:p w14:paraId="3AE895D5" w14:textId="77777777" w:rsidR="003D3F66" w:rsidRPr="00CD6B52" w:rsidDel="00F76637" w:rsidRDefault="003D3F66" w:rsidP="00E340DE">
      <w:pPr>
        <w:pStyle w:val="NoSpacing"/>
        <w:rPr>
          <w:rFonts w:eastAsia="Times New Roman"/>
          <w:b/>
        </w:rPr>
      </w:pPr>
      <w:r w:rsidRPr="00CD6B52" w:rsidDel="00F76637">
        <w:rPr>
          <w:rFonts w:eastAsia="Times New Roman"/>
          <w:b/>
        </w:rPr>
        <w:t xml:space="preserve">Table </w:t>
      </w:r>
      <w:r w:rsidRPr="00CD6B52">
        <w:rPr>
          <w:rFonts w:eastAsia="Times New Roman"/>
          <w:b/>
        </w:rPr>
        <w:t>A</w:t>
      </w:r>
      <w:r w:rsidRPr="00CD6B52" w:rsidDel="00F76637">
        <w:rPr>
          <w:rFonts w:eastAsia="Times New Roman"/>
          <w:b/>
        </w:rPr>
        <w:t>: Distribution of Spending and R-Squared by Decile</w:t>
      </w:r>
      <w:r w:rsidRPr="00CD6B52" w:rsidDel="00F76637">
        <w:rPr>
          <w:rFonts w:eastAsia="Times New Roman"/>
          <w:b/>
          <w:vertAlign w:val="superscript"/>
        </w:rPr>
        <w:t>*</w:t>
      </w:r>
      <w:r w:rsidRPr="00CD6B52" w:rsidDel="00F76637">
        <w:rPr>
          <w:rFonts w:eastAsia="Times New Roman"/>
          <w:b/>
        </w:rPr>
        <w:t xml:space="preserve"> (Includes Outlier Episodes)</w:t>
      </w:r>
    </w:p>
    <w:tbl>
      <w:tblPr>
        <w:tblStyle w:val="TableGrid"/>
        <w:tblW w:w="9354" w:type="dxa"/>
        <w:tblLook w:val="04A0" w:firstRow="1" w:lastRow="0" w:firstColumn="1" w:lastColumn="0" w:noHBand="0" w:noVBand="1"/>
      </w:tblPr>
      <w:tblGrid>
        <w:gridCol w:w="1155"/>
        <w:gridCol w:w="1169"/>
        <w:gridCol w:w="1133"/>
        <w:gridCol w:w="1133"/>
        <w:gridCol w:w="1165"/>
        <w:gridCol w:w="1268"/>
        <w:gridCol w:w="1175"/>
        <w:gridCol w:w="1156"/>
      </w:tblGrid>
      <w:tr w:rsidR="006C3944" w:rsidRPr="006C3944" w:rsidDel="00F76637" w14:paraId="14ED6ADD" w14:textId="77777777" w:rsidTr="003D3F66">
        <w:trPr>
          <w:trHeight w:val="472"/>
          <w:tblHeader/>
        </w:trPr>
        <w:tc>
          <w:tcPr>
            <w:tcW w:w="1165" w:type="dxa"/>
            <w:tcBorders>
              <w:top w:val="single" w:sz="12" w:space="0" w:color="auto"/>
              <w:left w:val="single" w:sz="12" w:space="0" w:color="auto"/>
              <w:bottom w:val="single" w:sz="4" w:space="0" w:color="auto"/>
            </w:tcBorders>
            <w:shd w:val="clear" w:color="auto" w:fill="DBE5F1"/>
          </w:tcPr>
          <w:p w14:paraId="07C8E5C6" w14:textId="77777777" w:rsidR="003D3F66" w:rsidRPr="00CD6B52" w:rsidRDefault="003D3F66" w:rsidP="00E340DE">
            <w:pPr>
              <w:pStyle w:val="NoSpacing"/>
              <w:rPr>
                <w:rFonts w:ascii="Times New Roman" w:hAnsi="Times New Roman"/>
                <w:b/>
              </w:rPr>
            </w:pPr>
            <w:r w:rsidRPr="00CD6B52">
              <w:rPr>
                <w:rFonts w:ascii="Times New Roman" w:hAnsi="Times New Roman"/>
              </w:rPr>
              <w:t>Decile</w:t>
            </w:r>
          </w:p>
        </w:tc>
        <w:tc>
          <w:tcPr>
            <w:tcW w:w="1172" w:type="dxa"/>
            <w:tcBorders>
              <w:top w:val="single" w:sz="12" w:space="0" w:color="auto"/>
              <w:bottom w:val="single" w:sz="4" w:space="0" w:color="auto"/>
            </w:tcBorders>
            <w:shd w:val="clear" w:color="auto" w:fill="DBE5F1"/>
          </w:tcPr>
          <w:p w14:paraId="412384CB" w14:textId="77777777" w:rsidR="003D3F66" w:rsidRPr="00CD6B52" w:rsidRDefault="003D3F66" w:rsidP="00E340DE">
            <w:pPr>
              <w:pStyle w:val="NoSpacing"/>
              <w:rPr>
                <w:rFonts w:ascii="Times New Roman" w:hAnsi="Times New Roman"/>
                <w:b/>
              </w:rPr>
            </w:pPr>
            <w:r w:rsidRPr="00CD6B52">
              <w:rPr>
                <w:rFonts w:ascii="Times New Roman" w:hAnsi="Times New Roman"/>
              </w:rPr>
              <w:t>Episode Count</w:t>
            </w:r>
          </w:p>
        </w:tc>
        <w:tc>
          <w:tcPr>
            <w:tcW w:w="1152" w:type="dxa"/>
            <w:tcBorders>
              <w:top w:val="single" w:sz="12" w:space="0" w:color="auto"/>
              <w:bottom w:val="single" w:sz="4" w:space="0" w:color="auto"/>
            </w:tcBorders>
            <w:shd w:val="clear" w:color="auto" w:fill="DBE5F1"/>
          </w:tcPr>
          <w:p w14:paraId="0AAA2B81" w14:textId="77777777" w:rsidR="003D3F66" w:rsidRPr="00CD6B52" w:rsidRDefault="003D3F66" w:rsidP="00E340DE">
            <w:pPr>
              <w:pStyle w:val="NoSpacing"/>
              <w:rPr>
                <w:rFonts w:ascii="Times New Roman" w:hAnsi="Times New Roman"/>
                <w:b/>
              </w:rPr>
            </w:pPr>
            <w:r w:rsidRPr="00CD6B52">
              <w:rPr>
                <w:rFonts w:ascii="Times New Roman" w:hAnsi="Times New Roman"/>
              </w:rPr>
              <w:t>Min Risk Score</w:t>
            </w:r>
          </w:p>
        </w:tc>
        <w:tc>
          <w:tcPr>
            <w:tcW w:w="1152" w:type="dxa"/>
            <w:tcBorders>
              <w:top w:val="single" w:sz="12" w:space="0" w:color="auto"/>
              <w:bottom w:val="single" w:sz="4" w:space="0" w:color="auto"/>
            </w:tcBorders>
            <w:shd w:val="clear" w:color="auto" w:fill="DBE5F1"/>
          </w:tcPr>
          <w:p w14:paraId="3D53997A" w14:textId="77777777" w:rsidR="003D3F66" w:rsidRPr="00CD6B52" w:rsidRDefault="003D3F66" w:rsidP="00E340DE">
            <w:pPr>
              <w:pStyle w:val="NoSpacing"/>
              <w:rPr>
                <w:rFonts w:ascii="Times New Roman" w:hAnsi="Times New Roman"/>
                <w:b/>
              </w:rPr>
            </w:pPr>
            <w:r w:rsidRPr="00CD6B52">
              <w:rPr>
                <w:rFonts w:ascii="Times New Roman" w:hAnsi="Times New Roman"/>
              </w:rPr>
              <w:t>Max Risk Score</w:t>
            </w:r>
          </w:p>
        </w:tc>
        <w:tc>
          <w:tcPr>
            <w:tcW w:w="1170" w:type="dxa"/>
            <w:tcBorders>
              <w:top w:val="single" w:sz="12" w:space="0" w:color="auto"/>
              <w:bottom w:val="single" w:sz="4" w:space="0" w:color="auto"/>
            </w:tcBorders>
            <w:shd w:val="clear" w:color="auto" w:fill="DBE5F1"/>
          </w:tcPr>
          <w:p w14:paraId="4B33BE34" w14:textId="77777777" w:rsidR="003D3F66" w:rsidRPr="00CD6B52" w:rsidRDefault="003D3F66" w:rsidP="00E340DE">
            <w:pPr>
              <w:pStyle w:val="NoSpacing"/>
              <w:rPr>
                <w:rFonts w:ascii="Times New Roman" w:hAnsi="Times New Roman"/>
                <w:b/>
              </w:rPr>
            </w:pPr>
            <w:r w:rsidRPr="00CD6B52">
              <w:rPr>
                <w:rFonts w:ascii="Times New Roman" w:hAnsi="Times New Roman"/>
              </w:rPr>
              <w:t>Avg. Obs Spending</w:t>
            </w:r>
          </w:p>
        </w:tc>
        <w:tc>
          <w:tcPr>
            <w:tcW w:w="1201" w:type="dxa"/>
            <w:tcBorders>
              <w:top w:val="single" w:sz="12" w:space="0" w:color="auto"/>
              <w:bottom w:val="single" w:sz="4" w:space="0" w:color="auto"/>
            </w:tcBorders>
            <w:shd w:val="clear" w:color="auto" w:fill="DBE5F1"/>
          </w:tcPr>
          <w:p w14:paraId="1B14A56A" w14:textId="77777777" w:rsidR="003D3F66" w:rsidRPr="00CD6B52" w:rsidRDefault="003D3F66" w:rsidP="00E340DE">
            <w:pPr>
              <w:pStyle w:val="NoSpacing"/>
              <w:rPr>
                <w:rFonts w:ascii="Times New Roman" w:hAnsi="Times New Roman"/>
                <w:b/>
              </w:rPr>
            </w:pPr>
            <w:r w:rsidRPr="00CD6B52">
              <w:rPr>
                <w:rFonts w:ascii="Times New Roman" w:hAnsi="Times New Roman"/>
              </w:rPr>
              <w:t>Avg. Pred Spending**</w:t>
            </w:r>
          </w:p>
        </w:tc>
        <w:tc>
          <w:tcPr>
            <w:tcW w:w="1176" w:type="dxa"/>
            <w:tcBorders>
              <w:top w:val="single" w:sz="12" w:space="0" w:color="auto"/>
              <w:bottom w:val="single" w:sz="4" w:space="0" w:color="auto"/>
            </w:tcBorders>
            <w:shd w:val="clear" w:color="auto" w:fill="DBE5F1"/>
          </w:tcPr>
          <w:p w14:paraId="021A82CB" w14:textId="77777777" w:rsidR="003D3F66" w:rsidRPr="00CD6B52" w:rsidRDefault="003D3F66" w:rsidP="00E340DE">
            <w:pPr>
              <w:pStyle w:val="NoSpacing"/>
              <w:rPr>
                <w:rFonts w:ascii="Times New Roman" w:hAnsi="Times New Roman"/>
                <w:b/>
              </w:rPr>
            </w:pPr>
            <w:r w:rsidRPr="00CD6B52">
              <w:rPr>
                <w:rFonts w:ascii="Times New Roman" w:hAnsi="Times New Roman"/>
              </w:rPr>
              <w:t>Difference</w:t>
            </w:r>
          </w:p>
        </w:tc>
        <w:tc>
          <w:tcPr>
            <w:tcW w:w="1166" w:type="dxa"/>
            <w:tcBorders>
              <w:top w:val="single" w:sz="12" w:space="0" w:color="auto"/>
              <w:bottom w:val="single" w:sz="4" w:space="0" w:color="auto"/>
              <w:right w:val="single" w:sz="12" w:space="0" w:color="auto"/>
            </w:tcBorders>
            <w:shd w:val="clear" w:color="auto" w:fill="DBE5F1"/>
          </w:tcPr>
          <w:p w14:paraId="4E184A76" w14:textId="77777777" w:rsidR="003D3F66" w:rsidRPr="00CD6B52" w:rsidRDefault="003D3F66" w:rsidP="00E340DE">
            <w:pPr>
              <w:pStyle w:val="NoSpacing"/>
              <w:rPr>
                <w:rFonts w:ascii="Times New Roman" w:hAnsi="Times New Roman"/>
                <w:b/>
              </w:rPr>
            </w:pPr>
            <w:r w:rsidRPr="00CD6B52">
              <w:rPr>
                <w:rFonts w:ascii="Times New Roman" w:hAnsi="Times New Roman"/>
              </w:rPr>
              <w:t>R-Squared</w:t>
            </w:r>
          </w:p>
        </w:tc>
      </w:tr>
      <w:tr w:rsidR="006C3944" w:rsidRPr="006C3944" w:rsidDel="00F76637" w14:paraId="270516C5" w14:textId="77777777" w:rsidTr="003D3F66">
        <w:trPr>
          <w:trHeight w:val="229"/>
        </w:trPr>
        <w:tc>
          <w:tcPr>
            <w:tcW w:w="1165" w:type="dxa"/>
            <w:tcBorders>
              <w:top w:val="single" w:sz="4" w:space="0" w:color="auto"/>
              <w:left w:val="single" w:sz="12" w:space="0" w:color="auto"/>
              <w:bottom w:val="single" w:sz="4" w:space="0" w:color="BFBFBF" w:themeColor="background1" w:themeShade="BF"/>
              <w:right w:val="single" w:sz="4" w:space="0" w:color="auto"/>
            </w:tcBorders>
          </w:tcPr>
          <w:p w14:paraId="73294A2B" w14:textId="77777777" w:rsidR="003D3F66" w:rsidRPr="00CD6B52" w:rsidRDefault="003D3F66" w:rsidP="00E340DE">
            <w:pPr>
              <w:pStyle w:val="NoSpacing"/>
              <w:rPr>
                <w:rFonts w:ascii="Times New Roman" w:hAnsi="Times New Roman"/>
              </w:rPr>
            </w:pPr>
            <w:r w:rsidRPr="00CD6B52">
              <w:rPr>
                <w:rFonts w:ascii="Times New Roman" w:hAnsi="Times New Roman"/>
              </w:rPr>
              <w:t>1</w:t>
            </w:r>
          </w:p>
        </w:tc>
        <w:tc>
          <w:tcPr>
            <w:tcW w:w="1172" w:type="dxa"/>
            <w:tcBorders>
              <w:top w:val="single" w:sz="4" w:space="0" w:color="auto"/>
              <w:left w:val="single" w:sz="4" w:space="0" w:color="auto"/>
              <w:bottom w:val="single" w:sz="4" w:space="0" w:color="BFBFBF" w:themeColor="background1" w:themeShade="BF"/>
              <w:right w:val="single" w:sz="4" w:space="0" w:color="auto"/>
            </w:tcBorders>
          </w:tcPr>
          <w:p w14:paraId="120F4212" w14:textId="77777777" w:rsidR="003D3F66" w:rsidRPr="00CD6B52" w:rsidRDefault="003D3F66" w:rsidP="00E340DE">
            <w:pPr>
              <w:pStyle w:val="NoSpacing"/>
              <w:rPr>
                <w:rFonts w:ascii="Times New Roman" w:hAnsi="Times New Roman"/>
              </w:rPr>
            </w:pPr>
            <w:r w:rsidRPr="00CD6B52">
              <w:rPr>
                <w:rFonts w:ascii="Times New Roman" w:hAnsi="Times New Roman"/>
              </w:rPr>
              <w:t>446,268</w:t>
            </w:r>
          </w:p>
        </w:tc>
        <w:tc>
          <w:tcPr>
            <w:tcW w:w="1152" w:type="dxa"/>
            <w:tcBorders>
              <w:top w:val="single" w:sz="4" w:space="0" w:color="auto"/>
              <w:left w:val="single" w:sz="4" w:space="0" w:color="auto"/>
              <w:bottom w:val="single" w:sz="4" w:space="0" w:color="BFBFBF" w:themeColor="background1" w:themeShade="BF"/>
              <w:right w:val="single" w:sz="4" w:space="0" w:color="auto"/>
            </w:tcBorders>
          </w:tcPr>
          <w:p w14:paraId="6E66561F" w14:textId="77777777" w:rsidR="003D3F66" w:rsidRPr="00CD6B52" w:rsidRDefault="003D3F66" w:rsidP="00E340DE">
            <w:pPr>
              <w:pStyle w:val="NoSpacing"/>
              <w:rPr>
                <w:rFonts w:ascii="Times New Roman" w:hAnsi="Times New Roman"/>
              </w:rPr>
            </w:pPr>
            <w:r w:rsidRPr="00CD6B52">
              <w:rPr>
                <w:rFonts w:ascii="Times New Roman" w:hAnsi="Times New Roman"/>
              </w:rPr>
              <w:t>-0.38</w:t>
            </w:r>
          </w:p>
        </w:tc>
        <w:tc>
          <w:tcPr>
            <w:tcW w:w="1152" w:type="dxa"/>
            <w:tcBorders>
              <w:top w:val="single" w:sz="4" w:space="0" w:color="auto"/>
              <w:left w:val="single" w:sz="4" w:space="0" w:color="auto"/>
              <w:bottom w:val="single" w:sz="4" w:space="0" w:color="BFBFBF" w:themeColor="background1" w:themeShade="BF"/>
              <w:right w:val="single" w:sz="4" w:space="0" w:color="auto"/>
            </w:tcBorders>
          </w:tcPr>
          <w:p w14:paraId="6702DC32" w14:textId="77777777" w:rsidR="003D3F66" w:rsidRPr="00CD6B52" w:rsidRDefault="003D3F66" w:rsidP="00E340DE">
            <w:pPr>
              <w:pStyle w:val="NoSpacing"/>
              <w:rPr>
                <w:rFonts w:ascii="Times New Roman" w:hAnsi="Times New Roman"/>
              </w:rPr>
            </w:pPr>
            <w:r w:rsidRPr="00CD6B52">
              <w:rPr>
                <w:rFonts w:ascii="Times New Roman" w:hAnsi="Times New Roman"/>
              </w:rPr>
              <w:t>0.46</w:t>
            </w:r>
          </w:p>
        </w:tc>
        <w:tc>
          <w:tcPr>
            <w:tcW w:w="1170" w:type="dxa"/>
            <w:tcBorders>
              <w:top w:val="single" w:sz="4" w:space="0" w:color="auto"/>
              <w:left w:val="single" w:sz="4" w:space="0" w:color="auto"/>
              <w:bottom w:val="single" w:sz="4" w:space="0" w:color="BFBFBF" w:themeColor="background1" w:themeShade="BF"/>
              <w:right w:val="single" w:sz="4" w:space="0" w:color="auto"/>
            </w:tcBorders>
          </w:tcPr>
          <w:p w14:paraId="73C64A98" w14:textId="77777777" w:rsidR="003D3F66" w:rsidRPr="00CD6B52" w:rsidRDefault="003D3F66" w:rsidP="00E340DE">
            <w:pPr>
              <w:pStyle w:val="NoSpacing"/>
              <w:rPr>
                <w:rFonts w:ascii="Times New Roman" w:hAnsi="Times New Roman"/>
              </w:rPr>
            </w:pPr>
            <w:r w:rsidRPr="00CD6B52">
              <w:rPr>
                <w:rFonts w:ascii="Times New Roman" w:hAnsi="Times New Roman"/>
              </w:rPr>
              <w:t>$7,442</w:t>
            </w:r>
          </w:p>
        </w:tc>
        <w:tc>
          <w:tcPr>
            <w:tcW w:w="1201" w:type="dxa"/>
            <w:tcBorders>
              <w:top w:val="single" w:sz="4" w:space="0" w:color="auto"/>
              <w:left w:val="single" w:sz="4" w:space="0" w:color="auto"/>
              <w:bottom w:val="single" w:sz="4" w:space="0" w:color="BFBFBF" w:themeColor="background1" w:themeShade="BF"/>
              <w:right w:val="single" w:sz="4" w:space="0" w:color="auto"/>
            </w:tcBorders>
          </w:tcPr>
          <w:p w14:paraId="1928A0A8" w14:textId="77777777" w:rsidR="003D3F66" w:rsidRPr="00CD6B52" w:rsidRDefault="003D3F66" w:rsidP="00E340DE">
            <w:pPr>
              <w:pStyle w:val="NoSpacing"/>
              <w:rPr>
                <w:rFonts w:ascii="Times New Roman" w:hAnsi="Times New Roman"/>
              </w:rPr>
            </w:pPr>
            <w:r w:rsidRPr="00CD6B52">
              <w:rPr>
                <w:rFonts w:ascii="Times New Roman" w:hAnsi="Times New Roman"/>
              </w:rPr>
              <w:t>$7,365</w:t>
            </w:r>
          </w:p>
        </w:tc>
        <w:tc>
          <w:tcPr>
            <w:tcW w:w="1176" w:type="dxa"/>
            <w:tcBorders>
              <w:top w:val="single" w:sz="4" w:space="0" w:color="auto"/>
              <w:left w:val="single" w:sz="4" w:space="0" w:color="auto"/>
              <w:bottom w:val="single" w:sz="4" w:space="0" w:color="BFBFBF" w:themeColor="background1" w:themeShade="BF"/>
              <w:right w:val="single" w:sz="4" w:space="0" w:color="auto"/>
            </w:tcBorders>
          </w:tcPr>
          <w:p w14:paraId="46A81530" w14:textId="77777777" w:rsidR="003D3F66" w:rsidRPr="00CD6B52" w:rsidRDefault="003D3F66" w:rsidP="00E340DE">
            <w:pPr>
              <w:pStyle w:val="NoSpacing"/>
              <w:rPr>
                <w:rFonts w:ascii="Times New Roman" w:hAnsi="Times New Roman"/>
              </w:rPr>
            </w:pPr>
            <w:r w:rsidRPr="00CD6B52">
              <w:rPr>
                <w:rFonts w:ascii="Times New Roman" w:hAnsi="Times New Roman"/>
              </w:rPr>
              <w:t>$77</w:t>
            </w:r>
          </w:p>
        </w:tc>
        <w:tc>
          <w:tcPr>
            <w:tcW w:w="1166" w:type="dxa"/>
            <w:tcBorders>
              <w:top w:val="single" w:sz="4" w:space="0" w:color="auto"/>
              <w:left w:val="single" w:sz="4" w:space="0" w:color="auto"/>
              <w:bottom w:val="single" w:sz="4" w:space="0" w:color="BFBFBF" w:themeColor="background1" w:themeShade="BF"/>
              <w:right w:val="single" w:sz="12" w:space="0" w:color="auto"/>
            </w:tcBorders>
          </w:tcPr>
          <w:p w14:paraId="3941A935" w14:textId="77777777" w:rsidR="003D3F66" w:rsidRPr="00CD6B52" w:rsidRDefault="003D3F66" w:rsidP="00E340DE">
            <w:pPr>
              <w:pStyle w:val="NoSpacing"/>
              <w:rPr>
                <w:rFonts w:ascii="Times New Roman" w:hAnsi="Times New Roman"/>
              </w:rPr>
            </w:pPr>
            <w:r w:rsidRPr="00CD6B52">
              <w:rPr>
                <w:rFonts w:ascii="Times New Roman" w:hAnsi="Times New Roman"/>
              </w:rPr>
              <w:t>0.7774</w:t>
            </w:r>
          </w:p>
        </w:tc>
      </w:tr>
      <w:tr w:rsidR="006C3944" w:rsidRPr="006C3944" w:rsidDel="00F76637" w14:paraId="614F81BF" w14:textId="77777777" w:rsidTr="003D3F66">
        <w:trPr>
          <w:trHeight w:val="229"/>
        </w:trPr>
        <w:tc>
          <w:tcPr>
            <w:tcW w:w="1165"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0947461B" w14:textId="77777777" w:rsidR="003D3F66" w:rsidRPr="00CD6B52" w:rsidRDefault="003D3F66" w:rsidP="00E340DE">
            <w:pPr>
              <w:pStyle w:val="NoSpacing"/>
              <w:rPr>
                <w:rFonts w:ascii="Times New Roman" w:hAnsi="Times New Roman"/>
              </w:rPr>
            </w:pPr>
            <w:r w:rsidRPr="00CD6B52">
              <w:rPr>
                <w:rFonts w:ascii="Times New Roman" w:hAnsi="Times New Roman"/>
              </w:rPr>
              <w:t>2</w:t>
            </w:r>
          </w:p>
        </w:tc>
        <w:tc>
          <w:tcPr>
            <w:tcW w:w="117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E5938AD" w14:textId="77777777" w:rsidR="003D3F66" w:rsidRPr="00CD6B52" w:rsidRDefault="003D3F66" w:rsidP="00E340DE">
            <w:pPr>
              <w:pStyle w:val="NoSpacing"/>
              <w:rPr>
                <w:rFonts w:ascii="Times New Roman" w:hAnsi="Times New Roman"/>
              </w:rPr>
            </w:pPr>
            <w:r w:rsidRPr="00CD6B52">
              <w:rPr>
                <w:rFonts w:ascii="Times New Roman" w:hAnsi="Times New Roman"/>
              </w:rPr>
              <w:t>446,234</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FE00789" w14:textId="77777777" w:rsidR="003D3F66" w:rsidRPr="00CD6B52" w:rsidRDefault="003D3F66" w:rsidP="00E340DE">
            <w:pPr>
              <w:pStyle w:val="NoSpacing"/>
              <w:rPr>
                <w:rFonts w:ascii="Times New Roman" w:hAnsi="Times New Roman"/>
              </w:rPr>
            </w:pPr>
            <w:r w:rsidRPr="00CD6B52">
              <w:rPr>
                <w:rFonts w:ascii="Times New Roman" w:hAnsi="Times New Roman"/>
              </w:rPr>
              <w:t>0.46</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08DDF93" w14:textId="77777777" w:rsidR="003D3F66" w:rsidRPr="00CD6B52" w:rsidRDefault="003D3F66" w:rsidP="00E340DE">
            <w:pPr>
              <w:pStyle w:val="NoSpacing"/>
              <w:rPr>
                <w:rFonts w:ascii="Times New Roman" w:hAnsi="Times New Roman"/>
              </w:rPr>
            </w:pPr>
            <w:r w:rsidRPr="00CD6B52">
              <w:rPr>
                <w:rFonts w:ascii="Times New Roman" w:hAnsi="Times New Roman"/>
              </w:rPr>
              <w:t>0.56</w:t>
            </w:r>
          </w:p>
        </w:tc>
        <w:tc>
          <w:tcPr>
            <w:tcW w:w="117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DC6C4D8" w14:textId="77777777" w:rsidR="003D3F66" w:rsidRPr="00CD6B52" w:rsidRDefault="003D3F66" w:rsidP="00E340DE">
            <w:pPr>
              <w:pStyle w:val="NoSpacing"/>
              <w:rPr>
                <w:rFonts w:ascii="Times New Roman" w:hAnsi="Times New Roman"/>
              </w:rPr>
            </w:pPr>
            <w:r w:rsidRPr="00CD6B52">
              <w:rPr>
                <w:rFonts w:ascii="Times New Roman" w:hAnsi="Times New Roman"/>
              </w:rPr>
              <w:t>$9,607</w:t>
            </w:r>
          </w:p>
        </w:tc>
        <w:tc>
          <w:tcPr>
            <w:tcW w:w="1201"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D7A8662" w14:textId="77777777" w:rsidR="003D3F66" w:rsidRPr="00CD6B52" w:rsidRDefault="003D3F66" w:rsidP="00E340DE">
            <w:pPr>
              <w:pStyle w:val="NoSpacing"/>
              <w:rPr>
                <w:rFonts w:ascii="Times New Roman" w:hAnsi="Times New Roman"/>
              </w:rPr>
            </w:pPr>
            <w:r w:rsidRPr="00CD6B52">
              <w:rPr>
                <w:rFonts w:ascii="Times New Roman" w:hAnsi="Times New Roman"/>
              </w:rPr>
              <w:t>$9,763</w:t>
            </w:r>
          </w:p>
        </w:tc>
        <w:tc>
          <w:tcPr>
            <w:tcW w:w="11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0823770" w14:textId="77777777" w:rsidR="003D3F66" w:rsidRPr="00CD6B52" w:rsidRDefault="003D3F66" w:rsidP="00E340DE">
            <w:pPr>
              <w:pStyle w:val="NoSpacing"/>
              <w:rPr>
                <w:rFonts w:ascii="Times New Roman" w:hAnsi="Times New Roman"/>
              </w:rPr>
            </w:pPr>
            <w:r w:rsidRPr="00CD6B52">
              <w:rPr>
                <w:rFonts w:ascii="Times New Roman" w:hAnsi="Times New Roman"/>
              </w:rPr>
              <w:t>-$156</w:t>
            </w:r>
          </w:p>
        </w:tc>
        <w:tc>
          <w:tcPr>
            <w:tcW w:w="1166"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4E95BBB9" w14:textId="77777777" w:rsidR="003D3F66" w:rsidRPr="00CD6B52" w:rsidRDefault="003D3F66" w:rsidP="00E340DE">
            <w:pPr>
              <w:pStyle w:val="NoSpacing"/>
              <w:rPr>
                <w:rFonts w:ascii="Times New Roman" w:hAnsi="Times New Roman"/>
              </w:rPr>
            </w:pPr>
            <w:r w:rsidRPr="00CD6B52">
              <w:rPr>
                <w:rFonts w:ascii="Times New Roman" w:hAnsi="Times New Roman"/>
              </w:rPr>
              <w:t>0.5861</w:t>
            </w:r>
          </w:p>
        </w:tc>
      </w:tr>
      <w:tr w:rsidR="006C3944" w:rsidRPr="006C3944" w:rsidDel="00F76637" w14:paraId="233CC2A3" w14:textId="77777777" w:rsidTr="003D3F66">
        <w:trPr>
          <w:trHeight w:val="229"/>
        </w:trPr>
        <w:tc>
          <w:tcPr>
            <w:tcW w:w="1165"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4231588C" w14:textId="77777777" w:rsidR="003D3F66" w:rsidRPr="00CD6B52" w:rsidRDefault="003D3F66" w:rsidP="00E340DE">
            <w:pPr>
              <w:pStyle w:val="NoSpacing"/>
              <w:rPr>
                <w:rFonts w:ascii="Times New Roman" w:hAnsi="Times New Roman"/>
              </w:rPr>
            </w:pPr>
            <w:r w:rsidRPr="00CD6B52">
              <w:rPr>
                <w:rFonts w:ascii="Times New Roman" w:hAnsi="Times New Roman"/>
              </w:rPr>
              <w:t>3</w:t>
            </w:r>
          </w:p>
        </w:tc>
        <w:tc>
          <w:tcPr>
            <w:tcW w:w="117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A1EDCBB" w14:textId="77777777" w:rsidR="003D3F66" w:rsidRPr="00CD6B52" w:rsidRDefault="003D3F66" w:rsidP="00E340DE">
            <w:pPr>
              <w:pStyle w:val="NoSpacing"/>
              <w:rPr>
                <w:rFonts w:ascii="Times New Roman" w:hAnsi="Times New Roman"/>
              </w:rPr>
            </w:pPr>
            <w:r w:rsidRPr="00CD6B52">
              <w:rPr>
                <w:rFonts w:ascii="Times New Roman" w:hAnsi="Times New Roman"/>
              </w:rPr>
              <w:t>446,197</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D06E507" w14:textId="77777777" w:rsidR="003D3F66" w:rsidRPr="00CD6B52" w:rsidRDefault="003D3F66" w:rsidP="00E340DE">
            <w:pPr>
              <w:pStyle w:val="NoSpacing"/>
              <w:rPr>
                <w:rFonts w:ascii="Times New Roman" w:hAnsi="Times New Roman"/>
              </w:rPr>
            </w:pPr>
            <w:r w:rsidRPr="00CD6B52">
              <w:rPr>
                <w:rFonts w:ascii="Times New Roman" w:hAnsi="Times New Roman"/>
              </w:rPr>
              <w:t>0.56</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C8CF104" w14:textId="77777777" w:rsidR="003D3F66" w:rsidRPr="00CD6B52" w:rsidRDefault="003D3F66" w:rsidP="00E340DE">
            <w:pPr>
              <w:pStyle w:val="NoSpacing"/>
              <w:rPr>
                <w:rFonts w:ascii="Times New Roman" w:hAnsi="Times New Roman"/>
              </w:rPr>
            </w:pPr>
            <w:r w:rsidRPr="00CD6B52">
              <w:rPr>
                <w:rFonts w:ascii="Times New Roman" w:hAnsi="Times New Roman"/>
              </w:rPr>
              <w:t>0.65</w:t>
            </w:r>
          </w:p>
        </w:tc>
        <w:tc>
          <w:tcPr>
            <w:tcW w:w="117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6071E7D" w14:textId="77777777" w:rsidR="003D3F66" w:rsidRPr="00CD6B52" w:rsidRDefault="003D3F66" w:rsidP="00E340DE">
            <w:pPr>
              <w:pStyle w:val="NoSpacing"/>
              <w:rPr>
                <w:rFonts w:ascii="Times New Roman" w:hAnsi="Times New Roman"/>
              </w:rPr>
            </w:pPr>
            <w:r w:rsidRPr="00CD6B52">
              <w:rPr>
                <w:rFonts w:ascii="Times New Roman" w:hAnsi="Times New Roman"/>
              </w:rPr>
              <w:t>$11,472</w:t>
            </w:r>
          </w:p>
        </w:tc>
        <w:tc>
          <w:tcPr>
            <w:tcW w:w="1201"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A297ACC" w14:textId="77777777" w:rsidR="003D3F66" w:rsidRPr="00CD6B52" w:rsidRDefault="003D3F66" w:rsidP="00E340DE">
            <w:pPr>
              <w:pStyle w:val="NoSpacing"/>
              <w:rPr>
                <w:rFonts w:ascii="Times New Roman" w:hAnsi="Times New Roman"/>
              </w:rPr>
            </w:pPr>
            <w:r w:rsidRPr="00CD6B52">
              <w:rPr>
                <w:rFonts w:ascii="Times New Roman" w:hAnsi="Times New Roman"/>
              </w:rPr>
              <w:t>$11,506</w:t>
            </w:r>
          </w:p>
        </w:tc>
        <w:tc>
          <w:tcPr>
            <w:tcW w:w="11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458D8B3" w14:textId="77777777" w:rsidR="003D3F66" w:rsidRPr="00CD6B52" w:rsidRDefault="003D3F66" w:rsidP="00E340DE">
            <w:pPr>
              <w:pStyle w:val="NoSpacing"/>
              <w:rPr>
                <w:rFonts w:ascii="Times New Roman" w:hAnsi="Times New Roman"/>
              </w:rPr>
            </w:pPr>
            <w:r w:rsidRPr="00CD6B52">
              <w:rPr>
                <w:rFonts w:ascii="Times New Roman" w:hAnsi="Times New Roman"/>
              </w:rPr>
              <w:t>-$34</w:t>
            </w:r>
          </w:p>
        </w:tc>
        <w:tc>
          <w:tcPr>
            <w:tcW w:w="1166"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7F7E16C7" w14:textId="77777777" w:rsidR="003D3F66" w:rsidRPr="00CD6B52" w:rsidRDefault="003D3F66" w:rsidP="00E340DE">
            <w:pPr>
              <w:pStyle w:val="NoSpacing"/>
              <w:rPr>
                <w:rFonts w:ascii="Times New Roman" w:hAnsi="Times New Roman"/>
              </w:rPr>
            </w:pPr>
            <w:r w:rsidRPr="00CD6B52">
              <w:rPr>
                <w:rFonts w:ascii="Times New Roman" w:hAnsi="Times New Roman"/>
              </w:rPr>
              <w:t>0.3876</w:t>
            </w:r>
          </w:p>
        </w:tc>
      </w:tr>
      <w:tr w:rsidR="006C3944" w:rsidRPr="006C3944" w:rsidDel="00F76637" w14:paraId="575D12A4" w14:textId="77777777" w:rsidTr="003D3F66">
        <w:trPr>
          <w:trHeight w:val="229"/>
        </w:trPr>
        <w:tc>
          <w:tcPr>
            <w:tcW w:w="1165"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6D03A1E2" w14:textId="77777777" w:rsidR="003D3F66" w:rsidRPr="00CD6B52" w:rsidRDefault="003D3F66" w:rsidP="00E340DE">
            <w:pPr>
              <w:pStyle w:val="NoSpacing"/>
              <w:rPr>
                <w:rFonts w:ascii="Times New Roman" w:hAnsi="Times New Roman"/>
              </w:rPr>
            </w:pPr>
            <w:r w:rsidRPr="00CD6B52">
              <w:rPr>
                <w:rFonts w:ascii="Times New Roman" w:hAnsi="Times New Roman"/>
              </w:rPr>
              <w:t>4</w:t>
            </w:r>
          </w:p>
        </w:tc>
        <w:tc>
          <w:tcPr>
            <w:tcW w:w="117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F663D8F" w14:textId="77777777" w:rsidR="003D3F66" w:rsidRPr="00CD6B52" w:rsidRDefault="003D3F66" w:rsidP="00E340DE">
            <w:pPr>
              <w:pStyle w:val="NoSpacing"/>
              <w:rPr>
                <w:rFonts w:ascii="Times New Roman" w:hAnsi="Times New Roman"/>
              </w:rPr>
            </w:pPr>
            <w:r w:rsidRPr="00CD6B52">
              <w:rPr>
                <w:rFonts w:ascii="Times New Roman" w:hAnsi="Times New Roman"/>
              </w:rPr>
              <w:t>446,234</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0546480" w14:textId="77777777" w:rsidR="003D3F66" w:rsidRPr="00CD6B52" w:rsidRDefault="003D3F66" w:rsidP="00E340DE">
            <w:pPr>
              <w:pStyle w:val="NoSpacing"/>
              <w:rPr>
                <w:rFonts w:ascii="Times New Roman" w:hAnsi="Times New Roman"/>
              </w:rPr>
            </w:pPr>
            <w:r w:rsidRPr="00CD6B52">
              <w:rPr>
                <w:rFonts w:ascii="Times New Roman" w:hAnsi="Times New Roman"/>
              </w:rPr>
              <w:t>0.65</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0A05C43" w14:textId="77777777" w:rsidR="003D3F66" w:rsidRPr="00CD6B52" w:rsidRDefault="003D3F66" w:rsidP="00E340DE">
            <w:pPr>
              <w:pStyle w:val="NoSpacing"/>
              <w:rPr>
                <w:rFonts w:ascii="Times New Roman" w:hAnsi="Times New Roman"/>
              </w:rPr>
            </w:pPr>
            <w:r w:rsidRPr="00CD6B52">
              <w:rPr>
                <w:rFonts w:ascii="Times New Roman" w:hAnsi="Times New Roman"/>
              </w:rPr>
              <w:t>0.74</w:t>
            </w:r>
          </w:p>
        </w:tc>
        <w:tc>
          <w:tcPr>
            <w:tcW w:w="117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3006768" w14:textId="77777777" w:rsidR="003D3F66" w:rsidRPr="00CD6B52" w:rsidRDefault="003D3F66" w:rsidP="00E340DE">
            <w:pPr>
              <w:pStyle w:val="NoSpacing"/>
              <w:rPr>
                <w:rFonts w:ascii="Times New Roman" w:hAnsi="Times New Roman"/>
              </w:rPr>
            </w:pPr>
            <w:r w:rsidRPr="00CD6B52">
              <w:rPr>
                <w:rFonts w:ascii="Times New Roman" w:hAnsi="Times New Roman"/>
              </w:rPr>
              <w:t>$13,379</w:t>
            </w:r>
          </w:p>
        </w:tc>
        <w:tc>
          <w:tcPr>
            <w:tcW w:w="1201"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18BDE4B" w14:textId="77777777" w:rsidR="003D3F66" w:rsidRPr="00CD6B52" w:rsidRDefault="003D3F66" w:rsidP="00E340DE">
            <w:pPr>
              <w:pStyle w:val="NoSpacing"/>
              <w:rPr>
                <w:rFonts w:ascii="Times New Roman" w:hAnsi="Times New Roman"/>
              </w:rPr>
            </w:pPr>
            <w:r w:rsidRPr="00CD6B52">
              <w:rPr>
                <w:rFonts w:ascii="Times New Roman" w:hAnsi="Times New Roman"/>
              </w:rPr>
              <w:t>$13,276</w:t>
            </w:r>
          </w:p>
        </w:tc>
        <w:tc>
          <w:tcPr>
            <w:tcW w:w="11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DDBB118" w14:textId="77777777" w:rsidR="003D3F66" w:rsidRPr="00CD6B52" w:rsidRDefault="003D3F66" w:rsidP="00E340DE">
            <w:pPr>
              <w:pStyle w:val="NoSpacing"/>
              <w:rPr>
                <w:rFonts w:ascii="Times New Roman" w:hAnsi="Times New Roman"/>
              </w:rPr>
            </w:pPr>
            <w:r w:rsidRPr="00CD6B52">
              <w:rPr>
                <w:rFonts w:ascii="Times New Roman" w:hAnsi="Times New Roman"/>
              </w:rPr>
              <w:t>$103</w:t>
            </w:r>
          </w:p>
        </w:tc>
        <w:tc>
          <w:tcPr>
            <w:tcW w:w="1166"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5025DB5B" w14:textId="77777777" w:rsidR="003D3F66" w:rsidRPr="00CD6B52" w:rsidRDefault="003D3F66" w:rsidP="00E340DE">
            <w:pPr>
              <w:pStyle w:val="NoSpacing"/>
              <w:rPr>
                <w:rFonts w:ascii="Times New Roman" w:hAnsi="Times New Roman"/>
              </w:rPr>
            </w:pPr>
            <w:r w:rsidRPr="00CD6B52">
              <w:rPr>
                <w:rFonts w:ascii="Times New Roman" w:hAnsi="Times New Roman"/>
              </w:rPr>
              <w:t>0.2365</w:t>
            </w:r>
          </w:p>
        </w:tc>
      </w:tr>
      <w:tr w:rsidR="006C3944" w:rsidRPr="006C3944" w:rsidDel="00F76637" w14:paraId="5CE66E23" w14:textId="77777777" w:rsidTr="003D3F66">
        <w:trPr>
          <w:trHeight w:val="229"/>
        </w:trPr>
        <w:tc>
          <w:tcPr>
            <w:tcW w:w="1165"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28A0FC97" w14:textId="77777777" w:rsidR="003D3F66" w:rsidRPr="00CD6B52" w:rsidRDefault="003D3F66" w:rsidP="00E340DE">
            <w:pPr>
              <w:pStyle w:val="NoSpacing"/>
              <w:rPr>
                <w:rFonts w:ascii="Times New Roman" w:hAnsi="Times New Roman"/>
              </w:rPr>
            </w:pPr>
            <w:r w:rsidRPr="00CD6B52">
              <w:rPr>
                <w:rFonts w:ascii="Times New Roman" w:hAnsi="Times New Roman"/>
              </w:rPr>
              <w:t>5</w:t>
            </w:r>
          </w:p>
        </w:tc>
        <w:tc>
          <w:tcPr>
            <w:tcW w:w="117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306EC9F" w14:textId="77777777" w:rsidR="003D3F66" w:rsidRPr="00CD6B52" w:rsidRDefault="003D3F66" w:rsidP="00E340DE">
            <w:pPr>
              <w:pStyle w:val="NoSpacing"/>
              <w:rPr>
                <w:rFonts w:ascii="Times New Roman" w:hAnsi="Times New Roman"/>
              </w:rPr>
            </w:pPr>
            <w:r w:rsidRPr="00CD6B52">
              <w:rPr>
                <w:rFonts w:ascii="Times New Roman" w:hAnsi="Times New Roman"/>
              </w:rPr>
              <w:t>446,260</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BB05957" w14:textId="77777777" w:rsidR="003D3F66" w:rsidRPr="00CD6B52" w:rsidRDefault="003D3F66" w:rsidP="00E340DE">
            <w:pPr>
              <w:pStyle w:val="NoSpacing"/>
              <w:rPr>
                <w:rFonts w:ascii="Times New Roman" w:hAnsi="Times New Roman"/>
              </w:rPr>
            </w:pPr>
            <w:r w:rsidRPr="00CD6B52">
              <w:rPr>
                <w:rFonts w:ascii="Times New Roman" w:hAnsi="Times New Roman"/>
              </w:rPr>
              <w:t>0.74</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76046AF" w14:textId="77777777" w:rsidR="003D3F66" w:rsidRPr="00CD6B52" w:rsidRDefault="003D3F66" w:rsidP="00E340DE">
            <w:pPr>
              <w:pStyle w:val="NoSpacing"/>
              <w:rPr>
                <w:rFonts w:ascii="Times New Roman" w:hAnsi="Times New Roman"/>
              </w:rPr>
            </w:pPr>
            <w:r w:rsidRPr="00CD6B52">
              <w:rPr>
                <w:rFonts w:ascii="Times New Roman" w:hAnsi="Times New Roman"/>
              </w:rPr>
              <w:t>0.85</w:t>
            </w:r>
          </w:p>
        </w:tc>
        <w:tc>
          <w:tcPr>
            <w:tcW w:w="117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3846698" w14:textId="77777777" w:rsidR="003D3F66" w:rsidRPr="00CD6B52" w:rsidRDefault="003D3F66" w:rsidP="00E340DE">
            <w:pPr>
              <w:pStyle w:val="NoSpacing"/>
              <w:rPr>
                <w:rFonts w:ascii="Times New Roman" w:hAnsi="Times New Roman"/>
              </w:rPr>
            </w:pPr>
            <w:r w:rsidRPr="00CD6B52">
              <w:rPr>
                <w:rFonts w:ascii="Times New Roman" w:hAnsi="Times New Roman"/>
              </w:rPr>
              <w:t>$15,164</w:t>
            </w:r>
          </w:p>
        </w:tc>
        <w:tc>
          <w:tcPr>
            <w:tcW w:w="1201"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9607F7B" w14:textId="77777777" w:rsidR="003D3F66" w:rsidRPr="00CD6B52" w:rsidRDefault="003D3F66" w:rsidP="00E340DE">
            <w:pPr>
              <w:pStyle w:val="NoSpacing"/>
              <w:rPr>
                <w:rFonts w:ascii="Times New Roman" w:hAnsi="Times New Roman"/>
              </w:rPr>
            </w:pPr>
            <w:r w:rsidRPr="00CD6B52">
              <w:rPr>
                <w:rFonts w:ascii="Times New Roman" w:hAnsi="Times New Roman"/>
              </w:rPr>
              <w:t>$15,114</w:t>
            </w:r>
          </w:p>
        </w:tc>
        <w:tc>
          <w:tcPr>
            <w:tcW w:w="11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607563E" w14:textId="77777777" w:rsidR="003D3F66" w:rsidRPr="00CD6B52" w:rsidRDefault="003D3F66" w:rsidP="00E340DE">
            <w:pPr>
              <w:pStyle w:val="NoSpacing"/>
              <w:rPr>
                <w:rFonts w:ascii="Times New Roman" w:hAnsi="Times New Roman"/>
              </w:rPr>
            </w:pPr>
            <w:r w:rsidRPr="00CD6B52">
              <w:rPr>
                <w:rFonts w:ascii="Times New Roman" w:hAnsi="Times New Roman"/>
              </w:rPr>
              <w:t>$50</w:t>
            </w:r>
          </w:p>
        </w:tc>
        <w:tc>
          <w:tcPr>
            <w:tcW w:w="1166"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72846A14" w14:textId="77777777" w:rsidR="003D3F66" w:rsidRPr="00CD6B52" w:rsidRDefault="003D3F66" w:rsidP="00E340DE">
            <w:pPr>
              <w:pStyle w:val="NoSpacing"/>
              <w:rPr>
                <w:rFonts w:ascii="Times New Roman" w:hAnsi="Times New Roman"/>
              </w:rPr>
            </w:pPr>
            <w:r w:rsidRPr="00CD6B52">
              <w:rPr>
                <w:rFonts w:ascii="Times New Roman" w:hAnsi="Times New Roman"/>
              </w:rPr>
              <w:t>0.1194</w:t>
            </w:r>
          </w:p>
        </w:tc>
      </w:tr>
      <w:tr w:rsidR="006C3944" w:rsidRPr="006C3944" w:rsidDel="00F76637" w14:paraId="3E8B9F69" w14:textId="77777777" w:rsidTr="003D3F66">
        <w:trPr>
          <w:trHeight w:val="229"/>
        </w:trPr>
        <w:tc>
          <w:tcPr>
            <w:tcW w:w="1165"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0F1C0BB6" w14:textId="77777777" w:rsidR="003D3F66" w:rsidRPr="00CD6B52" w:rsidRDefault="003D3F66" w:rsidP="00E340DE">
            <w:pPr>
              <w:pStyle w:val="NoSpacing"/>
              <w:rPr>
                <w:rFonts w:ascii="Times New Roman" w:hAnsi="Times New Roman"/>
              </w:rPr>
            </w:pPr>
            <w:r w:rsidRPr="00CD6B52">
              <w:rPr>
                <w:rFonts w:ascii="Times New Roman" w:hAnsi="Times New Roman"/>
              </w:rPr>
              <w:t>6</w:t>
            </w:r>
          </w:p>
        </w:tc>
        <w:tc>
          <w:tcPr>
            <w:tcW w:w="117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1F9F42C" w14:textId="77777777" w:rsidR="003D3F66" w:rsidRPr="00CD6B52" w:rsidRDefault="003D3F66" w:rsidP="00E340DE">
            <w:pPr>
              <w:pStyle w:val="NoSpacing"/>
              <w:rPr>
                <w:rFonts w:ascii="Times New Roman" w:hAnsi="Times New Roman"/>
              </w:rPr>
            </w:pPr>
            <w:r w:rsidRPr="00CD6B52">
              <w:rPr>
                <w:rFonts w:ascii="Times New Roman" w:hAnsi="Times New Roman"/>
              </w:rPr>
              <w:t>446,205</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D191886" w14:textId="77777777" w:rsidR="003D3F66" w:rsidRPr="00CD6B52" w:rsidRDefault="003D3F66" w:rsidP="00E340DE">
            <w:pPr>
              <w:pStyle w:val="NoSpacing"/>
              <w:rPr>
                <w:rFonts w:ascii="Times New Roman" w:hAnsi="Times New Roman"/>
              </w:rPr>
            </w:pPr>
            <w:r w:rsidRPr="00CD6B52">
              <w:rPr>
                <w:rFonts w:ascii="Times New Roman" w:hAnsi="Times New Roman"/>
              </w:rPr>
              <w:t>0.85</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6CE8CAB" w14:textId="77777777" w:rsidR="003D3F66" w:rsidRPr="00CD6B52" w:rsidRDefault="003D3F66" w:rsidP="00E340DE">
            <w:pPr>
              <w:pStyle w:val="NoSpacing"/>
              <w:rPr>
                <w:rFonts w:ascii="Times New Roman" w:hAnsi="Times New Roman"/>
              </w:rPr>
            </w:pPr>
            <w:r w:rsidRPr="00CD6B52">
              <w:rPr>
                <w:rFonts w:ascii="Times New Roman" w:hAnsi="Times New Roman"/>
              </w:rPr>
              <w:t>0.98</w:t>
            </w:r>
          </w:p>
        </w:tc>
        <w:tc>
          <w:tcPr>
            <w:tcW w:w="117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CF75A9B" w14:textId="77777777" w:rsidR="003D3F66" w:rsidRPr="00CD6B52" w:rsidRDefault="003D3F66" w:rsidP="00E340DE">
            <w:pPr>
              <w:pStyle w:val="NoSpacing"/>
              <w:rPr>
                <w:rFonts w:ascii="Times New Roman" w:hAnsi="Times New Roman"/>
              </w:rPr>
            </w:pPr>
            <w:r w:rsidRPr="00CD6B52">
              <w:rPr>
                <w:rFonts w:ascii="Times New Roman" w:hAnsi="Times New Roman"/>
              </w:rPr>
              <w:t>$17,452</w:t>
            </w:r>
          </w:p>
        </w:tc>
        <w:tc>
          <w:tcPr>
            <w:tcW w:w="1201"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85BC806" w14:textId="77777777" w:rsidR="003D3F66" w:rsidRPr="00CD6B52" w:rsidRDefault="003D3F66" w:rsidP="00E340DE">
            <w:pPr>
              <w:pStyle w:val="NoSpacing"/>
              <w:rPr>
                <w:rFonts w:ascii="Times New Roman" w:hAnsi="Times New Roman"/>
              </w:rPr>
            </w:pPr>
            <w:r w:rsidRPr="00CD6B52">
              <w:rPr>
                <w:rFonts w:ascii="Times New Roman" w:hAnsi="Times New Roman"/>
              </w:rPr>
              <w:t>$17,350</w:t>
            </w:r>
          </w:p>
        </w:tc>
        <w:tc>
          <w:tcPr>
            <w:tcW w:w="11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4154E3E" w14:textId="77777777" w:rsidR="003D3F66" w:rsidRPr="00CD6B52" w:rsidRDefault="003D3F66" w:rsidP="00E340DE">
            <w:pPr>
              <w:pStyle w:val="NoSpacing"/>
              <w:rPr>
                <w:rFonts w:ascii="Times New Roman" w:hAnsi="Times New Roman"/>
              </w:rPr>
            </w:pPr>
            <w:r w:rsidRPr="00CD6B52">
              <w:rPr>
                <w:rFonts w:ascii="Times New Roman" w:hAnsi="Times New Roman"/>
              </w:rPr>
              <w:t>$101</w:t>
            </w:r>
          </w:p>
        </w:tc>
        <w:tc>
          <w:tcPr>
            <w:tcW w:w="1166"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206785FB" w14:textId="77777777" w:rsidR="003D3F66" w:rsidRPr="00CD6B52" w:rsidRDefault="003D3F66" w:rsidP="00E340DE">
            <w:pPr>
              <w:pStyle w:val="NoSpacing"/>
              <w:rPr>
                <w:rFonts w:ascii="Times New Roman" w:hAnsi="Times New Roman"/>
              </w:rPr>
            </w:pPr>
            <w:r w:rsidRPr="00CD6B52">
              <w:rPr>
                <w:rFonts w:ascii="Times New Roman" w:hAnsi="Times New Roman"/>
              </w:rPr>
              <w:t>0.0229</w:t>
            </w:r>
          </w:p>
        </w:tc>
      </w:tr>
      <w:tr w:rsidR="006C3944" w:rsidRPr="006C3944" w:rsidDel="00F76637" w14:paraId="4876CD81" w14:textId="77777777" w:rsidTr="003D3F66">
        <w:trPr>
          <w:trHeight w:val="213"/>
        </w:trPr>
        <w:tc>
          <w:tcPr>
            <w:tcW w:w="1165"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0D6F65F3" w14:textId="77777777" w:rsidR="003D3F66" w:rsidRPr="00CD6B52" w:rsidRDefault="003D3F66" w:rsidP="00E340DE">
            <w:pPr>
              <w:pStyle w:val="NoSpacing"/>
              <w:rPr>
                <w:rFonts w:ascii="Times New Roman" w:hAnsi="Times New Roman"/>
              </w:rPr>
            </w:pPr>
            <w:r w:rsidRPr="00CD6B52">
              <w:rPr>
                <w:rFonts w:ascii="Times New Roman" w:hAnsi="Times New Roman"/>
              </w:rPr>
              <w:t>7</w:t>
            </w:r>
          </w:p>
        </w:tc>
        <w:tc>
          <w:tcPr>
            <w:tcW w:w="117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5A6D6D9" w14:textId="77777777" w:rsidR="003D3F66" w:rsidRPr="00CD6B52" w:rsidRDefault="003D3F66" w:rsidP="00E340DE">
            <w:pPr>
              <w:pStyle w:val="NoSpacing"/>
              <w:rPr>
                <w:rFonts w:ascii="Times New Roman" w:hAnsi="Times New Roman"/>
              </w:rPr>
            </w:pPr>
            <w:r w:rsidRPr="00CD6B52">
              <w:rPr>
                <w:rFonts w:ascii="Times New Roman" w:hAnsi="Times New Roman"/>
              </w:rPr>
              <w:t>446,512</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C8D05D1" w14:textId="77777777" w:rsidR="003D3F66" w:rsidRPr="00CD6B52" w:rsidRDefault="003D3F66" w:rsidP="00E340DE">
            <w:pPr>
              <w:pStyle w:val="NoSpacing"/>
              <w:rPr>
                <w:rFonts w:ascii="Times New Roman" w:hAnsi="Times New Roman"/>
              </w:rPr>
            </w:pPr>
            <w:r w:rsidRPr="00CD6B52">
              <w:rPr>
                <w:rFonts w:ascii="Times New Roman" w:hAnsi="Times New Roman"/>
              </w:rPr>
              <w:t>0.98</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9250B99" w14:textId="77777777" w:rsidR="003D3F66" w:rsidRPr="00CD6B52" w:rsidRDefault="003D3F66" w:rsidP="00E340DE">
            <w:pPr>
              <w:pStyle w:val="NoSpacing"/>
              <w:rPr>
                <w:rFonts w:ascii="Times New Roman" w:hAnsi="Times New Roman"/>
              </w:rPr>
            </w:pPr>
            <w:r w:rsidRPr="00CD6B52">
              <w:rPr>
                <w:rFonts w:ascii="Times New Roman" w:hAnsi="Times New Roman"/>
              </w:rPr>
              <w:t>1.14</w:t>
            </w:r>
          </w:p>
        </w:tc>
        <w:tc>
          <w:tcPr>
            <w:tcW w:w="117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D3AE359" w14:textId="77777777" w:rsidR="003D3F66" w:rsidRPr="00CD6B52" w:rsidRDefault="003D3F66" w:rsidP="00E340DE">
            <w:pPr>
              <w:pStyle w:val="NoSpacing"/>
              <w:rPr>
                <w:rFonts w:ascii="Times New Roman" w:hAnsi="Times New Roman"/>
              </w:rPr>
            </w:pPr>
            <w:r w:rsidRPr="00CD6B52">
              <w:rPr>
                <w:rFonts w:ascii="Times New Roman" w:hAnsi="Times New Roman"/>
              </w:rPr>
              <w:t>$20,047</w:t>
            </w:r>
          </w:p>
        </w:tc>
        <w:tc>
          <w:tcPr>
            <w:tcW w:w="1201"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7307D0F" w14:textId="77777777" w:rsidR="003D3F66" w:rsidRPr="00CD6B52" w:rsidRDefault="003D3F66" w:rsidP="00E340DE">
            <w:pPr>
              <w:pStyle w:val="NoSpacing"/>
              <w:rPr>
                <w:rFonts w:ascii="Times New Roman" w:hAnsi="Times New Roman"/>
              </w:rPr>
            </w:pPr>
            <w:r w:rsidRPr="00CD6B52">
              <w:rPr>
                <w:rFonts w:ascii="Times New Roman" w:hAnsi="Times New Roman"/>
              </w:rPr>
              <w:t>$20,226</w:t>
            </w:r>
          </w:p>
        </w:tc>
        <w:tc>
          <w:tcPr>
            <w:tcW w:w="11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A3A9D57" w14:textId="77777777" w:rsidR="003D3F66" w:rsidRPr="00CD6B52" w:rsidRDefault="003D3F66" w:rsidP="00E340DE">
            <w:pPr>
              <w:pStyle w:val="NoSpacing"/>
              <w:rPr>
                <w:rFonts w:ascii="Times New Roman" w:hAnsi="Times New Roman"/>
              </w:rPr>
            </w:pPr>
            <w:r w:rsidRPr="00CD6B52">
              <w:rPr>
                <w:rFonts w:ascii="Times New Roman" w:hAnsi="Times New Roman"/>
              </w:rPr>
              <w:t>-$179</w:t>
            </w:r>
          </w:p>
        </w:tc>
        <w:tc>
          <w:tcPr>
            <w:tcW w:w="1166"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55B2D3DE" w14:textId="77777777" w:rsidR="003D3F66" w:rsidRPr="00CD6B52" w:rsidRDefault="003D3F66" w:rsidP="00E340DE">
            <w:pPr>
              <w:pStyle w:val="NoSpacing"/>
              <w:rPr>
                <w:rFonts w:ascii="Times New Roman" w:hAnsi="Times New Roman"/>
              </w:rPr>
            </w:pPr>
            <w:r w:rsidRPr="00CD6B52">
              <w:rPr>
                <w:rFonts w:ascii="Times New Roman" w:hAnsi="Times New Roman"/>
              </w:rPr>
              <w:t>0.0100</w:t>
            </w:r>
          </w:p>
        </w:tc>
      </w:tr>
      <w:tr w:rsidR="006C3944" w:rsidRPr="006C3944" w:rsidDel="00F76637" w14:paraId="04A8C1C9" w14:textId="77777777" w:rsidTr="003D3F66">
        <w:trPr>
          <w:trHeight w:val="229"/>
        </w:trPr>
        <w:tc>
          <w:tcPr>
            <w:tcW w:w="1165"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10B6B03F" w14:textId="77777777" w:rsidR="003D3F66" w:rsidRPr="00CD6B52" w:rsidRDefault="003D3F66" w:rsidP="00E340DE">
            <w:pPr>
              <w:pStyle w:val="NoSpacing"/>
              <w:rPr>
                <w:rFonts w:ascii="Times New Roman" w:hAnsi="Times New Roman"/>
              </w:rPr>
            </w:pPr>
            <w:r w:rsidRPr="00CD6B52">
              <w:rPr>
                <w:rFonts w:ascii="Times New Roman" w:hAnsi="Times New Roman"/>
              </w:rPr>
              <w:t>8</w:t>
            </w:r>
          </w:p>
        </w:tc>
        <w:tc>
          <w:tcPr>
            <w:tcW w:w="117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B942752" w14:textId="77777777" w:rsidR="003D3F66" w:rsidRPr="00CD6B52" w:rsidRDefault="003D3F66" w:rsidP="00E340DE">
            <w:pPr>
              <w:pStyle w:val="NoSpacing"/>
              <w:rPr>
                <w:rFonts w:ascii="Times New Roman" w:hAnsi="Times New Roman"/>
              </w:rPr>
            </w:pPr>
            <w:r w:rsidRPr="00CD6B52">
              <w:rPr>
                <w:rFonts w:ascii="Times New Roman" w:hAnsi="Times New Roman"/>
              </w:rPr>
              <w:t>445,951</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DB544BE" w14:textId="77777777" w:rsidR="003D3F66" w:rsidRPr="00CD6B52" w:rsidRDefault="003D3F66" w:rsidP="00E340DE">
            <w:pPr>
              <w:pStyle w:val="NoSpacing"/>
              <w:rPr>
                <w:rFonts w:ascii="Times New Roman" w:hAnsi="Times New Roman"/>
              </w:rPr>
            </w:pPr>
            <w:r w:rsidRPr="00CD6B52">
              <w:rPr>
                <w:rFonts w:ascii="Times New Roman" w:hAnsi="Times New Roman"/>
              </w:rPr>
              <w:t>1.14</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E1AD93A" w14:textId="77777777" w:rsidR="003D3F66" w:rsidRPr="00CD6B52" w:rsidRDefault="003D3F66" w:rsidP="00E340DE">
            <w:pPr>
              <w:pStyle w:val="NoSpacing"/>
              <w:rPr>
                <w:rFonts w:ascii="Times New Roman" w:hAnsi="Times New Roman"/>
              </w:rPr>
            </w:pPr>
            <w:r w:rsidRPr="00CD6B52">
              <w:rPr>
                <w:rFonts w:ascii="Times New Roman" w:hAnsi="Times New Roman"/>
              </w:rPr>
              <w:t>1.31</w:t>
            </w:r>
          </w:p>
        </w:tc>
        <w:tc>
          <w:tcPr>
            <w:tcW w:w="117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70C8CB7" w14:textId="77777777" w:rsidR="003D3F66" w:rsidRPr="00CD6B52" w:rsidRDefault="003D3F66" w:rsidP="00E340DE">
            <w:pPr>
              <w:pStyle w:val="NoSpacing"/>
              <w:rPr>
                <w:rFonts w:ascii="Times New Roman" w:hAnsi="Times New Roman"/>
              </w:rPr>
            </w:pPr>
            <w:r w:rsidRPr="00CD6B52">
              <w:rPr>
                <w:rFonts w:ascii="Times New Roman" w:hAnsi="Times New Roman"/>
              </w:rPr>
              <w:t>$23,108</w:t>
            </w:r>
          </w:p>
        </w:tc>
        <w:tc>
          <w:tcPr>
            <w:tcW w:w="1201"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77F320D" w14:textId="77777777" w:rsidR="003D3F66" w:rsidRPr="00CD6B52" w:rsidRDefault="003D3F66" w:rsidP="00E340DE">
            <w:pPr>
              <w:pStyle w:val="NoSpacing"/>
              <w:rPr>
                <w:rFonts w:ascii="Times New Roman" w:hAnsi="Times New Roman"/>
              </w:rPr>
            </w:pPr>
            <w:r w:rsidRPr="00CD6B52">
              <w:rPr>
                <w:rFonts w:ascii="Times New Roman" w:hAnsi="Times New Roman"/>
              </w:rPr>
              <w:t>$23,237</w:t>
            </w:r>
          </w:p>
        </w:tc>
        <w:tc>
          <w:tcPr>
            <w:tcW w:w="11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5B01A4E" w14:textId="77777777" w:rsidR="003D3F66" w:rsidRPr="00CD6B52" w:rsidRDefault="003D3F66" w:rsidP="00E340DE">
            <w:pPr>
              <w:pStyle w:val="NoSpacing"/>
              <w:rPr>
                <w:rFonts w:ascii="Times New Roman" w:hAnsi="Times New Roman"/>
              </w:rPr>
            </w:pPr>
            <w:r w:rsidRPr="00CD6B52">
              <w:rPr>
                <w:rFonts w:ascii="Times New Roman" w:hAnsi="Times New Roman"/>
              </w:rPr>
              <w:t>-$128</w:t>
            </w:r>
          </w:p>
        </w:tc>
        <w:tc>
          <w:tcPr>
            <w:tcW w:w="1166"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1FEDE64C" w14:textId="77777777" w:rsidR="003D3F66" w:rsidRPr="00CD6B52" w:rsidRDefault="003D3F66" w:rsidP="00E340DE">
            <w:pPr>
              <w:pStyle w:val="NoSpacing"/>
              <w:rPr>
                <w:rFonts w:ascii="Times New Roman" w:hAnsi="Times New Roman"/>
              </w:rPr>
            </w:pPr>
            <w:r w:rsidRPr="00CD6B52">
              <w:rPr>
                <w:rFonts w:ascii="Times New Roman" w:hAnsi="Times New Roman"/>
              </w:rPr>
              <w:t>0.0858</w:t>
            </w:r>
          </w:p>
        </w:tc>
      </w:tr>
      <w:tr w:rsidR="006C3944" w:rsidRPr="006C3944" w:rsidDel="00F76637" w14:paraId="0E113AB5" w14:textId="77777777" w:rsidTr="003D3F66">
        <w:trPr>
          <w:trHeight w:val="229"/>
        </w:trPr>
        <w:tc>
          <w:tcPr>
            <w:tcW w:w="1165"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591EFD22" w14:textId="77777777" w:rsidR="003D3F66" w:rsidRPr="00CD6B52" w:rsidRDefault="003D3F66" w:rsidP="00E340DE">
            <w:pPr>
              <w:pStyle w:val="NoSpacing"/>
              <w:rPr>
                <w:rFonts w:ascii="Times New Roman" w:hAnsi="Times New Roman"/>
              </w:rPr>
            </w:pPr>
            <w:r w:rsidRPr="00CD6B52">
              <w:rPr>
                <w:rFonts w:ascii="Times New Roman" w:hAnsi="Times New Roman"/>
              </w:rPr>
              <w:t>9</w:t>
            </w:r>
          </w:p>
        </w:tc>
        <w:tc>
          <w:tcPr>
            <w:tcW w:w="117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4E1D546" w14:textId="77777777" w:rsidR="003D3F66" w:rsidRPr="00CD6B52" w:rsidRDefault="003D3F66" w:rsidP="00E340DE">
            <w:pPr>
              <w:pStyle w:val="NoSpacing"/>
              <w:rPr>
                <w:rFonts w:ascii="Times New Roman" w:hAnsi="Times New Roman"/>
              </w:rPr>
            </w:pPr>
            <w:r w:rsidRPr="00CD6B52">
              <w:rPr>
                <w:rFonts w:ascii="Times New Roman" w:hAnsi="Times New Roman"/>
              </w:rPr>
              <w:t>446,130</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6BFA2B1" w14:textId="77777777" w:rsidR="003D3F66" w:rsidRPr="00CD6B52" w:rsidRDefault="003D3F66" w:rsidP="00E340DE">
            <w:pPr>
              <w:pStyle w:val="NoSpacing"/>
              <w:rPr>
                <w:rFonts w:ascii="Times New Roman" w:hAnsi="Times New Roman"/>
              </w:rPr>
            </w:pPr>
            <w:r w:rsidRPr="00CD6B52">
              <w:rPr>
                <w:rFonts w:ascii="Times New Roman" w:hAnsi="Times New Roman"/>
              </w:rPr>
              <w:t>1.31</w:t>
            </w:r>
          </w:p>
        </w:tc>
        <w:tc>
          <w:tcPr>
            <w:tcW w:w="1152"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0D125FB" w14:textId="77777777" w:rsidR="003D3F66" w:rsidRPr="00CD6B52" w:rsidRDefault="003D3F66" w:rsidP="00E340DE">
            <w:pPr>
              <w:pStyle w:val="NoSpacing"/>
              <w:rPr>
                <w:rFonts w:ascii="Times New Roman" w:hAnsi="Times New Roman"/>
              </w:rPr>
            </w:pPr>
            <w:r w:rsidRPr="00CD6B52">
              <w:rPr>
                <w:rFonts w:ascii="Times New Roman" w:hAnsi="Times New Roman"/>
              </w:rPr>
              <w:t>1.66</w:t>
            </w:r>
          </w:p>
        </w:tc>
        <w:tc>
          <w:tcPr>
            <w:tcW w:w="117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2AB0B8A" w14:textId="77777777" w:rsidR="003D3F66" w:rsidRPr="00CD6B52" w:rsidRDefault="003D3F66" w:rsidP="00E340DE">
            <w:pPr>
              <w:pStyle w:val="NoSpacing"/>
              <w:rPr>
                <w:rFonts w:ascii="Times New Roman" w:hAnsi="Times New Roman"/>
              </w:rPr>
            </w:pPr>
            <w:r w:rsidRPr="00CD6B52">
              <w:rPr>
                <w:rFonts w:ascii="Times New Roman" w:hAnsi="Times New Roman"/>
              </w:rPr>
              <w:t>$27,830</w:t>
            </w:r>
          </w:p>
        </w:tc>
        <w:tc>
          <w:tcPr>
            <w:tcW w:w="1201"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6E682A1" w14:textId="77777777" w:rsidR="003D3F66" w:rsidRPr="00CD6B52" w:rsidRDefault="003D3F66" w:rsidP="00E340DE">
            <w:pPr>
              <w:pStyle w:val="NoSpacing"/>
              <w:rPr>
                <w:rFonts w:ascii="Times New Roman" w:hAnsi="Times New Roman"/>
              </w:rPr>
            </w:pPr>
            <w:r w:rsidRPr="00CD6B52">
              <w:rPr>
                <w:rFonts w:ascii="Times New Roman" w:hAnsi="Times New Roman"/>
              </w:rPr>
              <w:t>$27,631</w:t>
            </w:r>
          </w:p>
        </w:tc>
        <w:tc>
          <w:tcPr>
            <w:tcW w:w="11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42E17A2" w14:textId="77777777" w:rsidR="003D3F66" w:rsidRPr="00CD6B52" w:rsidRDefault="003D3F66" w:rsidP="00E340DE">
            <w:pPr>
              <w:pStyle w:val="NoSpacing"/>
              <w:rPr>
                <w:rFonts w:ascii="Times New Roman" w:hAnsi="Times New Roman"/>
              </w:rPr>
            </w:pPr>
            <w:r w:rsidRPr="00CD6B52">
              <w:rPr>
                <w:rFonts w:ascii="Times New Roman" w:hAnsi="Times New Roman"/>
              </w:rPr>
              <w:t>$199</w:t>
            </w:r>
          </w:p>
        </w:tc>
        <w:tc>
          <w:tcPr>
            <w:tcW w:w="1166"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174D5DB9" w14:textId="77777777" w:rsidR="003D3F66" w:rsidRPr="00CD6B52" w:rsidRDefault="003D3F66" w:rsidP="00E340DE">
            <w:pPr>
              <w:pStyle w:val="NoSpacing"/>
              <w:rPr>
                <w:rFonts w:ascii="Times New Roman" w:hAnsi="Times New Roman"/>
              </w:rPr>
            </w:pPr>
            <w:r w:rsidRPr="00CD6B52">
              <w:rPr>
                <w:rFonts w:ascii="Times New Roman" w:hAnsi="Times New Roman"/>
              </w:rPr>
              <w:t>0.1680</w:t>
            </w:r>
          </w:p>
        </w:tc>
      </w:tr>
      <w:tr w:rsidR="006C3944" w:rsidRPr="006C3944" w:rsidDel="00F76637" w14:paraId="781739E2" w14:textId="77777777" w:rsidTr="003D3F66">
        <w:trPr>
          <w:trHeight w:val="229"/>
        </w:trPr>
        <w:tc>
          <w:tcPr>
            <w:tcW w:w="1165" w:type="dxa"/>
            <w:tcBorders>
              <w:top w:val="single" w:sz="4" w:space="0" w:color="BFBFBF" w:themeColor="background1" w:themeShade="BF"/>
              <w:left w:val="single" w:sz="12" w:space="0" w:color="auto"/>
              <w:bottom w:val="single" w:sz="4" w:space="0" w:color="auto"/>
              <w:right w:val="single" w:sz="4" w:space="0" w:color="auto"/>
            </w:tcBorders>
          </w:tcPr>
          <w:p w14:paraId="4605E395" w14:textId="77777777" w:rsidR="003D3F66" w:rsidRPr="00CD6B52" w:rsidRDefault="003D3F66" w:rsidP="00E340DE">
            <w:pPr>
              <w:pStyle w:val="NoSpacing"/>
              <w:rPr>
                <w:rFonts w:ascii="Times New Roman" w:hAnsi="Times New Roman"/>
              </w:rPr>
            </w:pPr>
            <w:r w:rsidRPr="00CD6B52">
              <w:rPr>
                <w:rFonts w:ascii="Times New Roman" w:hAnsi="Times New Roman"/>
              </w:rPr>
              <w:t>10</w:t>
            </w:r>
          </w:p>
        </w:tc>
        <w:tc>
          <w:tcPr>
            <w:tcW w:w="1172" w:type="dxa"/>
            <w:tcBorders>
              <w:top w:val="single" w:sz="4" w:space="0" w:color="BFBFBF" w:themeColor="background1" w:themeShade="BF"/>
              <w:left w:val="single" w:sz="4" w:space="0" w:color="auto"/>
              <w:bottom w:val="single" w:sz="4" w:space="0" w:color="auto"/>
              <w:right w:val="single" w:sz="4" w:space="0" w:color="auto"/>
            </w:tcBorders>
          </w:tcPr>
          <w:p w14:paraId="6AF89CF3" w14:textId="77777777" w:rsidR="003D3F66" w:rsidRPr="00CD6B52" w:rsidRDefault="003D3F66" w:rsidP="00E340DE">
            <w:pPr>
              <w:pStyle w:val="NoSpacing"/>
              <w:rPr>
                <w:rFonts w:ascii="Times New Roman" w:hAnsi="Times New Roman"/>
              </w:rPr>
            </w:pPr>
            <w:r w:rsidRPr="00CD6B52">
              <w:rPr>
                <w:rFonts w:ascii="Times New Roman" w:hAnsi="Times New Roman"/>
              </w:rPr>
              <w:t>446,339</w:t>
            </w:r>
          </w:p>
        </w:tc>
        <w:tc>
          <w:tcPr>
            <w:tcW w:w="1152" w:type="dxa"/>
            <w:tcBorders>
              <w:top w:val="single" w:sz="4" w:space="0" w:color="BFBFBF" w:themeColor="background1" w:themeShade="BF"/>
              <w:left w:val="single" w:sz="4" w:space="0" w:color="auto"/>
              <w:bottom w:val="single" w:sz="4" w:space="0" w:color="auto"/>
              <w:right w:val="single" w:sz="4" w:space="0" w:color="auto"/>
            </w:tcBorders>
          </w:tcPr>
          <w:p w14:paraId="5EA9FD9A" w14:textId="77777777" w:rsidR="003D3F66" w:rsidRPr="00CD6B52" w:rsidRDefault="003D3F66" w:rsidP="00E340DE">
            <w:pPr>
              <w:pStyle w:val="NoSpacing"/>
              <w:rPr>
                <w:rFonts w:ascii="Times New Roman" w:hAnsi="Times New Roman"/>
              </w:rPr>
            </w:pPr>
            <w:r w:rsidRPr="00CD6B52">
              <w:rPr>
                <w:rFonts w:ascii="Times New Roman" w:hAnsi="Times New Roman"/>
              </w:rPr>
              <w:t>1.66</w:t>
            </w:r>
          </w:p>
        </w:tc>
        <w:tc>
          <w:tcPr>
            <w:tcW w:w="1152" w:type="dxa"/>
            <w:tcBorders>
              <w:top w:val="single" w:sz="4" w:space="0" w:color="BFBFBF" w:themeColor="background1" w:themeShade="BF"/>
              <w:left w:val="single" w:sz="4" w:space="0" w:color="auto"/>
              <w:bottom w:val="single" w:sz="4" w:space="0" w:color="auto"/>
              <w:right w:val="single" w:sz="4" w:space="0" w:color="auto"/>
            </w:tcBorders>
          </w:tcPr>
          <w:p w14:paraId="3A72E95E" w14:textId="77777777" w:rsidR="003D3F66" w:rsidRPr="00CD6B52" w:rsidRDefault="003D3F66" w:rsidP="00E340DE">
            <w:pPr>
              <w:pStyle w:val="NoSpacing"/>
              <w:rPr>
                <w:rFonts w:ascii="Times New Roman" w:hAnsi="Times New Roman"/>
              </w:rPr>
            </w:pPr>
            <w:r w:rsidRPr="00CD6B52">
              <w:rPr>
                <w:rFonts w:ascii="Times New Roman" w:hAnsi="Times New Roman"/>
              </w:rPr>
              <w:t>20.09</w:t>
            </w:r>
          </w:p>
        </w:tc>
        <w:tc>
          <w:tcPr>
            <w:tcW w:w="1170" w:type="dxa"/>
            <w:tcBorders>
              <w:top w:val="single" w:sz="4" w:space="0" w:color="BFBFBF" w:themeColor="background1" w:themeShade="BF"/>
              <w:left w:val="single" w:sz="4" w:space="0" w:color="auto"/>
              <w:bottom w:val="single" w:sz="4" w:space="0" w:color="auto"/>
              <w:right w:val="single" w:sz="4" w:space="0" w:color="auto"/>
            </w:tcBorders>
          </w:tcPr>
          <w:p w14:paraId="656F8E9E" w14:textId="77777777" w:rsidR="003D3F66" w:rsidRPr="00CD6B52" w:rsidRDefault="003D3F66" w:rsidP="00E340DE">
            <w:pPr>
              <w:pStyle w:val="NoSpacing"/>
              <w:rPr>
                <w:rFonts w:ascii="Times New Roman" w:hAnsi="Times New Roman"/>
              </w:rPr>
            </w:pPr>
            <w:r w:rsidRPr="00CD6B52">
              <w:rPr>
                <w:rFonts w:ascii="Times New Roman" w:hAnsi="Times New Roman"/>
              </w:rPr>
              <w:t>$45,115</w:t>
            </w:r>
          </w:p>
        </w:tc>
        <w:tc>
          <w:tcPr>
            <w:tcW w:w="1201" w:type="dxa"/>
            <w:tcBorders>
              <w:top w:val="single" w:sz="4" w:space="0" w:color="BFBFBF" w:themeColor="background1" w:themeShade="BF"/>
              <w:left w:val="single" w:sz="4" w:space="0" w:color="auto"/>
              <w:bottom w:val="single" w:sz="4" w:space="0" w:color="auto"/>
              <w:right w:val="single" w:sz="4" w:space="0" w:color="auto"/>
            </w:tcBorders>
          </w:tcPr>
          <w:p w14:paraId="03BF2A94" w14:textId="77777777" w:rsidR="003D3F66" w:rsidRPr="00CD6B52" w:rsidRDefault="003D3F66" w:rsidP="00E340DE">
            <w:pPr>
              <w:pStyle w:val="NoSpacing"/>
              <w:rPr>
                <w:rFonts w:ascii="Times New Roman" w:hAnsi="Times New Roman"/>
              </w:rPr>
            </w:pPr>
            <w:r w:rsidRPr="00CD6B52">
              <w:rPr>
                <w:rFonts w:ascii="Times New Roman" w:hAnsi="Times New Roman"/>
              </w:rPr>
              <w:t>$45,148</w:t>
            </w:r>
          </w:p>
        </w:tc>
        <w:tc>
          <w:tcPr>
            <w:tcW w:w="1176" w:type="dxa"/>
            <w:tcBorders>
              <w:top w:val="single" w:sz="4" w:space="0" w:color="BFBFBF" w:themeColor="background1" w:themeShade="BF"/>
              <w:left w:val="single" w:sz="4" w:space="0" w:color="auto"/>
              <w:bottom w:val="single" w:sz="4" w:space="0" w:color="auto"/>
              <w:right w:val="single" w:sz="4" w:space="0" w:color="auto"/>
            </w:tcBorders>
          </w:tcPr>
          <w:p w14:paraId="57D127D0" w14:textId="77777777" w:rsidR="003D3F66" w:rsidRPr="00CD6B52" w:rsidRDefault="003D3F66" w:rsidP="00E340DE">
            <w:pPr>
              <w:pStyle w:val="NoSpacing"/>
              <w:rPr>
                <w:rFonts w:ascii="Times New Roman" w:hAnsi="Times New Roman"/>
              </w:rPr>
            </w:pPr>
            <w:r w:rsidRPr="00CD6B52">
              <w:rPr>
                <w:rFonts w:ascii="Times New Roman" w:hAnsi="Times New Roman"/>
              </w:rPr>
              <w:t>-$33</w:t>
            </w:r>
          </w:p>
        </w:tc>
        <w:tc>
          <w:tcPr>
            <w:tcW w:w="1166" w:type="dxa"/>
            <w:tcBorders>
              <w:top w:val="single" w:sz="4" w:space="0" w:color="BFBFBF" w:themeColor="background1" w:themeShade="BF"/>
              <w:left w:val="single" w:sz="4" w:space="0" w:color="auto"/>
              <w:bottom w:val="single" w:sz="4" w:space="0" w:color="auto"/>
              <w:right w:val="single" w:sz="12" w:space="0" w:color="auto"/>
            </w:tcBorders>
          </w:tcPr>
          <w:p w14:paraId="0DF12B4F" w14:textId="77777777" w:rsidR="003D3F66" w:rsidRPr="00CD6B52" w:rsidRDefault="003D3F66" w:rsidP="00E340DE">
            <w:pPr>
              <w:pStyle w:val="NoSpacing"/>
              <w:rPr>
                <w:rFonts w:ascii="Times New Roman" w:hAnsi="Times New Roman"/>
              </w:rPr>
            </w:pPr>
            <w:r w:rsidRPr="00CD6B52">
              <w:rPr>
                <w:rFonts w:ascii="Times New Roman" w:hAnsi="Times New Roman"/>
              </w:rPr>
              <w:t>0.6903</w:t>
            </w:r>
          </w:p>
        </w:tc>
      </w:tr>
      <w:tr w:rsidR="006C3944" w:rsidRPr="006C3944" w:rsidDel="00F76637" w14:paraId="4515F297" w14:textId="77777777" w:rsidTr="003D3F66">
        <w:trPr>
          <w:trHeight w:val="243"/>
        </w:trPr>
        <w:tc>
          <w:tcPr>
            <w:tcW w:w="1165" w:type="dxa"/>
            <w:tcBorders>
              <w:top w:val="single" w:sz="4" w:space="0" w:color="auto"/>
              <w:left w:val="single" w:sz="12" w:space="0" w:color="auto"/>
              <w:bottom w:val="single" w:sz="12" w:space="0" w:color="auto"/>
            </w:tcBorders>
          </w:tcPr>
          <w:p w14:paraId="2E14782E" w14:textId="77777777" w:rsidR="003D3F66" w:rsidRPr="00CD6B52" w:rsidRDefault="003D3F66" w:rsidP="00E340DE">
            <w:pPr>
              <w:pStyle w:val="NoSpacing"/>
              <w:rPr>
                <w:rFonts w:ascii="Times New Roman" w:hAnsi="Times New Roman"/>
              </w:rPr>
            </w:pPr>
            <w:r w:rsidRPr="00CD6B52">
              <w:rPr>
                <w:rFonts w:ascii="Times New Roman" w:hAnsi="Times New Roman"/>
              </w:rPr>
              <w:t>TOTAL</w:t>
            </w:r>
          </w:p>
        </w:tc>
        <w:tc>
          <w:tcPr>
            <w:tcW w:w="1172" w:type="dxa"/>
            <w:tcBorders>
              <w:top w:val="single" w:sz="4" w:space="0" w:color="auto"/>
              <w:bottom w:val="single" w:sz="12" w:space="0" w:color="auto"/>
            </w:tcBorders>
          </w:tcPr>
          <w:p w14:paraId="625357E6" w14:textId="77777777" w:rsidR="003D3F66" w:rsidRPr="00CD6B52" w:rsidRDefault="003D3F66" w:rsidP="00E340DE">
            <w:pPr>
              <w:pStyle w:val="NoSpacing"/>
              <w:rPr>
                <w:rFonts w:ascii="Times New Roman" w:hAnsi="Times New Roman"/>
              </w:rPr>
            </w:pPr>
            <w:r w:rsidRPr="00CD6B52">
              <w:rPr>
                <w:rFonts w:ascii="Times New Roman" w:hAnsi="Times New Roman"/>
              </w:rPr>
              <w:t>4,462,330</w:t>
            </w:r>
          </w:p>
        </w:tc>
        <w:tc>
          <w:tcPr>
            <w:tcW w:w="1152" w:type="dxa"/>
            <w:tcBorders>
              <w:top w:val="single" w:sz="4" w:space="0" w:color="auto"/>
              <w:bottom w:val="single" w:sz="12" w:space="0" w:color="auto"/>
            </w:tcBorders>
          </w:tcPr>
          <w:p w14:paraId="325FEE91" w14:textId="77777777" w:rsidR="003D3F66" w:rsidRPr="00CD6B52" w:rsidRDefault="003D3F66" w:rsidP="00E340DE">
            <w:pPr>
              <w:pStyle w:val="NoSpacing"/>
              <w:rPr>
                <w:rFonts w:ascii="Times New Roman" w:hAnsi="Times New Roman"/>
              </w:rPr>
            </w:pPr>
            <w:r w:rsidRPr="00CD6B52">
              <w:rPr>
                <w:rFonts w:ascii="Times New Roman" w:hAnsi="Times New Roman"/>
              </w:rPr>
              <w:t>-0.38</w:t>
            </w:r>
          </w:p>
        </w:tc>
        <w:tc>
          <w:tcPr>
            <w:tcW w:w="1152" w:type="dxa"/>
            <w:tcBorders>
              <w:top w:val="single" w:sz="4" w:space="0" w:color="auto"/>
              <w:bottom w:val="single" w:sz="12" w:space="0" w:color="auto"/>
            </w:tcBorders>
          </w:tcPr>
          <w:p w14:paraId="25500C9D" w14:textId="77777777" w:rsidR="003D3F66" w:rsidRPr="00CD6B52" w:rsidRDefault="003D3F66" w:rsidP="00E340DE">
            <w:pPr>
              <w:pStyle w:val="NoSpacing"/>
              <w:rPr>
                <w:rFonts w:ascii="Times New Roman" w:hAnsi="Times New Roman"/>
              </w:rPr>
            </w:pPr>
            <w:r w:rsidRPr="00CD6B52">
              <w:rPr>
                <w:rFonts w:ascii="Times New Roman" w:hAnsi="Times New Roman"/>
              </w:rPr>
              <w:t>20.09</w:t>
            </w:r>
          </w:p>
        </w:tc>
        <w:tc>
          <w:tcPr>
            <w:tcW w:w="1170" w:type="dxa"/>
            <w:tcBorders>
              <w:top w:val="single" w:sz="4" w:space="0" w:color="auto"/>
              <w:bottom w:val="single" w:sz="12" w:space="0" w:color="auto"/>
            </w:tcBorders>
          </w:tcPr>
          <w:p w14:paraId="0B00B802" w14:textId="77777777" w:rsidR="003D3F66" w:rsidRPr="00CD6B52" w:rsidRDefault="003D3F66" w:rsidP="00E340DE">
            <w:pPr>
              <w:pStyle w:val="NoSpacing"/>
              <w:rPr>
                <w:rFonts w:ascii="Times New Roman" w:hAnsi="Times New Roman"/>
              </w:rPr>
            </w:pPr>
            <w:r w:rsidRPr="00CD6B52">
              <w:rPr>
                <w:rFonts w:ascii="Times New Roman" w:hAnsi="Times New Roman"/>
              </w:rPr>
              <w:t>$19,062</w:t>
            </w:r>
          </w:p>
        </w:tc>
        <w:tc>
          <w:tcPr>
            <w:tcW w:w="1201" w:type="dxa"/>
            <w:tcBorders>
              <w:top w:val="single" w:sz="4" w:space="0" w:color="auto"/>
              <w:bottom w:val="single" w:sz="12" w:space="0" w:color="auto"/>
            </w:tcBorders>
          </w:tcPr>
          <w:p w14:paraId="359FD774" w14:textId="77777777" w:rsidR="003D3F66" w:rsidRPr="00CD6B52" w:rsidRDefault="003D3F66" w:rsidP="00E340DE">
            <w:pPr>
              <w:pStyle w:val="NoSpacing"/>
              <w:rPr>
                <w:rFonts w:ascii="Times New Roman" w:hAnsi="Times New Roman"/>
              </w:rPr>
            </w:pPr>
            <w:r w:rsidRPr="00CD6B52">
              <w:rPr>
                <w:rFonts w:ascii="Times New Roman" w:hAnsi="Times New Roman"/>
              </w:rPr>
              <w:t>$19,062</w:t>
            </w:r>
          </w:p>
        </w:tc>
        <w:tc>
          <w:tcPr>
            <w:tcW w:w="1176" w:type="dxa"/>
            <w:tcBorders>
              <w:top w:val="single" w:sz="4" w:space="0" w:color="auto"/>
              <w:bottom w:val="single" w:sz="12" w:space="0" w:color="auto"/>
            </w:tcBorders>
          </w:tcPr>
          <w:p w14:paraId="501955DB" w14:textId="77777777" w:rsidR="003D3F66" w:rsidRPr="00CD6B52" w:rsidRDefault="003D3F66" w:rsidP="00E340DE">
            <w:pPr>
              <w:pStyle w:val="NoSpacing"/>
              <w:rPr>
                <w:rFonts w:ascii="Times New Roman" w:hAnsi="Times New Roman"/>
              </w:rPr>
            </w:pPr>
            <w:r w:rsidRPr="00CD6B52">
              <w:rPr>
                <w:rFonts w:ascii="Times New Roman" w:hAnsi="Times New Roman"/>
              </w:rPr>
              <w:t>$0</w:t>
            </w:r>
          </w:p>
        </w:tc>
        <w:tc>
          <w:tcPr>
            <w:tcW w:w="1166" w:type="dxa"/>
            <w:tcBorders>
              <w:top w:val="single" w:sz="4" w:space="0" w:color="auto"/>
              <w:bottom w:val="single" w:sz="12" w:space="0" w:color="auto"/>
              <w:right w:val="single" w:sz="12" w:space="0" w:color="auto"/>
            </w:tcBorders>
          </w:tcPr>
          <w:p w14:paraId="76FF8ECB" w14:textId="77777777" w:rsidR="003D3F66" w:rsidRPr="00CD6B52" w:rsidRDefault="003D3F66" w:rsidP="00E340DE">
            <w:pPr>
              <w:pStyle w:val="NoSpacing"/>
              <w:rPr>
                <w:rFonts w:ascii="Times New Roman" w:hAnsi="Times New Roman"/>
              </w:rPr>
            </w:pPr>
            <w:r w:rsidRPr="00CD6B52">
              <w:rPr>
                <w:rFonts w:ascii="Times New Roman" w:hAnsi="Times New Roman"/>
              </w:rPr>
              <w:t>0.4621</w:t>
            </w:r>
          </w:p>
        </w:tc>
      </w:tr>
    </w:tbl>
    <w:p w14:paraId="7608539C" w14:textId="77777777" w:rsidR="003D3F66" w:rsidRPr="00CD6B52" w:rsidDel="00F76637" w:rsidRDefault="003D3F66" w:rsidP="00E340DE">
      <w:pPr>
        <w:pStyle w:val="NoSpacing"/>
        <w:rPr>
          <w:rFonts w:ascii="Times New Roman" w:eastAsia="Times New Roman" w:hAnsi="Times New Roman"/>
        </w:rPr>
      </w:pPr>
      <w:r w:rsidRPr="00CD6B52" w:rsidDel="00F76637">
        <w:rPr>
          <w:rFonts w:ascii="Times New Roman" w:eastAsia="Times New Roman" w:hAnsi="Times New Roman"/>
        </w:rPr>
        <w:t xml:space="preserve">Note: </w:t>
      </w:r>
      <w:r w:rsidRPr="00CD6B52" w:rsidDel="00F76637">
        <w:rPr>
          <w:rFonts w:ascii="Times New Roman" w:eastAsia="Times New Roman" w:hAnsi="Times New Roman"/>
        </w:rPr>
        <w:tab/>
        <w:t>*Decile are based on risk score calculated as ratio of predicted spending over national average predicted spending.</w:t>
      </w:r>
    </w:p>
    <w:p w14:paraId="387C6FD3" w14:textId="77777777" w:rsidR="003D3F66" w:rsidRPr="00CD6B52" w:rsidDel="00F76637" w:rsidRDefault="003D3F66" w:rsidP="00E340DE">
      <w:pPr>
        <w:pStyle w:val="NoSpacing"/>
        <w:rPr>
          <w:rFonts w:ascii="Times New Roman" w:eastAsia="Times New Roman" w:hAnsi="Times New Roman"/>
        </w:rPr>
      </w:pPr>
      <w:r w:rsidRPr="00CD6B52" w:rsidDel="00F76637">
        <w:rPr>
          <w:rFonts w:ascii="Times New Roman" w:eastAsia="Times New Roman" w:hAnsi="Times New Roman"/>
        </w:rPr>
        <w:tab/>
        <w:t>**Predicted spending is the predicted value from the regression.</w:t>
      </w:r>
    </w:p>
    <w:p w14:paraId="18DAB7B7" w14:textId="77777777" w:rsidR="003D3F66" w:rsidRPr="00CD6B52" w:rsidRDefault="003D3F66" w:rsidP="00E340DE">
      <w:pPr>
        <w:pStyle w:val="NoSpacing"/>
        <w:rPr>
          <w:rFonts w:ascii="Times New Roman" w:eastAsia="Times New Roman" w:hAnsi="Times New Roman"/>
          <w:b/>
        </w:rPr>
      </w:pPr>
    </w:p>
    <w:p w14:paraId="45D0DC81" w14:textId="77777777" w:rsidR="00480D61" w:rsidRDefault="00480D61" w:rsidP="00E340DE">
      <w:pPr>
        <w:pStyle w:val="NoSpacing"/>
        <w:rPr>
          <w:rFonts w:ascii="Times New Roman" w:eastAsia="Times New Roman" w:hAnsi="Times New Roman"/>
          <w:b/>
        </w:rPr>
      </w:pPr>
    </w:p>
    <w:p w14:paraId="61D936CC" w14:textId="77777777" w:rsidR="00480D61" w:rsidRDefault="00480D61" w:rsidP="00E340DE">
      <w:pPr>
        <w:pStyle w:val="NoSpacing"/>
        <w:rPr>
          <w:rFonts w:ascii="Times New Roman" w:eastAsia="Times New Roman" w:hAnsi="Times New Roman"/>
          <w:b/>
        </w:rPr>
      </w:pPr>
    </w:p>
    <w:p w14:paraId="685EE8A2" w14:textId="77777777" w:rsidR="00480D61" w:rsidRDefault="00480D61" w:rsidP="00E340DE">
      <w:pPr>
        <w:pStyle w:val="NoSpacing"/>
        <w:rPr>
          <w:rFonts w:ascii="Times New Roman" w:eastAsia="Times New Roman" w:hAnsi="Times New Roman"/>
          <w:b/>
        </w:rPr>
      </w:pPr>
    </w:p>
    <w:p w14:paraId="1ABF2B78" w14:textId="77777777" w:rsidR="00480D61" w:rsidRDefault="00480D61" w:rsidP="00E340DE">
      <w:pPr>
        <w:pStyle w:val="NoSpacing"/>
        <w:rPr>
          <w:rFonts w:ascii="Times New Roman" w:eastAsia="Times New Roman" w:hAnsi="Times New Roman"/>
          <w:b/>
        </w:rPr>
      </w:pPr>
    </w:p>
    <w:p w14:paraId="19C69497" w14:textId="1C0F871D" w:rsidR="003D3F66" w:rsidRPr="00CD6B52" w:rsidDel="00F76637" w:rsidRDefault="003D3F66" w:rsidP="00E340DE">
      <w:pPr>
        <w:pStyle w:val="NoSpacing"/>
        <w:rPr>
          <w:rFonts w:ascii="Times New Roman" w:eastAsia="Times New Roman" w:hAnsi="Times New Roman"/>
          <w:b/>
        </w:rPr>
      </w:pPr>
      <w:r w:rsidRPr="00CD6B52" w:rsidDel="00F76637">
        <w:rPr>
          <w:rFonts w:ascii="Times New Roman" w:eastAsia="Times New Roman" w:hAnsi="Times New Roman"/>
          <w:b/>
        </w:rPr>
        <w:lastRenderedPageBreak/>
        <w:t xml:space="preserve">Table </w:t>
      </w:r>
      <w:r w:rsidRPr="00CD6B52">
        <w:rPr>
          <w:rFonts w:ascii="Times New Roman" w:eastAsia="Times New Roman" w:hAnsi="Times New Roman"/>
          <w:b/>
        </w:rPr>
        <w:t>B</w:t>
      </w:r>
      <w:r w:rsidRPr="00CD6B52" w:rsidDel="00F76637">
        <w:rPr>
          <w:rFonts w:ascii="Times New Roman" w:eastAsia="Times New Roman" w:hAnsi="Times New Roman"/>
          <w:b/>
        </w:rPr>
        <w:t>: Distribution of Spending and R-Squared by Decile</w:t>
      </w:r>
      <w:r w:rsidRPr="00CD6B52" w:rsidDel="00F76637">
        <w:rPr>
          <w:rFonts w:ascii="Times New Roman" w:eastAsia="Times New Roman" w:hAnsi="Times New Roman"/>
          <w:b/>
          <w:vertAlign w:val="superscript"/>
        </w:rPr>
        <w:t>*</w:t>
      </w:r>
      <w:r w:rsidRPr="00CD6B52" w:rsidDel="00F76637">
        <w:rPr>
          <w:rFonts w:ascii="Times New Roman" w:eastAsia="Times New Roman" w:hAnsi="Times New Roman"/>
          <w:b/>
        </w:rPr>
        <w:t xml:space="preserve"> (Excludes Outlier Episodes)</w:t>
      </w:r>
    </w:p>
    <w:p w14:paraId="723F25AA" w14:textId="77777777" w:rsidR="003D3F66" w:rsidRPr="00CD6B52" w:rsidDel="00F76637" w:rsidRDefault="003D3F66" w:rsidP="00E340DE">
      <w:pPr>
        <w:pStyle w:val="NoSpacing"/>
        <w:rPr>
          <w:rFonts w:ascii="Times New Roman" w:eastAsia="Times New Roman" w:hAnsi="Times New Roman"/>
        </w:rPr>
      </w:pPr>
    </w:p>
    <w:tbl>
      <w:tblPr>
        <w:tblStyle w:val="TableGrid"/>
        <w:tblW w:w="0" w:type="auto"/>
        <w:tblLook w:val="04A0" w:firstRow="1" w:lastRow="0" w:firstColumn="1" w:lastColumn="0" w:noHBand="0" w:noVBand="1"/>
      </w:tblPr>
      <w:tblGrid>
        <w:gridCol w:w="1151"/>
        <w:gridCol w:w="1177"/>
        <w:gridCol w:w="1112"/>
        <w:gridCol w:w="1112"/>
        <w:gridCol w:w="1170"/>
        <w:gridCol w:w="1268"/>
        <w:gridCol w:w="1189"/>
        <w:gridCol w:w="1151"/>
      </w:tblGrid>
      <w:tr w:rsidR="006C3944" w:rsidRPr="006C3944" w:rsidDel="00F76637" w14:paraId="0FAF9AF6" w14:textId="77777777" w:rsidTr="006739ED">
        <w:trPr>
          <w:tblHeader/>
        </w:trPr>
        <w:tc>
          <w:tcPr>
            <w:tcW w:w="1193" w:type="dxa"/>
            <w:tcBorders>
              <w:top w:val="single" w:sz="12" w:space="0" w:color="auto"/>
              <w:left w:val="single" w:sz="12" w:space="0" w:color="auto"/>
              <w:bottom w:val="single" w:sz="4" w:space="0" w:color="auto"/>
            </w:tcBorders>
            <w:shd w:val="clear" w:color="auto" w:fill="DBE5F1"/>
          </w:tcPr>
          <w:p w14:paraId="7B94EF87" w14:textId="77777777" w:rsidR="003D3F66" w:rsidRPr="00CD6B52" w:rsidRDefault="003D3F66" w:rsidP="00E340DE">
            <w:pPr>
              <w:pStyle w:val="NoSpacing"/>
              <w:rPr>
                <w:rFonts w:ascii="Times New Roman" w:hAnsi="Times New Roman"/>
                <w:b/>
              </w:rPr>
            </w:pPr>
            <w:r w:rsidRPr="00CD6B52">
              <w:rPr>
                <w:rFonts w:ascii="Times New Roman" w:hAnsi="Times New Roman"/>
              </w:rPr>
              <w:t>Decile</w:t>
            </w:r>
          </w:p>
        </w:tc>
        <w:tc>
          <w:tcPr>
            <w:tcW w:w="1194" w:type="dxa"/>
            <w:tcBorders>
              <w:top w:val="single" w:sz="12" w:space="0" w:color="auto"/>
              <w:bottom w:val="single" w:sz="4" w:space="0" w:color="auto"/>
            </w:tcBorders>
            <w:shd w:val="clear" w:color="auto" w:fill="DBE5F1"/>
          </w:tcPr>
          <w:p w14:paraId="1BB60927" w14:textId="77777777" w:rsidR="003D3F66" w:rsidRPr="00CD6B52" w:rsidRDefault="003D3F66" w:rsidP="00E340DE">
            <w:pPr>
              <w:pStyle w:val="NoSpacing"/>
              <w:rPr>
                <w:rFonts w:ascii="Times New Roman" w:hAnsi="Times New Roman"/>
                <w:b/>
              </w:rPr>
            </w:pPr>
            <w:r w:rsidRPr="00CD6B52">
              <w:rPr>
                <w:rFonts w:ascii="Times New Roman" w:hAnsi="Times New Roman"/>
              </w:rPr>
              <w:t>Episode Count</w:t>
            </w:r>
          </w:p>
        </w:tc>
        <w:tc>
          <w:tcPr>
            <w:tcW w:w="1193" w:type="dxa"/>
            <w:tcBorders>
              <w:top w:val="single" w:sz="12" w:space="0" w:color="auto"/>
              <w:bottom w:val="single" w:sz="4" w:space="0" w:color="auto"/>
            </w:tcBorders>
            <w:shd w:val="clear" w:color="auto" w:fill="DBE5F1"/>
          </w:tcPr>
          <w:p w14:paraId="3189E16E" w14:textId="77777777" w:rsidR="003D3F66" w:rsidRPr="00CD6B52" w:rsidRDefault="003D3F66" w:rsidP="00E340DE">
            <w:pPr>
              <w:pStyle w:val="NoSpacing"/>
              <w:rPr>
                <w:rFonts w:ascii="Times New Roman" w:hAnsi="Times New Roman"/>
                <w:b/>
              </w:rPr>
            </w:pPr>
            <w:r w:rsidRPr="00CD6B52">
              <w:rPr>
                <w:rFonts w:ascii="Times New Roman" w:hAnsi="Times New Roman"/>
              </w:rPr>
              <w:t>Min Risk Score</w:t>
            </w:r>
          </w:p>
        </w:tc>
        <w:tc>
          <w:tcPr>
            <w:tcW w:w="1193" w:type="dxa"/>
            <w:tcBorders>
              <w:top w:val="single" w:sz="12" w:space="0" w:color="auto"/>
              <w:bottom w:val="single" w:sz="4" w:space="0" w:color="auto"/>
            </w:tcBorders>
            <w:shd w:val="clear" w:color="auto" w:fill="DBE5F1"/>
          </w:tcPr>
          <w:p w14:paraId="1199FEA6" w14:textId="77777777" w:rsidR="003D3F66" w:rsidRPr="00CD6B52" w:rsidRDefault="003D3F66" w:rsidP="00E340DE">
            <w:pPr>
              <w:pStyle w:val="NoSpacing"/>
              <w:rPr>
                <w:rFonts w:ascii="Times New Roman" w:hAnsi="Times New Roman"/>
                <w:b/>
              </w:rPr>
            </w:pPr>
            <w:r w:rsidRPr="00CD6B52">
              <w:rPr>
                <w:rFonts w:ascii="Times New Roman" w:hAnsi="Times New Roman"/>
              </w:rPr>
              <w:t>Max Risk Score</w:t>
            </w:r>
          </w:p>
        </w:tc>
        <w:tc>
          <w:tcPr>
            <w:tcW w:w="1195" w:type="dxa"/>
            <w:tcBorders>
              <w:top w:val="single" w:sz="12" w:space="0" w:color="auto"/>
              <w:bottom w:val="single" w:sz="4" w:space="0" w:color="auto"/>
            </w:tcBorders>
            <w:shd w:val="clear" w:color="auto" w:fill="DBE5F1"/>
          </w:tcPr>
          <w:p w14:paraId="5BCAD6EF" w14:textId="77777777" w:rsidR="003D3F66" w:rsidRPr="00CD6B52" w:rsidRDefault="003D3F66" w:rsidP="00E340DE">
            <w:pPr>
              <w:pStyle w:val="NoSpacing"/>
              <w:rPr>
                <w:rFonts w:ascii="Times New Roman" w:hAnsi="Times New Roman"/>
                <w:b/>
              </w:rPr>
            </w:pPr>
            <w:r w:rsidRPr="00CD6B52">
              <w:rPr>
                <w:rFonts w:ascii="Times New Roman" w:hAnsi="Times New Roman"/>
              </w:rPr>
              <w:t>Avg. Obs Spending</w:t>
            </w:r>
          </w:p>
        </w:tc>
        <w:tc>
          <w:tcPr>
            <w:tcW w:w="1217" w:type="dxa"/>
            <w:tcBorders>
              <w:top w:val="single" w:sz="12" w:space="0" w:color="auto"/>
              <w:bottom w:val="single" w:sz="4" w:space="0" w:color="auto"/>
            </w:tcBorders>
            <w:shd w:val="clear" w:color="auto" w:fill="DBE5F1"/>
          </w:tcPr>
          <w:p w14:paraId="0FA4643F" w14:textId="77777777" w:rsidR="003D3F66" w:rsidRPr="00CD6B52" w:rsidRDefault="003D3F66" w:rsidP="00E340DE">
            <w:pPr>
              <w:pStyle w:val="NoSpacing"/>
              <w:rPr>
                <w:rFonts w:ascii="Times New Roman" w:hAnsi="Times New Roman"/>
                <w:b/>
              </w:rPr>
            </w:pPr>
            <w:r w:rsidRPr="00CD6B52">
              <w:rPr>
                <w:rFonts w:ascii="Times New Roman" w:hAnsi="Times New Roman"/>
              </w:rPr>
              <w:t>Avg. Pred Spending**</w:t>
            </w:r>
          </w:p>
        </w:tc>
        <w:tc>
          <w:tcPr>
            <w:tcW w:w="1196" w:type="dxa"/>
            <w:tcBorders>
              <w:top w:val="single" w:sz="12" w:space="0" w:color="auto"/>
              <w:bottom w:val="single" w:sz="4" w:space="0" w:color="auto"/>
            </w:tcBorders>
            <w:shd w:val="clear" w:color="auto" w:fill="DBE5F1"/>
          </w:tcPr>
          <w:p w14:paraId="30A67B10" w14:textId="77777777" w:rsidR="003D3F66" w:rsidRPr="00CD6B52" w:rsidRDefault="003D3F66" w:rsidP="00E340DE">
            <w:pPr>
              <w:pStyle w:val="NoSpacing"/>
              <w:rPr>
                <w:rFonts w:ascii="Times New Roman" w:hAnsi="Times New Roman"/>
                <w:b/>
              </w:rPr>
            </w:pPr>
            <w:r w:rsidRPr="00CD6B52">
              <w:rPr>
                <w:rFonts w:ascii="Times New Roman" w:hAnsi="Times New Roman"/>
              </w:rPr>
              <w:t>Difference</w:t>
            </w:r>
          </w:p>
        </w:tc>
        <w:tc>
          <w:tcPr>
            <w:tcW w:w="1195" w:type="dxa"/>
            <w:tcBorders>
              <w:top w:val="single" w:sz="12" w:space="0" w:color="auto"/>
              <w:bottom w:val="single" w:sz="4" w:space="0" w:color="auto"/>
              <w:right w:val="single" w:sz="12" w:space="0" w:color="auto"/>
            </w:tcBorders>
            <w:shd w:val="clear" w:color="auto" w:fill="DBE5F1"/>
          </w:tcPr>
          <w:p w14:paraId="7DCBD4CC" w14:textId="77777777" w:rsidR="003D3F66" w:rsidRPr="00CD6B52" w:rsidRDefault="003D3F66" w:rsidP="00E340DE">
            <w:pPr>
              <w:pStyle w:val="NoSpacing"/>
              <w:rPr>
                <w:rFonts w:ascii="Times New Roman" w:hAnsi="Times New Roman"/>
                <w:b/>
              </w:rPr>
            </w:pPr>
            <w:r w:rsidRPr="00CD6B52">
              <w:rPr>
                <w:rFonts w:ascii="Times New Roman" w:hAnsi="Times New Roman"/>
              </w:rPr>
              <w:t>R-Squared</w:t>
            </w:r>
          </w:p>
        </w:tc>
      </w:tr>
      <w:tr w:rsidR="006C3944" w:rsidRPr="006C3944" w:rsidDel="00F76637" w14:paraId="6122A529" w14:textId="77777777" w:rsidTr="006739ED">
        <w:trPr>
          <w:tblHeader/>
        </w:trPr>
        <w:tc>
          <w:tcPr>
            <w:tcW w:w="1193" w:type="dxa"/>
            <w:tcBorders>
              <w:top w:val="single" w:sz="4" w:space="0" w:color="auto"/>
              <w:left w:val="single" w:sz="12" w:space="0" w:color="auto"/>
              <w:bottom w:val="single" w:sz="4" w:space="0" w:color="BFBFBF" w:themeColor="background1" w:themeShade="BF"/>
              <w:right w:val="single" w:sz="4" w:space="0" w:color="auto"/>
            </w:tcBorders>
          </w:tcPr>
          <w:p w14:paraId="5ED884CA" w14:textId="77777777" w:rsidR="003D3F66" w:rsidRPr="00CD6B52" w:rsidRDefault="003D3F66" w:rsidP="00E340DE">
            <w:pPr>
              <w:pStyle w:val="NoSpacing"/>
              <w:rPr>
                <w:rFonts w:ascii="Times New Roman" w:hAnsi="Times New Roman"/>
              </w:rPr>
            </w:pPr>
            <w:r w:rsidRPr="00CD6B52">
              <w:rPr>
                <w:rFonts w:ascii="Times New Roman" w:hAnsi="Times New Roman"/>
              </w:rPr>
              <w:t>1</w:t>
            </w:r>
          </w:p>
        </w:tc>
        <w:tc>
          <w:tcPr>
            <w:tcW w:w="1194" w:type="dxa"/>
            <w:tcBorders>
              <w:top w:val="single" w:sz="4" w:space="0" w:color="auto"/>
              <w:left w:val="single" w:sz="4" w:space="0" w:color="auto"/>
              <w:bottom w:val="single" w:sz="4" w:space="0" w:color="BFBFBF" w:themeColor="background1" w:themeShade="BF"/>
              <w:right w:val="single" w:sz="4" w:space="0" w:color="auto"/>
            </w:tcBorders>
          </w:tcPr>
          <w:p w14:paraId="336B26C7" w14:textId="77777777" w:rsidR="003D3F66" w:rsidRPr="00CD6B52" w:rsidRDefault="003D3F66" w:rsidP="00E340DE">
            <w:pPr>
              <w:pStyle w:val="NoSpacing"/>
              <w:rPr>
                <w:rFonts w:ascii="Times New Roman" w:hAnsi="Times New Roman"/>
              </w:rPr>
            </w:pPr>
            <w:r w:rsidRPr="00CD6B52">
              <w:rPr>
                <w:rFonts w:ascii="Times New Roman" w:hAnsi="Times New Roman"/>
              </w:rPr>
              <w:t>437,305</w:t>
            </w:r>
          </w:p>
        </w:tc>
        <w:tc>
          <w:tcPr>
            <w:tcW w:w="1193" w:type="dxa"/>
            <w:tcBorders>
              <w:top w:val="single" w:sz="4" w:space="0" w:color="auto"/>
              <w:left w:val="single" w:sz="4" w:space="0" w:color="auto"/>
              <w:bottom w:val="single" w:sz="4" w:space="0" w:color="BFBFBF" w:themeColor="background1" w:themeShade="BF"/>
              <w:right w:val="single" w:sz="4" w:space="0" w:color="auto"/>
            </w:tcBorders>
          </w:tcPr>
          <w:p w14:paraId="30BB81A0" w14:textId="77777777" w:rsidR="003D3F66" w:rsidRPr="00CD6B52" w:rsidRDefault="003D3F66" w:rsidP="00E340DE">
            <w:pPr>
              <w:pStyle w:val="NoSpacing"/>
              <w:rPr>
                <w:rFonts w:ascii="Times New Roman" w:hAnsi="Times New Roman"/>
              </w:rPr>
            </w:pPr>
            <w:r w:rsidRPr="00CD6B52">
              <w:rPr>
                <w:rFonts w:ascii="Times New Roman" w:hAnsi="Times New Roman"/>
              </w:rPr>
              <w:t>0.04</w:t>
            </w:r>
          </w:p>
        </w:tc>
        <w:tc>
          <w:tcPr>
            <w:tcW w:w="1193" w:type="dxa"/>
            <w:tcBorders>
              <w:top w:val="single" w:sz="4" w:space="0" w:color="auto"/>
              <w:left w:val="single" w:sz="4" w:space="0" w:color="auto"/>
              <w:bottom w:val="single" w:sz="4" w:space="0" w:color="BFBFBF" w:themeColor="background1" w:themeShade="BF"/>
              <w:right w:val="single" w:sz="4" w:space="0" w:color="auto"/>
            </w:tcBorders>
          </w:tcPr>
          <w:p w14:paraId="2468AF18" w14:textId="77777777" w:rsidR="003D3F66" w:rsidRPr="00CD6B52" w:rsidRDefault="003D3F66" w:rsidP="00E340DE">
            <w:pPr>
              <w:pStyle w:val="NoSpacing"/>
              <w:rPr>
                <w:rFonts w:ascii="Times New Roman" w:hAnsi="Times New Roman"/>
              </w:rPr>
            </w:pPr>
            <w:r w:rsidRPr="00CD6B52">
              <w:rPr>
                <w:rFonts w:ascii="Times New Roman" w:hAnsi="Times New Roman"/>
              </w:rPr>
              <w:t>0.46</w:t>
            </w:r>
          </w:p>
        </w:tc>
        <w:tc>
          <w:tcPr>
            <w:tcW w:w="1195" w:type="dxa"/>
            <w:tcBorders>
              <w:top w:val="single" w:sz="4" w:space="0" w:color="auto"/>
              <w:left w:val="single" w:sz="4" w:space="0" w:color="auto"/>
              <w:bottom w:val="single" w:sz="4" w:space="0" w:color="BFBFBF" w:themeColor="background1" w:themeShade="BF"/>
              <w:right w:val="single" w:sz="4" w:space="0" w:color="auto"/>
            </w:tcBorders>
          </w:tcPr>
          <w:p w14:paraId="5F11E8A2" w14:textId="77777777" w:rsidR="003D3F66" w:rsidRPr="00CD6B52" w:rsidRDefault="003D3F66" w:rsidP="00E340DE">
            <w:pPr>
              <w:pStyle w:val="NoSpacing"/>
              <w:rPr>
                <w:rFonts w:ascii="Times New Roman" w:hAnsi="Times New Roman"/>
              </w:rPr>
            </w:pPr>
            <w:r w:rsidRPr="00CD6B52">
              <w:rPr>
                <w:rFonts w:ascii="Times New Roman" w:hAnsi="Times New Roman"/>
              </w:rPr>
              <w:t>$7,087</w:t>
            </w:r>
          </w:p>
        </w:tc>
        <w:tc>
          <w:tcPr>
            <w:tcW w:w="1217" w:type="dxa"/>
            <w:tcBorders>
              <w:top w:val="single" w:sz="4" w:space="0" w:color="auto"/>
              <w:left w:val="single" w:sz="4" w:space="0" w:color="auto"/>
              <w:bottom w:val="single" w:sz="4" w:space="0" w:color="BFBFBF" w:themeColor="background1" w:themeShade="BF"/>
              <w:right w:val="single" w:sz="4" w:space="0" w:color="auto"/>
            </w:tcBorders>
          </w:tcPr>
          <w:p w14:paraId="4D16828A" w14:textId="77777777" w:rsidR="003D3F66" w:rsidRPr="00CD6B52" w:rsidRDefault="003D3F66" w:rsidP="00E340DE">
            <w:pPr>
              <w:pStyle w:val="NoSpacing"/>
              <w:rPr>
                <w:rFonts w:ascii="Times New Roman" w:hAnsi="Times New Roman"/>
              </w:rPr>
            </w:pPr>
            <w:r w:rsidRPr="00CD6B52">
              <w:rPr>
                <w:rFonts w:ascii="Times New Roman" w:hAnsi="Times New Roman"/>
              </w:rPr>
              <w:t>$7,348</w:t>
            </w:r>
          </w:p>
        </w:tc>
        <w:tc>
          <w:tcPr>
            <w:tcW w:w="1196" w:type="dxa"/>
            <w:tcBorders>
              <w:top w:val="single" w:sz="4" w:space="0" w:color="auto"/>
              <w:left w:val="single" w:sz="4" w:space="0" w:color="auto"/>
              <w:bottom w:val="single" w:sz="4" w:space="0" w:color="BFBFBF" w:themeColor="background1" w:themeShade="BF"/>
              <w:right w:val="single" w:sz="4" w:space="0" w:color="auto"/>
            </w:tcBorders>
          </w:tcPr>
          <w:p w14:paraId="739AD35A" w14:textId="77777777" w:rsidR="003D3F66" w:rsidRPr="00CD6B52" w:rsidRDefault="003D3F66" w:rsidP="00E340DE">
            <w:pPr>
              <w:pStyle w:val="NoSpacing"/>
              <w:rPr>
                <w:rFonts w:ascii="Times New Roman" w:hAnsi="Times New Roman"/>
              </w:rPr>
            </w:pPr>
            <w:r w:rsidRPr="00CD6B52">
              <w:rPr>
                <w:rFonts w:ascii="Times New Roman" w:hAnsi="Times New Roman"/>
              </w:rPr>
              <w:t>-$262</w:t>
            </w:r>
          </w:p>
        </w:tc>
        <w:tc>
          <w:tcPr>
            <w:tcW w:w="1195" w:type="dxa"/>
            <w:tcBorders>
              <w:top w:val="single" w:sz="4" w:space="0" w:color="auto"/>
              <w:left w:val="single" w:sz="4" w:space="0" w:color="auto"/>
              <w:bottom w:val="single" w:sz="4" w:space="0" w:color="BFBFBF" w:themeColor="background1" w:themeShade="BF"/>
              <w:right w:val="single" w:sz="12" w:space="0" w:color="auto"/>
            </w:tcBorders>
          </w:tcPr>
          <w:p w14:paraId="15AB2121" w14:textId="77777777" w:rsidR="003D3F66" w:rsidRPr="00CD6B52" w:rsidRDefault="003D3F66" w:rsidP="00E340DE">
            <w:pPr>
              <w:pStyle w:val="NoSpacing"/>
              <w:rPr>
                <w:rFonts w:ascii="Times New Roman" w:hAnsi="Times New Roman"/>
              </w:rPr>
            </w:pPr>
            <w:r w:rsidRPr="00CD6B52">
              <w:rPr>
                <w:rFonts w:ascii="Times New Roman" w:hAnsi="Times New Roman"/>
              </w:rPr>
              <w:t>0.8644</w:t>
            </w:r>
          </w:p>
        </w:tc>
      </w:tr>
      <w:tr w:rsidR="006C3944" w:rsidRPr="006C3944" w:rsidDel="00F76637" w14:paraId="115CB24E" w14:textId="77777777" w:rsidTr="006739ED">
        <w:trPr>
          <w:tblHeader/>
        </w:trPr>
        <w:tc>
          <w:tcPr>
            <w:tcW w:w="1193"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0926FC40" w14:textId="77777777" w:rsidR="003D3F66" w:rsidRPr="00CD6B52" w:rsidRDefault="003D3F66" w:rsidP="00E340DE">
            <w:pPr>
              <w:pStyle w:val="NoSpacing"/>
              <w:rPr>
                <w:rFonts w:ascii="Times New Roman" w:hAnsi="Times New Roman"/>
              </w:rPr>
            </w:pPr>
            <w:r w:rsidRPr="00CD6B52">
              <w:rPr>
                <w:rFonts w:ascii="Times New Roman" w:hAnsi="Times New Roman"/>
              </w:rPr>
              <w:t>2</w:t>
            </w:r>
          </w:p>
        </w:tc>
        <w:tc>
          <w:tcPr>
            <w:tcW w:w="1194"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7A7DB5F" w14:textId="77777777" w:rsidR="003D3F66" w:rsidRPr="00CD6B52" w:rsidRDefault="003D3F66" w:rsidP="00E340DE">
            <w:pPr>
              <w:pStyle w:val="NoSpacing"/>
              <w:rPr>
                <w:rFonts w:ascii="Times New Roman" w:hAnsi="Times New Roman"/>
              </w:rPr>
            </w:pPr>
            <w:r w:rsidRPr="00CD6B52">
              <w:rPr>
                <w:rFonts w:ascii="Times New Roman" w:hAnsi="Times New Roman"/>
              </w:rPr>
              <w:t>437,313</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D97A739" w14:textId="77777777" w:rsidR="003D3F66" w:rsidRPr="00CD6B52" w:rsidRDefault="003D3F66" w:rsidP="00E340DE">
            <w:pPr>
              <w:pStyle w:val="NoSpacing"/>
              <w:rPr>
                <w:rFonts w:ascii="Times New Roman" w:hAnsi="Times New Roman"/>
              </w:rPr>
            </w:pPr>
            <w:r w:rsidRPr="00CD6B52">
              <w:rPr>
                <w:rFonts w:ascii="Times New Roman" w:hAnsi="Times New Roman"/>
              </w:rPr>
              <w:t>0.46</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DF71C21" w14:textId="77777777" w:rsidR="003D3F66" w:rsidRPr="00CD6B52" w:rsidRDefault="003D3F66" w:rsidP="00E340DE">
            <w:pPr>
              <w:pStyle w:val="NoSpacing"/>
              <w:rPr>
                <w:rFonts w:ascii="Times New Roman" w:hAnsi="Times New Roman"/>
              </w:rPr>
            </w:pPr>
            <w:r w:rsidRPr="00CD6B52">
              <w:rPr>
                <w:rFonts w:ascii="Times New Roman" w:hAnsi="Times New Roman"/>
              </w:rPr>
              <w:t>0.56</w:t>
            </w:r>
          </w:p>
        </w:tc>
        <w:tc>
          <w:tcPr>
            <w:tcW w:w="1195"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BFF29CF" w14:textId="77777777" w:rsidR="003D3F66" w:rsidRPr="00CD6B52" w:rsidRDefault="003D3F66" w:rsidP="00E340DE">
            <w:pPr>
              <w:pStyle w:val="NoSpacing"/>
              <w:rPr>
                <w:rFonts w:ascii="Times New Roman" w:hAnsi="Times New Roman"/>
              </w:rPr>
            </w:pPr>
            <w:r w:rsidRPr="00CD6B52">
              <w:rPr>
                <w:rFonts w:ascii="Times New Roman" w:hAnsi="Times New Roman"/>
              </w:rPr>
              <w:t>$9,140</w:t>
            </w:r>
          </w:p>
        </w:tc>
        <w:tc>
          <w:tcPr>
            <w:tcW w:w="1217"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6F39B93" w14:textId="77777777" w:rsidR="003D3F66" w:rsidRPr="00CD6B52" w:rsidRDefault="003D3F66" w:rsidP="00E340DE">
            <w:pPr>
              <w:pStyle w:val="NoSpacing"/>
              <w:rPr>
                <w:rFonts w:ascii="Times New Roman" w:hAnsi="Times New Roman"/>
              </w:rPr>
            </w:pPr>
            <w:r w:rsidRPr="00CD6B52">
              <w:rPr>
                <w:rFonts w:ascii="Times New Roman" w:hAnsi="Times New Roman"/>
              </w:rPr>
              <w:t>$9,730</w:t>
            </w:r>
          </w:p>
        </w:tc>
        <w:tc>
          <w:tcPr>
            <w:tcW w:w="119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AA44B24" w14:textId="77777777" w:rsidR="003D3F66" w:rsidRPr="00CD6B52" w:rsidRDefault="003D3F66" w:rsidP="00E340DE">
            <w:pPr>
              <w:pStyle w:val="NoSpacing"/>
              <w:rPr>
                <w:rFonts w:ascii="Times New Roman" w:hAnsi="Times New Roman"/>
              </w:rPr>
            </w:pPr>
            <w:r w:rsidRPr="00CD6B52">
              <w:rPr>
                <w:rFonts w:ascii="Times New Roman" w:hAnsi="Times New Roman"/>
              </w:rPr>
              <w:t>-$590</w:t>
            </w:r>
          </w:p>
        </w:tc>
        <w:tc>
          <w:tcPr>
            <w:tcW w:w="1195"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6BE37DC4" w14:textId="77777777" w:rsidR="003D3F66" w:rsidRPr="00CD6B52" w:rsidRDefault="003D3F66" w:rsidP="00E340DE">
            <w:pPr>
              <w:pStyle w:val="NoSpacing"/>
              <w:rPr>
                <w:rFonts w:ascii="Times New Roman" w:hAnsi="Times New Roman"/>
              </w:rPr>
            </w:pPr>
            <w:r w:rsidRPr="00CD6B52">
              <w:rPr>
                <w:rFonts w:ascii="Times New Roman" w:hAnsi="Times New Roman"/>
              </w:rPr>
              <w:t>0.6989</w:t>
            </w:r>
          </w:p>
        </w:tc>
      </w:tr>
      <w:tr w:rsidR="006C3944" w:rsidRPr="006C3944" w:rsidDel="00F76637" w14:paraId="47FF921E" w14:textId="77777777" w:rsidTr="006739ED">
        <w:trPr>
          <w:tblHeader/>
        </w:trPr>
        <w:tc>
          <w:tcPr>
            <w:tcW w:w="1193"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2C31159B" w14:textId="77777777" w:rsidR="003D3F66" w:rsidRPr="00CD6B52" w:rsidRDefault="003D3F66" w:rsidP="00E340DE">
            <w:pPr>
              <w:pStyle w:val="NoSpacing"/>
              <w:rPr>
                <w:rFonts w:ascii="Times New Roman" w:hAnsi="Times New Roman"/>
              </w:rPr>
            </w:pPr>
            <w:r w:rsidRPr="00CD6B52">
              <w:rPr>
                <w:rFonts w:ascii="Times New Roman" w:hAnsi="Times New Roman"/>
              </w:rPr>
              <w:t>3</w:t>
            </w:r>
          </w:p>
        </w:tc>
        <w:tc>
          <w:tcPr>
            <w:tcW w:w="1194"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216A8C8" w14:textId="77777777" w:rsidR="003D3F66" w:rsidRPr="00CD6B52" w:rsidRDefault="003D3F66" w:rsidP="00E340DE">
            <w:pPr>
              <w:pStyle w:val="NoSpacing"/>
              <w:rPr>
                <w:rFonts w:ascii="Times New Roman" w:hAnsi="Times New Roman"/>
              </w:rPr>
            </w:pPr>
            <w:r w:rsidRPr="00CD6B52">
              <w:rPr>
                <w:rFonts w:ascii="Times New Roman" w:hAnsi="Times New Roman"/>
              </w:rPr>
              <w:t>437,309</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A55F9D0" w14:textId="77777777" w:rsidR="003D3F66" w:rsidRPr="00CD6B52" w:rsidRDefault="003D3F66" w:rsidP="00E340DE">
            <w:pPr>
              <w:pStyle w:val="NoSpacing"/>
              <w:rPr>
                <w:rFonts w:ascii="Times New Roman" w:hAnsi="Times New Roman"/>
              </w:rPr>
            </w:pPr>
            <w:r w:rsidRPr="00CD6B52">
              <w:rPr>
                <w:rFonts w:ascii="Times New Roman" w:hAnsi="Times New Roman"/>
              </w:rPr>
              <w:t>0.56</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F5D95D2" w14:textId="77777777" w:rsidR="003D3F66" w:rsidRPr="00CD6B52" w:rsidRDefault="003D3F66" w:rsidP="00E340DE">
            <w:pPr>
              <w:pStyle w:val="NoSpacing"/>
              <w:rPr>
                <w:rFonts w:ascii="Times New Roman" w:hAnsi="Times New Roman"/>
              </w:rPr>
            </w:pPr>
            <w:r w:rsidRPr="00CD6B52">
              <w:rPr>
                <w:rFonts w:ascii="Times New Roman" w:hAnsi="Times New Roman"/>
              </w:rPr>
              <w:t>0.65</w:t>
            </w:r>
          </w:p>
        </w:tc>
        <w:tc>
          <w:tcPr>
            <w:tcW w:w="1195"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449A3C2" w14:textId="77777777" w:rsidR="003D3F66" w:rsidRPr="00CD6B52" w:rsidRDefault="003D3F66" w:rsidP="00E340DE">
            <w:pPr>
              <w:pStyle w:val="NoSpacing"/>
              <w:rPr>
                <w:rFonts w:ascii="Times New Roman" w:hAnsi="Times New Roman"/>
              </w:rPr>
            </w:pPr>
            <w:r w:rsidRPr="00CD6B52">
              <w:rPr>
                <w:rFonts w:ascii="Times New Roman" w:hAnsi="Times New Roman"/>
              </w:rPr>
              <w:t>$10,905</w:t>
            </w:r>
          </w:p>
        </w:tc>
        <w:tc>
          <w:tcPr>
            <w:tcW w:w="1217"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81C16BA" w14:textId="77777777" w:rsidR="003D3F66" w:rsidRPr="00CD6B52" w:rsidRDefault="003D3F66" w:rsidP="00E340DE">
            <w:pPr>
              <w:pStyle w:val="NoSpacing"/>
              <w:rPr>
                <w:rFonts w:ascii="Times New Roman" w:hAnsi="Times New Roman"/>
              </w:rPr>
            </w:pPr>
            <w:r w:rsidRPr="00CD6B52">
              <w:rPr>
                <w:rFonts w:ascii="Times New Roman" w:hAnsi="Times New Roman"/>
              </w:rPr>
              <w:t>$11,458</w:t>
            </w:r>
          </w:p>
        </w:tc>
        <w:tc>
          <w:tcPr>
            <w:tcW w:w="119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8A0C1D3" w14:textId="77777777" w:rsidR="003D3F66" w:rsidRPr="00CD6B52" w:rsidRDefault="003D3F66" w:rsidP="00E340DE">
            <w:pPr>
              <w:pStyle w:val="NoSpacing"/>
              <w:rPr>
                <w:rFonts w:ascii="Times New Roman" w:hAnsi="Times New Roman"/>
              </w:rPr>
            </w:pPr>
            <w:r w:rsidRPr="00CD6B52">
              <w:rPr>
                <w:rFonts w:ascii="Times New Roman" w:hAnsi="Times New Roman"/>
              </w:rPr>
              <w:t>-$553</w:t>
            </w:r>
          </w:p>
        </w:tc>
        <w:tc>
          <w:tcPr>
            <w:tcW w:w="1195"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5A3896D7" w14:textId="77777777" w:rsidR="003D3F66" w:rsidRPr="00CD6B52" w:rsidRDefault="003D3F66" w:rsidP="00E340DE">
            <w:pPr>
              <w:pStyle w:val="NoSpacing"/>
              <w:rPr>
                <w:rFonts w:ascii="Times New Roman" w:hAnsi="Times New Roman"/>
              </w:rPr>
            </w:pPr>
            <w:r w:rsidRPr="00CD6B52">
              <w:rPr>
                <w:rFonts w:ascii="Times New Roman" w:hAnsi="Times New Roman"/>
              </w:rPr>
              <w:t>0.5135</w:t>
            </w:r>
          </w:p>
        </w:tc>
      </w:tr>
      <w:tr w:rsidR="006C3944" w:rsidRPr="006C3944" w:rsidDel="00F76637" w14:paraId="2A2E5780" w14:textId="77777777" w:rsidTr="006739ED">
        <w:trPr>
          <w:tblHeader/>
        </w:trPr>
        <w:tc>
          <w:tcPr>
            <w:tcW w:w="1193"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329564D6" w14:textId="77777777" w:rsidR="003D3F66" w:rsidRPr="00CD6B52" w:rsidRDefault="003D3F66" w:rsidP="00E340DE">
            <w:pPr>
              <w:pStyle w:val="NoSpacing"/>
              <w:rPr>
                <w:rFonts w:ascii="Times New Roman" w:hAnsi="Times New Roman"/>
              </w:rPr>
            </w:pPr>
            <w:r w:rsidRPr="00CD6B52">
              <w:rPr>
                <w:rFonts w:ascii="Times New Roman" w:hAnsi="Times New Roman"/>
              </w:rPr>
              <w:t>4</w:t>
            </w:r>
          </w:p>
        </w:tc>
        <w:tc>
          <w:tcPr>
            <w:tcW w:w="1194"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84A3AB6" w14:textId="77777777" w:rsidR="003D3F66" w:rsidRPr="00CD6B52" w:rsidRDefault="003D3F66" w:rsidP="00E340DE">
            <w:pPr>
              <w:pStyle w:val="NoSpacing"/>
              <w:rPr>
                <w:rFonts w:ascii="Times New Roman" w:hAnsi="Times New Roman"/>
              </w:rPr>
            </w:pPr>
            <w:r w:rsidRPr="00CD6B52">
              <w:rPr>
                <w:rFonts w:ascii="Times New Roman" w:hAnsi="Times New Roman"/>
              </w:rPr>
              <w:t>437,248</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2BB3135" w14:textId="77777777" w:rsidR="003D3F66" w:rsidRPr="00CD6B52" w:rsidRDefault="003D3F66" w:rsidP="00E340DE">
            <w:pPr>
              <w:pStyle w:val="NoSpacing"/>
              <w:rPr>
                <w:rFonts w:ascii="Times New Roman" w:hAnsi="Times New Roman"/>
              </w:rPr>
            </w:pPr>
            <w:r w:rsidRPr="00CD6B52">
              <w:rPr>
                <w:rFonts w:ascii="Times New Roman" w:hAnsi="Times New Roman"/>
              </w:rPr>
              <w:t>0.65</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25B96F9" w14:textId="77777777" w:rsidR="003D3F66" w:rsidRPr="00CD6B52" w:rsidRDefault="003D3F66" w:rsidP="00E340DE">
            <w:pPr>
              <w:pStyle w:val="NoSpacing"/>
              <w:rPr>
                <w:rFonts w:ascii="Times New Roman" w:hAnsi="Times New Roman"/>
              </w:rPr>
            </w:pPr>
            <w:r w:rsidRPr="00CD6B52">
              <w:rPr>
                <w:rFonts w:ascii="Times New Roman" w:hAnsi="Times New Roman"/>
              </w:rPr>
              <w:t>0.74</w:t>
            </w:r>
          </w:p>
        </w:tc>
        <w:tc>
          <w:tcPr>
            <w:tcW w:w="1195"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EBB8455" w14:textId="77777777" w:rsidR="003D3F66" w:rsidRPr="00CD6B52" w:rsidRDefault="003D3F66" w:rsidP="00E340DE">
            <w:pPr>
              <w:pStyle w:val="NoSpacing"/>
              <w:rPr>
                <w:rFonts w:ascii="Times New Roman" w:hAnsi="Times New Roman"/>
              </w:rPr>
            </w:pPr>
            <w:r w:rsidRPr="00CD6B52">
              <w:rPr>
                <w:rFonts w:ascii="Times New Roman" w:hAnsi="Times New Roman"/>
              </w:rPr>
              <w:t>$12,776</w:t>
            </w:r>
          </w:p>
        </w:tc>
        <w:tc>
          <w:tcPr>
            <w:tcW w:w="1217"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AD07B5B" w14:textId="77777777" w:rsidR="003D3F66" w:rsidRPr="00CD6B52" w:rsidRDefault="003D3F66" w:rsidP="00E340DE">
            <w:pPr>
              <w:pStyle w:val="NoSpacing"/>
              <w:rPr>
                <w:rFonts w:ascii="Times New Roman" w:hAnsi="Times New Roman"/>
              </w:rPr>
            </w:pPr>
            <w:r w:rsidRPr="00CD6B52">
              <w:rPr>
                <w:rFonts w:ascii="Times New Roman" w:hAnsi="Times New Roman"/>
              </w:rPr>
              <w:t>$13,213</w:t>
            </w:r>
          </w:p>
        </w:tc>
        <w:tc>
          <w:tcPr>
            <w:tcW w:w="119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B194107" w14:textId="77777777" w:rsidR="003D3F66" w:rsidRPr="00CD6B52" w:rsidRDefault="003D3F66" w:rsidP="00E340DE">
            <w:pPr>
              <w:pStyle w:val="NoSpacing"/>
              <w:rPr>
                <w:rFonts w:ascii="Times New Roman" w:hAnsi="Times New Roman"/>
              </w:rPr>
            </w:pPr>
            <w:r w:rsidRPr="00CD6B52">
              <w:rPr>
                <w:rFonts w:ascii="Times New Roman" w:hAnsi="Times New Roman"/>
              </w:rPr>
              <w:t>-$436</w:t>
            </w:r>
          </w:p>
        </w:tc>
        <w:tc>
          <w:tcPr>
            <w:tcW w:w="1195"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72E083D4" w14:textId="77777777" w:rsidR="003D3F66" w:rsidRPr="00CD6B52" w:rsidRDefault="003D3F66" w:rsidP="00E340DE">
            <w:pPr>
              <w:pStyle w:val="NoSpacing"/>
              <w:rPr>
                <w:rFonts w:ascii="Times New Roman" w:hAnsi="Times New Roman"/>
              </w:rPr>
            </w:pPr>
            <w:r w:rsidRPr="00CD6B52">
              <w:rPr>
                <w:rFonts w:ascii="Times New Roman" w:hAnsi="Times New Roman"/>
              </w:rPr>
              <w:t>0.3249</w:t>
            </w:r>
          </w:p>
        </w:tc>
      </w:tr>
      <w:tr w:rsidR="006C3944" w:rsidRPr="006C3944" w:rsidDel="00F76637" w14:paraId="5B398CF9" w14:textId="77777777" w:rsidTr="006739ED">
        <w:trPr>
          <w:tblHeader/>
        </w:trPr>
        <w:tc>
          <w:tcPr>
            <w:tcW w:w="1193"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4EDF8A2A" w14:textId="77777777" w:rsidR="003D3F66" w:rsidRPr="00CD6B52" w:rsidRDefault="003D3F66" w:rsidP="00E340DE">
            <w:pPr>
              <w:pStyle w:val="NoSpacing"/>
              <w:rPr>
                <w:rFonts w:ascii="Times New Roman" w:hAnsi="Times New Roman"/>
              </w:rPr>
            </w:pPr>
            <w:r w:rsidRPr="00CD6B52">
              <w:rPr>
                <w:rFonts w:ascii="Times New Roman" w:hAnsi="Times New Roman"/>
              </w:rPr>
              <w:t>5</w:t>
            </w:r>
          </w:p>
        </w:tc>
        <w:tc>
          <w:tcPr>
            <w:tcW w:w="1194"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0C43DBA" w14:textId="77777777" w:rsidR="003D3F66" w:rsidRPr="00CD6B52" w:rsidRDefault="003D3F66" w:rsidP="00E340DE">
            <w:pPr>
              <w:pStyle w:val="NoSpacing"/>
              <w:rPr>
                <w:rFonts w:ascii="Times New Roman" w:hAnsi="Times New Roman"/>
              </w:rPr>
            </w:pPr>
            <w:r w:rsidRPr="00CD6B52">
              <w:rPr>
                <w:rFonts w:ascii="Times New Roman" w:hAnsi="Times New Roman"/>
              </w:rPr>
              <w:t>437,370</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3810BEC" w14:textId="77777777" w:rsidR="003D3F66" w:rsidRPr="00CD6B52" w:rsidRDefault="003D3F66" w:rsidP="00E340DE">
            <w:pPr>
              <w:pStyle w:val="NoSpacing"/>
              <w:rPr>
                <w:rFonts w:ascii="Times New Roman" w:hAnsi="Times New Roman"/>
              </w:rPr>
            </w:pPr>
            <w:r w:rsidRPr="00CD6B52">
              <w:rPr>
                <w:rFonts w:ascii="Times New Roman" w:hAnsi="Times New Roman"/>
              </w:rPr>
              <w:t>0.74</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8B3203E" w14:textId="77777777" w:rsidR="003D3F66" w:rsidRPr="00CD6B52" w:rsidRDefault="003D3F66" w:rsidP="00E340DE">
            <w:pPr>
              <w:pStyle w:val="NoSpacing"/>
              <w:rPr>
                <w:rFonts w:ascii="Times New Roman" w:hAnsi="Times New Roman"/>
              </w:rPr>
            </w:pPr>
            <w:r w:rsidRPr="00CD6B52">
              <w:rPr>
                <w:rFonts w:ascii="Times New Roman" w:hAnsi="Times New Roman"/>
              </w:rPr>
              <w:t>0.84</w:t>
            </w:r>
          </w:p>
        </w:tc>
        <w:tc>
          <w:tcPr>
            <w:tcW w:w="1195"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AE8DD9E" w14:textId="77777777" w:rsidR="003D3F66" w:rsidRPr="00CD6B52" w:rsidRDefault="003D3F66" w:rsidP="00E340DE">
            <w:pPr>
              <w:pStyle w:val="NoSpacing"/>
              <w:rPr>
                <w:rFonts w:ascii="Times New Roman" w:hAnsi="Times New Roman"/>
              </w:rPr>
            </w:pPr>
            <w:r w:rsidRPr="00CD6B52">
              <w:rPr>
                <w:rFonts w:ascii="Times New Roman" w:hAnsi="Times New Roman"/>
              </w:rPr>
              <w:t>$14,596</w:t>
            </w:r>
          </w:p>
        </w:tc>
        <w:tc>
          <w:tcPr>
            <w:tcW w:w="1217"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28AA9E0" w14:textId="77777777" w:rsidR="003D3F66" w:rsidRPr="00CD6B52" w:rsidRDefault="003D3F66" w:rsidP="00E340DE">
            <w:pPr>
              <w:pStyle w:val="NoSpacing"/>
              <w:rPr>
                <w:rFonts w:ascii="Times New Roman" w:hAnsi="Times New Roman"/>
              </w:rPr>
            </w:pPr>
            <w:r w:rsidRPr="00CD6B52">
              <w:rPr>
                <w:rFonts w:ascii="Times New Roman" w:hAnsi="Times New Roman"/>
              </w:rPr>
              <w:t>$15,035</w:t>
            </w:r>
          </w:p>
        </w:tc>
        <w:tc>
          <w:tcPr>
            <w:tcW w:w="119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CA3C80C" w14:textId="77777777" w:rsidR="003D3F66" w:rsidRPr="00CD6B52" w:rsidRDefault="003D3F66" w:rsidP="00E340DE">
            <w:pPr>
              <w:pStyle w:val="NoSpacing"/>
              <w:rPr>
                <w:rFonts w:ascii="Times New Roman" w:hAnsi="Times New Roman"/>
              </w:rPr>
            </w:pPr>
            <w:r w:rsidRPr="00CD6B52">
              <w:rPr>
                <w:rFonts w:ascii="Times New Roman" w:hAnsi="Times New Roman"/>
              </w:rPr>
              <w:t>-$439</w:t>
            </w:r>
          </w:p>
        </w:tc>
        <w:tc>
          <w:tcPr>
            <w:tcW w:w="1195"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723E4DBF" w14:textId="77777777" w:rsidR="003D3F66" w:rsidRPr="00CD6B52" w:rsidRDefault="003D3F66" w:rsidP="00E340DE">
            <w:pPr>
              <w:pStyle w:val="NoSpacing"/>
              <w:rPr>
                <w:rFonts w:ascii="Times New Roman" w:hAnsi="Times New Roman"/>
              </w:rPr>
            </w:pPr>
            <w:r w:rsidRPr="00CD6B52">
              <w:rPr>
                <w:rFonts w:ascii="Times New Roman" w:hAnsi="Times New Roman"/>
              </w:rPr>
              <w:t>0.1744</w:t>
            </w:r>
          </w:p>
        </w:tc>
      </w:tr>
      <w:tr w:rsidR="006C3944" w:rsidRPr="006C3944" w:rsidDel="00F76637" w14:paraId="4E05AE3D" w14:textId="77777777" w:rsidTr="006739ED">
        <w:trPr>
          <w:tblHeader/>
        </w:trPr>
        <w:tc>
          <w:tcPr>
            <w:tcW w:w="1193"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49E21E93" w14:textId="77777777" w:rsidR="003D3F66" w:rsidRPr="00CD6B52" w:rsidRDefault="003D3F66" w:rsidP="00E340DE">
            <w:pPr>
              <w:pStyle w:val="NoSpacing"/>
              <w:rPr>
                <w:rFonts w:ascii="Times New Roman" w:hAnsi="Times New Roman"/>
              </w:rPr>
            </w:pPr>
            <w:r w:rsidRPr="00CD6B52">
              <w:rPr>
                <w:rFonts w:ascii="Times New Roman" w:hAnsi="Times New Roman"/>
              </w:rPr>
              <w:t>6</w:t>
            </w:r>
          </w:p>
        </w:tc>
        <w:tc>
          <w:tcPr>
            <w:tcW w:w="1194"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2BBB962" w14:textId="77777777" w:rsidR="003D3F66" w:rsidRPr="00CD6B52" w:rsidRDefault="003D3F66" w:rsidP="00E340DE">
            <w:pPr>
              <w:pStyle w:val="NoSpacing"/>
              <w:rPr>
                <w:rFonts w:ascii="Times New Roman" w:hAnsi="Times New Roman"/>
              </w:rPr>
            </w:pPr>
            <w:r w:rsidRPr="00CD6B52">
              <w:rPr>
                <w:rFonts w:ascii="Times New Roman" w:hAnsi="Times New Roman"/>
              </w:rPr>
              <w:t>437,310</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6C39F1E" w14:textId="77777777" w:rsidR="003D3F66" w:rsidRPr="00CD6B52" w:rsidRDefault="003D3F66" w:rsidP="00E340DE">
            <w:pPr>
              <w:pStyle w:val="NoSpacing"/>
              <w:rPr>
                <w:rFonts w:ascii="Times New Roman" w:hAnsi="Times New Roman"/>
              </w:rPr>
            </w:pPr>
            <w:r w:rsidRPr="00CD6B52">
              <w:rPr>
                <w:rFonts w:ascii="Times New Roman" w:hAnsi="Times New Roman"/>
              </w:rPr>
              <w:t>0.84</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9BC3CC8" w14:textId="77777777" w:rsidR="003D3F66" w:rsidRPr="00CD6B52" w:rsidRDefault="003D3F66" w:rsidP="00E340DE">
            <w:pPr>
              <w:pStyle w:val="NoSpacing"/>
              <w:rPr>
                <w:rFonts w:ascii="Times New Roman" w:hAnsi="Times New Roman"/>
              </w:rPr>
            </w:pPr>
            <w:r w:rsidRPr="00CD6B52">
              <w:rPr>
                <w:rFonts w:ascii="Times New Roman" w:hAnsi="Times New Roman"/>
              </w:rPr>
              <w:t>0.98</w:t>
            </w:r>
          </w:p>
        </w:tc>
        <w:tc>
          <w:tcPr>
            <w:tcW w:w="1195"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574B160" w14:textId="77777777" w:rsidR="003D3F66" w:rsidRPr="00CD6B52" w:rsidRDefault="003D3F66" w:rsidP="00E340DE">
            <w:pPr>
              <w:pStyle w:val="NoSpacing"/>
              <w:rPr>
                <w:rFonts w:ascii="Times New Roman" w:hAnsi="Times New Roman"/>
              </w:rPr>
            </w:pPr>
            <w:r w:rsidRPr="00CD6B52">
              <w:rPr>
                <w:rFonts w:ascii="Times New Roman" w:hAnsi="Times New Roman"/>
              </w:rPr>
              <w:t>$16,887</w:t>
            </w:r>
          </w:p>
        </w:tc>
        <w:tc>
          <w:tcPr>
            <w:tcW w:w="1217"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8C59F37" w14:textId="77777777" w:rsidR="003D3F66" w:rsidRPr="00CD6B52" w:rsidRDefault="003D3F66" w:rsidP="00E340DE">
            <w:pPr>
              <w:pStyle w:val="NoSpacing"/>
              <w:rPr>
                <w:rFonts w:ascii="Times New Roman" w:hAnsi="Times New Roman"/>
              </w:rPr>
            </w:pPr>
            <w:r w:rsidRPr="00CD6B52">
              <w:rPr>
                <w:rFonts w:ascii="Times New Roman" w:hAnsi="Times New Roman"/>
              </w:rPr>
              <w:t>$17,247</w:t>
            </w:r>
          </w:p>
        </w:tc>
        <w:tc>
          <w:tcPr>
            <w:tcW w:w="119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079FE09" w14:textId="77777777" w:rsidR="003D3F66" w:rsidRPr="00CD6B52" w:rsidRDefault="003D3F66" w:rsidP="00E340DE">
            <w:pPr>
              <w:pStyle w:val="NoSpacing"/>
              <w:rPr>
                <w:rFonts w:ascii="Times New Roman" w:hAnsi="Times New Roman"/>
              </w:rPr>
            </w:pPr>
            <w:r w:rsidRPr="00CD6B52">
              <w:rPr>
                <w:rFonts w:ascii="Times New Roman" w:hAnsi="Times New Roman"/>
              </w:rPr>
              <w:t>-$360</w:t>
            </w:r>
          </w:p>
        </w:tc>
        <w:tc>
          <w:tcPr>
            <w:tcW w:w="1195"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73137F40" w14:textId="77777777" w:rsidR="003D3F66" w:rsidRPr="00CD6B52" w:rsidRDefault="003D3F66" w:rsidP="00E340DE">
            <w:pPr>
              <w:pStyle w:val="NoSpacing"/>
              <w:rPr>
                <w:rFonts w:ascii="Times New Roman" w:hAnsi="Times New Roman"/>
              </w:rPr>
            </w:pPr>
            <w:r w:rsidRPr="00CD6B52">
              <w:rPr>
                <w:rFonts w:ascii="Times New Roman" w:hAnsi="Times New Roman"/>
              </w:rPr>
              <w:t>0.0329</w:t>
            </w:r>
          </w:p>
        </w:tc>
      </w:tr>
      <w:tr w:rsidR="006C3944" w:rsidRPr="006C3944" w:rsidDel="00F76637" w14:paraId="4F0E50BB" w14:textId="77777777" w:rsidTr="006739ED">
        <w:trPr>
          <w:tblHeader/>
        </w:trPr>
        <w:tc>
          <w:tcPr>
            <w:tcW w:w="1193"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4AFA3AE4" w14:textId="77777777" w:rsidR="003D3F66" w:rsidRPr="00CD6B52" w:rsidRDefault="003D3F66" w:rsidP="00E340DE">
            <w:pPr>
              <w:pStyle w:val="NoSpacing"/>
              <w:rPr>
                <w:rFonts w:ascii="Times New Roman" w:hAnsi="Times New Roman"/>
              </w:rPr>
            </w:pPr>
            <w:r w:rsidRPr="00CD6B52">
              <w:rPr>
                <w:rFonts w:ascii="Times New Roman" w:hAnsi="Times New Roman"/>
              </w:rPr>
              <w:t>7</w:t>
            </w:r>
          </w:p>
        </w:tc>
        <w:tc>
          <w:tcPr>
            <w:tcW w:w="1194"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CB229C5" w14:textId="77777777" w:rsidR="003D3F66" w:rsidRPr="00CD6B52" w:rsidRDefault="003D3F66" w:rsidP="00E340DE">
            <w:pPr>
              <w:pStyle w:val="NoSpacing"/>
              <w:rPr>
                <w:rFonts w:ascii="Times New Roman" w:hAnsi="Times New Roman"/>
              </w:rPr>
            </w:pPr>
            <w:r w:rsidRPr="00CD6B52">
              <w:rPr>
                <w:rFonts w:ascii="Times New Roman" w:hAnsi="Times New Roman"/>
              </w:rPr>
              <w:t>437,298</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9F96ED0" w14:textId="77777777" w:rsidR="003D3F66" w:rsidRPr="00CD6B52" w:rsidRDefault="003D3F66" w:rsidP="00E340DE">
            <w:pPr>
              <w:pStyle w:val="NoSpacing"/>
              <w:rPr>
                <w:rFonts w:ascii="Times New Roman" w:hAnsi="Times New Roman"/>
              </w:rPr>
            </w:pPr>
            <w:r w:rsidRPr="00CD6B52">
              <w:rPr>
                <w:rFonts w:ascii="Times New Roman" w:hAnsi="Times New Roman"/>
              </w:rPr>
              <w:t>0.98</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11D1254" w14:textId="77777777" w:rsidR="003D3F66" w:rsidRPr="00CD6B52" w:rsidRDefault="003D3F66" w:rsidP="00E340DE">
            <w:pPr>
              <w:pStyle w:val="NoSpacing"/>
              <w:rPr>
                <w:rFonts w:ascii="Times New Roman" w:hAnsi="Times New Roman"/>
              </w:rPr>
            </w:pPr>
            <w:r w:rsidRPr="00CD6B52">
              <w:rPr>
                <w:rFonts w:ascii="Times New Roman" w:hAnsi="Times New Roman"/>
              </w:rPr>
              <w:t>1.14</w:t>
            </w:r>
          </w:p>
        </w:tc>
        <w:tc>
          <w:tcPr>
            <w:tcW w:w="1195"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3550884" w14:textId="77777777" w:rsidR="003D3F66" w:rsidRPr="00CD6B52" w:rsidRDefault="003D3F66" w:rsidP="00E340DE">
            <w:pPr>
              <w:pStyle w:val="NoSpacing"/>
              <w:rPr>
                <w:rFonts w:ascii="Times New Roman" w:hAnsi="Times New Roman"/>
              </w:rPr>
            </w:pPr>
            <w:r w:rsidRPr="00CD6B52">
              <w:rPr>
                <w:rFonts w:ascii="Times New Roman" w:hAnsi="Times New Roman"/>
              </w:rPr>
              <w:t>$19,566</w:t>
            </w:r>
          </w:p>
        </w:tc>
        <w:tc>
          <w:tcPr>
            <w:tcW w:w="1217"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0348E4A" w14:textId="77777777" w:rsidR="003D3F66" w:rsidRPr="00CD6B52" w:rsidRDefault="003D3F66" w:rsidP="00E340DE">
            <w:pPr>
              <w:pStyle w:val="NoSpacing"/>
              <w:rPr>
                <w:rFonts w:ascii="Times New Roman" w:hAnsi="Times New Roman"/>
              </w:rPr>
            </w:pPr>
            <w:r w:rsidRPr="00CD6B52">
              <w:rPr>
                <w:rFonts w:ascii="Times New Roman" w:hAnsi="Times New Roman"/>
              </w:rPr>
              <w:t>$20,124</w:t>
            </w:r>
          </w:p>
        </w:tc>
        <w:tc>
          <w:tcPr>
            <w:tcW w:w="119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B437AA9" w14:textId="77777777" w:rsidR="003D3F66" w:rsidRPr="00CD6B52" w:rsidRDefault="003D3F66" w:rsidP="00E340DE">
            <w:pPr>
              <w:pStyle w:val="NoSpacing"/>
              <w:rPr>
                <w:rFonts w:ascii="Times New Roman" w:hAnsi="Times New Roman"/>
              </w:rPr>
            </w:pPr>
            <w:r w:rsidRPr="00CD6B52">
              <w:rPr>
                <w:rFonts w:ascii="Times New Roman" w:hAnsi="Times New Roman"/>
              </w:rPr>
              <w:t>-$558</w:t>
            </w:r>
          </w:p>
        </w:tc>
        <w:tc>
          <w:tcPr>
            <w:tcW w:w="1195"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36C56DB4" w14:textId="77777777" w:rsidR="003D3F66" w:rsidRPr="00CD6B52" w:rsidRDefault="003D3F66" w:rsidP="00E340DE">
            <w:pPr>
              <w:pStyle w:val="NoSpacing"/>
              <w:rPr>
                <w:rFonts w:ascii="Times New Roman" w:hAnsi="Times New Roman"/>
              </w:rPr>
            </w:pPr>
            <w:r w:rsidRPr="00CD6B52">
              <w:rPr>
                <w:rFonts w:ascii="Times New Roman" w:hAnsi="Times New Roman"/>
              </w:rPr>
              <w:t>0.0140</w:t>
            </w:r>
          </w:p>
        </w:tc>
      </w:tr>
      <w:tr w:rsidR="006C3944" w:rsidRPr="006C3944" w:rsidDel="00F76637" w14:paraId="5C477330" w14:textId="77777777" w:rsidTr="006739ED">
        <w:trPr>
          <w:tblHeader/>
        </w:trPr>
        <w:tc>
          <w:tcPr>
            <w:tcW w:w="1193"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733BF491" w14:textId="77777777" w:rsidR="003D3F66" w:rsidRPr="00CD6B52" w:rsidRDefault="003D3F66" w:rsidP="00E340DE">
            <w:pPr>
              <w:pStyle w:val="NoSpacing"/>
              <w:rPr>
                <w:rFonts w:ascii="Times New Roman" w:hAnsi="Times New Roman"/>
              </w:rPr>
            </w:pPr>
            <w:r w:rsidRPr="00CD6B52">
              <w:rPr>
                <w:rFonts w:ascii="Times New Roman" w:hAnsi="Times New Roman"/>
              </w:rPr>
              <w:t>8</w:t>
            </w:r>
          </w:p>
        </w:tc>
        <w:tc>
          <w:tcPr>
            <w:tcW w:w="1194"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E224853" w14:textId="77777777" w:rsidR="003D3F66" w:rsidRPr="00CD6B52" w:rsidRDefault="003D3F66" w:rsidP="00E340DE">
            <w:pPr>
              <w:pStyle w:val="NoSpacing"/>
              <w:rPr>
                <w:rFonts w:ascii="Times New Roman" w:hAnsi="Times New Roman"/>
              </w:rPr>
            </w:pPr>
            <w:r w:rsidRPr="00CD6B52">
              <w:rPr>
                <w:rFonts w:ascii="Times New Roman" w:hAnsi="Times New Roman"/>
              </w:rPr>
              <w:t>437,320</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43D767C" w14:textId="77777777" w:rsidR="003D3F66" w:rsidRPr="00CD6B52" w:rsidRDefault="003D3F66" w:rsidP="00E340DE">
            <w:pPr>
              <w:pStyle w:val="NoSpacing"/>
              <w:rPr>
                <w:rFonts w:ascii="Times New Roman" w:hAnsi="Times New Roman"/>
              </w:rPr>
            </w:pPr>
            <w:r w:rsidRPr="00CD6B52">
              <w:rPr>
                <w:rFonts w:ascii="Times New Roman" w:hAnsi="Times New Roman"/>
              </w:rPr>
              <w:t>1.14</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4F76730" w14:textId="77777777" w:rsidR="003D3F66" w:rsidRPr="00CD6B52" w:rsidRDefault="003D3F66" w:rsidP="00E340DE">
            <w:pPr>
              <w:pStyle w:val="NoSpacing"/>
              <w:rPr>
                <w:rFonts w:ascii="Times New Roman" w:hAnsi="Times New Roman"/>
              </w:rPr>
            </w:pPr>
            <w:r w:rsidRPr="00CD6B52">
              <w:rPr>
                <w:rFonts w:ascii="Times New Roman" w:hAnsi="Times New Roman"/>
              </w:rPr>
              <w:t>1.31</w:t>
            </w:r>
          </w:p>
        </w:tc>
        <w:tc>
          <w:tcPr>
            <w:tcW w:w="1195"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23E64BE" w14:textId="77777777" w:rsidR="003D3F66" w:rsidRPr="00CD6B52" w:rsidRDefault="003D3F66" w:rsidP="00E340DE">
            <w:pPr>
              <w:pStyle w:val="NoSpacing"/>
              <w:rPr>
                <w:rFonts w:ascii="Times New Roman" w:hAnsi="Times New Roman"/>
              </w:rPr>
            </w:pPr>
            <w:r w:rsidRPr="00CD6B52">
              <w:rPr>
                <w:rFonts w:ascii="Times New Roman" w:hAnsi="Times New Roman"/>
              </w:rPr>
              <w:t>$22,534</w:t>
            </w:r>
          </w:p>
        </w:tc>
        <w:tc>
          <w:tcPr>
            <w:tcW w:w="1217"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EABB1B9" w14:textId="77777777" w:rsidR="003D3F66" w:rsidRPr="00CD6B52" w:rsidRDefault="003D3F66" w:rsidP="00E340DE">
            <w:pPr>
              <w:pStyle w:val="NoSpacing"/>
              <w:rPr>
                <w:rFonts w:ascii="Times New Roman" w:hAnsi="Times New Roman"/>
              </w:rPr>
            </w:pPr>
            <w:r w:rsidRPr="00CD6B52">
              <w:rPr>
                <w:rFonts w:ascii="Times New Roman" w:hAnsi="Times New Roman"/>
              </w:rPr>
              <w:t>$23,144</w:t>
            </w:r>
          </w:p>
        </w:tc>
        <w:tc>
          <w:tcPr>
            <w:tcW w:w="119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BCE0B34" w14:textId="77777777" w:rsidR="003D3F66" w:rsidRPr="00CD6B52" w:rsidRDefault="003D3F66" w:rsidP="00E340DE">
            <w:pPr>
              <w:pStyle w:val="NoSpacing"/>
              <w:rPr>
                <w:rFonts w:ascii="Times New Roman" w:hAnsi="Times New Roman"/>
              </w:rPr>
            </w:pPr>
            <w:r w:rsidRPr="00CD6B52">
              <w:rPr>
                <w:rFonts w:ascii="Times New Roman" w:hAnsi="Times New Roman"/>
              </w:rPr>
              <w:t>-$609</w:t>
            </w:r>
          </w:p>
        </w:tc>
        <w:tc>
          <w:tcPr>
            <w:tcW w:w="1195"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3A90B39D" w14:textId="77777777" w:rsidR="003D3F66" w:rsidRPr="00CD6B52" w:rsidRDefault="003D3F66" w:rsidP="00E340DE">
            <w:pPr>
              <w:pStyle w:val="NoSpacing"/>
              <w:rPr>
                <w:rFonts w:ascii="Times New Roman" w:hAnsi="Times New Roman"/>
              </w:rPr>
            </w:pPr>
            <w:r w:rsidRPr="00CD6B52">
              <w:rPr>
                <w:rFonts w:ascii="Times New Roman" w:hAnsi="Times New Roman"/>
              </w:rPr>
              <w:t>0.1288</w:t>
            </w:r>
          </w:p>
        </w:tc>
      </w:tr>
      <w:tr w:rsidR="006C3944" w:rsidRPr="006C3944" w:rsidDel="00F76637" w14:paraId="56F5C31D" w14:textId="77777777" w:rsidTr="006739ED">
        <w:trPr>
          <w:tblHeader/>
        </w:trPr>
        <w:tc>
          <w:tcPr>
            <w:tcW w:w="1193" w:type="dxa"/>
            <w:tcBorders>
              <w:top w:val="single" w:sz="4" w:space="0" w:color="BFBFBF" w:themeColor="background1" w:themeShade="BF"/>
              <w:left w:val="single" w:sz="12" w:space="0" w:color="auto"/>
              <w:bottom w:val="single" w:sz="4" w:space="0" w:color="BFBFBF" w:themeColor="background1" w:themeShade="BF"/>
              <w:right w:val="single" w:sz="4" w:space="0" w:color="auto"/>
            </w:tcBorders>
          </w:tcPr>
          <w:p w14:paraId="3C1ADA85" w14:textId="77777777" w:rsidR="003D3F66" w:rsidRPr="00CD6B52" w:rsidRDefault="003D3F66" w:rsidP="00E340DE">
            <w:pPr>
              <w:pStyle w:val="NoSpacing"/>
              <w:rPr>
                <w:rFonts w:ascii="Times New Roman" w:hAnsi="Times New Roman"/>
              </w:rPr>
            </w:pPr>
            <w:r w:rsidRPr="00CD6B52">
              <w:rPr>
                <w:rFonts w:ascii="Times New Roman" w:hAnsi="Times New Roman"/>
              </w:rPr>
              <w:t>9</w:t>
            </w:r>
          </w:p>
        </w:tc>
        <w:tc>
          <w:tcPr>
            <w:tcW w:w="1194"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D3DF13D" w14:textId="77777777" w:rsidR="003D3F66" w:rsidRPr="00CD6B52" w:rsidRDefault="003D3F66" w:rsidP="00E340DE">
            <w:pPr>
              <w:pStyle w:val="NoSpacing"/>
              <w:rPr>
                <w:rFonts w:ascii="Times New Roman" w:hAnsi="Times New Roman"/>
              </w:rPr>
            </w:pPr>
            <w:r w:rsidRPr="00CD6B52">
              <w:rPr>
                <w:rFonts w:ascii="Times New Roman" w:hAnsi="Times New Roman"/>
              </w:rPr>
              <w:t>436,500</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C5C9197" w14:textId="77777777" w:rsidR="003D3F66" w:rsidRPr="00CD6B52" w:rsidRDefault="003D3F66" w:rsidP="00E340DE">
            <w:pPr>
              <w:pStyle w:val="NoSpacing"/>
              <w:rPr>
                <w:rFonts w:ascii="Times New Roman" w:hAnsi="Times New Roman"/>
              </w:rPr>
            </w:pPr>
            <w:r w:rsidRPr="00CD6B52">
              <w:rPr>
                <w:rFonts w:ascii="Times New Roman" w:hAnsi="Times New Roman"/>
              </w:rPr>
              <w:t>1.31</w:t>
            </w:r>
          </w:p>
        </w:tc>
        <w:tc>
          <w:tcPr>
            <w:tcW w:w="119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64A455F" w14:textId="77777777" w:rsidR="003D3F66" w:rsidRPr="00CD6B52" w:rsidRDefault="003D3F66" w:rsidP="00E340DE">
            <w:pPr>
              <w:pStyle w:val="NoSpacing"/>
              <w:rPr>
                <w:rFonts w:ascii="Times New Roman" w:hAnsi="Times New Roman"/>
              </w:rPr>
            </w:pPr>
            <w:r w:rsidRPr="00CD6B52">
              <w:rPr>
                <w:rFonts w:ascii="Times New Roman" w:hAnsi="Times New Roman"/>
              </w:rPr>
              <w:t>1.66</w:t>
            </w:r>
          </w:p>
        </w:tc>
        <w:tc>
          <w:tcPr>
            <w:tcW w:w="1195"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A53F632" w14:textId="77777777" w:rsidR="003D3F66" w:rsidRPr="00CD6B52" w:rsidRDefault="003D3F66" w:rsidP="00E340DE">
            <w:pPr>
              <w:pStyle w:val="NoSpacing"/>
              <w:rPr>
                <w:rFonts w:ascii="Times New Roman" w:hAnsi="Times New Roman"/>
              </w:rPr>
            </w:pPr>
            <w:r w:rsidRPr="00CD6B52">
              <w:rPr>
                <w:rFonts w:ascii="Times New Roman" w:hAnsi="Times New Roman"/>
              </w:rPr>
              <w:t>$27,237</w:t>
            </w:r>
          </w:p>
        </w:tc>
        <w:tc>
          <w:tcPr>
            <w:tcW w:w="1217"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218CE35" w14:textId="77777777" w:rsidR="003D3F66" w:rsidRPr="00CD6B52" w:rsidRDefault="003D3F66" w:rsidP="00E340DE">
            <w:pPr>
              <w:pStyle w:val="NoSpacing"/>
              <w:rPr>
                <w:rFonts w:ascii="Times New Roman" w:hAnsi="Times New Roman"/>
              </w:rPr>
            </w:pPr>
            <w:r w:rsidRPr="00CD6B52">
              <w:rPr>
                <w:rFonts w:ascii="Times New Roman" w:hAnsi="Times New Roman"/>
              </w:rPr>
              <w:t>$27,502</w:t>
            </w:r>
          </w:p>
        </w:tc>
        <w:tc>
          <w:tcPr>
            <w:tcW w:w="119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CAB8C42" w14:textId="77777777" w:rsidR="003D3F66" w:rsidRPr="00CD6B52" w:rsidRDefault="003D3F66" w:rsidP="00E340DE">
            <w:pPr>
              <w:pStyle w:val="NoSpacing"/>
              <w:rPr>
                <w:rFonts w:ascii="Times New Roman" w:hAnsi="Times New Roman"/>
              </w:rPr>
            </w:pPr>
            <w:r w:rsidRPr="00CD6B52">
              <w:rPr>
                <w:rFonts w:ascii="Times New Roman" w:hAnsi="Times New Roman"/>
              </w:rPr>
              <w:t>-$265</w:t>
            </w:r>
          </w:p>
        </w:tc>
        <w:tc>
          <w:tcPr>
            <w:tcW w:w="1195" w:type="dxa"/>
            <w:tcBorders>
              <w:top w:val="single" w:sz="4" w:space="0" w:color="BFBFBF" w:themeColor="background1" w:themeShade="BF"/>
              <w:left w:val="single" w:sz="4" w:space="0" w:color="auto"/>
              <w:bottom w:val="single" w:sz="4" w:space="0" w:color="BFBFBF" w:themeColor="background1" w:themeShade="BF"/>
              <w:right w:val="single" w:sz="12" w:space="0" w:color="auto"/>
            </w:tcBorders>
          </w:tcPr>
          <w:p w14:paraId="5C30CB57" w14:textId="77777777" w:rsidR="003D3F66" w:rsidRPr="00CD6B52" w:rsidRDefault="003D3F66" w:rsidP="00E340DE">
            <w:pPr>
              <w:pStyle w:val="NoSpacing"/>
              <w:rPr>
                <w:rFonts w:ascii="Times New Roman" w:hAnsi="Times New Roman"/>
              </w:rPr>
            </w:pPr>
            <w:r w:rsidRPr="00CD6B52">
              <w:rPr>
                <w:rFonts w:ascii="Times New Roman" w:hAnsi="Times New Roman"/>
              </w:rPr>
              <w:t>0.3627</w:t>
            </w:r>
          </w:p>
        </w:tc>
      </w:tr>
      <w:tr w:rsidR="006C3944" w:rsidRPr="006C3944" w:rsidDel="00F76637" w14:paraId="361F9FEA" w14:textId="77777777" w:rsidTr="006739ED">
        <w:trPr>
          <w:tblHeader/>
        </w:trPr>
        <w:tc>
          <w:tcPr>
            <w:tcW w:w="1193" w:type="dxa"/>
            <w:tcBorders>
              <w:top w:val="single" w:sz="4" w:space="0" w:color="BFBFBF" w:themeColor="background1" w:themeShade="BF"/>
              <w:left w:val="single" w:sz="12" w:space="0" w:color="auto"/>
              <w:bottom w:val="single" w:sz="4" w:space="0" w:color="auto"/>
              <w:right w:val="single" w:sz="4" w:space="0" w:color="auto"/>
            </w:tcBorders>
          </w:tcPr>
          <w:p w14:paraId="2D4B08B4" w14:textId="77777777" w:rsidR="003D3F66" w:rsidRPr="00CD6B52" w:rsidRDefault="003D3F66" w:rsidP="00E340DE">
            <w:pPr>
              <w:pStyle w:val="NoSpacing"/>
              <w:rPr>
                <w:rFonts w:ascii="Times New Roman" w:hAnsi="Times New Roman"/>
              </w:rPr>
            </w:pPr>
            <w:r w:rsidRPr="00CD6B52">
              <w:rPr>
                <w:rFonts w:ascii="Times New Roman" w:hAnsi="Times New Roman"/>
              </w:rPr>
              <w:t>10</w:t>
            </w:r>
          </w:p>
        </w:tc>
        <w:tc>
          <w:tcPr>
            <w:tcW w:w="1194" w:type="dxa"/>
            <w:tcBorders>
              <w:top w:val="single" w:sz="4" w:space="0" w:color="BFBFBF" w:themeColor="background1" w:themeShade="BF"/>
              <w:left w:val="single" w:sz="4" w:space="0" w:color="auto"/>
              <w:bottom w:val="single" w:sz="4" w:space="0" w:color="auto"/>
              <w:right w:val="single" w:sz="4" w:space="0" w:color="auto"/>
            </w:tcBorders>
          </w:tcPr>
          <w:p w14:paraId="32999AB6" w14:textId="77777777" w:rsidR="003D3F66" w:rsidRPr="00CD6B52" w:rsidRDefault="003D3F66" w:rsidP="00E340DE">
            <w:pPr>
              <w:pStyle w:val="NoSpacing"/>
              <w:rPr>
                <w:rFonts w:ascii="Times New Roman" w:hAnsi="Times New Roman"/>
              </w:rPr>
            </w:pPr>
            <w:r w:rsidRPr="00CD6B52">
              <w:rPr>
                <w:rFonts w:ascii="Times New Roman" w:hAnsi="Times New Roman"/>
              </w:rPr>
              <w:t>438,118</w:t>
            </w:r>
          </w:p>
        </w:tc>
        <w:tc>
          <w:tcPr>
            <w:tcW w:w="1193" w:type="dxa"/>
            <w:tcBorders>
              <w:top w:val="single" w:sz="4" w:space="0" w:color="BFBFBF" w:themeColor="background1" w:themeShade="BF"/>
              <w:left w:val="single" w:sz="4" w:space="0" w:color="auto"/>
              <w:bottom w:val="single" w:sz="4" w:space="0" w:color="auto"/>
              <w:right w:val="single" w:sz="4" w:space="0" w:color="auto"/>
            </w:tcBorders>
          </w:tcPr>
          <w:p w14:paraId="49D1103C" w14:textId="77777777" w:rsidR="003D3F66" w:rsidRPr="00CD6B52" w:rsidRDefault="003D3F66" w:rsidP="00E340DE">
            <w:pPr>
              <w:pStyle w:val="NoSpacing"/>
              <w:rPr>
                <w:rFonts w:ascii="Times New Roman" w:hAnsi="Times New Roman"/>
              </w:rPr>
            </w:pPr>
            <w:r w:rsidRPr="00CD6B52">
              <w:rPr>
                <w:rFonts w:ascii="Times New Roman" w:hAnsi="Times New Roman"/>
              </w:rPr>
              <w:t>1.66</w:t>
            </w:r>
          </w:p>
        </w:tc>
        <w:tc>
          <w:tcPr>
            <w:tcW w:w="1193" w:type="dxa"/>
            <w:tcBorders>
              <w:top w:val="single" w:sz="4" w:space="0" w:color="BFBFBF" w:themeColor="background1" w:themeShade="BF"/>
              <w:left w:val="single" w:sz="4" w:space="0" w:color="auto"/>
              <w:bottom w:val="single" w:sz="4" w:space="0" w:color="auto"/>
              <w:right w:val="single" w:sz="4" w:space="0" w:color="auto"/>
            </w:tcBorders>
          </w:tcPr>
          <w:p w14:paraId="746898A6" w14:textId="77777777" w:rsidR="003D3F66" w:rsidRPr="00CD6B52" w:rsidRDefault="003D3F66" w:rsidP="00E340DE">
            <w:pPr>
              <w:pStyle w:val="NoSpacing"/>
              <w:rPr>
                <w:rFonts w:ascii="Times New Roman" w:hAnsi="Times New Roman"/>
              </w:rPr>
            </w:pPr>
            <w:r w:rsidRPr="00CD6B52">
              <w:rPr>
                <w:rFonts w:ascii="Times New Roman" w:hAnsi="Times New Roman"/>
              </w:rPr>
              <w:t>20.17</w:t>
            </w:r>
          </w:p>
        </w:tc>
        <w:tc>
          <w:tcPr>
            <w:tcW w:w="1195" w:type="dxa"/>
            <w:tcBorders>
              <w:top w:val="single" w:sz="4" w:space="0" w:color="BFBFBF" w:themeColor="background1" w:themeShade="BF"/>
              <w:left w:val="single" w:sz="4" w:space="0" w:color="auto"/>
              <w:bottom w:val="single" w:sz="4" w:space="0" w:color="auto"/>
              <w:right w:val="single" w:sz="4" w:space="0" w:color="auto"/>
            </w:tcBorders>
          </w:tcPr>
          <w:p w14:paraId="6BB503C0" w14:textId="77777777" w:rsidR="003D3F66" w:rsidRPr="00CD6B52" w:rsidRDefault="003D3F66" w:rsidP="00E340DE">
            <w:pPr>
              <w:pStyle w:val="NoSpacing"/>
              <w:rPr>
                <w:rFonts w:ascii="Times New Roman" w:hAnsi="Times New Roman"/>
              </w:rPr>
            </w:pPr>
            <w:r w:rsidRPr="00CD6B52">
              <w:rPr>
                <w:rFonts w:ascii="Times New Roman" w:hAnsi="Times New Roman"/>
              </w:rPr>
              <w:t>$44,304</w:t>
            </w:r>
          </w:p>
        </w:tc>
        <w:tc>
          <w:tcPr>
            <w:tcW w:w="1217" w:type="dxa"/>
            <w:tcBorders>
              <w:top w:val="single" w:sz="4" w:space="0" w:color="BFBFBF" w:themeColor="background1" w:themeShade="BF"/>
              <w:left w:val="single" w:sz="4" w:space="0" w:color="auto"/>
              <w:bottom w:val="single" w:sz="4" w:space="0" w:color="auto"/>
              <w:right w:val="single" w:sz="4" w:space="0" w:color="auto"/>
            </w:tcBorders>
          </w:tcPr>
          <w:p w14:paraId="1A5DC8E0" w14:textId="77777777" w:rsidR="003D3F66" w:rsidRPr="00CD6B52" w:rsidRDefault="003D3F66" w:rsidP="00E340DE">
            <w:pPr>
              <w:pStyle w:val="NoSpacing"/>
              <w:rPr>
                <w:rFonts w:ascii="Times New Roman" w:hAnsi="Times New Roman"/>
              </w:rPr>
            </w:pPr>
            <w:r w:rsidRPr="00CD6B52">
              <w:rPr>
                <w:rFonts w:ascii="Times New Roman" w:hAnsi="Times New Roman"/>
              </w:rPr>
              <w:t>$45,039</w:t>
            </w:r>
          </w:p>
        </w:tc>
        <w:tc>
          <w:tcPr>
            <w:tcW w:w="1196" w:type="dxa"/>
            <w:tcBorders>
              <w:top w:val="single" w:sz="4" w:space="0" w:color="BFBFBF" w:themeColor="background1" w:themeShade="BF"/>
              <w:left w:val="single" w:sz="4" w:space="0" w:color="auto"/>
              <w:bottom w:val="single" w:sz="4" w:space="0" w:color="auto"/>
              <w:right w:val="single" w:sz="4" w:space="0" w:color="auto"/>
            </w:tcBorders>
          </w:tcPr>
          <w:p w14:paraId="1AEFF10D" w14:textId="77777777" w:rsidR="003D3F66" w:rsidRPr="00CD6B52" w:rsidRDefault="003D3F66" w:rsidP="00E340DE">
            <w:pPr>
              <w:pStyle w:val="NoSpacing"/>
              <w:rPr>
                <w:rFonts w:ascii="Times New Roman" w:hAnsi="Times New Roman"/>
              </w:rPr>
            </w:pPr>
            <w:r w:rsidRPr="00CD6B52">
              <w:rPr>
                <w:rFonts w:ascii="Times New Roman" w:hAnsi="Times New Roman"/>
              </w:rPr>
              <w:t>-$735</w:t>
            </w:r>
          </w:p>
        </w:tc>
        <w:tc>
          <w:tcPr>
            <w:tcW w:w="1195" w:type="dxa"/>
            <w:tcBorders>
              <w:top w:val="single" w:sz="4" w:space="0" w:color="BFBFBF" w:themeColor="background1" w:themeShade="BF"/>
              <w:left w:val="single" w:sz="4" w:space="0" w:color="auto"/>
              <w:bottom w:val="single" w:sz="4" w:space="0" w:color="auto"/>
              <w:right w:val="single" w:sz="12" w:space="0" w:color="auto"/>
            </w:tcBorders>
          </w:tcPr>
          <w:p w14:paraId="01FF31A1" w14:textId="77777777" w:rsidR="003D3F66" w:rsidRPr="00CD6B52" w:rsidRDefault="003D3F66" w:rsidP="00E340DE">
            <w:pPr>
              <w:pStyle w:val="NoSpacing"/>
              <w:rPr>
                <w:rFonts w:ascii="Times New Roman" w:hAnsi="Times New Roman"/>
              </w:rPr>
            </w:pPr>
            <w:r w:rsidRPr="00CD6B52">
              <w:rPr>
                <w:rFonts w:ascii="Times New Roman" w:hAnsi="Times New Roman"/>
              </w:rPr>
              <w:t>0.7752</w:t>
            </w:r>
          </w:p>
        </w:tc>
      </w:tr>
      <w:tr w:rsidR="006C3944" w:rsidRPr="006C3944" w:rsidDel="00F76637" w14:paraId="09F04655" w14:textId="77777777" w:rsidTr="006739ED">
        <w:trPr>
          <w:tblHeader/>
        </w:trPr>
        <w:tc>
          <w:tcPr>
            <w:tcW w:w="1193" w:type="dxa"/>
            <w:tcBorders>
              <w:top w:val="single" w:sz="4" w:space="0" w:color="auto"/>
              <w:left w:val="single" w:sz="12" w:space="0" w:color="auto"/>
              <w:bottom w:val="single" w:sz="12" w:space="0" w:color="auto"/>
            </w:tcBorders>
          </w:tcPr>
          <w:p w14:paraId="7646B736" w14:textId="77777777" w:rsidR="003D3F66" w:rsidRPr="00CD6B52" w:rsidRDefault="003D3F66" w:rsidP="00E340DE">
            <w:pPr>
              <w:pStyle w:val="NoSpacing"/>
              <w:rPr>
                <w:rFonts w:ascii="Times New Roman" w:hAnsi="Times New Roman"/>
              </w:rPr>
            </w:pPr>
            <w:r w:rsidRPr="00CD6B52">
              <w:rPr>
                <w:rFonts w:ascii="Times New Roman" w:hAnsi="Times New Roman"/>
              </w:rPr>
              <w:t>TOTAL</w:t>
            </w:r>
          </w:p>
        </w:tc>
        <w:tc>
          <w:tcPr>
            <w:tcW w:w="1194" w:type="dxa"/>
            <w:tcBorders>
              <w:top w:val="single" w:sz="4" w:space="0" w:color="auto"/>
              <w:bottom w:val="single" w:sz="12" w:space="0" w:color="auto"/>
            </w:tcBorders>
          </w:tcPr>
          <w:p w14:paraId="11EF9658" w14:textId="77777777" w:rsidR="003D3F66" w:rsidRPr="00CD6B52" w:rsidRDefault="003D3F66" w:rsidP="00E340DE">
            <w:pPr>
              <w:pStyle w:val="NoSpacing"/>
              <w:rPr>
                <w:rFonts w:ascii="Times New Roman" w:hAnsi="Times New Roman"/>
              </w:rPr>
            </w:pPr>
            <w:r w:rsidRPr="00CD6B52">
              <w:rPr>
                <w:rFonts w:ascii="Times New Roman" w:hAnsi="Times New Roman"/>
              </w:rPr>
              <w:t>4,373,091</w:t>
            </w:r>
          </w:p>
        </w:tc>
        <w:tc>
          <w:tcPr>
            <w:tcW w:w="1193" w:type="dxa"/>
            <w:tcBorders>
              <w:top w:val="single" w:sz="4" w:space="0" w:color="auto"/>
              <w:bottom w:val="single" w:sz="12" w:space="0" w:color="auto"/>
            </w:tcBorders>
          </w:tcPr>
          <w:p w14:paraId="2F676E09" w14:textId="77777777" w:rsidR="003D3F66" w:rsidRPr="00CD6B52" w:rsidRDefault="003D3F66" w:rsidP="00E340DE">
            <w:pPr>
              <w:pStyle w:val="NoSpacing"/>
              <w:rPr>
                <w:rFonts w:ascii="Times New Roman" w:hAnsi="Times New Roman"/>
              </w:rPr>
            </w:pPr>
            <w:r w:rsidRPr="00CD6B52">
              <w:rPr>
                <w:rFonts w:ascii="Times New Roman" w:hAnsi="Times New Roman"/>
              </w:rPr>
              <w:t>0.04</w:t>
            </w:r>
          </w:p>
        </w:tc>
        <w:tc>
          <w:tcPr>
            <w:tcW w:w="1193" w:type="dxa"/>
            <w:tcBorders>
              <w:top w:val="single" w:sz="4" w:space="0" w:color="auto"/>
              <w:bottom w:val="single" w:sz="12" w:space="0" w:color="auto"/>
            </w:tcBorders>
          </w:tcPr>
          <w:p w14:paraId="2DF50E5C" w14:textId="77777777" w:rsidR="003D3F66" w:rsidRPr="00CD6B52" w:rsidRDefault="003D3F66" w:rsidP="00E340DE">
            <w:pPr>
              <w:pStyle w:val="NoSpacing"/>
              <w:rPr>
                <w:rFonts w:ascii="Times New Roman" w:hAnsi="Times New Roman"/>
              </w:rPr>
            </w:pPr>
            <w:r w:rsidRPr="00CD6B52">
              <w:rPr>
                <w:rFonts w:ascii="Times New Roman" w:hAnsi="Times New Roman"/>
              </w:rPr>
              <w:t>20.17</w:t>
            </w:r>
          </w:p>
        </w:tc>
        <w:tc>
          <w:tcPr>
            <w:tcW w:w="1195" w:type="dxa"/>
            <w:tcBorders>
              <w:top w:val="single" w:sz="4" w:space="0" w:color="auto"/>
              <w:bottom w:val="single" w:sz="12" w:space="0" w:color="auto"/>
            </w:tcBorders>
          </w:tcPr>
          <w:p w14:paraId="2D34B704" w14:textId="77777777" w:rsidR="003D3F66" w:rsidRPr="00CD6B52" w:rsidRDefault="003D3F66" w:rsidP="00E340DE">
            <w:pPr>
              <w:pStyle w:val="NoSpacing"/>
              <w:rPr>
                <w:rFonts w:ascii="Times New Roman" w:hAnsi="Times New Roman"/>
              </w:rPr>
            </w:pPr>
            <w:r w:rsidRPr="00CD6B52">
              <w:rPr>
                <w:rFonts w:ascii="Times New Roman" w:hAnsi="Times New Roman"/>
              </w:rPr>
              <w:t>$18,506</w:t>
            </w:r>
          </w:p>
        </w:tc>
        <w:tc>
          <w:tcPr>
            <w:tcW w:w="1217" w:type="dxa"/>
            <w:tcBorders>
              <w:top w:val="single" w:sz="4" w:space="0" w:color="auto"/>
              <w:bottom w:val="single" w:sz="12" w:space="0" w:color="auto"/>
            </w:tcBorders>
          </w:tcPr>
          <w:p w14:paraId="5A5DD4E4" w14:textId="77777777" w:rsidR="003D3F66" w:rsidRPr="00CD6B52" w:rsidRDefault="003D3F66" w:rsidP="00E340DE">
            <w:pPr>
              <w:pStyle w:val="NoSpacing"/>
              <w:rPr>
                <w:rFonts w:ascii="Times New Roman" w:hAnsi="Times New Roman"/>
              </w:rPr>
            </w:pPr>
            <w:r w:rsidRPr="00CD6B52">
              <w:rPr>
                <w:rFonts w:ascii="Times New Roman" w:hAnsi="Times New Roman"/>
              </w:rPr>
              <w:t>$18,987</w:t>
            </w:r>
          </w:p>
        </w:tc>
        <w:tc>
          <w:tcPr>
            <w:tcW w:w="1196" w:type="dxa"/>
            <w:tcBorders>
              <w:top w:val="single" w:sz="4" w:space="0" w:color="auto"/>
              <w:bottom w:val="single" w:sz="12" w:space="0" w:color="auto"/>
            </w:tcBorders>
          </w:tcPr>
          <w:p w14:paraId="5CBD10C2" w14:textId="77777777" w:rsidR="003D3F66" w:rsidRPr="00CD6B52" w:rsidRDefault="003D3F66" w:rsidP="00E340DE">
            <w:pPr>
              <w:pStyle w:val="NoSpacing"/>
              <w:rPr>
                <w:rFonts w:ascii="Times New Roman" w:hAnsi="Times New Roman"/>
              </w:rPr>
            </w:pPr>
            <w:r w:rsidRPr="00CD6B52">
              <w:rPr>
                <w:rFonts w:ascii="Times New Roman" w:hAnsi="Times New Roman"/>
              </w:rPr>
              <w:t>-$481</w:t>
            </w:r>
          </w:p>
        </w:tc>
        <w:tc>
          <w:tcPr>
            <w:tcW w:w="1195" w:type="dxa"/>
            <w:tcBorders>
              <w:top w:val="single" w:sz="4" w:space="0" w:color="auto"/>
              <w:bottom w:val="single" w:sz="12" w:space="0" w:color="auto"/>
              <w:right w:val="single" w:sz="12" w:space="0" w:color="auto"/>
            </w:tcBorders>
          </w:tcPr>
          <w:p w14:paraId="5C38CBD3" w14:textId="77777777" w:rsidR="003D3F66" w:rsidRPr="00CD6B52" w:rsidRDefault="003D3F66" w:rsidP="00E340DE">
            <w:pPr>
              <w:pStyle w:val="NoSpacing"/>
              <w:rPr>
                <w:rFonts w:ascii="Times New Roman" w:hAnsi="Times New Roman"/>
              </w:rPr>
            </w:pPr>
            <w:r w:rsidRPr="00CD6B52">
              <w:rPr>
                <w:rFonts w:ascii="Times New Roman" w:hAnsi="Times New Roman"/>
              </w:rPr>
              <w:t>0.5978</w:t>
            </w:r>
          </w:p>
        </w:tc>
      </w:tr>
    </w:tbl>
    <w:p w14:paraId="61C6D4D6" w14:textId="77777777" w:rsidR="003D3F66" w:rsidRPr="00CD6B52" w:rsidDel="00F76637" w:rsidRDefault="003D3F66" w:rsidP="00E340DE">
      <w:pPr>
        <w:pStyle w:val="NoSpacing"/>
        <w:rPr>
          <w:rFonts w:ascii="Times New Roman" w:eastAsia="Times New Roman" w:hAnsi="Times New Roman"/>
        </w:rPr>
      </w:pPr>
      <w:r w:rsidRPr="00CD6B52" w:rsidDel="00F76637">
        <w:rPr>
          <w:rFonts w:ascii="Times New Roman" w:eastAsia="Times New Roman" w:hAnsi="Times New Roman"/>
        </w:rPr>
        <w:t xml:space="preserve">Note: </w:t>
      </w:r>
      <w:r w:rsidRPr="00CD6B52" w:rsidDel="00F76637">
        <w:rPr>
          <w:rFonts w:ascii="Times New Roman" w:eastAsia="Times New Roman" w:hAnsi="Times New Roman"/>
        </w:rPr>
        <w:tab/>
      </w:r>
      <w:r w:rsidRPr="00CD6B52" w:rsidDel="00F76637">
        <w:rPr>
          <w:rFonts w:ascii="Times New Roman" w:eastAsia="Times New Roman" w:hAnsi="Times New Roman"/>
          <w:vertAlign w:val="superscript"/>
        </w:rPr>
        <w:t>*</w:t>
      </w:r>
      <w:r w:rsidRPr="00CD6B52" w:rsidDel="00F76637">
        <w:rPr>
          <w:rFonts w:ascii="Times New Roman" w:eastAsia="Times New Roman" w:hAnsi="Times New Roman"/>
        </w:rPr>
        <w:t>Decile</w:t>
      </w:r>
      <w:r w:rsidRPr="00CD6B52">
        <w:rPr>
          <w:rFonts w:ascii="Times New Roman" w:eastAsia="Times New Roman" w:hAnsi="Times New Roman"/>
        </w:rPr>
        <w:t>s</w:t>
      </w:r>
      <w:r w:rsidRPr="00CD6B52" w:rsidDel="00F76637">
        <w:rPr>
          <w:rFonts w:ascii="Times New Roman" w:eastAsia="Times New Roman" w:hAnsi="Times New Roman"/>
        </w:rPr>
        <w:t xml:space="preserve"> are based on risk score calculated as ratio of predicted spending over national average predicted spending.</w:t>
      </w:r>
    </w:p>
    <w:p w14:paraId="23E00B28" w14:textId="77777777" w:rsidR="003D3F66" w:rsidRPr="00CD6B52" w:rsidDel="00F76637" w:rsidRDefault="003D3F66" w:rsidP="00E340DE">
      <w:pPr>
        <w:pStyle w:val="NoSpacing"/>
        <w:rPr>
          <w:rFonts w:ascii="Times New Roman" w:eastAsia="Times New Roman" w:hAnsi="Times New Roman"/>
        </w:rPr>
      </w:pPr>
      <w:r w:rsidRPr="00CD6B52" w:rsidDel="00F76637">
        <w:rPr>
          <w:rFonts w:ascii="Times New Roman" w:eastAsia="Times New Roman" w:hAnsi="Times New Roman"/>
          <w:vertAlign w:val="superscript"/>
        </w:rPr>
        <w:t>**</w:t>
      </w:r>
      <w:r w:rsidRPr="00CD6B52" w:rsidDel="00F76637">
        <w:rPr>
          <w:rFonts w:ascii="Times New Roman" w:eastAsia="Times New Roman" w:hAnsi="Times New Roman"/>
        </w:rPr>
        <w:t xml:space="preserve">Predicted spending is the </w:t>
      </w:r>
      <w:r w:rsidRPr="00CD6B52">
        <w:rPr>
          <w:rFonts w:ascii="Times New Roman" w:eastAsia="Times New Roman" w:hAnsi="Times New Roman"/>
        </w:rPr>
        <w:t>W</w:t>
      </w:r>
      <w:r w:rsidRPr="00CD6B52" w:rsidDel="00F76637">
        <w:rPr>
          <w:rFonts w:ascii="Times New Roman" w:eastAsia="Times New Roman" w:hAnsi="Times New Roman"/>
        </w:rPr>
        <w:t>insorized and renormalized predicted value.</w:t>
      </w:r>
    </w:p>
    <w:p w14:paraId="6518C935" w14:textId="77777777" w:rsidR="003D3F66" w:rsidRPr="00CD6B52" w:rsidRDefault="003D3F66" w:rsidP="00E340DE">
      <w:pPr>
        <w:pStyle w:val="NoSpacing"/>
        <w:rPr>
          <w:b/>
        </w:rPr>
      </w:pPr>
    </w:p>
    <w:p w14:paraId="0EE493CC" w14:textId="77777777" w:rsidR="003D3F66" w:rsidRPr="004C5C9D" w:rsidRDefault="003D3F66" w:rsidP="00D902D1">
      <w:pPr>
        <w:autoSpaceDE w:val="0"/>
        <w:autoSpaceDN w:val="0"/>
        <w:adjustRightInd w:val="0"/>
        <w:spacing w:after="0" w:line="240" w:lineRule="auto"/>
        <w:rPr>
          <w:rFonts w:ascii="Times New Roman" w:hAnsi="Times New Roman" w:cs="Times New Roman"/>
          <w:b/>
          <w:bCs/>
          <w:color w:val="0070C0"/>
        </w:rPr>
      </w:pPr>
    </w:p>
    <w:p w14:paraId="0CABCFFF" w14:textId="7ECFB7AA" w:rsidR="00743E46" w:rsidRPr="004C5C9D" w:rsidRDefault="00743E46" w:rsidP="00092566">
      <w:pPr>
        <w:autoSpaceDE w:val="0"/>
        <w:autoSpaceDN w:val="0"/>
        <w:adjustRightInd w:val="0"/>
        <w:spacing w:after="0" w:line="240" w:lineRule="auto"/>
        <w:rPr>
          <w:rFonts w:ascii="Times New Roman" w:hAnsi="Times New Roman" w:cs="Times New Roman"/>
          <w:b/>
        </w:rPr>
      </w:pPr>
    </w:p>
    <w:p w14:paraId="0CABD000" w14:textId="2277C090" w:rsidR="00092566" w:rsidRPr="007B0444" w:rsidRDefault="009C7513" w:rsidP="00092566">
      <w:pPr>
        <w:autoSpaceDE w:val="0"/>
        <w:autoSpaceDN w:val="0"/>
        <w:adjustRightInd w:val="0"/>
        <w:spacing w:after="0" w:line="240" w:lineRule="auto"/>
        <w:rPr>
          <w:rFonts w:cstheme="minorHAnsi"/>
          <w:bCs/>
        </w:rPr>
      </w:pPr>
      <w:bookmarkStart w:id="3" w:name="question2b49"/>
      <w:bookmarkEnd w:id="3"/>
      <w:r w:rsidRPr="007B0444">
        <w:rPr>
          <w:rFonts w:cstheme="minorHAnsi"/>
          <w:b/>
        </w:rPr>
        <w:t>2b3</w:t>
      </w:r>
      <w:r w:rsidR="00743E46" w:rsidRPr="007B0444">
        <w:rPr>
          <w:rFonts w:cstheme="minorHAnsi"/>
          <w:b/>
        </w:rPr>
        <w:t>.9</w:t>
      </w:r>
      <w:r w:rsidR="00001D73" w:rsidRPr="007B0444">
        <w:rPr>
          <w:rFonts w:cstheme="minorHAnsi"/>
          <w:b/>
        </w:rPr>
        <w:t xml:space="preserve">. Results of </w:t>
      </w:r>
      <w:r w:rsidR="00092566" w:rsidRPr="007B0444">
        <w:rPr>
          <w:rFonts w:cstheme="minorHAnsi"/>
          <w:b/>
        </w:rPr>
        <w:t>Risk Stratification Analysis</w:t>
      </w:r>
      <w:r w:rsidR="00092566" w:rsidRPr="007B0444">
        <w:rPr>
          <w:rFonts w:cstheme="minorHAnsi"/>
        </w:rPr>
        <w:t xml:space="preserve">: </w:t>
      </w:r>
      <w:r w:rsidR="00092566" w:rsidRPr="007B0444">
        <w:rPr>
          <w:rFonts w:cstheme="minorHAnsi"/>
          <w:bCs/>
        </w:rPr>
        <w:t xml:space="preserve"> </w:t>
      </w:r>
    </w:p>
    <w:p w14:paraId="14E73705" w14:textId="6B8212AC" w:rsidR="000725A0" w:rsidRPr="004C5C9D" w:rsidRDefault="00D902D1" w:rsidP="00092566">
      <w:pPr>
        <w:autoSpaceDE w:val="0"/>
        <w:autoSpaceDN w:val="0"/>
        <w:adjustRightInd w:val="0"/>
        <w:spacing w:after="0" w:line="240" w:lineRule="auto"/>
        <w:rPr>
          <w:rFonts w:ascii="Times New Roman" w:hAnsi="Times New Roman" w:cs="Times New Roman"/>
          <w:bCs/>
          <w:color w:val="0070C0"/>
        </w:rPr>
      </w:pPr>
      <w:r w:rsidRPr="004C5C9D">
        <w:rPr>
          <w:rFonts w:ascii="Times New Roman" w:hAnsi="Times New Roman" w:cs="Times New Roman"/>
          <w:bCs/>
          <w:color w:val="0070C0"/>
        </w:rPr>
        <w:t>N/A</w:t>
      </w:r>
    </w:p>
    <w:p w14:paraId="053669BA" w14:textId="77777777" w:rsidR="000725A0" w:rsidRPr="007B0444" w:rsidRDefault="000725A0" w:rsidP="000725A0">
      <w:pPr>
        <w:spacing w:after="0" w:line="240" w:lineRule="auto"/>
        <w:rPr>
          <w:rFonts w:cstheme="minorHAnsi"/>
          <w:bCs/>
          <w:color w:val="0070C0"/>
        </w:rPr>
      </w:pPr>
    </w:p>
    <w:p w14:paraId="2EB1548A" w14:textId="2C9C1BD0" w:rsidR="00C36A94" w:rsidRPr="00C93347" w:rsidRDefault="00C427B8" w:rsidP="004D5FA3">
      <w:pPr>
        <w:pStyle w:val="NoSpacing"/>
        <w:rPr>
          <w:rFonts w:ascii="Times New Roman" w:hAnsi="Times New Roman"/>
          <w:color w:val="FF0000"/>
          <w:vertAlign w:val="superscript"/>
        </w:rPr>
      </w:pPr>
      <w:r w:rsidRPr="007B0444">
        <w:rPr>
          <w:rFonts w:cstheme="minorHAnsi"/>
          <w:b/>
          <w:bCs/>
        </w:rPr>
        <w:t xml:space="preserve">2b3.10. </w:t>
      </w:r>
      <w:proofErr w:type="gramStart"/>
      <w:r w:rsidRPr="007B0444">
        <w:rPr>
          <w:rFonts w:cstheme="minorHAnsi"/>
          <w:b/>
          <w:bCs/>
        </w:rPr>
        <w:t>What</w:t>
      </w:r>
      <w:proofErr w:type="gramEnd"/>
      <w:r w:rsidRPr="007B0444">
        <w:rPr>
          <w:rFonts w:cstheme="minorHAnsi"/>
          <w:b/>
          <w:bCs/>
        </w:rPr>
        <w:t xml:space="preserve"> is your interpretation of the results in terms of demonstrating adequacy of controlling for differences in patient characteristics (case mix)?</w:t>
      </w:r>
      <w:r w:rsidRPr="007B0444">
        <w:rPr>
          <w:rFonts w:cstheme="minorHAnsi"/>
          <w:bCs/>
        </w:rPr>
        <w:t xml:space="preserve"> (i</w:t>
      </w:r>
      <w:r w:rsidRPr="007B0444">
        <w:rPr>
          <w:rFonts w:cstheme="minorHAnsi"/>
          <w:bCs/>
          <w:i/>
        </w:rPr>
        <w:t xml:space="preserve">.e., what do the results mean and what are the norms for the test </w:t>
      </w:r>
      <w:proofErr w:type="gramStart"/>
      <w:r w:rsidRPr="007B0444">
        <w:rPr>
          <w:rFonts w:cstheme="minorHAnsi"/>
          <w:bCs/>
          <w:i/>
        </w:rPr>
        <w:t>conducted</w:t>
      </w:r>
      <w:proofErr w:type="gramEnd"/>
      <w:r w:rsidRPr="007B0444">
        <w:rPr>
          <w:rFonts w:cstheme="minorHAnsi"/>
          <w:bCs/>
        </w:rPr>
        <w:t>)</w:t>
      </w:r>
      <w:r w:rsidRPr="007B0444">
        <w:rPr>
          <w:rFonts w:cstheme="minorHAnsi"/>
          <w:bCs/>
        </w:rPr>
        <w:br/>
      </w:r>
      <w:r w:rsidR="00C36A94" w:rsidRPr="00C93347">
        <w:rPr>
          <w:rFonts w:ascii="Times New Roman" w:hAnsi="Times New Roman"/>
          <w:color w:val="FF0000"/>
        </w:rPr>
        <w:t>The R-squared values, which measure the percentage of variation in results predicted by the model, are in line with or higher than the values presented in analyses of similar risk adjustment models.</w:t>
      </w:r>
      <w:r w:rsidR="00C36A94" w:rsidRPr="00C93347">
        <w:rPr>
          <w:rFonts w:ascii="Times New Roman" w:hAnsi="Times New Roman"/>
          <w:color w:val="FF0000"/>
          <w:vertAlign w:val="superscript"/>
        </w:rPr>
        <w:fldChar w:fldCharType="begin"/>
      </w:r>
      <w:r w:rsidR="00C36A94" w:rsidRPr="00C93347">
        <w:rPr>
          <w:rFonts w:ascii="Times New Roman" w:hAnsi="Times New Roman"/>
          <w:color w:val="FF0000"/>
          <w:vertAlign w:val="superscript"/>
        </w:rPr>
        <w:instrText xml:space="preserve"> NOTEREF _Ref44511601 \h  \* MERGEFORMAT </w:instrText>
      </w:r>
      <w:r w:rsidR="00C36A94" w:rsidRPr="00C93347">
        <w:rPr>
          <w:rFonts w:ascii="Times New Roman" w:hAnsi="Times New Roman"/>
          <w:color w:val="FF0000"/>
          <w:vertAlign w:val="superscript"/>
        </w:rPr>
      </w:r>
      <w:r w:rsidR="00C36A94" w:rsidRPr="00C93347">
        <w:rPr>
          <w:rFonts w:ascii="Times New Roman" w:hAnsi="Times New Roman"/>
          <w:color w:val="FF0000"/>
          <w:vertAlign w:val="superscript"/>
        </w:rPr>
        <w:fldChar w:fldCharType="separate"/>
      </w:r>
      <w:r w:rsidR="00C36A94" w:rsidRPr="00C93347">
        <w:rPr>
          <w:rFonts w:ascii="Times New Roman" w:hAnsi="Times New Roman"/>
          <w:color w:val="FF0000"/>
          <w:vertAlign w:val="superscript"/>
        </w:rPr>
        <w:t>18</w:t>
      </w:r>
      <w:r w:rsidR="00C36A94" w:rsidRPr="00C93347">
        <w:rPr>
          <w:rFonts w:ascii="Times New Roman" w:hAnsi="Times New Roman"/>
          <w:color w:val="FF0000"/>
          <w:vertAlign w:val="superscript"/>
        </w:rPr>
        <w:fldChar w:fldCharType="end"/>
      </w:r>
    </w:p>
    <w:p w14:paraId="7BE3B454" w14:textId="77777777" w:rsidR="004D5FA3" w:rsidRPr="00C93347" w:rsidRDefault="004D5FA3" w:rsidP="004D5FA3">
      <w:pPr>
        <w:pStyle w:val="NoSpacing"/>
        <w:rPr>
          <w:rFonts w:ascii="Times New Roman" w:hAnsi="Times New Roman"/>
          <w:color w:val="FF0000"/>
          <w:highlight w:val="green"/>
        </w:rPr>
      </w:pPr>
    </w:p>
    <w:p w14:paraId="2E1A0902" w14:textId="6989FC70" w:rsidR="003D3F66" w:rsidRPr="00C93347" w:rsidRDefault="00C36A94" w:rsidP="004D5FA3">
      <w:pPr>
        <w:pStyle w:val="NoSpacing"/>
        <w:rPr>
          <w:rFonts w:ascii="Times New Roman" w:hAnsi="Times New Roman"/>
          <w:color w:val="FF0000"/>
        </w:rPr>
      </w:pPr>
      <w:r w:rsidRPr="00C93347">
        <w:rPr>
          <w:rFonts w:ascii="Times New Roman" w:hAnsi="Times New Roman"/>
          <w:color w:val="FF0000"/>
        </w:rPr>
        <w:t>T</w:t>
      </w:r>
      <w:r w:rsidR="00BF0A38" w:rsidRPr="00C93347">
        <w:rPr>
          <w:rFonts w:ascii="Times New Roman" w:hAnsi="Times New Roman"/>
          <w:color w:val="FF0000"/>
        </w:rPr>
        <w:t xml:space="preserve">he average O/E cost ratios and the predictive ratios for all risk deciles are close to one. </w:t>
      </w:r>
      <w:r w:rsidR="00D902D1" w:rsidRPr="00C93347">
        <w:rPr>
          <w:rFonts w:ascii="Times New Roman" w:hAnsi="Times New Roman"/>
          <w:color w:val="FF0000"/>
        </w:rPr>
        <w:t>T</w:t>
      </w:r>
      <w:r w:rsidR="00BF0A38" w:rsidRPr="00C93347">
        <w:rPr>
          <w:rFonts w:ascii="Times New Roman" w:hAnsi="Times New Roman"/>
          <w:color w:val="FF0000"/>
        </w:rPr>
        <w:t>he</w:t>
      </w:r>
      <w:r w:rsidR="00D902D1" w:rsidRPr="00C93347">
        <w:rPr>
          <w:rFonts w:ascii="Times New Roman" w:hAnsi="Times New Roman"/>
          <w:color w:val="FF0000"/>
        </w:rPr>
        <w:t>se</w:t>
      </w:r>
      <w:r w:rsidR="00BF0A38" w:rsidRPr="00C93347">
        <w:rPr>
          <w:rFonts w:ascii="Times New Roman" w:hAnsi="Times New Roman"/>
          <w:color w:val="FF0000"/>
        </w:rPr>
        <w:t xml:space="preserve"> results </w:t>
      </w:r>
      <w:r w:rsidR="00D902D1" w:rsidRPr="00C93347">
        <w:rPr>
          <w:rFonts w:ascii="Times New Roman" w:hAnsi="Times New Roman"/>
          <w:color w:val="FF0000"/>
        </w:rPr>
        <w:t xml:space="preserve">indicate </w:t>
      </w:r>
      <w:r w:rsidR="00BF0A38" w:rsidRPr="00C93347">
        <w:rPr>
          <w:rFonts w:ascii="Times New Roman" w:hAnsi="Times New Roman"/>
          <w:color w:val="FF0000"/>
        </w:rPr>
        <w:t>that the model is accurately predicting spending, regardless of overall risk level.</w:t>
      </w:r>
      <w:r w:rsidR="00355B07" w:rsidRPr="00C93347">
        <w:rPr>
          <w:rFonts w:ascii="Times New Roman" w:hAnsi="Times New Roman"/>
          <w:color w:val="FF0000"/>
        </w:rPr>
        <w:t xml:space="preserve"> There was no evidence of excessive under- or over-estimation at the extremes of episode risk.</w:t>
      </w:r>
    </w:p>
    <w:p w14:paraId="6DA653B0" w14:textId="77777777" w:rsidR="004D5FA3" w:rsidRPr="004D5FA3" w:rsidRDefault="004D5FA3" w:rsidP="004D5FA3">
      <w:pPr>
        <w:pStyle w:val="NoSpacing"/>
        <w:rPr>
          <w:color w:val="FF0000"/>
        </w:rPr>
      </w:pPr>
    </w:p>
    <w:p w14:paraId="537EA15F" w14:textId="6EE99492" w:rsidR="003D3F66" w:rsidRPr="00CD6B52" w:rsidRDefault="003D3F66" w:rsidP="004D5FA3">
      <w:pPr>
        <w:pStyle w:val="NoSpacing"/>
        <w:rPr>
          <w:b/>
          <w:bCs/>
        </w:rPr>
      </w:pPr>
      <w:r w:rsidRPr="004D5FA3">
        <w:rPr>
          <w:u w:val="single"/>
        </w:rPr>
        <w:t>Previous Response (2016):</w:t>
      </w:r>
      <w:r w:rsidR="006C3944">
        <w:rPr>
          <w:b/>
          <w:bCs/>
        </w:rPr>
        <w:t xml:space="preserve"> </w:t>
      </w:r>
      <w:r w:rsidRPr="00CD6B52">
        <w:t>The R-squared values for the model, which measure the percentage of variation in results predicted by the model, are in line with or are higher than the values presented in similar analyses of risk adjustment models.</w:t>
      </w:r>
      <w:r w:rsidRPr="00CD6B52">
        <w:rPr>
          <w:rStyle w:val="FootnoteReference"/>
          <w:rFonts w:ascii="Times New Roman" w:eastAsia="Times New Roman" w:hAnsi="Times New Roman"/>
        </w:rPr>
        <w:footnoteReference w:id="56"/>
      </w:r>
    </w:p>
    <w:p w14:paraId="3C01A244" w14:textId="5CED2B12" w:rsidR="003D3F66" w:rsidRPr="00CD6B52" w:rsidRDefault="003D3F66" w:rsidP="004D5FA3">
      <w:pPr>
        <w:pStyle w:val="NoSpacing"/>
        <w:numPr>
          <w:ilvl w:val="0"/>
          <w:numId w:val="19"/>
        </w:numPr>
      </w:pPr>
      <w:r w:rsidRPr="00CD6B52">
        <w:t>Evaluate options for look-back periods: As both the model fit and number of episodes included decrease when moving to a 365 day window for calculating comorbidities, the MSPB-Hospital risk adjustment model appropriately uses a 90 day period.</w:t>
      </w:r>
    </w:p>
    <w:p w14:paraId="25BAD2A3" w14:textId="07F3CB7C" w:rsidR="003D3F66" w:rsidRPr="00CD6B52" w:rsidRDefault="003D3F66" w:rsidP="004D5FA3">
      <w:pPr>
        <w:pStyle w:val="NoSpacing"/>
        <w:numPr>
          <w:ilvl w:val="0"/>
          <w:numId w:val="19"/>
        </w:numPr>
      </w:pPr>
      <w:r w:rsidRPr="00CD6B52">
        <w:t>Evaluate options for stratification of risk adjustment model: These numbers justify the continued use of stratifying by MDC because: (i) the improvement in R-squared is very small when moving to the MDC/Institutional Status specification, (ii) increasing the number of stratifications by including institutional status increases the risk of over-fitting, especially for MDCs with relatively few admissions, and (iii) more variables are statistically significant predictors in the MDC model as determined by a p-value of less than 0.1, which is generally accepted as statistically significant.</w:t>
      </w:r>
    </w:p>
    <w:p w14:paraId="3744C125" w14:textId="555D5CEE" w:rsidR="003D3F66" w:rsidRPr="00CD6B52" w:rsidRDefault="003D3F66" w:rsidP="004D5FA3">
      <w:pPr>
        <w:pStyle w:val="NoSpacing"/>
        <w:numPr>
          <w:ilvl w:val="0"/>
          <w:numId w:val="19"/>
        </w:numPr>
      </w:pPr>
      <w:r w:rsidRPr="00CD6B52">
        <w:lastRenderedPageBreak/>
        <w:t>Evaluate the validity of the risk adjustment model: The risk decile table shows that the risk adjustment model has consistent predicted spending for all deciles.  Predictive ratios close to 1 indicate that expected spending is accurately predicting observed spending.  The maximum variation from 1 is in the tenth decile, with a predictive ratio of 1.011.  Overall, this table shows that the model is accurately predicting observed spending, regardless of decile.</w:t>
      </w:r>
      <w:r w:rsidR="004D5FA3">
        <w:t xml:space="preserve"> </w:t>
      </w:r>
      <w:r w:rsidRPr="00CD6B52">
        <w:t>A larger 90/10 ratio shows that the distribution of costs has a wider spread.  This is an effective measure of dispersion, as compared to the standard deviation, because episode costs are skewed towards high-cost outliers.  The 90/10 ratio, dropping by 45% and 48% for the ratio and residual calculations, respectively, does show that the risk adjustment for the MSPB-Hospital measure effectively reduces the dispersion in episode spending.  Other investigations of the 90/10 ratio have found reductions of dispersion ranging from 20% to 48%.</w:t>
      </w:r>
      <w:r w:rsidRPr="00CD6B52">
        <w:rPr>
          <w:rStyle w:val="FootnoteReference"/>
          <w:rFonts w:eastAsia="Times New Roman"/>
        </w:rPr>
        <w:footnoteReference w:id="57"/>
      </w:r>
      <w:r w:rsidRPr="00CD6B52">
        <w:t xml:space="preserve">  This shows that the risk adjustment model does account for high-cost episodes and controls for the variance in observed spending.</w:t>
      </w:r>
    </w:p>
    <w:p w14:paraId="1B971853" w14:textId="77777777" w:rsidR="003D3F66" w:rsidRPr="00CD6B52" w:rsidRDefault="003D3F66" w:rsidP="004D5FA3">
      <w:pPr>
        <w:pStyle w:val="NoSpacing"/>
        <w:rPr>
          <w:b/>
          <w:u w:val="single"/>
        </w:rPr>
      </w:pPr>
    </w:p>
    <w:p w14:paraId="04D288F9" w14:textId="09060FF0" w:rsidR="006C3944" w:rsidRPr="004D5FA3" w:rsidRDefault="003D3F66" w:rsidP="004D5FA3">
      <w:pPr>
        <w:pStyle w:val="NoSpacing"/>
        <w:rPr>
          <w:bCs/>
          <w:u w:val="single"/>
        </w:rPr>
      </w:pPr>
      <w:r w:rsidRPr="004D5FA3">
        <w:rPr>
          <w:bCs/>
          <w:u w:val="single"/>
        </w:rPr>
        <w:t xml:space="preserve">Previous </w:t>
      </w:r>
      <w:r w:rsidR="006C3944" w:rsidRPr="004D5FA3">
        <w:rPr>
          <w:bCs/>
          <w:u w:val="single"/>
        </w:rPr>
        <w:t>R</w:t>
      </w:r>
      <w:r w:rsidRPr="004D5FA3">
        <w:rPr>
          <w:bCs/>
          <w:u w:val="single"/>
        </w:rPr>
        <w:t>esponse (2013):</w:t>
      </w:r>
    </w:p>
    <w:p w14:paraId="48730B20" w14:textId="0148E1D4" w:rsidR="006C3944" w:rsidRDefault="003D3F66" w:rsidP="004D5FA3">
      <w:pPr>
        <w:pStyle w:val="NoSpacing"/>
        <w:numPr>
          <w:ilvl w:val="0"/>
          <w:numId w:val="20"/>
        </w:numPr>
      </w:pPr>
      <w:r w:rsidRPr="00CD6B52">
        <w:t>Assessing the use of one year of data prior to the index admission to calculate comorbidities in the risk adjustment methodology rather than 90 days: When the FFS continuous enrollment requirement starts from 365 days prior to the start of the episode instead of 90 days prior to the start of the episode, there is no trade-off between the number of episodes included in the MSPB Measure and the model fit.  In fact, both the number of episodes included and the model fit decrease (i.e., get worse)</w:t>
      </w:r>
      <w:r w:rsidR="006C3944">
        <w:t xml:space="preserve">. </w:t>
      </w:r>
    </w:p>
    <w:p w14:paraId="7C782506" w14:textId="1E9CF82C" w:rsidR="006C3944" w:rsidRDefault="006C3944" w:rsidP="004D5FA3">
      <w:pPr>
        <w:pStyle w:val="NoSpacing"/>
        <w:numPr>
          <w:ilvl w:val="0"/>
          <w:numId w:val="20"/>
        </w:numPr>
      </w:pPr>
      <w:r w:rsidRPr="006C3944">
        <w:t>E</w:t>
      </w:r>
      <w:r w:rsidR="003D3F66" w:rsidRPr="00CD6B52">
        <w:t xml:space="preserve">valuating options for stratifying the risk adjustment model (e.g., by MDC, MDC/Institutional Status): The R-squared between the different options for stratifying the risk-adjustment model are comparable, indicating that the output is not very different.  However, when separate regressions for the community/institutional model or the MED/SURG MDC model are run, degrees of freedom are lost and may cause over-fitting of the model. </w:t>
      </w:r>
    </w:p>
    <w:p w14:paraId="4C9BE4E7" w14:textId="2C3FB203" w:rsidR="003D3F66" w:rsidRPr="00CD6B52" w:rsidRDefault="003D3F66" w:rsidP="004D5FA3">
      <w:pPr>
        <w:pStyle w:val="NoSpacing"/>
        <w:numPr>
          <w:ilvl w:val="0"/>
          <w:numId w:val="20"/>
        </w:numPr>
      </w:pPr>
      <w:r w:rsidRPr="00CD6B52">
        <w:t>Calculate the distribution of episode spending and R-squared by decile to show that the MSPB risk adjustment methodology does equally well predicting spending through all values of the model: Based on the distribution of spending and R-squared by decile, we believe that the MSPB risk-adjustment methodology is robust and fit consistently across deciles.</w:t>
      </w:r>
    </w:p>
    <w:p w14:paraId="03223CAE" w14:textId="77777777" w:rsidR="003D3F66" w:rsidRPr="00CD6B52" w:rsidRDefault="003D3F66" w:rsidP="00132B53">
      <w:pPr>
        <w:spacing w:line="240" w:lineRule="auto"/>
        <w:rPr>
          <w:rFonts w:ascii="Times New Roman" w:hAnsi="Times New Roman" w:cs="Times New Roman"/>
        </w:rPr>
      </w:pPr>
    </w:p>
    <w:p w14:paraId="0CABD004" w14:textId="2586C8E1" w:rsidR="00021170" w:rsidRDefault="009C7513" w:rsidP="009B1A15">
      <w:pPr>
        <w:spacing w:after="0" w:line="240" w:lineRule="auto"/>
        <w:rPr>
          <w:rFonts w:cstheme="minorHAnsi"/>
        </w:rPr>
      </w:pPr>
      <w:r w:rsidRPr="007B0444">
        <w:rPr>
          <w:rFonts w:cstheme="minorHAnsi"/>
          <w:b/>
        </w:rPr>
        <w:t>2b3</w:t>
      </w:r>
      <w:r w:rsidR="009B1A15" w:rsidRPr="007B0444">
        <w:rPr>
          <w:rFonts w:cstheme="minorHAnsi"/>
          <w:b/>
        </w:rPr>
        <w:t>.11.</w:t>
      </w:r>
      <w:r w:rsidR="009B1A15" w:rsidRPr="007B0444">
        <w:rPr>
          <w:rFonts w:cstheme="minorHAnsi"/>
        </w:rPr>
        <w:t xml:space="preserve"> </w:t>
      </w:r>
      <w:r w:rsidR="00092566" w:rsidRPr="007B0444">
        <w:rPr>
          <w:rFonts w:cstheme="minorHAnsi"/>
          <w:b/>
        </w:rPr>
        <w:t>Optional</w:t>
      </w:r>
      <w:r w:rsidR="009B1A15" w:rsidRPr="007B0444">
        <w:rPr>
          <w:rFonts w:cstheme="minorHAnsi"/>
          <w:b/>
        </w:rPr>
        <w:t xml:space="preserve"> Additional Testing</w:t>
      </w:r>
      <w:r w:rsidR="004756E1" w:rsidRPr="007B0444">
        <w:rPr>
          <w:rFonts w:cstheme="minorHAnsi"/>
          <w:b/>
        </w:rPr>
        <w:t xml:space="preserve"> for Risk Adjustment</w:t>
      </w:r>
      <w:r w:rsidR="00092566" w:rsidRPr="007B0444">
        <w:rPr>
          <w:rFonts w:cstheme="minorHAnsi"/>
          <w:b/>
        </w:rPr>
        <w:t xml:space="preserve"> </w:t>
      </w:r>
      <w:r w:rsidR="00092566" w:rsidRPr="007B0444">
        <w:rPr>
          <w:rFonts w:cstheme="minorHAnsi"/>
        </w:rPr>
        <w:t>(</w:t>
      </w:r>
      <w:r w:rsidR="00092566" w:rsidRPr="007B0444">
        <w:rPr>
          <w:rFonts w:cstheme="minorHAnsi"/>
          <w:i/>
          <w:u w:val="single"/>
        </w:rPr>
        <w:t>not required</w:t>
      </w:r>
      <w:r w:rsidR="00092566" w:rsidRPr="007B0444">
        <w:rPr>
          <w:rFonts w:cstheme="minorHAnsi"/>
          <w:i/>
        </w:rPr>
        <w:t>, but would provide additional support of adequacy of risk model</w:t>
      </w:r>
      <w:r w:rsidR="009B1A15" w:rsidRPr="007B0444">
        <w:rPr>
          <w:rFonts w:cstheme="minorHAnsi"/>
          <w:i/>
        </w:rPr>
        <w:t>, e.g., testing of risk model in another data se</w:t>
      </w:r>
      <w:r w:rsidR="002408E4" w:rsidRPr="007B0444">
        <w:rPr>
          <w:rFonts w:cstheme="minorHAnsi"/>
          <w:i/>
        </w:rPr>
        <w:t>t</w:t>
      </w:r>
      <w:r w:rsidR="009B1A15" w:rsidRPr="007B0444">
        <w:rPr>
          <w:rFonts w:cstheme="minorHAnsi"/>
          <w:i/>
        </w:rPr>
        <w:t>; sensitivity analysis for missing data</w:t>
      </w:r>
      <w:r w:rsidR="002408E4" w:rsidRPr="007B0444">
        <w:rPr>
          <w:rFonts w:cstheme="minorHAnsi"/>
          <w:i/>
        </w:rPr>
        <w:t>;</w:t>
      </w:r>
      <w:r w:rsidR="009B1A15" w:rsidRPr="007B0444">
        <w:rPr>
          <w:rFonts w:cstheme="minorHAnsi"/>
          <w:i/>
        </w:rPr>
        <w:t xml:space="preserve"> other methods</w:t>
      </w:r>
      <w:r w:rsidR="008F7E67" w:rsidRPr="007B0444">
        <w:rPr>
          <w:rFonts w:cstheme="minorHAnsi"/>
          <w:i/>
        </w:rPr>
        <w:t xml:space="preserve"> that were assessed</w:t>
      </w:r>
      <w:r w:rsidR="009B1A15" w:rsidRPr="007B0444">
        <w:rPr>
          <w:rFonts w:cstheme="minorHAnsi"/>
        </w:rPr>
        <w:t>)</w:t>
      </w:r>
    </w:p>
    <w:p w14:paraId="0CABD005" w14:textId="0967A4B3" w:rsidR="003755CB" w:rsidRPr="004D5FA3" w:rsidRDefault="00C67E5D" w:rsidP="004D5FA3">
      <w:pPr>
        <w:pStyle w:val="NoSpacing"/>
        <w:rPr>
          <w:color w:val="FF0000"/>
        </w:rPr>
      </w:pPr>
      <w:r w:rsidRPr="004D5FA3">
        <w:rPr>
          <w:color w:val="FF0000"/>
        </w:rPr>
        <w:t>N/A</w:t>
      </w:r>
    </w:p>
    <w:p w14:paraId="682627D7" w14:textId="1AD34185" w:rsidR="003D3F66" w:rsidRPr="00CD6B52" w:rsidRDefault="003D3F66" w:rsidP="004D5FA3">
      <w:pPr>
        <w:pStyle w:val="NoSpacing"/>
        <w:rPr>
          <w:b/>
          <w:bCs/>
          <w:color w:val="0070C0"/>
          <w:u w:val="single"/>
        </w:rPr>
      </w:pPr>
    </w:p>
    <w:p w14:paraId="53034C36" w14:textId="229CF090" w:rsidR="003D3F66" w:rsidRDefault="003D3F66" w:rsidP="004D5FA3">
      <w:pPr>
        <w:pStyle w:val="NoSpacing"/>
      </w:pPr>
      <w:r w:rsidRPr="004D5FA3">
        <w:rPr>
          <w:u w:val="single"/>
        </w:rPr>
        <w:t>Previous Response (2016):</w:t>
      </w:r>
      <w:r w:rsidRPr="00CD6B52">
        <w:rPr>
          <w:b/>
          <w:bCs/>
        </w:rPr>
        <w:t xml:space="preserve"> </w:t>
      </w:r>
      <w:r w:rsidRPr="00CD6B52">
        <w:t>N/A</w:t>
      </w:r>
    </w:p>
    <w:p w14:paraId="79C5851F" w14:textId="77777777" w:rsidR="004D5FA3" w:rsidRPr="00CD6B52" w:rsidRDefault="004D5FA3" w:rsidP="004D5FA3">
      <w:pPr>
        <w:pStyle w:val="NoSpacing"/>
      </w:pPr>
    </w:p>
    <w:p w14:paraId="5FE1BFC6" w14:textId="02BEB9E9" w:rsidR="003D3F66" w:rsidRPr="00CD6B52" w:rsidRDefault="003D3F66" w:rsidP="004D5FA3">
      <w:pPr>
        <w:pStyle w:val="NoSpacing"/>
        <w:rPr>
          <w:iCs/>
        </w:rPr>
      </w:pPr>
      <w:r w:rsidRPr="004D5FA3">
        <w:rPr>
          <w:bCs/>
          <w:iCs/>
          <w:u w:val="single"/>
        </w:rPr>
        <w:t>Previous Response (2013):</w:t>
      </w:r>
      <w:r w:rsidRPr="00CD6B52">
        <w:rPr>
          <w:b/>
          <w:iCs/>
        </w:rPr>
        <w:t xml:space="preserve"> </w:t>
      </w:r>
      <w:r w:rsidRPr="00CD6B52">
        <w:rPr>
          <w:iCs/>
        </w:rPr>
        <w:t>Limited additional testing was performed because the MSPB Measure risk-adjustment methodology is intended to closely follow the established and extensively tested CMS-HCC risk-adjustment methodology.  As previously discussed, however, we did test stratifying the model by MDC/Institutional Status rather than just stratifying the model by MDC.  We also tested different look-back periods from the current 90 days.</w:t>
      </w:r>
    </w:p>
    <w:p w14:paraId="358539B3" w14:textId="77777777" w:rsidR="003D3F66" w:rsidRPr="00CD6B52" w:rsidRDefault="003D3F66" w:rsidP="004D5FA3">
      <w:pPr>
        <w:pStyle w:val="NoSpacing"/>
      </w:pPr>
    </w:p>
    <w:p w14:paraId="0CABD006" w14:textId="77777777" w:rsidR="00D61410" w:rsidRPr="007B0444" w:rsidRDefault="00D61410" w:rsidP="00D61410">
      <w:pPr>
        <w:autoSpaceDE w:val="0"/>
        <w:autoSpaceDN w:val="0"/>
        <w:adjustRightInd w:val="0"/>
        <w:spacing w:after="0" w:line="240" w:lineRule="auto"/>
        <w:rPr>
          <w:rFonts w:cstheme="minorHAnsi"/>
          <w:bCs/>
        </w:rPr>
      </w:pPr>
      <w:r w:rsidRPr="007B0444">
        <w:rPr>
          <w:rFonts w:cstheme="minorHAnsi"/>
          <w:bCs/>
        </w:rPr>
        <w:lastRenderedPageBreak/>
        <w:t>_______________________</w:t>
      </w:r>
    </w:p>
    <w:p w14:paraId="0CABD007" w14:textId="2123B75E" w:rsidR="00D61410" w:rsidRPr="007B0444" w:rsidRDefault="009C7513" w:rsidP="00D61410">
      <w:pPr>
        <w:autoSpaceDE w:val="0"/>
        <w:autoSpaceDN w:val="0"/>
        <w:adjustRightInd w:val="0"/>
        <w:spacing w:after="0" w:line="240" w:lineRule="auto"/>
        <w:rPr>
          <w:rFonts w:cstheme="minorHAnsi"/>
          <w:b/>
          <w:bCs/>
        </w:rPr>
      </w:pPr>
      <w:bookmarkStart w:id="4" w:name="section2b5"/>
      <w:bookmarkEnd w:id="4"/>
      <w:r w:rsidRPr="007B0444">
        <w:rPr>
          <w:rFonts w:cstheme="minorHAnsi"/>
          <w:b/>
          <w:bCs/>
        </w:rPr>
        <w:t>2b4</w:t>
      </w:r>
      <w:r w:rsidR="00D61410" w:rsidRPr="007B0444">
        <w:rPr>
          <w:rFonts w:cstheme="minorHAnsi"/>
          <w:b/>
          <w:bCs/>
        </w:rPr>
        <w:t>. IDENTIFICATION OF STATISTICALLY SIGNIFICANT &amp; MEANINGFUL DIFFERENCES IN PERFORMANCE</w:t>
      </w:r>
    </w:p>
    <w:p w14:paraId="2F6BA2AE" w14:textId="77777777" w:rsidR="004D5FA3" w:rsidRDefault="009C7513" w:rsidP="004D5FA3">
      <w:pPr>
        <w:pStyle w:val="NoSpacing"/>
        <w:rPr>
          <w:rFonts w:cstheme="minorHAnsi"/>
          <w:bCs/>
          <w:i/>
        </w:rPr>
      </w:pPr>
      <w:r w:rsidRPr="007B0444">
        <w:rPr>
          <w:rFonts w:cstheme="minorHAnsi"/>
          <w:b/>
          <w:bCs/>
        </w:rPr>
        <w:t>2b4</w:t>
      </w:r>
      <w:r w:rsidR="00D61410" w:rsidRPr="007B0444">
        <w:rPr>
          <w:rFonts w:cstheme="minorHAnsi"/>
          <w:b/>
          <w:bCs/>
        </w:rPr>
        <w:t>.1. Describe the method for determining if statistically significant and clinically/practically meaningful differences in performance measure scores among the measured entities can be identified</w:t>
      </w:r>
      <w:r w:rsidR="00D61410" w:rsidRPr="007B0444">
        <w:rPr>
          <w:rFonts w:cstheme="minorHAnsi"/>
          <w:bCs/>
        </w:rPr>
        <w:t xml:space="preserve"> (</w:t>
      </w:r>
      <w:r w:rsidR="00D61410" w:rsidRPr="007B0444">
        <w:rPr>
          <w:rFonts w:cstheme="minorHAnsi"/>
          <w:bCs/>
          <w:i/>
        </w:rPr>
        <w:t xml:space="preserve">describe the steps―do not just name a method; what statistical analysis was used? Do not just repeat the information provided related to performance gap in 1b) </w:t>
      </w:r>
    </w:p>
    <w:p w14:paraId="4402E651" w14:textId="2546FD2E" w:rsidR="00B07986" w:rsidRPr="00C93347" w:rsidRDefault="00D61410" w:rsidP="004D5FA3">
      <w:pPr>
        <w:pStyle w:val="NoSpacing"/>
        <w:rPr>
          <w:rFonts w:ascii="Times New Roman" w:hAnsi="Times New Roman"/>
          <w:color w:val="FF0000"/>
        </w:rPr>
      </w:pPr>
      <w:r w:rsidRPr="007B0444">
        <w:rPr>
          <w:rFonts w:cstheme="minorHAnsi"/>
          <w:bCs/>
        </w:rPr>
        <w:br/>
      </w:r>
      <w:r w:rsidR="00C307F4" w:rsidRPr="00C93347">
        <w:rPr>
          <w:rFonts w:ascii="Times New Roman" w:hAnsi="Times New Roman"/>
          <w:color w:val="FF0000"/>
        </w:rPr>
        <w:t xml:space="preserve">We </w:t>
      </w:r>
      <w:r w:rsidR="00160F95" w:rsidRPr="00C93347">
        <w:rPr>
          <w:rFonts w:ascii="Times New Roman" w:hAnsi="Times New Roman"/>
          <w:color w:val="FF0000"/>
        </w:rPr>
        <w:t xml:space="preserve">examined the measure score distribution across all </w:t>
      </w:r>
      <w:r w:rsidR="003F315F" w:rsidRPr="00C93347">
        <w:rPr>
          <w:rFonts w:ascii="Times New Roman" w:hAnsi="Times New Roman"/>
          <w:color w:val="FF0000"/>
        </w:rPr>
        <w:t xml:space="preserve">hospitals and by hospital characteristics. </w:t>
      </w:r>
      <w:r w:rsidR="00160F95" w:rsidRPr="00C93347">
        <w:rPr>
          <w:rFonts w:ascii="Times New Roman" w:hAnsi="Times New Roman"/>
          <w:color w:val="FF0000"/>
        </w:rPr>
        <w:t xml:space="preserve">Specifically, we </w:t>
      </w:r>
      <w:r w:rsidR="003F315F" w:rsidRPr="00C93347">
        <w:rPr>
          <w:rFonts w:ascii="Times New Roman" w:hAnsi="Times New Roman"/>
          <w:color w:val="FF0000"/>
        </w:rPr>
        <w:t xml:space="preserve">examined measure scores for all hospitals, hospital </w:t>
      </w:r>
      <w:r w:rsidR="00C67E5D" w:rsidRPr="00C93347">
        <w:rPr>
          <w:rFonts w:ascii="Times New Roman" w:hAnsi="Times New Roman"/>
          <w:color w:val="FF0000"/>
        </w:rPr>
        <w:t>urban</w:t>
      </w:r>
      <w:r w:rsidR="003F315F" w:rsidRPr="00C93347">
        <w:rPr>
          <w:rFonts w:ascii="Times New Roman" w:hAnsi="Times New Roman"/>
          <w:color w:val="FF0000"/>
        </w:rPr>
        <w:t xml:space="preserve"> designation, hospital urban designation and bed size, </w:t>
      </w:r>
      <w:r w:rsidR="00772163" w:rsidRPr="00C93347">
        <w:rPr>
          <w:rFonts w:ascii="Times New Roman" w:hAnsi="Times New Roman"/>
          <w:color w:val="FF0000"/>
        </w:rPr>
        <w:t xml:space="preserve">Core-based statistical area (CBSA) </w:t>
      </w:r>
      <w:r w:rsidR="00160F95" w:rsidRPr="00C93347">
        <w:rPr>
          <w:rFonts w:ascii="Times New Roman" w:hAnsi="Times New Roman"/>
          <w:color w:val="FF0000"/>
        </w:rPr>
        <w:t xml:space="preserve">region, </w:t>
      </w:r>
      <w:r w:rsidR="003F315F" w:rsidRPr="00C93347">
        <w:rPr>
          <w:rFonts w:ascii="Times New Roman" w:hAnsi="Times New Roman"/>
          <w:color w:val="FF0000"/>
        </w:rPr>
        <w:t xml:space="preserve">ranges of </w:t>
      </w:r>
      <w:r w:rsidR="00160F95" w:rsidRPr="00C93347">
        <w:rPr>
          <w:rFonts w:ascii="Times New Roman" w:hAnsi="Times New Roman"/>
          <w:color w:val="FF0000"/>
        </w:rPr>
        <w:t xml:space="preserve">disproportionate share </w:t>
      </w:r>
      <w:r w:rsidR="003F315F" w:rsidRPr="00C93347">
        <w:rPr>
          <w:rFonts w:ascii="Times New Roman" w:hAnsi="Times New Roman"/>
          <w:color w:val="FF0000"/>
        </w:rPr>
        <w:t>hospital (DSH) patient percentages</w:t>
      </w:r>
      <w:r w:rsidR="00160F95" w:rsidRPr="00C93347">
        <w:rPr>
          <w:rFonts w:ascii="Times New Roman" w:hAnsi="Times New Roman"/>
          <w:color w:val="FF0000"/>
        </w:rPr>
        <w:t xml:space="preserve">, safety-net </w:t>
      </w:r>
      <w:r w:rsidR="003F315F" w:rsidRPr="00C93347">
        <w:rPr>
          <w:rFonts w:ascii="Times New Roman" w:hAnsi="Times New Roman"/>
          <w:color w:val="FF0000"/>
        </w:rPr>
        <w:t>designation</w:t>
      </w:r>
      <w:r w:rsidR="00160F95" w:rsidRPr="00C93347">
        <w:rPr>
          <w:rFonts w:ascii="Times New Roman" w:hAnsi="Times New Roman"/>
          <w:color w:val="FF0000"/>
        </w:rPr>
        <w:t xml:space="preserve"> </w:t>
      </w:r>
      <w:r w:rsidR="00AE0F10" w:rsidRPr="00C93347">
        <w:rPr>
          <w:rFonts w:ascii="Times New Roman" w:hAnsi="Times New Roman"/>
          <w:color w:val="FF0000"/>
        </w:rPr>
        <w:t>-</w:t>
      </w:r>
      <w:r w:rsidR="003F315F" w:rsidRPr="00C93347">
        <w:rPr>
          <w:rFonts w:ascii="Times New Roman" w:hAnsi="Times New Roman"/>
          <w:color w:val="FF0000"/>
        </w:rPr>
        <w:t xml:space="preserve"> defined as the top quartile of DS</w:t>
      </w:r>
      <w:r w:rsidR="00AE0F10" w:rsidRPr="00C93347">
        <w:rPr>
          <w:rFonts w:ascii="Times New Roman" w:hAnsi="Times New Roman"/>
          <w:color w:val="FF0000"/>
        </w:rPr>
        <w:t>H</w:t>
      </w:r>
      <w:r w:rsidR="003F315F" w:rsidRPr="00C93347">
        <w:rPr>
          <w:rFonts w:ascii="Times New Roman" w:hAnsi="Times New Roman"/>
          <w:color w:val="FF0000"/>
        </w:rPr>
        <w:t xml:space="preserve"> patient percentage distribution across hospitals nationwide, teaching hospital designation, and ranges of Medicare days as a percent of total inpatient days</w:t>
      </w:r>
      <w:r w:rsidR="00AE0F10" w:rsidRPr="00C93347">
        <w:rPr>
          <w:rFonts w:ascii="Times New Roman" w:hAnsi="Times New Roman"/>
          <w:color w:val="FF0000"/>
        </w:rPr>
        <w:t xml:space="preserve">. </w:t>
      </w:r>
      <w:r w:rsidR="00160F95" w:rsidRPr="00C93347">
        <w:rPr>
          <w:rFonts w:ascii="Times New Roman" w:hAnsi="Times New Roman"/>
          <w:color w:val="FF0000"/>
        </w:rPr>
        <w:t xml:space="preserve"> </w:t>
      </w:r>
      <w:r w:rsidR="00C307F4" w:rsidRPr="00C93347">
        <w:rPr>
          <w:rFonts w:ascii="Times New Roman" w:hAnsi="Times New Roman"/>
          <w:color w:val="FF0000"/>
        </w:rPr>
        <w:t xml:space="preserve"> </w:t>
      </w:r>
      <w:r w:rsidR="00266733" w:rsidRPr="00C93347">
        <w:rPr>
          <w:rFonts w:ascii="Times New Roman" w:hAnsi="Times New Roman"/>
          <w:color w:val="FF0000"/>
        </w:rPr>
        <w:t xml:space="preserve"> </w:t>
      </w:r>
    </w:p>
    <w:p w14:paraId="49D25656" w14:textId="77777777" w:rsidR="004D5FA3" w:rsidRPr="00C93347" w:rsidRDefault="004D5FA3" w:rsidP="004D5FA3">
      <w:pPr>
        <w:pStyle w:val="NoSpacing"/>
        <w:rPr>
          <w:rFonts w:ascii="Times New Roman" w:hAnsi="Times New Roman"/>
          <w:color w:val="FF0000"/>
        </w:rPr>
      </w:pPr>
    </w:p>
    <w:p w14:paraId="24A548B5" w14:textId="15E67852" w:rsidR="003D3F66" w:rsidRPr="00C93347" w:rsidRDefault="00B07986" w:rsidP="004D5FA3">
      <w:pPr>
        <w:pStyle w:val="NoSpacing"/>
        <w:rPr>
          <w:rFonts w:ascii="Times New Roman" w:hAnsi="Times New Roman"/>
          <w:color w:val="FF0000"/>
        </w:rPr>
      </w:pPr>
      <w:r w:rsidRPr="00C93347">
        <w:rPr>
          <w:rFonts w:ascii="Times New Roman" w:hAnsi="Times New Roman"/>
          <w:color w:val="FF0000"/>
        </w:rPr>
        <w:t xml:space="preserve">Given </w:t>
      </w:r>
      <w:r w:rsidR="007672E4" w:rsidRPr="00C93347">
        <w:rPr>
          <w:rFonts w:ascii="Times New Roman" w:hAnsi="Times New Roman"/>
          <w:color w:val="FF0000"/>
        </w:rPr>
        <w:t>the distribution of</w:t>
      </w:r>
      <w:r w:rsidRPr="00C93347">
        <w:rPr>
          <w:rFonts w:ascii="Times New Roman" w:hAnsi="Times New Roman"/>
          <w:color w:val="FF0000"/>
        </w:rPr>
        <w:t xml:space="preserve"> Medicare payments </w:t>
      </w:r>
      <w:r w:rsidR="007672E4" w:rsidRPr="00C93347">
        <w:rPr>
          <w:rFonts w:ascii="Times New Roman" w:hAnsi="Times New Roman"/>
          <w:color w:val="FF0000"/>
        </w:rPr>
        <w:t xml:space="preserve">across hospital characteristics </w:t>
      </w:r>
      <w:r w:rsidRPr="00C93347">
        <w:rPr>
          <w:rFonts w:ascii="Times New Roman" w:hAnsi="Times New Roman"/>
          <w:color w:val="FF0000"/>
        </w:rPr>
        <w:t>in recent years</w:t>
      </w:r>
      <w:r w:rsidR="007672E4" w:rsidRPr="00C93347">
        <w:rPr>
          <w:rFonts w:ascii="Times New Roman" w:hAnsi="Times New Roman"/>
          <w:color w:val="FF0000"/>
        </w:rPr>
        <w:t xml:space="preserve"> and existing literature</w:t>
      </w:r>
      <w:r w:rsidRPr="00C93347">
        <w:rPr>
          <w:rFonts w:ascii="Times New Roman" w:hAnsi="Times New Roman"/>
          <w:color w:val="FF0000"/>
        </w:rPr>
        <w:t>, w</w:t>
      </w:r>
      <w:r w:rsidR="00AE0F10" w:rsidRPr="00C93347">
        <w:rPr>
          <w:rFonts w:ascii="Times New Roman" w:hAnsi="Times New Roman"/>
          <w:color w:val="FF0000"/>
        </w:rPr>
        <w:t>e would expect hospitals with urban location designations</w:t>
      </w:r>
      <w:r w:rsidR="007672E4" w:rsidRPr="00C93347">
        <w:rPr>
          <w:rFonts w:ascii="Times New Roman" w:hAnsi="Times New Roman"/>
          <w:color w:val="FF0000"/>
        </w:rPr>
        <w:t xml:space="preserve"> to evidence higher MSPB Hospital measure scores relative to their counterparts.</w:t>
      </w:r>
      <w:r w:rsidR="00573D8E" w:rsidRPr="00C93347">
        <w:rPr>
          <w:rFonts w:ascii="Times New Roman" w:hAnsi="Times New Roman"/>
          <w:color w:val="FF0000"/>
          <w:vertAlign w:val="superscript"/>
        </w:rPr>
        <w:fldChar w:fldCharType="begin"/>
      </w:r>
      <w:r w:rsidR="00573D8E" w:rsidRPr="00C93347">
        <w:rPr>
          <w:rFonts w:ascii="Times New Roman" w:hAnsi="Times New Roman"/>
          <w:color w:val="FF0000"/>
          <w:vertAlign w:val="superscript"/>
        </w:rPr>
        <w:instrText xml:space="preserve"> NOTEREF _Ref44592274 \h  \* MERGEFORMAT </w:instrText>
      </w:r>
      <w:r w:rsidR="00573D8E" w:rsidRPr="00C93347">
        <w:rPr>
          <w:rFonts w:ascii="Times New Roman" w:hAnsi="Times New Roman"/>
          <w:color w:val="FF0000"/>
          <w:vertAlign w:val="superscript"/>
        </w:rPr>
      </w:r>
      <w:r w:rsidR="00573D8E" w:rsidRPr="00C93347">
        <w:rPr>
          <w:rFonts w:ascii="Times New Roman" w:hAnsi="Times New Roman"/>
          <w:color w:val="FF0000"/>
          <w:vertAlign w:val="superscript"/>
        </w:rPr>
        <w:fldChar w:fldCharType="separate"/>
      </w:r>
      <w:r w:rsidR="00573D8E" w:rsidRPr="00C93347">
        <w:rPr>
          <w:rFonts w:ascii="Times New Roman" w:hAnsi="Times New Roman"/>
          <w:color w:val="FF0000"/>
          <w:vertAlign w:val="superscript"/>
        </w:rPr>
        <w:t>32</w:t>
      </w:r>
      <w:r w:rsidR="00573D8E" w:rsidRPr="00C93347">
        <w:rPr>
          <w:rFonts w:ascii="Times New Roman" w:hAnsi="Times New Roman"/>
          <w:color w:val="FF0000"/>
          <w:vertAlign w:val="superscript"/>
        </w:rPr>
        <w:fldChar w:fldCharType="end"/>
      </w:r>
      <w:r w:rsidR="007672E4" w:rsidRPr="00C93347">
        <w:rPr>
          <w:rFonts w:ascii="Times New Roman" w:hAnsi="Times New Roman"/>
          <w:color w:val="FF0000"/>
        </w:rPr>
        <w:t xml:space="preserve"> </w:t>
      </w:r>
      <w:r w:rsidR="00573D8E" w:rsidRPr="00C93347">
        <w:rPr>
          <w:rFonts w:ascii="Times New Roman" w:hAnsi="Times New Roman"/>
          <w:color w:val="FF0000"/>
        </w:rPr>
        <w:t>W</w:t>
      </w:r>
      <w:r w:rsidR="007672E4" w:rsidRPr="00C93347">
        <w:rPr>
          <w:rFonts w:ascii="Times New Roman" w:hAnsi="Times New Roman"/>
          <w:color w:val="FF0000"/>
        </w:rPr>
        <w:t xml:space="preserve">e would </w:t>
      </w:r>
      <w:r w:rsidR="00573D8E" w:rsidRPr="00C93347">
        <w:rPr>
          <w:rFonts w:ascii="Times New Roman" w:hAnsi="Times New Roman"/>
          <w:color w:val="FF0000"/>
        </w:rPr>
        <w:t xml:space="preserve">also </w:t>
      </w:r>
      <w:r w:rsidR="007672E4" w:rsidRPr="00C93347">
        <w:rPr>
          <w:rFonts w:ascii="Times New Roman" w:hAnsi="Times New Roman"/>
          <w:color w:val="FF0000"/>
        </w:rPr>
        <w:t xml:space="preserve">generally expect </w:t>
      </w:r>
      <w:r w:rsidR="00573D8E" w:rsidRPr="00C93347">
        <w:rPr>
          <w:rFonts w:ascii="Times New Roman" w:hAnsi="Times New Roman"/>
          <w:color w:val="FF0000"/>
        </w:rPr>
        <w:t>variation in hospital scores by hospital sizes – as measured by the number of inpatient beds – as this might be related to care provision inefficiencies,</w:t>
      </w:r>
      <w:r w:rsidR="00573D8E" w:rsidRPr="00C93347">
        <w:rPr>
          <w:rStyle w:val="FootnoteReference"/>
          <w:rFonts w:ascii="Times New Roman" w:hAnsi="Times New Roman"/>
          <w:color w:val="FF0000"/>
        </w:rPr>
        <w:footnoteReference w:id="58"/>
      </w:r>
      <w:r w:rsidR="00573D8E" w:rsidRPr="00C93347">
        <w:rPr>
          <w:rFonts w:ascii="Times New Roman" w:hAnsi="Times New Roman"/>
          <w:color w:val="FF0000"/>
        </w:rPr>
        <w:t xml:space="preserve"> and regional variation in service use.</w:t>
      </w:r>
      <w:r w:rsidR="00573D8E" w:rsidRPr="00C93347">
        <w:rPr>
          <w:rFonts w:ascii="Times New Roman" w:hAnsi="Times New Roman"/>
          <w:color w:val="FF0000"/>
          <w:vertAlign w:val="superscript"/>
        </w:rPr>
        <w:footnoteReference w:id="59"/>
      </w:r>
      <w:r w:rsidR="009C0992" w:rsidRPr="00C93347">
        <w:rPr>
          <w:rFonts w:ascii="Times New Roman" w:hAnsi="Times New Roman"/>
          <w:color w:val="FF0000"/>
          <w:vertAlign w:val="superscript"/>
        </w:rPr>
        <w:t>,</w:t>
      </w:r>
      <w:r w:rsidR="00573D8E" w:rsidRPr="00C93347">
        <w:rPr>
          <w:rStyle w:val="FootnoteReference"/>
          <w:rFonts w:ascii="Times New Roman" w:hAnsi="Times New Roman"/>
          <w:color w:val="FF0000"/>
        </w:rPr>
        <w:footnoteReference w:id="60"/>
      </w:r>
      <w:r w:rsidR="00573D8E" w:rsidRPr="00C93347">
        <w:rPr>
          <w:rFonts w:ascii="Times New Roman" w:hAnsi="Times New Roman"/>
          <w:color w:val="FF0000"/>
        </w:rPr>
        <w:t xml:space="preserve">  </w:t>
      </w:r>
      <w:r w:rsidR="00353A34" w:rsidRPr="00C93347">
        <w:rPr>
          <w:rFonts w:ascii="Times New Roman" w:hAnsi="Times New Roman"/>
          <w:color w:val="FF0000"/>
        </w:rPr>
        <w:t>Given the ambiguity surrounding teaching hospital costs,</w:t>
      </w:r>
      <w:r w:rsidR="00353A34" w:rsidRPr="00C93347">
        <w:rPr>
          <w:rStyle w:val="FootnoteReference"/>
          <w:rFonts w:ascii="Times New Roman" w:hAnsi="Times New Roman"/>
          <w:color w:val="FF0000"/>
        </w:rPr>
        <w:footnoteReference w:id="61"/>
      </w:r>
      <w:r w:rsidR="00353A34" w:rsidRPr="00C93347">
        <w:rPr>
          <w:rFonts w:ascii="Times New Roman" w:hAnsi="Times New Roman"/>
          <w:color w:val="FF0000"/>
          <w:vertAlign w:val="superscript"/>
        </w:rPr>
        <w:t xml:space="preserve"> </w:t>
      </w:r>
      <w:r w:rsidR="00353A34" w:rsidRPr="00C93347">
        <w:rPr>
          <w:rFonts w:ascii="Times New Roman" w:hAnsi="Times New Roman"/>
          <w:color w:val="FF0000"/>
        </w:rPr>
        <w:t>the exclusion of IME add</w:t>
      </w:r>
      <w:r w:rsidR="00565362" w:rsidRPr="00C93347">
        <w:rPr>
          <w:rFonts w:ascii="Times New Roman" w:hAnsi="Times New Roman"/>
          <w:color w:val="FF0000"/>
        </w:rPr>
        <w:t>-</w:t>
      </w:r>
      <w:r w:rsidR="00353A34" w:rsidRPr="00C93347">
        <w:rPr>
          <w:rFonts w:ascii="Times New Roman" w:hAnsi="Times New Roman"/>
          <w:color w:val="FF0000"/>
        </w:rPr>
        <w:t>on payments in the standardized Medicare payment that the MSPB Hospital measure uses,</w:t>
      </w:r>
      <w:r w:rsidR="00633BE4" w:rsidRPr="00C93347">
        <w:rPr>
          <w:rFonts w:ascii="Times New Roman" w:hAnsi="Times New Roman"/>
          <w:color w:val="FF0000"/>
        </w:rPr>
        <w:t xml:space="preserve"> and that IME add</w:t>
      </w:r>
      <w:r w:rsidR="00565362" w:rsidRPr="00C93347">
        <w:rPr>
          <w:rFonts w:ascii="Times New Roman" w:hAnsi="Times New Roman"/>
          <w:color w:val="FF0000"/>
        </w:rPr>
        <w:t>-</w:t>
      </w:r>
      <w:r w:rsidR="00633BE4" w:rsidRPr="00C93347">
        <w:rPr>
          <w:rFonts w:ascii="Times New Roman" w:hAnsi="Times New Roman"/>
          <w:color w:val="FF0000"/>
        </w:rPr>
        <w:t>on payments largely account for teaching hospital</w:t>
      </w:r>
      <w:r w:rsidR="007F649B" w:rsidRPr="00C93347">
        <w:rPr>
          <w:rFonts w:ascii="Times New Roman" w:hAnsi="Times New Roman"/>
          <w:color w:val="FF0000"/>
        </w:rPr>
        <w:t>s’</w:t>
      </w:r>
      <w:r w:rsidR="00633BE4" w:rsidRPr="00C93347">
        <w:rPr>
          <w:rFonts w:ascii="Times New Roman" w:hAnsi="Times New Roman"/>
          <w:color w:val="FF0000"/>
        </w:rPr>
        <w:t xml:space="preserve"> larger aggregate margins</w:t>
      </w:r>
      <w:r w:rsidR="007F649B" w:rsidRPr="00C93347">
        <w:rPr>
          <w:rFonts w:ascii="Times New Roman" w:hAnsi="Times New Roman"/>
          <w:color w:val="FF0000"/>
        </w:rPr>
        <w:t xml:space="preserve"> (relative to non-teaching hospitals)</w:t>
      </w:r>
      <w:r w:rsidR="00633BE4" w:rsidRPr="00C93347">
        <w:rPr>
          <w:rFonts w:ascii="Times New Roman" w:hAnsi="Times New Roman"/>
          <w:color w:val="FF0000"/>
        </w:rPr>
        <w:t>,</w:t>
      </w:r>
      <w:bookmarkStart w:id="5" w:name="_Ref44592274"/>
      <w:r w:rsidR="00633BE4" w:rsidRPr="00C93347">
        <w:rPr>
          <w:rStyle w:val="FootnoteReference"/>
          <w:rFonts w:ascii="Times New Roman" w:hAnsi="Times New Roman"/>
          <w:color w:val="FF0000"/>
        </w:rPr>
        <w:footnoteReference w:id="62"/>
      </w:r>
      <w:bookmarkEnd w:id="5"/>
      <w:r w:rsidR="00633BE4" w:rsidRPr="00C93347">
        <w:rPr>
          <w:rFonts w:ascii="Times New Roman" w:hAnsi="Times New Roman"/>
          <w:color w:val="FF0000"/>
        </w:rPr>
        <w:t xml:space="preserve"> the relationship between MSPB Hospital measure scores and teaching hospital designation is unclear. </w:t>
      </w:r>
      <w:r w:rsidR="008D18FE" w:rsidRPr="00C93347">
        <w:rPr>
          <w:rFonts w:ascii="Times New Roman" w:hAnsi="Times New Roman"/>
          <w:color w:val="FF0000"/>
        </w:rPr>
        <w:t>Similarly, given that DSH patient proportion add</w:t>
      </w:r>
      <w:r w:rsidR="00565362" w:rsidRPr="00C93347">
        <w:rPr>
          <w:rFonts w:ascii="Times New Roman" w:hAnsi="Times New Roman"/>
          <w:color w:val="FF0000"/>
        </w:rPr>
        <w:t>-</w:t>
      </w:r>
      <w:r w:rsidR="008D18FE" w:rsidRPr="00C93347">
        <w:rPr>
          <w:rFonts w:ascii="Times New Roman" w:hAnsi="Times New Roman"/>
          <w:color w:val="FF0000"/>
        </w:rPr>
        <w:t>on payments are excluded in standardized payments</w:t>
      </w:r>
      <w:r w:rsidR="00484A33" w:rsidRPr="00C93347">
        <w:rPr>
          <w:rFonts w:ascii="Times New Roman" w:hAnsi="Times New Roman"/>
          <w:color w:val="FF0000"/>
        </w:rPr>
        <w:t xml:space="preserve"> and patient clinical risk adjustors</w:t>
      </w:r>
      <w:r w:rsidR="008D18FE" w:rsidRPr="00C93347">
        <w:rPr>
          <w:rFonts w:ascii="Times New Roman" w:hAnsi="Times New Roman"/>
          <w:color w:val="FF0000"/>
        </w:rPr>
        <w:t>, it is unclear what difference</w:t>
      </w:r>
      <w:r w:rsidR="00484A33" w:rsidRPr="00C93347">
        <w:rPr>
          <w:rFonts w:ascii="Times New Roman" w:hAnsi="Times New Roman"/>
          <w:color w:val="FF0000"/>
        </w:rPr>
        <w:t xml:space="preserve">s, </w:t>
      </w:r>
      <w:r w:rsidR="008D18FE" w:rsidRPr="00C93347">
        <w:rPr>
          <w:rFonts w:ascii="Times New Roman" w:hAnsi="Times New Roman"/>
          <w:color w:val="FF0000"/>
        </w:rPr>
        <w:t xml:space="preserve">if any, might be apparent between </w:t>
      </w:r>
      <w:r w:rsidR="003D3F66" w:rsidRPr="00C93347">
        <w:rPr>
          <w:rFonts w:ascii="Times New Roman" w:hAnsi="Times New Roman"/>
          <w:color w:val="FF0000"/>
        </w:rPr>
        <w:t xml:space="preserve">hospitals with high </w:t>
      </w:r>
      <w:r w:rsidR="008D18FE" w:rsidRPr="00C93347">
        <w:rPr>
          <w:rFonts w:ascii="Times New Roman" w:hAnsi="Times New Roman"/>
          <w:color w:val="FF0000"/>
        </w:rPr>
        <w:t xml:space="preserve">DSH proportions </w:t>
      </w:r>
      <w:r w:rsidR="003D3F66" w:rsidRPr="00C93347">
        <w:rPr>
          <w:rFonts w:ascii="Times New Roman" w:hAnsi="Times New Roman"/>
          <w:color w:val="FF0000"/>
        </w:rPr>
        <w:t xml:space="preserve">or </w:t>
      </w:r>
      <w:r w:rsidR="008D18FE" w:rsidRPr="00C93347">
        <w:rPr>
          <w:rFonts w:ascii="Times New Roman" w:hAnsi="Times New Roman"/>
          <w:color w:val="FF0000"/>
        </w:rPr>
        <w:t>Safety-net hospital designation</w:t>
      </w:r>
      <w:r w:rsidR="003D3F66" w:rsidRPr="00C93347">
        <w:rPr>
          <w:rFonts w:ascii="Times New Roman" w:hAnsi="Times New Roman"/>
          <w:color w:val="FF0000"/>
        </w:rPr>
        <w:t>s and those without</w:t>
      </w:r>
      <w:r w:rsidR="00484A33" w:rsidRPr="00C93347">
        <w:rPr>
          <w:rFonts w:ascii="Times New Roman" w:hAnsi="Times New Roman"/>
          <w:color w:val="FF0000"/>
        </w:rPr>
        <w:t xml:space="preserve"> such patient populations.</w:t>
      </w:r>
      <w:r w:rsidR="008D18FE" w:rsidRPr="00C93347">
        <w:rPr>
          <w:rFonts w:ascii="Times New Roman" w:hAnsi="Times New Roman"/>
          <w:color w:val="FF0000"/>
        </w:rPr>
        <w:t xml:space="preserve"> </w:t>
      </w:r>
    </w:p>
    <w:p w14:paraId="67D3204A" w14:textId="77777777" w:rsidR="004D5FA3" w:rsidRPr="00C93347" w:rsidRDefault="004D5FA3" w:rsidP="004D5FA3">
      <w:pPr>
        <w:pStyle w:val="NoSpacing"/>
        <w:rPr>
          <w:rFonts w:ascii="Times New Roman" w:hAnsi="Times New Roman"/>
        </w:rPr>
      </w:pPr>
    </w:p>
    <w:p w14:paraId="73E30A83" w14:textId="2990FB09" w:rsidR="003D3F66" w:rsidRDefault="003D3F66" w:rsidP="004D5FA3">
      <w:pPr>
        <w:pStyle w:val="NoSpacing"/>
        <w:rPr>
          <w:rStyle w:val="Body125LeftChar"/>
          <w:rFonts w:ascii="Calibri" w:eastAsia="Calibri" w:hAnsi="Calibri"/>
          <w:spacing w:val="0"/>
          <w:sz w:val="22"/>
          <w:szCs w:val="22"/>
        </w:rPr>
      </w:pPr>
      <w:r w:rsidRPr="004D5FA3">
        <w:rPr>
          <w:u w:val="single"/>
        </w:rPr>
        <w:t xml:space="preserve">Previous Response (2016): </w:t>
      </w:r>
      <w:r w:rsidRPr="004D5FA3">
        <w:rPr>
          <w:rStyle w:val="Body125LeftChar"/>
          <w:rFonts w:ascii="Calibri" w:eastAsia="Calibri" w:hAnsi="Calibri"/>
          <w:spacing w:val="0"/>
          <w:sz w:val="22"/>
          <w:szCs w:val="22"/>
        </w:rPr>
        <w:t>Our method to determine clinically meaningful differences in MSPB-Hospital measure scores consists of stratifying MSPB-Hospital measure scores by meaningful hospital characteristics, and comparing those results to expected findings discussed in the literature.  Stratification is performed for each of the following characteristics: urban/rural location and hospital size; urban/rural location and geographic region;</w:t>
      </w:r>
      <w:r w:rsidRPr="004D5FA3">
        <w:rPr>
          <w:rStyle w:val="FootnoteReference"/>
        </w:rPr>
        <w:footnoteReference w:id="63"/>
      </w:r>
      <w:r w:rsidRPr="004D5FA3">
        <w:rPr>
          <w:rStyle w:val="Body125LeftChar"/>
          <w:rFonts w:ascii="Calibri" w:eastAsia="Calibri" w:hAnsi="Calibri"/>
          <w:spacing w:val="0"/>
          <w:sz w:val="22"/>
          <w:szCs w:val="22"/>
        </w:rPr>
        <w:t xml:space="preserve"> and teaching status.  We analyze the distribution of MSPB-Hospital measure scores for subgroups defined by these characteristics, as well as for the overall </w:t>
      </w:r>
      <w:r w:rsidRPr="004D5FA3">
        <w:rPr>
          <w:rStyle w:val="Body125LeftChar"/>
          <w:rFonts w:ascii="Calibri" w:eastAsia="Calibri" w:hAnsi="Calibri"/>
          <w:spacing w:val="0"/>
          <w:sz w:val="22"/>
          <w:szCs w:val="22"/>
        </w:rPr>
        <w:lastRenderedPageBreak/>
        <w:t xml:space="preserve">population.  The purpose of this analysis is to ensure that MSPB-Hospital measure scores vary in a manner consistent with expectations.  That is: the literature has identified certain characteristics with a meaningful relationship to hospital performance, and this analysis stratifies MSPB-Hospital measure scores by those same characteristics.  This analysis is therefore slightly different than the reliability and validity analyses discussed in Sections 2a2 and 2b2, since it specifically seeks to confirm that the MSPB-Hospital measure behaves as expected with respect to well-documented and meaningful hospital characteristics. </w:t>
      </w:r>
    </w:p>
    <w:p w14:paraId="39FB5D04" w14:textId="77777777" w:rsidR="004D5FA3" w:rsidRPr="004D5FA3" w:rsidRDefault="004D5FA3" w:rsidP="004D5FA3">
      <w:pPr>
        <w:pStyle w:val="NoSpacing"/>
        <w:rPr>
          <w:rStyle w:val="Body125LeftChar"/>
          <w:rFonts w:ascii="Calibri" w:eastAsia="Calibri" w:hAnsi="Calibri"/>
          <w:spacing w:val="0"/>
          <w:sz w:val="22"/>
          <w:szCs w:val="22"/>
        </w:rPr>
      </w:pPr>
    </w:p>
    <w:p w14:paraId="5EA7BF0B" w14:textId="72E46B0A" w:rsidR="003D3F66" w:rsidRPr="004D5FA3" w:rsidRDefault="003D3F66" w:rsidP="004D5FA3">
      <w:pPr>
        <w:pStyle w:val="NoSpacing"/>
      </w:pPr>
      <w:r w:rsidRPr="004D5FA3">
        <w:rPr>
          <w:u w:val="single"/>
        </w:rPr>
        <w:t>Previous Response (2013</w:t>
      </w:r>
      <w:r w:rsidRPr="004D5FA3">
        <w:t xml:space="preserve">): </w:t>
      </w:r>
      <w:r w:rsidRPr="004D5FA3">
        <w:rPr>
          <w:rStyle w:val="Body125LeftChar"/>
          <w:rFonts w:ascii="Calibri" w:eastAsia="Calibri" w:hAnsi="Calibri"/>
          <w:spacing w:val="0"/>
          <w:sz w:val="22"/>
          <w:szCs w:val="22"/>
        </w:rPr>
        <w:t xml:space="preserve"> </w:t>
      </w:r>
      <w:r w:rsidRPr="004D5FA3">
        <w:t>MSPB summary statistics include the percentile distribution of the MSPB score both overall and by hospital type (e.g., urban/rural status, bed size, region, teaching status).  Although poor MSPB scores could be due to low quality care, it could also be the case that unobservable factors (e.g., large populations of patients for whom English is a second language, low adherence to treatment regimens) outside of hospitals’ control make these hospitals perform worse.  To identify hospitals that treat a large number of socioeconomically disadvantaged patients, the following analysis also classifies hospitals by their Disproportionate Share Hospital (DSH) percentage.</w:t>
      </w:r>
      <w:r w:rsidRPr="004D5FA3">
        <w:rPr>
          <w:rStyle w:val="FootnoteReference"/>
        </w:rPr>
        <w:footnoteReference w:id="64"/>
      </w:r>
    </w:p>
    <w:p w14:paraId="2B0C7A82" w14:textId="6458E4DB" w:rsidR="00AE0F10" w:rsidRPr="00633BE4" w:rsidRDefault="00AE0F10" w:rsidP="00080584">
      <w:pPr>
        <w:spacing w:line="240" w:lineRule="auto"/>
        <w:rPr>
          <w:rFonts w:ascii="Times New Roman" w:hAnsi="Times New Roman" w:cs="Times New Roman"/>
          <w:color w:val="0070C0"/>
        </w:rPr>
      </w:pPr>
    </w:p>
    <w:p w14:paraId="294BC113" w14:textId="77777777" w:rsidR="00AC0C0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12228FAE" w14:textId="47A93F00" w:rsidR="000C65C1" w:rsidRPr="006739ED" w:rsidRDefault="00573D8E" w:rsidP="004D5FA3">
      <w:pPr>
        <w:pStyle w:val="NoSpacing"/>
        <w:rPr>
          <w:rFonts w:ascii="Times New Roman" w:hAnsi="Times New Roman"/>
          <w:color w:val="FF0000"/>
        </w:rPr>
      </w:pPr>
      <w:r w:rsidRPr="006739ED">
        <w:rPr>
          <w:rFonts w:ascii="Times New Roman" w:hAnsi="Times New Roman"/>
          <w:color w:val="FF0000"/>
        </w:rPr>
        <w:t>A</w:t>
      </w:r>
      <w:r w:rsidR="000C65C1" w:rsidRPr="006739ED">
        <w:rPr>
          <w:rFonts w:ascii="Times New Roman" w:hAnsi="Times New Roman"/>
          <w:color w:val="FF0000"/>
        </w:rPr>
        <w:t xml:space="preserve">cross all hospitals, the highest MSPB Hospital measure score is </w:t>
      </w:r>
      <w:r w:rsidR="000076C8" w:rsidRPr="006739ED">
        <w:rPr>
          <w:rFonts w:ascii="Times New Roman" w:hAnsi="Times New Roman"/>
          <w:color w:val="FF0000"/>
        </w:rPr>
        <w:t xml:space="preserve">almost three and a half </w:t>
      </w:r>
      <w:r w:rsidR="000C65C1" w:rsidRPr="006739ED">
        <w:rPr>
          <w:rFonts w:ascii="Times New Roman" w:hAnsi="Times New Roman"/>
          <w:color w:val="FF0000"/>
        </w:rPr>
        <w:t>times the lowest MSPB</w:t>
      </w:r>
      <w:r w:rsidR="000076C8" w:rsidRPr="006739ED">
        <w:rPr>
          <w:rFonts w:ascii="Times New Roman" w:hAnsi="Times New Roman"/>
          <w:color w:val="FF0000"/>
        </w:rPr>
        <w:t xml:space="preserve"> </w:t>
      </w:r>
      <w:r w:rsidR="000C65C1" w:rsidRPr="006739ED">
        <w:rPr>
          <w:rFonts w:ascii="Times New Roman" w:hAnsi="Times New Roman"/>
          <w:color w:val="FF0000"/>
        </w:rPr>
        <w:t>Hospital measure score</w:t>
      </w:r>
      <w:r w:rsidRPr="006739ED">
        <w:rPr>
          <w:rFonts w:ascii="Times New Roman" w:hAnsi="Times New Roman"/>
          <w:color w:val="FF0000"/>
        </w:rPr>
        <w:t xml:space="preserve"> and </w:t>
      </w:r>
      <w:r w:rsidR="000C65C1" w:rsidRPr="006739ED">
        <w:rPr>
          <w:rFonts w:ascii="Times New Roman" w:hAnsi="Times New Roman"/>
          <w:color w:val="FF0000"/>
        </w:rPr>
        <w:t xml:space="preserve">the 90th percentile is </w:t>
      </w:r>
      <w:r w:rsidRPr="006739ED">
        <w:rPr>
          <w:rFonts w:ascii="Times New Roman" w:hAnsi="Times New Roman"/>
          <w:color w:val="FF0000"/>
        </w:rPr>
        <w:t>just over twenty-one p</w:t>
      </w:r>
      <w:r w:rsidR="000C65C1" w:rsidRPr="006739ED">
        <w:rPr>
          <w:rFonts w:ascii="Times New Roman" w:hAnsi="Times New Roman"/>
          <w:color w:val="FF0000"/>
        </w:rPr>
        <w:t>ercent greater than the MSPB</w:t>
      </w:r>
      <w:r w:rsidR="000076C8" w:rsidRPr="006739ED">
        <w:rPr>
          <w:rFonts w:ascii="Times New Roman" w:hAnsi="Times New Roman"/>
          <w:color w:val="FF0000"/>
        </w:rPr>
        <w:t xml:space="preserve"> </w:t>
      </w:r>
      <w:r w:rsidR="000C65C1" w:rsidRPr="006739ED">
        <w:rPr>
          <w:rFonts w:ascii="Times New Roman" w:hAnsi="Times New Roman"/>
          <w:color w:val="FF0000"/>
        </w:rPr>
        <w:t>Hospital score at the 10th percentile</w:t>
      </w:r>
      <w:r w:rsidRPr="006739ED">
        <w:rPr>
          <w:rFonts w:ascii="Times New Roman" w:hAnsi="Times New Roman"/>
          <w:color w:val="FF0000"/>
        </w:rPr>
        <w:t xml:space="preserve"> (Table 2b4.2). The </w:t>
      </w:r>
      <w:r w:rsidR="000C65C1" w:rsidRPr="006739ED">
        <w:rPr>
          <w:rFonts w:ascii="Times New Roman" w:hAnsi="Times New Roman"/>
          <w:color w:val="FF0000"/>
        </w:rPr>
        <w:t>average MSPB</w:t>
      </w:r>
      <w:r w:rsidR="000076C8" w:rsidRPr="006739ED">
        <w:rPr>
          <w:rFonts w:ascii="Times New Roman" w:hAnsi="Times New Roman"/>
          <w:color w:val="FF0000"/>
        </w:rPr>
        <w:t xml:space="preserve"> </w:t>
      </w:r>
      <w:r w:rsidR="000C65C1" w:rsidRPr="006739ED">
        <w:rPr>
          <w:rFonts w:ascii="Times New Roman" w:hAnsi="Times New Roman"/>
          <w:color w:val="FF0000"/>
        </w:rPr>
        <w:t xml:space="preserve">Hospital measure score for </w:t>
      </w:r>
      <w:r w:rsidR="003E34CE" w:rsidRPr="006739ED">
        <w:rPr>
          <w:rFonts w:ascii="Times New Roman" w:hAnsi="Times New Roman"/>
          <w:color w:val="FF0000"/>
        </w:rPr>
        <w:t>hospitals in r</w:t>
      </w:r>
      <w:r w:rsidR="000C65C1" w:rsidRPr="006739ED">
        <w:rPr>
          <w:rFonts w:ascii="Times New Roman" w:hAnsi="Times New Roman"/>
          <w:color w:val="FF0000"/>
        </w:rPr>
        <w:t xml:space="preserve">ural </w:t>
      </w:r>
      <w:r w:rsidR="003E34CE" w:rsidRPr="006739ED">
        <w:rPr>
          <w:rFonts w:ascii="Times New Roman" w:hAnsi="Times New Roman"/>
          <w:color w:val="FF0000"/>
        </w:rPr>
        <w:t>areas</w:t>
      </w:r>
      <w:r w:rsidR="000C65C1" w:rsidRPr="006739ED">
        <w:rPr>
          <w:rFonts w:ascii="Times New Roman" w:hAnsi="Times New Roman"/>
          <w:color w:val="FF0000"/>
        </w:rPr>
        <w:t xml:space="preserve"> is </w:t>
      </w:r>
      <w:r w:rsidR="003E34CE" w:rsidRPr="006739ED">
        <w:rPr>
          <w:rFonts w:ascii="Times New Roman" w:hAnsi="Times New Roman"/>
          <w:color w:val="FF0000"/>
        </w:rPr>
        <w:t xml:space="preserve">approximately </w:t>
      </w:r>
      <w:r w:rsidR="00C610B4" w:rsidRPr="006739ED">
        <w:rPr>
          <w:rFonts w:ascii="Times New Roman" w:hAnsi="Times New Roman"/>
          <w:color w:val="FF0000"/>
        </w:rPr>
        <w:t>three</w:t>
      </w:r>
      <w:r w:rsidR="000C65C1" w:rsidRPr="006739ED">
        <w:rPr>
          <w:rFonts w:ascii="Times New Roman" w:hAnsi="Times New Roman"/>
          <w:color w:val="FF0000"/>
        </w:rPr>
        <w:t xml:space="preserve"> percent lower </w:t>
      </w:r>
      <w:r w:rsidR="003E34CE" w:rsidRPr="006739ED">
        <w:rPr>
          <w:rFonts w:ascii="Times New Roman" w:hAnsi="Times New Roman"/>
          <w:color w:val="FF0000"/>
        </w:rPr>
        <w:t>than the average score for hospitals in large urban areas</w:t>
      </w:r>
      <w:r w:rsidR="00C610B4" w:rsidRPr="006739ED">
        <w:rPr>
          <w:rFonts w:ascii="Times New Roman" w:hAnsi="Times New Roman"/>
          <w:color w:val="FF0000"/>
        </w:rPr>
        <w:t xml:space="preserve">. The MSPB Hospital measure score </w:t>
      </w:r>
      <w:r w:rsidR="008D18FE" w:rsidRPr="006739ED">
        <w:rPr>
          <w:rFonts w:ascii="Times New Roman" w:hAnsi="Times New Roman"/>
          <w:color w:val="FF0000"/>
        </w:rPr>
        <w:t>varied across regions, with averages spanning 0.94 (West North Central) to 1.03 (West South Central). The average</w:t>
      </w:r>
      <w:r w:rsidR="0084612B" w:rsidRPr="006739ED">
        <w:rPr>
          <w:rFonts w:ascii="Times New Roman" w:hAnsi="Times New Roman"/>
          <w:color w:val="FF0000"/>
        </w:rPr>
        <w:t xml:space="preserve"> MSPB Hospital score for teaching hospitals is </w:t>
      </w:r>
      <w:r w:rsidR="00FD613D" w:rsidRPr="006739ED">
        <w:rPr>
          <w:rFonts w:ascii="Times New Roman" w:hAnsi="Times New Roman"/>
          <w:color w:val="FF0000"/>
        </w:rPr>
        <w:t>approximately 1.7 percent</w:t>
      </w:r>
      <w:r w:rsidR="009728F3" w:rsidRPr="00C93347">
        <w:rPr>
          <w:rFonts w:ascii="Times New Roman" w:hAnsi="Times New Roman"/>
          <w:color w:val="FF0000"/>
        </w:rPr>
        <w:t xml:space="preserve"> higher than non-teaching hospitals</w:t>
      </w:r>
      <w:r w:rsidR="00FD613D" w:rsidRPr="006739ED">
        <w:rPr>
          <w:rFonts w:ascii="Times New Roman" w:hAnsi="Times New Roman"/>
          <w:color w:val="FF0000"/>
        </w:rPr>
        <w:t xml:space="preserve"> and </w:t>
      </w:r>
      <w:r w:rsidR="009728F3" w:rsidRPr="00C93347">
        <w:rPr>
          <w:rFonts w:ascii="Times New Roman" w:hAnsi="Times New Roman"/>
          <w:color w:val="FF0000"/>
        </w:rPr>
        <w:t xml:space="preserve">safety-net hospital scores are approximately 1.4 percent higher than </w:t>
      </w:r>
      <w:r w:rsidR="00FD613D" w:rsidRPr="006739ED">
        <w:rPr>
          <w:rFonts w:ascii="Times New Roman" w:hAnsi="Times New Roman"/>
          <w:color w:val="FF0000"/>
        </w:rPr>
        <w:t>non-safety-net hospitals. Average scores by D</w:t>
      </w:r>
      <w:r w:rsidR="0099169A" w:rsidRPr="006739ED">
        <w:rPr>
          <w:rFonts w:ascii="Times New Roman" w:hAnsi="Times New Roman"/>
          <w:color w:val="FF0000"/>
        </w:rPr>
        <w:t>S</w:t>
      </w:r>
      <w:r w:rsidR="00FD613D" w:rsidRPr="006739ED">
        <w:rPr>
          <w:rFonts w:ascii="Times New Roman" w:hAnsi="Times New Roman"/>
          <w:color w:val="FF0000"/>
        </w:rPr>
        <w:t xml:space="preserve">H percentage </w:t>
      </w:r>
      <w:r w:rsidR="0099169A" w:rsidRPr="006739ED">
        <w:rPr>
          <w:rFonts w:ascii="Times New Roman" w:hAnsi="Times New Roman"/>
          <w:color w:val="FF0000"/>
        </w:rPr>
        <w:t xml:space="preserve">suggest </w:t>
      </w:r>
      <w:r w:rsidR="00FD613D" w:rsidRPr="006739ED">
        <w:rPr>
          <w:rFonts w:ascii="Times New Roman" w:hAnsi="Times New Roman"/>
          <w:color w:val="FF0000"/>
        </w:rPr>
        <w:t xml:space="preserve">an inverse parabolic </w:t>
      </w:r>
      <w:r w:rsidR="0099169A" w:rsidRPr="006739ED">
        <w:rPr>
          <w:rFonts w:ascii="Times New Roman" w:hAnsi="Times New Roman"/>
          <w:color w:val="FF0000"/>
        </w:rPr>
        <w:t>relationship</w:t>
      </w:r>
      <w:r w:rsidR="00FD613D" w:rsidRPr="006739ED">
        <w:rPr>
          <w:rFonts w:ascii="Times New Roman" w:hAnsi="Times New Roman"/>
          <w:color w:val="FF0000"/>
        </w:rPr>
        <w:t xml:space="preserve">. </w:t>
      </w:r>
    </w:p>
    <w:p w14:paraId="47243DEA" w14:textId="6FD96478" w:rsidR="005A15FD" w:rsidRPr="00C67E5D" w:rsidRDefault="005A15FD" w:rsidP="004D5FA3">
      <w:pPr>
        <w:pStyle w:val="NoSpacing"/>
        <w:rPr>
          <w:rFonts w:cstheme="minorHAnsi"/>
          <w:color w:val="0070C0"/>
        </w:rPr>
      </w:pPr>
    </w:p>
    <w:p w14:paraId="3711A13D" w14:textId="7FFAD320" w:rsidR="00484A33" w:rsidRPr="00CD6B52" w:rsidRDefault="00484A33" w:rsidP="004D5FA3">
      <w:pPr>
        <w:pStyle w:val="NoSpacing"/>
        <w:rPr>
          <w:iCs/>
        </w:rPr>
      </w:pPr>
      <w:r w:rsidRPr="004D5FA3">
        <w:rPr>
          <w:bCs/>
          <w:iCs/>
          <w:u w:val="single"/>
        </w:rPr>
        <w:t>Previous Response (2016):</w:t>
      </w:r>
      <w:r w:rsidRPr="00CD6B52">
        <w:rPr>
          <w:b/>
          <w:iCs/>
        </w:rPr>
        <w:t xml:space="preserve"> </w:t>
      </w:r>
      <w:r w:rsidRPr="00CD6B52">
        <w:rPr>
          <w:iCs/>
        </w:rPr>
        <w:t xml:space="preserve">Key findings include: </w:t>
      </w:r>
      <w:r w:rsidRPr="00CD6B52">
        <w:rPr>
          <w:rFonts w:eastAsia="Times New Roman"/>
          <w:iCs/>
        </w:rPr>
        <w:t>(1) the highest single MSPB-Hospital measure score is more than five times higher than the hospital with the lowest MSPB-Hospital measure score;</w:t>
      </w:r>
      <w:r w:rsidRPr="00CD6B52">
        <w:rPr>
          <w:iCs/>
        </w:rPr>
        <w:t xml:space="preserve"> (2) the MSPB-Hospital measure score at the 90</w:t>
      </w:r>
      <w:r w:rsidRPr="00CD6B52">
        <w:rPr>
          <w:rFonts w:eastAsia="Times New Roman"/>
          <w:iCs/>
        </w:rPr>
        <w:t>th percentile is almost 23 percent greater than the MSPB-Hospital score at the 10th percentile</w:t>
      </w:r>
      <w:r w:rsidRPr="00CD6B52">
        <w:rPr>
          <w:iCs/>
        </w:rPr>
        <w:t xml:space="preserve">; (3) the average MSPB-Hospital measure score for rural hospitals is almost five percent lower than the average MSPB-Hospital measure score for urban hospitals; (4) the average MSPB-Hospital Measure score in the West South Central region is the highest for both urban and rural hospitals, followed by the Mid Atlantic and New England for urban hospitals and the East South Central and East North Central for rural hospitals; and (5) the average MSPB-Hospital measure score for teaching hospitals is higher than the measure score for non-teaching hospitals. Appendix Tables 2b5-1 through 2b5-4 present these results.  </w:t>
      </w:r>
    </w:p>
    <w:p w14:paraId="54827E37" w14:textId="77777777" w:rsidR="00484A33" w:rsidRPr="00CD6B52" w:rsidRDefault="00484A33" w:rsidP="00CD6B52">
      <w:pPr>
        <w:pStyle w:val="Body125"/>
        <w:ind w:firstLine="0"/>
        <w:rPr>
          <w:b/>
          <w:iCs/>
          <w:sz w:val="22"/>
          <w:szCs w:val="22"/>
        </w:rPr>
      </w:pPr>
    </w:p>
    <w:p w14:paraId="0EA738BB" w14:textId="4AD2F6CD" w:rsidR="00484A33" w:rsidRPr="00CD6B52" w:rsidRDefault="00484A33" w:rsidP="004D5FA3">
      <w:pPr>
        <w:pStyle w:val="NoSpacing"/>
      </w:pPr>
      <w:r w:rsidRPr="004D5FA3">
        <w:rPr>
          <w:bCs/>
          <w:u w:val="single"/>
        </w:rPr>
        <w:t>Previous Response (2013):</w:t>
      </w:r>
      <w:r w:rsidRPr="00CD6B52">
        <w:rPr>
          <w:b/>
        </w:rPr>
        <w:t xml:space="preserve"> </w:t>
      </w:r>
      <w:r w:rsidRPr="00CD6B52">
        <w:t xml:space="preserve">Key findings include: (1) the hospital with the highest MSPB score costs Medicare more than six times as much as the lowest cost hospital; (2) hospitals at the 90th percentile </w:t>
      </w:r>
      <w:r w:rsidRPr="00CD6B52">
        <w:lastRenderedPageBreak/>
        <w:t>MSPB Measure cost Medicare 25 percent more per episode than hospitals at the 10th percentile; (3) rural hospitals out-perform urban hospitals; (4) the average MSPB Measure value in New England and the West South Central regions are the highest for both urban and rural hospitals; (5) teaching hospitals have higher average spending levels, but they also have higher expected spending amounts (due to a sicker patient case mix); and (6) hospitals with a large number of DSH-eligible patients are not significantly less efficient than hospitals with few DSH beneficiaries. Tables 15 through 18 in the appendix present these results.</w:t>
      </w:r>
    </w:p>
    <w:p w14:paraId="1E63300F" w14:textId="77777777" w:rsidR="00664A85" w:rsidRDefault="00664A85" w:rsidP="00C67E5D">
      <w:pPr>
        <w:autoSpaceDE w:val="0"/>
        <w:autoSpaceDN w:val="0"/>
        <w:adjustRightInd w:val="0"/>
        <w:spacing w:after="0" w:line="240" w:lineRule="auto"/>
        <w:rPr>
          <w:rFonts w:cstheme="minorHAnsi"/>
          <w:bCs/>
          <w:color w:val="0070C0"/>
        </w:rPr>
      </w:pPr>
    </w:p>
    <w:p w14:paraId="135DF155" w14:textId="40D3C3E0" w:rsidR="000725A0" w:rsidRDefault="009C7513" w:rsidP="000725A0">
      <w:pPr>
        <w:autoSpaceDE w:val="0"/>
        <w:autoSpaceDN w:val="0"/>
        <w:adjustRightInd w:val="0"/>
        <w:spacing w:after="0" w:line="240" w:lineRule="auto"/>
        <w:rPr>
          <w:rFonts w:cstheme="minorHAnsi"/>
          <w:bCs/>
        </w:rPr>
      </w:pPr>
      <w:r w:rsidRPr="007B0444">
        <w:rPr>
          <w:rFonts w:cstheme="minorHAnsi"/>
          <w:b/>
          <w:bCs/>
        </w:rPr>
        <w:t>2b4</w:t>
      </w:r>
      <w:r w:rsidR="00D61410" w:rsidRPr="007B0444">
        <w:rPr>
          <w:rFonts w:cstheme="minorHAnsi"/>
          <w:b/>
          <w:bCs/>
        </w:rPr>
        <w:t xml:space="preserve">.3. </w:t>
      </w:r>
      <w:proofErr w:type="gramStart"/>
      <w:r w:rsidR="00D61410" w:rsidRPr="007B0444">
        <w:rPr>
          <w:rFonts w:cstheme="minorHAnsi"/>
          <w:b/>
          <w:bCs/>
        </w:rPr>
        <w:t>What</w:t>
      </w:r>
      <w:proofErr w:type="gramEnd"/>
      <w:r w:rsidR="00D61410" w:rsidRPr="007B0444">
        <w:rPr>
          <w:rFonts w:cstheme="minorHAnsi"/>
          <w:b/>
          <w:bCs/>
        </w:rPr>
        <w:t xml:space="preserve"> is your interpretation of the results in terms of demonstrating the ability to identify statistically significant and</w:t>
      </w:r>
      <w:r w:rsidR="005038D5" w:rsidRPr="007B0444">
        <w:rPr>
          <w:rFonts w:cstheme="minorHAnsi"/>
          <w:b/>
          <w:bCs/>
        </w:rPr>
        <w:t>/or</w:t>
      </w:r>
      <w:r w:rsidR="00D61410" w:rsidRPr="007B0444">
        <w:rPr>
          <w:rFonts w:cstheme="minorHAnsi"/>
          <w:b/>
          <w:bCs/>
        </w:rPr>
        <w:t xml:space="preserve"> clinically/practically meaningful differences in performance across measured entities?</w:t>
      </w:r>
      <w:r w:rsidR="00D61410" w:rsidRPr="007B0444">
        <w:rPr>
          <w:rFonts w:cstheme="minorHAnsi"/>
          <w:bCs/>
        </w:rPr>
        <w:t xml:space="preserve"> (i</w:t>
      </w:r>
      <w:r w:rsidR="00D61410" w:rsidRPr="007B0444">
        <w:rPr>
          <w:rFonts w:cstheme="minorHAnsi"/>
          <w:bCs/>
          <w:i/>
        </w:rPr>
        <w:t>.e., what d</w:t>
      </w:r>
      <w:r w:rsidR="004C2443" w:rsidRPr="007B0444">
        <w:rPr>
          <w:rFonts w:cstheme="minorHAnsi"/>
          <w:bCs/>
          <w:i/>
        </w:rPr>
        <w:t>o the results mean in terms of statistical and meaningful differences?</w:t>
      </w:r>
      <w:r w:rsidR="00D61410" w:rsidRPr="007B0444">
        <w:rPr>
          <w:rFonts w:cstheme="minorHAnsi"/>
          <w:bCs/>
        </w:rPr>
        <w:t>)</w:t>
      </w:r>
    </w:p>
    <w:p w14:paraId="55E51939" w14:textId="106D6A87" w:rsidR="00C36A94" w:rsidRPr="00C93347" w:rsidRDefault="00FD613D" w:rsidP="004D5FA3">
      <w:pPr>
        <w:pStyle w:val="NoSpacing"/>
        <w:rPr>
          <w:rFonts w:ascii="Times New Roman" w:hAnsi="Times New Roman"/>
          <w:color w:val="FF0000"/>
        </w:rPr>
      </w:pPr>
      <w:r w:rsidRPr="00C93347">
        <w:rPr>
          <w:rFonts w:ascii="Times New Roman" w:hAnsi="Times New Roman"/>
          <w:color w:val="FF0000"/>
        </w:rPr>
        <w:t xml:space="preserve">There is wide range and fairly symmetric dispersion of MSPB hospital scores that permit meaningful differentiation. </w:t>
      </w:r>
      <w:r w:rsidR="00176982" w:rsidRPr="00C93347">
        <w:rPr>
          <w:rFonts w:ascii="Times New Roman" w:hAnsi="Times New Roman"/>
          <w:color w:val="FF0000"/>
        </w:rPr>
        <w:t xml:space="preserve">Some score </w:t>
      </w:r>
      <w:proofErr w:type="gramStart"/>
      <w:r w:rsidR="00176982" w:rsidRPr="00C93347">
        <w:rPr>
          <w:rFonts w:ascii="Times New Roman" w:hAnsi="Times New Roman"/>
          <w:color w:val="FF0000"/>
        </w:rPr>
        <w:t>distributions, that</w:t>
      </w:r>
      <w:proofErr w:type="gramEnd"/>
      <w:r w:rsidR="00176982" w:rsidRPr="00C93347">
        <w:rPr>
          <w:rFonts w:ascii="Times New Roman" w:hAnsi="Times New Roman"/>
          <w:color w:val="FF0000"/>
        </w:rPr>
        <w:t xml:space="preserve"> one might expect to be comparable given standardized prices that exclude Medicare add</w:t>
      </w:r>
      <w:r w:rsidR="00BF6F1F" w:rsidRPr="00C93347">
        <w:rPr>
          <w:rFonts w:ascii="Times New Roman" w:hAnsi="Times New Roman"/>
          <w:color w:val="FF0000"/>
        </w:rPr>
        <w:t>-</w:t>
      </w:r>
      <w:r w:rsidR="00176982" w:rsidRPr="00C93347">
        <w:rPr>
          <w:rFonts w:ascii="Times New Roman" w:hAnsi="Times New Roman"/>
          <w:color w:val="FF0000"/>
        </w:rPr>
        <w:t>on payments, do indeed appear comparable. For example, non-teaching hospital average risk</w:t>
      </w:r>
      <w:r w:rsidR="0091518E" w:rsidRPr="00C93347">
        <w:rPr>
          <w:rFonts w:ascii="Times New Roman" w:hAnsi="Times New Roman"/>
          <w:color w:val="FF0000"/>
        </w:rPr>
        <w:t>-</w:t>
      </w:r>
      <w:r w:rsidR="00176982" w:rsidRPr="00C93347">
        <w:rPr>
          <w:rFonts w:ascii="Times New Roman" w:hAnsi="Times New Roman"/>
          <w:color w:val="FF0000"/>
        </w:rPr>
        <w:t>adjusted episode cost is</w:t>
      </w:r>
      <w:r w:rsidR="0099169A" w:rsidRPr="00C93347">
        <w:rPr>
          <w:rFonts w:ascii="Times New Roman" w:hAnsi="Times New Roman"/>
          <w:color w:val="FF0000"/>
        </w:rPr>
        <w:t xml:space="preserve"> less than </w:t>
      </w:r>
      <w:r w:rsidR="00176982" w:rsidRPr="00C93347">
        <w:rPr>
          <w:rFonts w:ascii="Times New Roman" w:hAnsi="Times New Roman"/>
          <w:color w:val="FF0000"/>
        </w:rPr>
        <w:t>1.7 percent</w:t>
      </w:r>
      <w:r w:rsidR="0099169A" w:rsidRPr="00C93347">
        <w:rPr>
          <w:rFonts w:ascii="Times New Roman" w:hAnsi="Times New Roman"/>
          <w:color w:val="FF0000"/>
        </w:rPr>
        <w:t xml:space="preserve"> lower</w:t>
      </w:r>
      <w:r w:rsidR="00176982" w:rsidRPr="00C93347">
        <w:rPr>
          <w:rFonts w:ascii="Times New Roman" w:hAnsi="Times New Roman"/>
          <w:color w:val="FF0000"/>
        </w:rPr>
        <w:t xml:space="preserve"> than teaching hospitals. Moreover</w:t>
      </w:r>
      <w:r w:rsidRPr="00C93347">
        <w:rPr>
          <w:rFonts w:ascii="Times New Roman" w:hAnsi="Times New Roman"/>
          <w:color w:val="FF0000"/>
        </w:rPr>
        <w:t xml:space="preserve">, </w:t>
      </w:r>
      <w:r w:rsidR="00176982" w:rsidRPr="00C93347">
        <w:rPr>
          <w:rFonts w:ascii="Times New Roman" w:hAnsi="Times New Roman"/>
          <w:color w:val="FF0000"/>
        </w:rPr>
        <w:t xml:space="preserve">while the </w:t>
      </w:r>
      <w:r w:rsidRPr="00C93347">
        <w:rPr>
          <w:rFonts w:ascii="Times New Roman" w:hAnsi="Times New Roman"/>
          <w:color w:val="FF0000"/>
        </w:rPr>
        <w:t>extreme scores of safety-net hospitals (max:</w:t>
      </w:r>
      <w:r w:rsidR="00C93347" w:rsidRPr="00C93347">
        <w:rPr>
          <w:rFonts w:ascii="Times New Roman" w:hAnsi="Times New Roman"/>
          <w:color w:val="FF0000"/>
        </w:rPr>
        <w:t xml:space="preserve"> </w:t>
      </w:r>
      <w:r w:rsidRPr="00C93347">
        <w:rPr>
          <w:rFonts w:ascii="Times New Roman" w:hAnsi="Times New Roman"/>
          <w:color w:val="FF0000"/>
        </w:rPr>
        <w:t>1.68; min: 0.4</w:t>
      </w:r>
      <w:r w:rsidR="0099169A" w:rsidRPr="00C93347">
        <w:rPr>
          <w:rFonts w:ascii="Times New Roman" w:hAnsi="Times New Roman"/>
          <w:color w:val="FF0000"/>
        </w:rPr>
        <w:t>9</w:t>
      </w:r>
      <w:r w:rsidRPr="00C93347">
        <w:rPr>
          <w:rFonts w:ascii="Times New Roman" w:hAnsi="Times New Roman"/>
          <w:color w:val="FF0000"/>
        </w:rPr>
        <w:t xml:space="preserve">) differ from those of non-safety-net hospitals (max: </w:t>
      </w:r>
      <w:r w:rsidR="0099169A" w:rsidRPr="00C93347">
        <w:rPr>
          <w:rFonts w:ascii="Times New Roman" w:hAnsi="Times New Roman"/>
          <w:color w:val="FF0000"/>
        </w:rPr>
        <w:t>1</w:t>
      </w:r>
      <w:r w:rsidRPr="00C93347">
        <w:rPr>
          <w:rFonts w:ascii="Times New Roman" w:hAnsi="Times New Roman"/>
          <w:color w:val="FF0000"/>
        </w:rPr>
        <w:t>.</w:t>
      </w:r>
      <w:r w:rsidR="0099169A" w:rsidRPr="00C93347">
        <w:rPr>
          <w:rFonts w:ascii="Times New Roman" w:hAnsi="Times New Roman"/>
          <w:color w:val="FF0000"/>
        </w:rPr>
        <w:t>59</w:t>
      </w:r>
      <w:r w:rsidRPr="00C93347">
        <w:rPr>
          <w:rFonts w:ascii="Times New Roman" w:hAnsi="Times New Roman"/>
          <w:color w:val="FF0000"/>
        </w:rPr>
        <w:t xml:space="preserve">; min: </w:t>
      </w:r>
      <w:r w:rsidR="00176982" w:rsidRPr="00C93347">
        <w:rPr>
          <w:rFonts w:ascii="Times New Roman" w:hAnsi="Times New Roman"/>
          <w:color w:val="FF0000"/>
        </w:rPr>
        <w:t>0.</w:t>
      </w:r>
      <w:r w:rsidR="0099169A" w:rsidRPr="00C93347">
        <w:rPr>
          <w:rFonts w:ascii="Times New Roman" w:hAnsi="Times New Roman"/>
          <w:color w:val="FF0000"/>
        </w:rPr>
        <w:t>66</w:t>
      </w:r>
      <w:r w:rsidRPr="00C93347">
        <w:rPr>
          <w:rFonts w:ascii="Times New Roman" w:hAnsi="Times New Roman"/>
          <w:color w:val="FF0000"/>
        </w:rPr>
        <w:t>)</w:t>
      </w:r>
      <w:r w:rsidR="00176982" w:rsidRPr="00C93347">
        <w:rPr>
          <w:rFonts w:ascii="Times New Roman" w:hAnsi="Times New Roman"/>
          <w:color w:val="FF0000"/>
        </w:rPr>
        <w:t>, the score distributions between the 10</w:t>
      </w:r>
      <w:r w:rsidR="00176982" w:rsidRPr="00C93347">
        <w:rPr>
          <w:rFonts w:ascii="Times New Roman" w:hAnsi="Times New Roman"/>
          <w:color w:val="FF0000"/>
          <w:vertAlign w:val="superscript"/>
        </w:rPr>
        <w:t>th</w:t>
      </w:r>
      <w:r w:rsidR="00176982" w:rsidRPr="00C93347">
        <w:rPr>
          <w:rFonts w:ascii="Times New Roman" w:hAnsi="Times New Roman"/>
          <w:color w:val="FF0000"/>
        </w:rPr>
        <w:t xml:space="preserve"> and 90</w:t>
      </w:r>
      <w:r w:rsidR="00176982" w:rsidRPr="00C93347">
        <w:rPr>
          <w:rFonts w:ascii="Times New Roman" w:hAnsi="Times New Roman"/>
          <w:color w:val="FF0000"/>
          <w:vertAlign w:val="superscript"/>
        </w:rPr>
        <w:t>th</w:t>
      </w:r>
      <w:r w:rsidR="00176982" w:rsidRPr="00C93347">
        <w:rPr>
          <w:rFonts w:ascii="Times New Roman" w:hAnsi="Times New Roman"/>
          <w:color w:val="FF0000"/>
        </w:rPr>
        <w:t xml:space="preserve"> percentiles are quite similar.</w:t>
      </w:r>
      <w:r w:rsidR="007A2B7A" w:rsidRPr="00C93347">
        <w:rPr>
          <w:rFonts w:ascii="Times New Roman" w:hAnsi="Times New Roman"/>
          <w:color w:val="FF0000"/>
        </w:rPr>
        <w:t xml:space="preserve"> </w:t>
      </w:r>
      <w:r w:rsidR="00176982" w:rsidRPr="00C93347">
        <w:rPr>
          <w:rFonts w:ascii="Times New Roman" w:hAnsi="Times New Roman"/>
          <w:color w:val="FF0000"/>
        </w:rPr>
        <w:t xml:space="preserve">Additionally, score distributions across other hospital characteristics, vary in expected ways. For example, rural hospitals generally have lower measure scores relative to urban hospitals; and, regional variation is apparent. </w:t>
      </w:r>
    </w:p>
    <w:p w14:paraId="7F6D7E76" w14:textId="26998375" w:rsidR="00484A33" w:rsidRPr="004D5FA3" w:rsidRDefault="00484A33" w:rsidP="004D5FA3">
      <w:pPr>
        <w:pStyle w:val="NoSpacing"/>
        <w:rPr>
          <w:color w:val="FF0000"/>
        </w:rPr>
      </w:pPr>
    </w:p>
    <w:p w14:paraId="57000CE2" w14:textId="6EFB5B05" w:rsidR="00484A33" w:rsidRPr="004D5FA3" w:rsidRDefault="00484A33" w:rsidP="004D5FA3">
      <w:pPr>
        <w:pStyle w:val="NoSpacing"/>
        <w:rPr>
          <w:rStyle w:val="Body125Char"/>
          <w:rFonts w:ascii="Calibri" w:eastAsia="Calibri" w:hAnsi="Calibri"/>
          <w:spacing w:val="0"/>
          <w:sz w:val="22"/>
          <w:szCs w:val="22"/>
        </w:rPr>
      </w:pPr>
      <w:r w:rsidRPr="004D5FA3">
        <w:rPr>
          <w:rStyle w:val="Body125Char"/>
          <w:rFonts w:ascii="Calibri" w:eastAsia="Calibri" w:hAnsi="Calibri"/>
          <w:spacing w:val="0"/>
          <w:sz w:val="22"/>
          <w:szCs w:val="22"/>
          <w:u w:val="single"/>
        </w:rPr>
        <w:t>Previous Response (2016):</w:t>
      </w:r>
      <w:r w:rsidRPr="004D5FA3">
        <w:rPr>
          <w:rStyle w:val="Body125Char"/>
          <w:rFonts w:ascii="Calibri" w:eastAsia="Calibri" w:hAnsi="Calibri"/>
          <w:spacing w:val="0"/>
          <w:sz w:val="22"/>
          <w:szCs w:val="22"/>
        </w:rPr>
        <w:t xml:space="preserve"> There exists clinically/practically significant variation in MSPB-Hospital measure scores, which indicates the measure’s ability to capture differences in performance.  There also exists significant variation in MSPB-Hospital measure scores when considered in light of certain clinically meaningful hospital characteristics.  As noted above, rural hospitals tend to have lower MSPB-Hospital measure scores than urban hospitals, and the West South Central region has the highest average MSPB-Hospital measure score for both urban and rural hospitals.  As mentioned in section S.11, low MSPB-Hospital measure score(s) indicates that the hospital or set of hospitals have low MSPB-Hospital amount(s) (i.e., risk-adjusted spending); measure scores less than 1 indicate that the MSPB-Hospital amount is less than the national episode-weighted median MSPB-Hospital amount across all hospitals during the given performance period.   The results can be interpreted to mean that hospitals with lower MSPB-Hospital measure scores have lower risk-adjusted spending than other hospitals.  </w:t>
      </w:r>
    </w:p>
    <w:p w14:paraId="3BDFC6B4" w14:textId="77777777" w:rsidR="004D5FA3" w:rsidRPr="00CD6B52" w:rsidRDefault="004D5FA3" w:rsidP="004D5FA3">
      <w:pPr>
        <w:pStyle w:val="NoSpacing"/>
        <w:rPr>
          <w:rStyle w:val="Body125Char"/>
          <w:sz w:val="22"/>
          <w:szCs w:val="22"/>
        </w:rPr>
      </w:pPr>
    </w:p>
    <w:p w14:paraId="37FB25C6" w14:textId="545AC848" w:rsidR="00484A33" w:rsidRPr="004D5FA3" w:rsidRDefault="00484A33" w:rsidP="004D5FA3">
      <w:pPr>
        <w:pStyle w:val="NoSpacing"/>
      </w:pPr>
      <w:r w:rsidRPr="004D5FA3">
        <w:t>Our findings regarding variation in the MSPB-Hospital measure, particularly with respect to clinically meaningful hospital characteristics, are consistent with existing literature.  Research by the Dartmouth Institute for Health Policy &amp; Clinical Practice has found significant variation in hospital expenditures for the Medicare population,</w:t>
      </w:r>
      <w:r w:rsidRPr="004D5FA3">
        <w:rPr>
          <w:vertAlign w:val="superscript"/>
        </w:rPr>
        <w:footnoteReference w:id="65"/>
      </w:r>
      <w:r w:rsidRPr="004D5FA3">
        <w:t xml:space="preserve"> which is consistent with our findings regarding significant variation across MSPB-Hospital measure score percentiles.  Dartmouth has also found significant variation with respect to characteristics considered by our analysis.  In particular, their research has found that southern and northeastern states generally have high Medicare utilization, and that certain urban areas had higher Medicare utilization.</w:t>
      </w:r>
      <w:r w:rsidRPr="004D5FA3">
        <w:rPr>
          <w:vertAlign w:val="superscript"/>
        </w:rPr>
        <w:footnoteReference w:id="66"/>
      </w:r>
      <w:r w:rsidRPr="004D5FA3">
        <w:t xml:space="preserve">  These findings within the literature are consistent with our stratified findings of the MSPB-Hospital measure score by geographic region and urban/rural hospital.  Other literature also </w:t>
      </w:r>
      <w:r w:rsidRPr="004D5FA3">
        <w:lastRenderedPageBreak/>
        <w:t xml:space="preserve">found that academic centers tend to have higher Medicare spending, which is consistent with our findings about teaching hospitals. </w:t>
      </w:r>
      <w:r w:rsidRPr="004D5FA3">
        <w:rPr>
          <w:vertAlign w:val="superscript"/>
        </w:rPr>
        <w:footnoteReference w:id="67"/>
      </w:r>
    </w:p>
    <w:p w14:paraId="39C2531D" w14:textId="77777777" w:rsidR="004D5FA3" w:rsidRPr="00CD6B52" w:rsidRDefault="004D5FA3" w:rsidP="004D5FA3">
      <w:pPr>
        <w:pStyle w:val="NoSpacing"/>
        <w:rPr>
          <w:vertAlign w:val="superscript"/>
        </w:rPr>
      </w:pPr>
    </w:p>
    <w:p w14:paraId="42F59413" w14:textId="4F0F51BC" w:rsidR="00484A33" w:rsidRPr="00CD6B52" w:rsidRDefault="00484A33" w:rsidP="004D5FA3">
      <w:pPr>
        <w:pStyle w:val="NoSpacing"/>
        <w:rPr>
          <w:b/>
        </w:rPr>
      </w:pPr>
      <w:r w:rsidRPr="004D5FA3">
        <w:rPr>
          <w:bCs/>
          <w:u w:val="single"/>
        </w:rPr>
        <w:t>Previous Response (2013):</w:t>
      </w:r>
      <w:r w:rsidRPr="00CD6B52">
        <w:rPr>
          <w:b/>
        </w:rPr>
        <w:t xml:space="preserve"> </w:t>
      </w:r>
      <w:r w:rsidRPr="00CD6B52">
        <w:t>There exists significant variation in spending relative to the typical hospital.  For example, hospitals at the 90th percentile use 25 percent more resources per episode than hospitals at the 10th percentile.  These figures also vary across hospital characteristics.</w:t>
      </w:r>
    </w:p>
    <w:p w14:paraId="6A54EC74" w14:textId="77777777" w:rsidR="00484A33" w:rsidRPr="00CD6B52" w:rsidRDefault="00484A33" w:rsidP="004D5FA3">
      <w:pPr>
        <w:pStyle w:val="NoSpacing"/>
        <w:rPr>
          <w:bCs/>
        </w:rPr>
      </w:pPr>
    </w:p>
    <w:p w14:paraId="77871520" w14:textId="77777777" w:rsidR="000C65C1" w:rsidRPr="00C36A94" w:rsidRDefault="000C65C1" w:rsidP="004D5FA3">
      <w:pPr>
        <w:pStyle w:val="NoSpacing"/>
        <w:rPr>
          <w:bCs/>
          <w:color w:val="0070C0"/>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9C4055"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sidRPr="009C4055">
        <w:rPr>
          <w:rFonts w:cstheme="minorHAnsi"/>
          <w:b/>
          <w:bCs/>
        </w:rPr>
        <w:t>WHEN</w:t>
      </w:r>
      <w:r w:rsidR="002B2116" w:rsidRPr="009C4055">
        <w:rPr>
          <w:rFonts w:cstheme="minorHAnsi"/>
          <w:b/>
          <w:bCs/>
        </w:rPr>
        <w:t xml:space="preserve"> MORE THAN ONE SET OF SPECIFICATIONS </w:t>
      </w:r>
    </w:p>
    <w:p w14:paraId="0CABD00F" w14:textId="77777777" w:rsidR="00567D12" w:rsidRPr="009C4055" w:rsidRDefault="00567D12" w:rsidP="00567D12">
      <w:pPr>
        <w:spacing w:after="0" w:line="240" w:lineRule="auto"/>
        <w:rPr>
          <w:rFonts w:cstheme="minorHAnsi"/>
          <w:b/>
          <w:bCs/>
        </w:rPr>
      </w:pPr>
      <w:r w:rsidRPr="009C4055">
        <w:rPr>
          <w:rFonts w:cstheme="minorHAnsi"/>
          <w:b/>
          <w:bCs/>
          <w:i/>
        </w:rPr>
        <w:t xml:space="preserve">If only one set of specifications, this section can be </w:t>
      </w:r>
      <w:r w:rsidR="00BE592D" w:rsidRPr="009C4055">
        <w:rPr>
          <w:rFonts w:cstheme="minorHAnsi"/>
          <w:b/>
          <w:bCs/>
          <w:i/>
        </w:rPr>
        <w:t>skipped.</w:t>
      </w:r>
    </w:p>
    <w:p w14:paraId="0CABD010" w14:textId="77777777" w:rsidR="00567D12" w:rsidRPr="009C4055" w:rsidRDefault="00567D12" w:rsidP="00DB3627">
      <w:pPr>
        <w:autoSpaceDE w:val="0"/>
        <w:autoSpaceDN w:val="0"/>
        <w:adjustRightInd w:val="0"/>
        <w:spacing w:after="0" w:line="240" w:lineRule="auto"/>
        <w:rPr>
          <w:rFonts w:cstheme="minorHAnsi"/>
          <w:b/>
          <w:bCs/>
        </w:rPr>
      </w:pPr>
    </w:p>
    <w:p w14:paraId="0CABD011" w14:textId="23D2C0F9" w:rsidR="00052A6F" w:rsidRDefault="002B2116" w:rsidP="00DB3627">
      <w:pPr>
        <w:autoSpaceDE w:val="0"/>
        <w:autoSpaceDN w:val="0"/>
        <w:adjustRightInd w:val="0"/>
        <w:spacing w:after="0" w:line="240" w:lineRule="auto"/>
        <w:rPr>
          <w:rFonts w:cstheme="minorHAnsi"/>
          <w:bCs/>
          <w:i/>
        </w:rPr>
      </w:pPr>
      <w:r w:rsidRPr="009C4055">
        <w:rPr>
          <w:rFonts w:cstheme="minorHAnsi"/>
          <w:b/>
          <w:bCs/>
          <w:u w:val="single"/>
        </w:rPr>
        <w:t>Note</w:t>
      </w:r>
      <w:r w:rsidRPr="009C4055">
        <w:rPr>
          <w:rFonts w:cstheme="minorHAnsi"/>
          <w:bCs/>
          <w:i/>
        </w:rPr>
        <w:t xml:space="preserve">: </w:t>
      </w:r>
      <w:r w:rsidR="00F1412B" w:rsidRPr="009C4055">
        <w:rPr>
          <w:rFonts w:ascii="Calibri-Italic" w:eastAsiaTheme="minorHAnsi" w:hAnsi="Calibri-Italic" w:cs="Calibri-Italic"/>
          <w:i/>
          <w:iCs/>
        </w:rPr>
        <w:t xml:space="preserve">This item is directed to measures that are risk-adjusted (with or without </w:t>
      </w:r>
      <w:r w:rsidR="00AF2D68" w:rsidRPr="009C4055">
        <w:rPr>
          <w:rFonts w:ascii="Calibri-Italic" w:eastAsiaTheme="minorHAnsi" w:hAnsi="Calibri-Italic" w:cs="Calibri-Italic"/>
          <w:i/>
          <w:iCs/>
        </w:rPr>
        <w:t>social risk</w:t>
      </w:r>
      <w:r w:rsidR="00F1412B" w:rsidRPr="009C4055">
        <w:rPr>
          <w:rFonts w:ascii="Calibri-Italic" w:eastAsiaTheme="minorHAnsi" w:hAnsi="Calibri-Italic" w:cs="Calibri-Italic"/>
          <w:i/>
          <w:iCs/>
        </w:rPr>
        <w:t xml:space="preserve"> factors) </w:t>
      </w:r>
      <w:r w:rsidR="00F1412B" w:rsidRPr="009C4055">
        <w:rPr>
          <w:rFonts w:ascii="Calibri-Italic" w:eastAsiaTheme="minorHAnsi" w:hAnsi="Calibri-Italic" w:cs="Calibri-Italic"/>
          <w:b/>
          <w:i/>
          <w:iCs/>
        </w:rPr>
        <w:t>OR</w:t>
      </w:r>
      <w:r w:rsidR="00F1412B" w:rsidRPr="009C4055">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9C4055">
        <w:rPr>
          <w:rFonts w:ascii="Calibri-BoldItalic" w:eastAsiaTheme="minorHAnsi" w:hAnsi="Calibri-BoldItalic" w:cs="Calibri-BoldItalic"/>
          <w:b/>
          <w:bCs/>
          <w:i/>
          <w:iCs/>
        </w:rPr>
        <w:t xml:space="preserve">Comparability is not required when comparing performance scores with and without </w:t>
      </w:r>
      <w:r w:rsidR="00AF2D68" w:rsidRPr="009C4055">
        <w:rPr>
          <w:rFonts w:ascii="Calibri-BoldItalic" w:eastAsiaTheme="minorHAnsi" w:hAnsi="Calibri-BoldItalic" w:cs="Calibri-BoldItalic"/>
          <w:b/>
          <w:bCs/>
          <w:i/>
          <w:iCs/>
        </w:rPr>
        <w:t>social risk</w:t>
      </w:r>
      <w:r w:rsidR="00F1412B" w:rsidRPr="009C4055">
        <w:rPr>
          <w:rFonts w:ascii="Calibri-BoldItalic" w:eastAsiaTheme="minorHAnsi" w:hAnsi="Calibri-BoldItalic" w:cs="Calibri-BoldItalic"/>
          <w:b/>
          <w:bCs/>
          <w:i/>
          <w:iCs/>
        </w:rPr>
        <w:t xml:space="preserve"> factors</w:t>
      </w:r>
      <w:r w:rsidR="00F1412B" w:rsidRPr="005133A2">
        <w:rPr>
          <w:rFonts w:ascii="Calibri-BoldItalic" w:eastAsiaTheme="minorHAnsi" w:hAnsi="Calibri-BoldItalic" w:cs="Calibri-BoldItalic"/>
          <w:b/>
          <w:bCs/>
          <w:i/>
          <w:iCs/>
        </w:rPr>
        <w:t xml:space="preserve"> in the risk adjustment model</w:t>
      </w:r>
      <w:r w:rsidR="00781267">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4" w14:textId="081A7AAD" w:rsidR="000F06B5" w:rsidRPr="00A25024" w:rsidRDefault="009C7513" w:rsidP="004D5FA3">
      <w:pPr>
        <w:pStyle w:val="NoSpacing"/>
        <w:rPr>
          <w:rFonts w:cstheme="minorHAnsi"/>
        </w:rPr>
      </w:pPr>
      <w:r>
        <w:rPr>
          <w:rFonts w:cstheme="minorHAnsi"/>
          <w:b/>
        </w:rPr>
        <w:t>2b5</w:t>
      </w:r>
      <w:r w:rsidR="00E1508F">
        <w:rPr>
          <w:rFonts w:cstheme="minorHAnsi"/>
          <w:b/>
        </w:rPr>
        <w:t xml:space="preserve">.1. </w:t>
      </w:r>
      <w:r w:rsidR="008871A9">
        <w:rPr>
          <w:rFonts w:cstheme="minorHAnsi"/>
          <w:b/>
        </w:rPr>
        <w:t xml:space="preserve">Describe the method of </w:t>
      </w:r>
      <w:r w:rsidR="000F06B5" w:rsidRPr="00A25024">
        <w:rPr>
          <w:rFonts w:cstheme="minorHAnsi"/>
          <w:b/>
        </w:rPr>
        <w:t>testing conducted</w:t>
      </w:r>
      <w:r w:rsidR="008871A9">
        <w:rPr>
          <w:rFonts w:cstheme="minorHAnsi"/>
          <w:b/>
        </w:rPr>
        <w:t xml:space="preserve"> to </w:t>
      </w:r>
      <w:r w:rsidR="00F1412B">
        <w:rPr>
          <w:rFonts w:cstheme="minorHAnsi"/>
          <w:b/>
        </w:rPr>
        <w:t>compare</w:t>
      </w:r>
      <w:r w:rsidR="004B6CEE" w:rsidRPr="00A25024">
        <w:rPr>
          <w:rFonts w:cstheme="minorHAnsi"/>
          <w:b/>
        </w:rPr>
        <w:t xml:space="preserve"> performance scores </w:t>
      </w:r>
      <w:r w:rsidR="00A35F8F" w:rsidRPr="00A25024">
        <w:rPr>
          <w:rFonts w:cstheme="minorHAnsi"/>
          <w:b/>
        </w:rPr>
        <w:t xml:space="preserve">for the same entities </w:t>
      </w:r>
      <w:r w:rsidR="00287649" w:rsidRPr="00A25024">
        <w:rPr>
          <w:rFonts w:cstheme="minorHAnsi"/>
          <w:b/>
        </w:rPr>
        <w:t xml:space="preserve">across the different </w:t>
      </w:r>
      <w:r w:rsidR="00864CA8">
        <w:rPr>
          <w:rFonts w:cstheme="minorHAnsi"/>
          <w:b/>
        </w:rPr>
        <w:t>data</w:t>
      </w:r>
      <w:r w:rsidR="0028114D">
        <w:rPr>
          <w:rFonts w:cstheme="minorHAnsi"/>
          <w:b/>
        </w:rPr>
        <w:t xml:space="preserve"> </w:t>
      </w:r>
      <w:r w:rsidR="00864CA8">
        <w:rPr>
          <w:rFonts w:cstheme="minorHAnsi"/>
          <w:b/>
        </w:rPr>
        <w:t>sources/</w:t>
      </w:r>
      <w:r w:rsidR="00287649" w:rsidRPr="00A25024">
        <w:rPr>
          <w:rFonts w:cstheme="minorHAnsi"/>
          <w:b/>
        </w:rPr>
        <w:t>specifications</w:t>
      </w:r>
      <w:r w:rsidR="000F06B5" w:rsidRPr="00A25024">
        <w:rPr>
          <w:rFonts w:cstheme="minorHAnsi"/>
        </w:rPr>
        <w:t xml:space="preserve"> (</w:t>
      </w:r>
      <w:r w:rsidR="008871A9" w:rsidRPr="00A25024">
        <w:rPr>
          <w:rFonts w:cstheme="minorHAnsi"/>
          <w:i/>
        </w:rPr>
        <w:t>describe the steps―do not just name a method</w:t>
      </w:r>
      <w:r w:rsidR="006C3A4F">
        <w:rPr>
          <w:rFonts w:cstheme="minorHAnsi"/>
          <w:i/>
        </w:rPr>
        <w:t>; what statistical analysis was used</w:t>
      </w:r>
      <w:proofErr w:type="gramStart"/>
      <w:r w:rsidR="000F06B5" w:rsidRPr="00A25024">
        <w:rPr>
          <w:rFonts w:cstheme="minorHAnsi"/>
        </w:rPr>
        <w:t>)</w:t>
      </w:r>
      <w:proofErr w:type="gramEnd"/>
      <w:r w:rsidR="000F06B5" w:rsidRPr="00A25024">
        <w:rPr>
          <w:rFonts w:cstheme="minorHAnsi"/>
        </w:rPr>
        <w:br/>
      </w:r>
      <w:r w:rsidR="0054413E" w:rsidRPr="004D5FA3">
        <w:rPr>
          <w:color w:val="FF0000"/>
        </w:rPr>
        <w:t>N/A</w:t>
      </w:r>
    </w:p>
    <w:p w14:paraId="0CABD016" w14:textId="70866FC0" w:rsidR="00E1508F" w:rsidRPr="00E1508F" w:rsidRDefault="009C7513" w:rsidP="004D5FA3">
      <w:pPr>
        <w:pStyle w:val="NoSpacing"/>
        <w:rPr>
          <w:rFonts w:cstheme="minorHAnsi"/>
        </w:rPr>
      </w:pPr>
      <w:r>
        <w:rPr>
          <w:rFonts w:cstheme="minorHAnsi"/>
          <w:b/>
        </w:rPr>
        <w:t>2b5</w:t>
      </w:r>
      <w:r w:rsidR="00E1508F">
        <w:rPr>
          <w:rFonts w:cstheme="minorHAnsi"/>
          <w:b/>
        </w:rPr>
        <w:t xml:space="preserve">.2. </w:t>
      </w:r>
      <w:proofErr w:type="gramStart"/>
      <w:r w:rsidR="000F06B5" w:rsidRPr="00A25024">
        <w:rPr>
          <w:rFonts w:cstheme="minorHAnsi"/>
          <w:b/>
        </w:rPr>
        <w:t>What</w:t>
      </w:r>
      <w:proofErr w:type="gramEnd"/>
      <w:r w:rsidR="000F06B5" w:rsidRPr="00A25024">
        <w:rPr>
          <w:rFonts w:cstheme="minorHAnsi"/>
          <w:b/>
        </w:rPr>
        <w:t xml:space="preserve"> were the statistical results </w:t>
      </w:r>
      <w:r w:rsidR="00A35F8F" w:rsidRPr="00A25024">
        <w:rPr>
          <w:rFonts w:cstheme="minorHAnsi"/>
          <w:b/>
        </w:rPr>
        <w:t>from testing</w:t>
      </w:r>
      <w:r w:rsidR="000F06B5" w:rsidRPr="00A25024">
        <w:rPr>
          <w:rFonts w:cstheme="minorHAnsi"/>
          <w:b/>
        </w:rPr>
        <w:t xml:space="preserve"> comparability of performance scores for the same entities when using different </w:t>
      </w:r>
      <w:r w:rsidR="00864CA8">
        <w:rPr>
          <w:rFonts w:cstheme="minorHAnsi"/>
          <w:b/>
        </w:rPr>
        <w:t>data sources/</w:t>
      </w:r>
      <w:r w:rsidR="000F06B5" w:rsidRPr="00A25024">
        <w:rPr>
          <w:rFonts w:cstheme="minorHAnsi"/>
          <w:b/>
        </w:rPr>
        <w:t>specifications?</w:t>
      </w:r>
      <w:r w:rsidR="000F06B5" w:rsidRPr="00A25024">
        <w:rPr>
          <w:rFonts w:cstheme="minorHAnsi"/>
        </w:rPr>
        <w:t xml:space="preserve"> </w:t>
      </w:r>
      <w:r w:rsidR="00287649" w:rsidRPr="00A25024">
        <w:rPr>
          <w:rFonts w:cstheme="minorHAnsi"/>
        </w:rPr>
        <w:t>(</w:t>
      </w:r>
      <w:r w:rsidR="00287649" w:rsidRPr="00A25024">
        <w:rPr>
          <w:rFonts w:cstheme="minorHAnsi"/>
          <w:i/>
        </w:rPr>
        <w:t>e.g., correlation</w:t>
      </w:r>
      <w:r w:rsidR="006C3A4F">
        <w:rPr>
          <w:rFonts w:cstheme="minorHAnsi"/>
          <w:i/>
        </w:rPr>
        <w:t>, rank order</w:t>
      </w:r>
      <w:r w:rsidR="00287649" w:rsidRPr="00A25024">
        <w:rPr>
          <w:rFonts w:cstheme="minorHAnsi"/>
        </w:rPr>
        <w:t>)</w:t>
      </w:r>
      <w:r w:rsidR="000F06B5" w:rsidRPr="00A25024">
        <w:rPr>
          <w:rFonts w:cstheme="minorHAnsi"/>
        </w:rPr>
        <w:br/>
      </w:r>
      <w:r w:rsidR="0054413E" w:rsidRPr="004D5FA3">
        <w:rPr>
          <w:color w:val="FF0000"/>
        </w:rPr>
        <w:t>N/A</w:t>
      </w:r>
    </w:p>
    <w:p w14:paraId="01E22D2B" w14:textId="4D2FBF04" w:rsidR="00781267" w:rsidRDefault="009C7513" w:rsidP="004D5FA3">
      <w:pPr>
        <w:pStyle w:val="NoSpacing"/>
        <w:rPr>
          <w:rFonts w:cstheme="minorHAnsi"/>
          <w:b/>
        </w:rPr>
      </w:pPr>
      <w:r>
        <w:rPr>
          <w:rFonts w:cstheme="minorHAnsi"/>
          <w:b/>
        </w:rPr>
        <w:t>2b5</w:t>
      </w:r>
      <w:r w:rsidR="00E1508F">
        <w:rPr>
          <w:rFonts w:cstheme="minorHAnsi"/>
          <w:b/>
        </w:rPr>
        <w:t xml:space="preserve">.3. </w:t>
      </w:r>
      <w:proofErr w:type="gramStart"/>
      <w:r w:rsidR="002B0C3A" w:rsidRPr="00A25024">
        <w:rPr>
          <w:rFonts w:cstheme="minorHAnsi"/>
          <w:b/>
        </w:rPr>
        <w:t>What</w:t>
      </w:r>
      <w:proofErr w:type="gramEnd"/>
      <w:r w:rsidR="002B0C3A" w:rsidRPr="00A25024">
        <w:rPr>
          <w:rFonts w:cstheme="minorHAnsi"/>
          <w:b/>
        </w:rPr>
        <w:t xml:space="preserve"> is your interpretation of the results </w:t>
      </w:r>
      <w:r w:rsidR="00A35F8F" w:rsidRPr="00A25024">
        <w:rPr>
          <w:rFonts w:cstheme="minorHAnsi"/>
          <w:b/>
        </w:rPr>
        <w:t xml:space="preserve">in terms of </w:t>
      </w:r>
      <w:r w:rsidR="00F1412B">
        <w:rPr>
          <w:rFonts w:cstheme="minorHAnsi"/>
          <w:b/>
        </w:rPr>
        <w:t>the differences in</w:t>
      </w:r>
      <w:r w:rsidR="002B0C3A" w:rsidRPr="00A25024">
        <w:rPr>
          <w:rFonts w:cstheme="minorHAnsi"/>
          <w:b/>
        </w:rPr>
        <w:t xml:space="preserve"> performance measure scores </w:t>
      </w:r>
      <w:r w:rsidR="00287649" w:rsidRPr="00A25024">
        <w:rPr>
          <w:rFonts w:cstheme="minorHAnsi"/>
          <w:b/>
        </w:rPr>
        <w:t xml:space="preserve">for the same entities across the different </w:t>
      </w:r>
      <w:r w:rsidR="00864CA8">
        <w:rPr>
          <w:rFonts w:cstheme="minorHAnsi"/>
          <w:b/>
        </w:rPr>
        <w:t>data sources/</w:t>
      </w:r>
      <w:r w:rsidR="00287649" w:rsidRPr="00A25024">
        <w:rPr>
          <w:rFonts w:cstheme="minorHAnsi"/>
          <w:b/>
        </w:rPr>
        <w:t>specifications</w:t>
      </w:r>
      <w:r w:rsidR="002B0C3A" w:rsidRPr="00A25024">
        <w:rPr>
          <w:rFonts w:cstheme="minorHAnsi"/>
          <w:b/>
        </w:rPr>
        <w:t>?</w:t>
      </w:r>
      <w:r w:rsidR="00A35F8F" w:rsidRPr="00A25024">
        <w:rPr>
          <w:rFonts w:cstheme="minorHAnsi"/>
        </w:rPr>
        <w:t xml:space="preserve"> </w:t>
      </w:r>
      <w:r w:rsidR="002B0C3A" w:rsidRPr="00A25024">
        <w:rPr>
          <w:rFonts w:cstheme="minorHAnsi"/>
        </w:rPr>
        <w:t>(i</w:t>
      </w:r>
      <w:r w:rsidR="002B0C3A" w:rsidRPr="00A25024">
        <w:rPr>
          <w:rFonts w:cstheme="minorHAnsi"/>
          <w:i/>
        </w:rPr>
        <w:t xml:space="preserve">.e., what do the results mean and what are the norms for the test </w:t>
      </w:r>
      <w:proofErr w:type="gramStart"/>
      <w:r w:rsidR="002B0C3A" w:rsidRPr="00A25024">
        <w:rPr>
          <w:rFonts w:cstheme="minorHAnsi"/>
          <w:i/>
        </w:rPr>
        <w:t>conducted</w:t>
      </w:r>
      <w:proofErr w:type="gramEnd"/>
      <w:r w:rsidR="002B0C3A" w:rsidRPr="00A25024">
        <w:rPr>
          <w:rFonts w:cstheme="minorHAnsi"/>
        </w:rPr>
        <w:t>)</w:t>
      </w:r>
      <w:r w:rsidR="00A35F8F" w:rsidRPr="00DB3627">
        <w:rPr>
          <w:rFonts w:cstheme="minorHAnsi"/>
        </w:rPr>
        <w:br/>
      </w:r>
      <w:r w:rsidR="0054413E" w:rsidRPr="004D5FA3">
        <w:rPr>
          <w:color w:val="FF0000"/>
        </w:rPr>
        <w:t>N/A</w:t>
      </w:r>
    </w:p>
    <w:p w14:paraId="0CABD018" w14:textId="5CEB7F85" w:rsidR="008F7E67" w:rsidRDefault="008F7E67" w:rsidP="00781267">
      <w:pPr>
        <w:autoSpaceDE w:val="0"/>
        <w:autoSpaceDN w:val="0"/>
        <w:adjustRightInd w:val="0"/>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4D95FE0E" w14:textId="77777777" w:rsidR="00C67E5D"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0E404C7C" w14:textId="2242B74D" w:rsidR="00C67E5D" w:rsidRPr="00C93347" w:rsidRDefault="00C67E5D" w:rsidP="004D5FA3">
      <w:pPr>
        <w:pStyle w:val="NoSpacing"/>
        <w:rPr>
          <w:rFonts w:ascii="Times New Roman" w:hAnsi="Times New Roman"/>
          <w:bCs/>
          <w:color w:val="FF0000"/>
        </w:rPr>
      </w:pPr>
      <w:r w:rsidRPr="00C93347">
        <w:rPr>
          <w:rFonts w:ascii="Times New Roman" w:hAnsi="Times New Roman"/>
          <w:color w:val="FF0000"/>
        </w:rPr>
        <w:t xml:space="preserve">Since the MSPB </w:t>
      </w:r>
      <w:r w:rsidR="00266733" w:rsidRPr="00C93347">
        <w:rPr>
          <w:rFonts w:ascii="Times New Roman" w:hAnsi="Times New Roman"/>
          <w:color w:val="FF0000"/>
        </w:rPr>
        <w:t>Hospital</w:t>
      </w:r>
      <w:r w:rsidRPr="00C93347">
        <w:rPr>
          <w:rFonts w:ascii="Times New Roman" w:hAnsi="Times New Roman"/>
          <w:color w:val="FF0000"/>
        </w:rPr>
        <w:t xml:space="preserve"> </w:t>
      </w:r>
      <w:r w:rsidRPr="00C93347">
        <w:rPr>
          <w:rFonts w:ascii="Times New Roman" w:hAnsi="Times New Roman"/>
          <w:bCs/>
          <w:color w:val="FF0000"/>
        </w:rPr>
        <w:t>measure</w:t>
      </w:r>
      <w:r w:rsidR="0054413E" w:rsidRPr="00C93347">
        <w:rPr>
          <w:rFonts w:ascii="Times New Roman" w:hAnsi="Times New Roman"/>
          <w:bCs/>
          <w:color w:val="FF0000"/>
        </w:rPr>
        <w:t xml:space="preserve"> is calculated using Medicare claims data</w:t>
      </w:r>
      <w:r w:rsidRPr="00C93347">
        <w:rPr>
          <w:rFonts w:ascii="Times New Roman" w:hAnsi="Times New Roman"/>
          <w:color w:val="FF0000"/>
        </w:rPr>
        <w:t xml:space="preserve">, </w:t>
      </w:r>
      <w:r w:rsidR="00767B15" w:rsidRPr="00C93347">
        <w:rPr>
          <w:rFonts w:ascii="Times New Roman" w:hAnsi="Times New Roman"/>
          <w:color w:val="FF0000"/>
        </w:rPr>
        <w:t xml:space="preserve">we </w:t>
      </w:r>
      <w:r w:rsidRPr="00C93347">
        <w:rPr>
          <w:rFonts w:ascii="Times New Roman" w:hAnsi="Times New Roman"/>
          <w:color w:val="FF0000"/>
        </w:rPr>
        <w:t xml:space="preserve">expect a high degree of data completeness. To ensure further that we have complete and accurate data for each beneficiary who opens an episode, </w:t>
      </w:r>
      <w:r w:rsidR="00767B15" w:rsidRPr="00C93347">
        <w:rPr>
          <w:rFonts w:ascii="Times New Roman" w:hAnsi="Times New Roman"/>
          <w:color w:val="FF0000"/>
        </w:rPr>
        <w:t xml:space="preserve">we </w:t>
      </w:r>
      <w:r w:rsidRPr="00C93347">
        <w:rPr>
          <w:rFonts w:ascii="Times New Roman" w:hAnsi="Times New Roman"/>
          <w:color w:val="FF0000"/>
        </w:rPr>
        <w:t xml:space="preserve">exclude </w:t>
      </w:r>
      <w:r w:rsidRPr="00C93347">
        <w:rPr>
          <w:rFonts w:ascii="Times New Roman" w:hAnsi="Times New Roman"/>
          <w:bCs/>
          <w:color w:val="FF0000"/>
        </w:rPr>
        <w:t xml:space="preserve">episodes where beneficiary date of birth information (an input to the risk </w:t>
      </w:r>
      <w:r w:rsidRPr="00C93347">
        <w:rPr>
          <w:rFonts w:ascii="Times New Roman" w:hAnsi="Times New Roman"/>
          <w:bCs/>
          <w:color w:val="FF0000"/>
        </w:rPr>
        <w:lastRenderedPageBreak/>
        <w:t xml:space="preserve">adjustment model) cannot be found in the EDB or the beneficiary death date occurs before the episode trigger date. </w:t>
      </w:r>
    </w:p>
    <w:p w14:paraId="747ED9DD" w14:textId="77777777" w:rsidR="00DC357C" w:rsidRPr="00C93347" w:rsidRDefault="00DC357C" w:rsidP="004D5FA3">
      <w:pPr>
        <w:pStyle w:val="NoSpacing"/>
        <w:rPr>
          <w:rFonts w:ascii="Times New Roman" w:hAnsi="Times New Roman"/>
          <w:bCs/>
          <w:color w:val="FF0000"/>
        </w:rPr>
      </w:pPr>
    </w:p>
    <w:p w14:paraId="1F2C9998" w14:textId="657F8C38" w:rsidR="004101F8" w:rsidRPr="00C93347" w:rsidRDefault="00C67E5D" w:rsidP="004D5FA3">
      <w:pPr>
        <w:pStyle w:val="NoSpacing"/>
        <w:rPr>
          <w:rFonts w:ascii="Times New Roman" w:hAnsi="Times New Roman"/>
          <w:bCs/>
          <w:color w:val="FF0000"/>
        </w:rPr>
      </w:pPr>
      <w:r w:rsidRPr="00C93347">
        <w:rPr>
          <w:rFonts w:ascii="Times New Roman" w:hAnsi="Times New Roman"/>
          <w:color w:val="FF0000"/>
        </w:rPr>
        <w:t xml:space="preserve">The MSPB </w:t>
      </w:r>
      <w:r w:rsidR="00266733" w:rsidRPr="00C93347">
        <w:rPr>
          <w:rFonts w:ascii="Times New Roman" w:hAnsi="Times New Roman"/>
          <w:color w:val="FF0000"/>
        </w:rPr>
        <w:t>Hospital</w:t>
      </w:r>
      <w:r w:rsidRPr="00C93347">
        <w:rPr>
          <w:rFonts w:ascii="Times New Roman" w:hAnsi="Times New Roman"/>
          <w:bCs/>
          <w:color w:val="FF0000"/>
        </w:rPr>
        <w:t xml:space="preserve"> measure also excludes episodes where the beneficiary is enrolled in Medicare Part C or has a primary payer other than Medicare in the 90-day lookback period and episode window. In such situations, Medicare Parts A and B claims data may not capture the complete clinical profile for the beneficiary needed to capture the clinical risk of the beneficiary in risk adjustment. Furthermore, Parts A and B claims data may not capture all Medicare resource use if some portion of the beneficiary’s care is covered under Medicare Part C.</w:t>
      </w:r>
    </w:p>
    <w:p w14:paraId="3235DB92" w14:textId="78BE20F3" w:rsidR="00C67E5D" w:rsidRDefault="008F7E67" w:rsidP="004D5FA3">
      <w:pPr>
        <w:pStyle w:val="NoSpacing"/>
        <w:rPr>
          <w:rFonts w:ascii="Times New Roman" w:hAnsi="Times New Roman"/>
          <w:color w:val="FF0000"/>
        </w:rPr>
      </w:pPr>
      <w:r w:rsidRPr="00A25024">
        <w:rPr>
          <w:rFonts w:cstheme="minorHAnsi"/>
        </w:rPr>
        <w:br/>
      </w:r>
      <w:r w:rsidR="009C7513">
        <w:rPr>
          <w:rFonts w:cstheme="minorHAnsi"/>
          <w:b/>
        </w:rPr>
        <w:t>2b6</w:t>
      </w:r>
      <w:r>
        <w:rPr>
          <w:rFonts w:cstheme="minorHAnsi"/>
          <w:b/>
        </w:rPr>
        <w:t xml:space="preserve">.2. </w:t>
      </w:r>
      <w:r w:rsidR="000913CF" w:rsidRPr="00FC5DE1">
        <w:rPr>
          <w:rFonts w:cstheme="minorHAnsi"/>
          <w:b/>
        </w:rPr>
        <w:t>what</w:t>
      </w:r>
      <w:r w:rsidR="00145D4F" w:rsidRPr="00FC5DE1">
        <w:rPr>
          <w:rFonts w:cstheme="minorHAnsi"/>
          <w:b/>
        </w:rPr>
        <w:t xml:space="preserve"> is the overall frequency of missing data</w:t>
      </w:r>
      <w:r w:rsidR="005560E7">
        <w:rPr>
          <w:rFonts w:cstheme="minorHAnsi"/>
          <w:b/>
        </w:rPr>
        <w:t>,</w:t>
      </w:r>
      <w:r w:rsidR="00145D4F" w:rsidRPr="00FC5DE1">
        <w:rPr>
          <w:rFonts w:cstheme="minorHAnsi"/>
          <w:b/>
        </w:rPr>
        <w:t xml:space="preserve"> the distribution of missing data across providers</w:t>
      </w:r>
      <w:r w:rsidR="005560E7">
        <w:rPr>
          <w:rFonts w:cstheme="minorHAnsi"/>
          <w:b/>
        </w:rPr>
        <w:t>,</w:t>
      </w:r>
      <w:r w:rsidR="00145D4F" w:rsidRPr="00A25024">
        <w:rPr>
          <w:rFonts w:cstheme="minorHAnsi"/>
          <w:b/>
        </w:rPr>
        <w:t xml:space="preserve"> </w:t>
      </w:r>
      <w:r w:rsidR="00145D4F">
        <w:rPr>
          <w:rFonts w:cstheme="minorHAnsi"/>
          <w:b/>
        </w:rPr>
        <w:t>and the</w:t>
      </w:r>
      <w:r w:rsidRPr="00A25024">
        <w:rPr>
          <w:rFonts w:cstheme="minorHAnsi"/>
          <w:b/>
        </w:rPr>
        <w:t xml:space="preserve"> results from testing </w:t>
      </w:r>
      <w:r w:rsidR="00771B2A">
        <w:rPr>
          <w:rFonts w:cstheme="minorHAnsi"/>
          <w:b/>
        </w:rPr>
        <w:t>related to missing data</w:t>
      </w:r>
      <w:r w:rsidRPr="00A25024">
        <w:rPr>
          <w:rFonts w:cstheme="minorHAnsi"/>
          <w:b/>
        </w:rPr>
        <w:t>?</w:t>
      </w:r>
      <w:r w:rsidRPr="00A25024">
        <w:rPr>
          <w:rFonts w:cstheme="minorHAnsi"/>
        </w:rPr>
        <w:t xml:space="preserve"> (</w:t>
      </w:r>
      <w:r w:rsidRPr="00A25024">
        <w:rPr>
          <w:rFonts w:cstheme="minorHAnsi"/>
          <w:i/>
        </w:rPr>
        <w:t>e.g.,</w:t>
      </w:r>
      <w:r w:rsidR="008B604D" w:rsidRPr="008B604D">
        <w:rPr>
          <w:rFonts w:cstheme="minorHAnsi"/>
          <w:b/>
        </w:rPr>
        <w:t xml:space="preserve"> </w:t>
      </w:r>
      <w:r w:rsidR="00145D4F" w:rsidRPr="00FC5DE1">
        <w:rPr>
          <w:rFonts w:cstheme="minorHAnsi"/>
          <w:i/>
        </w:rPr>
        <w:t xml:space="preserve">results of sensitivity analysis of </w:t>
      </w:r>
      <w:r w:rsidR="005560E7">
        <w:rPr>
          <w:rFonts w:cstheme="minorHAnsi"/>
          <w:i/>
        </w:rPr>
        <w:t xml:space="preserve">the </w:t>
      </w:r>
      <w:r w:rsidR="00145D4F" w:rsidRPr="00FC5DE1">
        <w:rPr>
          <w:rFonts w:cstheme="minorHAnsi"/>
          <w:i/>
        </w:rPr>
        <w:t>effect of various rules for missing data</w:t>
      </w:r>
      <w:r w:rsidR="00145D4F">
        <w:rPr>
          <w:rFonts w:cstheme="minorHAnsi"/>
          <w:i/>
        </w:rPr>
        <w:t>/nonresponse</w:t>
      </w:r>
      <w:r w:rsidR="00145D4F" w:rsidRPr="00FC5DE1">
        <w:rPr>
          <w:rFonts w:cstheme="minorHAnsi"/>
          <w:i/>
        </w:rPr>
        <w:t xml:space="preserve">; </w:t>
      </w:r>
      <w:r w:rsidR="00145D4F" w:rsidRPr="00FC5DE1">
        <w:rPr>
          <w:rFonts w:cstheme="minorHAnsi"/>
          <w:i/>
          <w:u w:val="single"/>
        </w:rPr>
        <w:t xml:space="preserve">if no empirical </w:t>
      </w:r>
      <w:r w:rsidR="00145D4F">
        <w:rPr>
          <w:rFonts w:cstheme="minorHAnsi"/>
          <w:i/>
          <w:u w:val="single"/>
        </w:rPr>
        <w:t xml:space="preserve">sensitivity </w:t>
      </w:r>
      <w:r w:rsidR="00145D4F" w:rsidRPr="00FC5DE1">
        <w:rPr>
          <w:rFonts w:cstheme="minorHAnsi"/>
          <w:i/>
          <w:u w:val="single"/>
        </w:rPr>
        <w:t>analysis</w:t>
      </w:r>
      <w:r w:rsidR="00145D4F" w:rsidRPr="00FC5DE1">
        <w:rPr>
          <w:rFonts w:cstheme="minorHAnsi"/>
          <w:i/>
        </w:rPr>
        <w:t>, identify the approaches for handling missing data that were considered and pros and cons of each</w:t>
      </w:r>
      <w:r w:rsidRPr="00A25024">
        <w:rPr>
          <w:rFonts w:cstheme="minorHAnsi"/>
        </w:rPr>
        <w:t>)</w:t>
      </w:r>
      <w:r w:rsidRPr="00A25024">
        <w:rPr>
          <w:rFonts w:cstheme="minorHAnsi"/>
        </w:rPr>
        <w:br/>
      </w:r>
      <w:r w:rsidR="007329A3" w:rsidRPr="00C93347">
        <w:rPr>
          <w:rFonts w:ascii="Times New Roman" w:hAnsi="Times New Roman"/>
          <w:color w:val="FF0000"/>
        </w:rPr>
        <w:t xml:space="preserve">The </w:t>
      </w:r>
      <w:r w:rsidR="00881694" w:rsidRPr="00C93347">
        <w:rPr>
          <w:rFonts w:ascii="Times New Roman" w:hAnsi="Times New Roman"/>
          <w:color w:val="FF0000"/>
        </w:rPr>
        <w:t>case count</w:t>
      </w:r>
      <w:r w:rsidR="007329A3" w:rsidRPr="00C93347">
        <w:rPr>
          <w:rFonts w:ascii="Times New Roman" w:hAnsi="Times New Roman"/>
          <w:color w:val="FF0000"/>
        </w:rPr>
        <w:t xml:space="preserve"> and select descriptive statistics for the four missing/errant data </w:t>
      </w:r>
      <w:r w:rsidR="00427FAA" w:rsidRPr="00C93347">
        <w:rPr>
          <w:rFonts w:ascii="Times New Roman" w:hAnsi="Times New Roman"/>
          <w:color w:val="FF0000"/>
        </w:rPr>
        <w:t>considered in the MSPB Hospital measure are shown in Table 8 (Appendix Table 2b2.2). These categories consistent of episodes where necessary beneficiary data, like the beneficiary age risk adjustor, was missing, or where competing or non-continuous insurance coverage made complete Medicare service use tallies potentially incomplete.</w:t>
      </w:r>
    </w:p>
    <w:p w14:paraId="31031280" w14:textId="77777777" w:rsidR="00C93347" w:rsidRPr="00C93347" w:rsidRDefault="00C93347" w:rsidP="004D5FA3">
      <w:pPr>
        <w:pStyle w:val="NoSpacing"/>
        <w:rPr>
          <w:rFonts w:ascii="Times New Roman" w:hAnsi="Times New Roman"/>
        </w:rPr>
      </w:pPr>
    </w:p>
    <w:p w14:paraId="5A97699A" w14:textId="2208E61D" w:rsidR="00C67E5D" w:rsidRPr="00C93347" w:rsidRDefault="00C67E5D" w:rsidP="00C67E5D">
      <w:pPr>
        <w:pStyle w:val="Caption"/>
        <w:spacing w:after="0"/>
        <w:jc w:val="center"/>
        <w:rPr>
          <w:rFonts w:ascii="Times New Roman" w:hAnsi="Times New Roman" w:cs="Times New Roman"/>
          <w:b w:val="0"/>
          <w:color w:val="FF0000"/>
          <w:sz w:val="22"/>
          <w:szCs w:val="22"/>
        </w:rPr>
      </w:pPr>
      <w:r w:rsidRPr="00C93347">
        <w:rPr>
          <w:rFonts w:ascii="Times New Roman" w:hAnsi="Times New Roman" w:cs="Times New Roman"/>
          <w:color w:val="FF0000"/>
          <w:sz w:val="22"/>
          <w:szCs w:val="22"/>
        </w:rPr>
        <w:t xml:space="preserve">Table </w:t>
      </w:r>
      <w:r w:rsidR="005D18D8" w:rsidRPr="00C93347">
        <w:rPr>
          <w:rFonts w:ascii="Times New Roman" w:hAnsi="Times New Roman" w:cs="Times New Roman"/>
          <w:color w:val="FF0000"/>
          <w:sz w:val="22"/>
          <w:szCs w:val="22"/>
        </w:rPr>
        <w:t>8</w:t>
      </w:r>
      <w:r w:rsidR="00194D96" w:rsidRPr="00C93347">
        <w:rPr>
          <w:rFonts w:ascii="Times New Roman" w:hAnsi="Times New Roman" w:cs="Times New Roman"/>
          <w:color w:val="FF0000"/>
          <w:sz w:val="22"/>
          <w:szCs w:val="22"/>
        </w:rPr>
        <w:t>.</w:t>
      </w:r>
      <w:r w:rsidRPr="00C93347">
        <w:rPr>
          <w:rFonts w:ascii="Times New Roman" w:hAnsi="Times New Roman" w:cs="Times New Roman"/>
          <w:color w:val="FF0000"/>
          <w:sz w:val="22"/>
          <w:szCs w:val="22"/>
        </w:rPr>
        <w:t xml:space="preserve"> Missing Data Categories for the MSPB </w:t>
      </w:r>
      <w:r w:rsidR="00266733" w:rsidRPr="00C93347">
        <w:rPr>
          <w:rFonts w:ascii="Times New Roman" w:hAnsi="Times New Roman" w:cs="Times New Roman"/>
          <w:color w:val="FF0000"/>
          <w:sz w:val="22"/>
          <w:szCs w:val="22"/>
        </w:rPr>
        <w:t>Hospital Measure</w:t>
      </w:r>
      <w:r w:rsidRPr="00C93347">
        <w:rPr>
          <w:rFonts w:ascii="Times New Roman" w:hAnsi="Times New Roman" w:cs="Times New Roman"/>
          <w:color w:val="FF0000"/>
          <w:sz w:val="22"/>
          <w:szCs w:val="22"/>
        </w:rPr>
        <w:t xml:space="preserve"> </w:t>
      </w:r>
    </w:p>
    <w:tbl>
      <w:tblPr>
        <w:tblStyle w:val="TableGrid"/>
        <w:tblW w:w="0" w:type="auto"/>
        <w:jc w:val="center"/>
        <w:tblLook w:val="04A0" w:firstRow="1" w:lastRow="0" w:firstColumn="1" w:lastColumn="0" w:noHBand="0" w:noVBand="1"/>
      </w:tblPr>
      <w:tblGrid>
        <w:gridCol w:w="2785"/>
        <w:gridCol w:w="1440"/>
        <w:gridCol w:w="1276"/>
        <w:gridCol w:w="1276"/>
        <w:gridCol w:w="1276"/>
      </w:tblGrid>
      <w:tr w:rsidR="00B34430" w:rsidRPr="00C93347" w14:paraId="37437CB7" w14:textId="28718E95" w:rsidTr="00881694">
        <w:trPr>
          <w:trHeight w:val="305"/>
          <w:jc w:val="center"/>
        </w:trPr>
        <w:tc>
          <w:tcPr>
            <w:tcW w:w="2785" w:type="dxa"/>
            <w:shd w:val="clear" w:color="auto" w:fill="17365D" w:themeFill="text2" w:themeFillShade="BF"/>
            <w:vAlign w:val="center"/>
          </w:tcPr>
          <w:p w14:paraId="7DBB1D92" w14:textId="77777777" w:rsidR="00B34430" w:rsidRPr="00C93347" w:rsidRDefault="00B34430" w:rsidP="00D3095E">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Exclusion</w:t>
            </w:r>
          </w:p>
        </w:tc>
        <w:tc>
          <w:tcPr>
            <w:tcW w:w="1440" w:type="dxa"/>
            <w:shd w:val="clear" w:color="auto" w:fill="17365D" w:themeFill="text2" w:themeFillShade="BF"/>
            <w:vAlign w:val="center"/>
          </w:tcPr>
          <w:p w14:paraId="0E6A6812" w14:textId="77777777" w:rsidR="00B34430" w:rsidRPr="00C93347" w:rsidDel="00B53C04" w:rsidRDefault="00B34430" w:rsidP="00D3095E">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 Episodes</w:t>
            </w:r>
          </w:p>
        </w:tc>
        <w:tc>
          <w:tcPr>
            <w:tcW w:w="1276" w:type="dxa"/>
            <w:shd w:val="clear" w:color="auto" w:fill="17365D" w:themeFill="text2" w:themeFillShade="BF"/>
            <w:vAlign w:val="center"/>
          </w:tcPr>
          <w:p w14:paraId="23274219" w14:textId="7E367C21" w:rsidR="00B34430" w:rsidRPr="00C93347" w:rsidDel="00B53C04" w:rsidRDefault="00B34430" w:rsidP="00D3095E">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Percent of Triggered Episodes</w:t>
            </w:r>
          </w:p>
        </w:tc>
        <w:tc>
          <w:tcPr>
            <w:tcW w:w="1276" w:type="dxa"/>
            <w:shd w:val="clear" w:color="auto" w:fill="17365D" w:themeFill="text2" w:themeFillShade="BF"/>
          </w:tcPr>
          <w:p w14:paraId="2F329D7C" w14:textId="039D37EE" w:rsidR="00B34430" w:rsidRPr="00C93347" w:rsidRDefault="00B34430" w:rsidP="00D3095E">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Average Observed Episode Cost</w:t>
            </w:r>
          </w:p>
        </w:tc>
        <w:tc>
          <w:tcPr>
            <w:tcW w:w="1276" w:type="dxa"/>
            <w:shd w:val="clear" w:color="auto" w:fill="17365D" w:themeFill="text2" w:themeFillShade="BF"/>
          </w:tcPr>
          <w:p w14:paraId="2777A04E" w14:textId="6BA60653" w:rsidR="00B34430" w:rsidRPr="00C93347" w:rsidRDefault="00B34430" w:rsidP="00D3095E">
            <w:pPr>
              <w:autoSpaceDE w:val="0"/>
              <w:autoSpaceDN w:val="0"/>
              <w:adjustRightInd w:val="0"/>
              <w:jc w:val="center"/>
              <w:rPr>
                <w:rFonts w:ascii="Times New Roman" w:hAnsi="Times New Roman" w:cs="Times New Roman"/>
                <w:b/>
                <w:bCs/>
                <w:color w:val="FFFFFF" w:themeColor="background1"/>
                <w:sz w:val="20"/>
                <w:szCs w:val="20"/>
              </w:rPr>
            </w:pPr>
            <w:r w:rsidRPr="00C93347">
              <w:rPr>
                <w:rFonts w:ascii="Times New Roman" w:hAnsi="Times New Roman" w:cs="Times New Roman"/>
                <w:b/>
                <w:bCs/>
                <w:color w:val="FFFFFF" w:themeColor="background1"/>
                <w:sz w:val="20"/>
                <w:szCs w:val="20"/>
              </w:rPr>
              <w:t>Average O/E Cost Ratio</w:t>
            </w:r>
          </w:p>
        </w:tc>
      </w:tr>
      <w:tr w:rsidR="00B34430" w:rsidRPr="00C93347" w14:paraId="0DC33721" w14:textId="334D9053" w:rsidTr="00CD6B52">
        <w:trPr>
          <w:jc w:val="center"/>
        </w:trPr>
        <w:tc>
          <w:tcPr>
            <w:tcW w:w="2785" w:type="dxa"/>
          </w:tcPr>
          <w:p w14:paraId="33143805" w14:textId="3C1E11D6" w:rsidR="00B34430" w:rsidRPr="00C93347" w:rsidRDefault="00427FAA" w:rsidP="00B34430">
            <w:pPr>
              <w:autoSpaceDE w:val="0"/>
              <w:autoSpaceDN w:val="0"/>
              <w:adjustRightInd w:val="0"/>
              <w:rPr>
                <w:rFonts w:ascii="Times New Roman" w:hAnsi="Times New Roman" w:cs="Times New Roman"/>
                <w:bCs/>
                <w:color w:val="FF0000"/>
                <w:sz w:val="20"/>
                <w:szCs w:val="20"/>
              </w:rPr>
            </w:pPr>
            <w:r w:rsidRPr="00C93347">
              <w:rPr>
                <w:rFonts w:ascii="Times New Roman" w:hAnsi="Times New Roman" w:cs="Times New Roman"/>
                <w:bCs/>
                <w:color w:val="FF0000"/>
                <w:sz w:val="20"/>
                <w:szCs w:val="20"/>
              </w:rPr>
              <w:t>Beneficiary date of birth is missing</w:t>
            </w:r>
          </w:p>
        </w:tc>
        <w:tc>
          <w:tcPr>
            <w:tcW w:w="1440" w:type="dxa"/>
            <w:vAlign w:val="center"/>
          </w:tcPr>
          <w:p w14:paraId="29B5F2DB" w14:textId="48A2B6EF" w:rsidR="00B34430" w:rsidRPr="00C93347" w:rsidRDefault="00B34430">
            <w:pPr>
              <w:autoSpaceDE w:val="0"/>
              <w:autoSpaceDN w:val="0"/>
              <w:adjustRightInd w:val="0"/>
              <w:jc w:val="right"/>
              <w:rPr>
                <w:rFonts w:ascii="Times New Roman" w:hAnsi="Times New Roman" w:cs="Times New Roman"/>
                <w:bCs/>
                <w:color w:val="FF0000"/>
                <w:sz w:val="20"/>
                <w:szCs w:val="20"/>
              </w:rPr>
            </w:pPr>
            <w:r w:rsidRPr="00C93347">
              <w:rPr>
                <w:rFonts w:ascii="Times New Roman" w:hAnsi="Times New Roman" w:cs="Times New Roman"/>
                <w:color w:val="FF0000"/>
                <w:sz w:val="20"/>
                <w:szCs w:val="20"/>
              </w:rPr>
              <w:t xml:space="preserve">                    9 </w:t>
            </w:r>
          </w:p>
        </w:tc>
        <w:tc>
          <w:tcPr>
            <w:tcW w:w="1276" w:type="dxa"/>
            <w:vAlign w:val="center"/>
          </w:tcPr>
          <w:p w14:paraId="443289A2" w14:textId="274E9202" w:rsidR="00B34430" w:rsidRPr="00C93347" w:rsidRDefault="00B34430">
            <w:pPr>
              <w:autoSpaceDE w:val="0"/>
              <w:autoSpaceDN w:val="0"/>
              <w:adjustRightInd w:val="0"/>
              <w:jc w:val="right"/>
              <w:rPr>
                <w:rFonts w:ascii="Times New Roman" w:hAnsi="Times New Roman" w:cs="Times New Roman"/>
                <w:bCs/>
                <w:color w:val="FF0000"/>
                <w:sz w:val="20"/>
                <w:szCs w:val="20"/>
              </w:rPr>
            </w:pPr>
            <w:r w:rsidRPr="00C93347">
              <w:rPr>
                <w:rFonts w:ascii="Times New Roman" w:hAnsi="Times New Roman" w:cs="Times New Roman"/>
                <w:color w:val="FF0000"/>
                <w:sz w:val="20"/>
                <w:szCs w:val="20"/>
              </w:rPr>
              <w:t>0.00%</w:t>
            </w:r>
          </w:p>
        </w:tc>
        <w:tc>
          <w:tcPr>
            <w:tcW w:w="1276" w:type="dxa"/>
            <w:vAlign w:val="center"/>
          </w:tcPr>
          <w:p w14:paraId="2F1876B3" w14:textId="261D295A" w:rsidR="00B34430" w:rsidRPr="00C93347" w:rsidRDefault="00B34430">
            <w:pPr>
              <w:autoSpaceDE w:val="0"/>
              <w:autoSpaceDN w:val="0"/>
              <w:adjustRightInd w:val="0"/>
              <w:jc w:val="right"/>
              <w:rPr>
                <w:rFonts w:ascii="Times New Roman" w:hAnsi="Times New Roman" w:cs="Times New Roman"/>
                <w:color w:val="FF0000"/>
                <w:sz w:val="20"/>
                <w:szCs w:val="20"/>
              </w:rPr>
            </w:pPr>
            <w:r w:rsidRPr="00C93347">
              <w:rPr>
                <w:rFonts w:ascii="Times New Roman" w:hAnsi="Times New Roman" w:cs="Times New Roman"/>
                <w:color w:val="FF0000"/>
                <w:sz w:val="20"/>
                <w:szCs w:val="20"/>
              </w:rPr>
              <w:t>$46,013</w:t>
            </w:r>
          </w:p>
        </w:tc>
        <w:tc>
          <w:tcPr>
            <w:tcW w:w="1276" w:type="dxa"/>
            <w:vAlign w:val="center"/>
          </w:tcPr>
          <w:p w14:paraId="41A69EA3" w14:textId="5594386C" w:rsidR="00B34430" w:rsidRPr="00C93347" w:rsidRDefault="00B34430">
            <w:pPr>
              <w:autoSpaceDE w:val="0"/>
              <w:autoSpaceDN w:val="0"/>
              <w:adjustRightInd w:val="0"/>
              <w:jc w:val="right"/>
              <w:rPr>
                <w:rFonts w:ascii="Times New Roman" w:hAnsi="Times New Roman" w:cs="Times New Roman"/>
                <w:color w:val="FF0000"/>
                <w:sz w:val="20"/>
                <w:szCs w:val="20"/>
              </w:rPr>
            </w:pPr>
            <w:r w:rsidRPr="00C93347">
              <w:rPr>
                <w:rFonts w:ascii="Times New Roman" w:hAnsi="Times New Roman" w:cs="Times New Roman"/>
                <w:color w:val="FF0000"/>
                <w:sz w:val="20"/>
                <w:szCs w:val="20"/>
              </w:rPr>
              <w:t>0.58</w:t>
            </w:r>
          </w:p>
        </w:tc>
      </w:tr>
      <w:tr w:rsidR="00B34430" w:rsidRPr="00C93347" w14:paraId="0E93DBD9" w14:textId="3020AEEE" w:rsidTr="00CD6B52">
        <w:trPr>
          <w:jc w:val="center"/>
        </w:trPr>
        <w:tc>
          <w:tcPr>
            <w:tcW w:w="2785" w:type="dxa"/>
          </w:tcPr>
          <w:p w14:paraId="1526A6C3" w14:textId="0DE37520" w:rsidR="00B34430" w:rsidRPr="00C93347" w:rsidRDefault="00427FAA" w:rsidP="00B34430">
            <w:pPr>
              <w:autoSpaceDE w:val="0"/>
              <w:autoSpaceDN w:val="0"/>
              <w:adjustRightInd w:val="0"/>
              <w:rPr>
                <w:rFonts w:ascii="Times New Roman" w:hAnsi="Times New Roman" w:cs="Times New Roman"/>
                <w:bCs/>
                <w:color w:val="FF0000"/>
                <w:sz w:val="20"/>
                <w:szCs w:val="20"/>
              </w:rPr>
            </w:pPr>
            <w:r w:rsidRPr="00C93347">
              <w:rPr>
                <w:rFonts w:ascii="Times New Roman" w:hAnsi="Times New Roman" w:cs="Times New Roman"/>
                <w:bCs/>
                <w:color w:val="FF0000"/>
                <w:sz w:val="20"/>
                <w:szCs w:val="20"/>
              </w:rPr>
              <w:t>Beneficiary death date occurred before the trigger date</w:t>
            </w:r>
          </w:p>
        </w:tc>
        <w:tc>
          <w:tcPr>
            <w:tcW w:w="1440" w:type="dxa"/>
            <w:vAlign w:val="center"/>
          </w:tcPr>
          <w:p w14:paraId="06D83C0B" w14:textId="2DEB6927" w:rsidR="00B34430" w:rsidRPr="00C93347" w:rsidDel="00B53C04" w:rsidRDefault="00B34430">
            <w:pPr>
              <w:autoSpaceDE w:val="0"/>
              <w:autoSpaceDN w:val="0"/>
              <w:adjustRightInd w:val="0"/>
              <w:jc w:val="right"/>
              <w:rPr>
                <w:rFonts w:ascii="Times New Roman" w:hAnsi="Times New Roman" w:cs="Times New Roman"/>
                <w:bCs/>
                <w:color w:val="FF0000"/>
                <w:sz w:val="20"/>
                <w:szCs w:val="20"/>
              </w:rPr>
            </w:pPr>
            <w:r w:rsidRPr="00C93347">
              <w:rPr>
                <w:rFonts w:ascii="Times New Roman" w:hAnsi="Times New Roman" w:cs="Times New Roman"/>
                <w:color w:val="FF0000"/>
                <w:sz w:val="20"/>
                <w:szCs w:val="20"/>
              </w:rPr>
              <w:t xml:space="preserve">                  64 </w:t>
            </w:r>
          </w:p>
        </w:tc>
        <w:tc>
          <w:tcPr>
            <w:tcW w:w="1276" w:type="dxa"/>
            <w:vAlign w:val="center"/>
          </w:tcPr>
          <w:p w14:paraId="30842420" w14:textId="6673725B" w:rsidR="00B34430" w:rsidRPr="00C93347" w:rsidDel="00B53C04" w:rsidRDefault="00B34430">
            <w:pPr>
              <w:autoSpaceDE w:val="0"/>
              <w:autoSpaceDN w:val="0"/>
              <w:adjustRightInd w:val="0"/>
              <w:jc w:val="right"/>
              <w:rPr>
                <w:rFonts w:ascii="Times New Roman" w:hAnsi="Times New Roman" w:cs="Times New Roman"/>
                <w:bCs/>
                <w:color w:val="FF0000"/>
                <w:sz w:val="20"/>
                <w:szCs w:val="20"/>
              </w:rPr>
            </w:pPr>
            <w:r w:rsidRPr="00C93347">
              <w:rPr>
                <w:rFonts w:ascii="Times New Roman" w:hAnsi="Times New Roman" w:cs="Times New Roman"/>
                <w:color w:val="FF0000"/>
                <w:sz w:val="20"/>
                <w:szCs w:val="20"/>
              </w:rPr>
              <w:t>0.00%</w:t>
            </w:r>
          </w:p>
        </w:tc>
        <w:tc>
          <w:tcPr>
            <w:tcW w:w="1276" w:type="dxa"/>
            <w:vAlign w:val="center"/>
          </w:tcPr>
          <w:p w14:paraId="6D307250" w14:textId="47C82AD3" w:rsidR="00B34430" w:rsidRPr="00C93347" w:rsidRDefault="00B34430">
            <w:pPr>
              <w:autoSpaceDE w:val="0"/>
              <w:autoSpaceDN w:val="0"/>
              <w:adjustRightInd w:val="0"/>
              <w:jc w:val="right"/>
              <w:rPr>
                <w:rFonts w:ascii="Times New Roman" w:hAnsi="Times New Roman" w:cs="Times New Roman"/>
                <w:color w:val="FF0000"/>
                <w:sz w:val="20"/>
                <w:szCs w:val="20"/>
              </w:rPr>
            </w:pPr>
            <w:r w:rsidRPr="00C93347">
              <w:rPr>
                <w:rFonts w:ascii="Times New Roman" w:hAnsi="Times New Roman" w:cs="Times New Roman"/>
                <w:color w:val="FF0000"/>
                <w:sz w:val="20"/>
                <w:szCs w:val="20"/>
              </w:rPr>
              <w:t>$15,975</w:t>
            </w:r>
          </w:p>
        </w:tc>
        <w:tc>
          <w:tcPr>
            <w:tcW w:w="1276" w:type="dxa"/>
            <w:vAlign w:val="center"/>
          </w:tcPr>
          <w:p w14:paraId="70E3A086" w14:textId="43826291" w:rsidR="00B34430" w:rsidRPr="00C93347" w:rsidRDefault="00B34430">
            <w:pPr>
              <w:autoSpaceDE w:val="0"/>
              <w:autoSpaceDN w:val="0"/>
              <w:adjustRightInd w:val="0"/>
              <w:jc w:val="right"/>
              <w:rPr>
                <w:rFonts w:ascii="Times New Roman" w:hAnsi="Times New Roman" w:cs="Times New Roman"/>
                <w:color w:val="FF0000"/>
                <w:sz w:val="20"/>
                <w:szCs w:val="20"/>
              </w:rPr>
            </w:pPr>
            <w:r w:rsidRPr="00C93347">
              <w:rPr>
                <w:rFonts w:ascii="Times New Roman" w:hAnsi="Times New Roman" w:cs="Times New Roman"/>
                <w:color w:val="FF0000"/>
                <w:sz w:val="20"/>
                <w:szCs w:val="20"/>
              </w:rPr>
              <w:t>0.67</w:t>
            </w:r>
          </w:p>
        </w:tc>
      </w:tr>
      <w:tr w:rsidR="00B34430" w:rsidRPr="00C93347" w14:paraId="72BD6ECA" w14:textId="67921A21" w:rsidTr="00CD6B52">
        <w:trPr>
          <w:jc w:val="center"/>
        </w:trPr>
        <w:tc>
          <w:tcPr>
            <w:tcW w:w="2785" w:type="dxa"/>
          </w:tcPr>
          <w:p w14:paraId="5965DB50" w14:textId="1435E012" w:rsidR="00B34430" w:rsidRPr="00C93347" w:rsidRDefault="00427FAA" w:rsidP="00B34430">
            <w:pPr>
              <w:autoSpaceDE w:val="0"/>
              <w:autoSpaceDN w:val="0"/>
              <w:adjustRightInd w:val="0"/>
              <w:rPr>
                <w:rFonts w:ascii="Times New Roman" w:hAnsi="Times New Roman" w:cs="Times New Roman"/>
                <w:bCs/>
                <w:color w:val="FF0000"/>
                <w:sz w:val="20"/>
                <w:szCs w:val="20"/>
              </w:rPr>
            </w:pPr>
            <w:r w:rsidRPr="00C93347">
              <w:rPr>
                <w:rFonts w:ascii="Times New Roman" w:hAnsi="Times New Roman" w:cs="Times New Roman"/>
                <w:bCs/>
                <w:color w:val="FF0000"/>
                <w:sz w:val="20"/>
                <w:szCs w:val="20"/>
              </w:rPr>
              <w:t xml:space="preserve">Beneficiary has a primary payer other than Medicare during the episode window or in the 90-day lookback period </w:t>
            </w:r>
          </w:p>
        </w:tc>
        <w:tc>
          <w:tcPr>
            <w:tcW w:w="1440" w:type="dxa"/>
            <w:vAlign w:val="center"/>
          </w:tcPr>
          <w:p w14:paraId="339B70D8" w14:textId="50739B22" w:rsidR="00B34430" w:rsidRPr="00C93347" w:rsidDel="00B53C04" w:rsidRDefault="00B34430">
            <w:pPr>
              <w:autoSpaceDE w:val="0"/>
              <w:autoSpaceDN w:val="0"/>
              <w:adjustRightInd w:val="0"/>
              <w:jc w:val="right"/>
              <w:rPr>
                <w:rFonts w:ascii="Times New Roman" w:hAnsi="Times New Roman" w:cs="Times New Roman"/>
                <w:bCs/>
                <w:color w:val="FF0000"/>
                <w:sz w:val="20"/>
                <w:szCs w:val="20"/>
              </w:rPr>
            </w:pPr>
            <w:r w:rsidRPr="00C93347">
              <w:rPr>
                <w:rFonts w:ascii="Times New Roman" w:hAnsi="Times New Roman" w:cs="Times New Roman"/>
                <w:color w:val="FF0000"/>
                <w:sz w:val="20"/>
                <w:szCs w:val="20"/>
              </w:rPr>
              <w:t xml:space="preserve">    1,019,510 </w:t>
            </w:r>
          </w:p>
        </w:tc>
        <w:tc>
          <w:tcPr>
            <w:tcW w:w="1276" w:type="dxa"/>
            <w:vAlign w:val="center"/>
          </w:tcPr>
          <w:p w14:paraId="6D44CDB5" w14:textId="20298782" w:rsidR="00B34430" w:rsidRPr="00C93347" w:rsidDel="00B53C04" w:rsidRDefault="00B34430">
            <w:pPr>
              <w:autoSpaceDE w:val="0"/>
              <w:autoSpaceDN w:val="0"/>
              <w:adjustRightInd w:val="0"/>
              <w:jc w:val="right"/>
              <w:rPr>
                <w:rFonts w:ascii="Times New Roman" w:hAnsi="Times New Roman" w:cs="Times New Roman"/>
                <w:bCs/>
                <w:color w:val="FF0000"/>
                <w:sz w:val="20"/>
                <w:szCs w:val="20"/>
              </w:rPr>
            </w:pPr>
            <w:r w:rsidRPr="00C93347">
              <w:rPr>
                <w:rFonts w:ascii="Times New Roman" w:hAnsi="Times New Roman" w:cs="Times New Roman"/>
                <w:color w:val="FF0000"/>
                <w:sz w:val="20"/>
                <w:szCs w:val="20"/>
              </w:rPr>
              <w:t>10.55%</w:t>
            </w:r>
          </w:p>
        </w:tc>
        <w:tc>
          <w:tcPr>
            <w:tcW w:w="1276" w:type="dxa"/>
            <w:vAlign w:val="center"/>
          </w:tcPr>
          <w:p w14:paraId="3382692E" w14:textId="651FC547" w:rsidR="00B34430" w:rsidRPr="00C93347" w:rsidRDefault="00B34430">
            <w:pPr>
              <w:autoSpaceDE w:val="0"/>
              <w:autoSpaceDN w:val="0"/>
              <w:adjustRightInd w:val="0"/>
              <w:jc w:val="right"/>
              <w:rPr>
                <w:rFonts w:ascii="Times New Roman" w:hAnsi="Times New Roman" w:cs="Times New Roman"/>
                <w:color w:val="FF0000"/>
                <w:sz w:val="20"/>
                <w:szCs w:val="20"/>
              </w:rPr>
            </w:pPr>
            <w:r w:rsidRPr="00C93347">
              <w:rPr>
                <w:rFonts w:ascii="Times New Roman" w:hAnsi="Times New Roman" w:cs="Times New Roman"/>
                <w:color w:val="FF0000"/>
                <w:sz w:val="20"/>
                <w:szCs w:val="20"/>
              </w:rPr>
              <w:t>$22,529</w:t>
            </w:r>
          </w:p>
        </w:tc>
        <w:tc>
          <w:tcPr>
            <w:tcW w:w="1276" w:type="dxa"/>
            <w:vAlign w:val="center"/>
          </w:tcPr>
          <w:p w14:paraId="6B016217" w14:textId="327D5637" w:rsidR="00B34430" w:rsidRPr="00C93347" w:rsidRDefault="00B34430">
            <w:pPr>
              <w:autoSpaceDE w:val="0"/>
              <w:autoSpaceDN w:val="0"/>
              <w:adjustRightInd w:val="0"/>
              <w:jc w:val="right"/>
              <w:rPr>
                <w:rFonts w:ascii="Times New Roman" w:hAnsi="Times New Roman" w:cs="Times New Roman"/>
                <w:color w:val="FF0000"/>
                <w:sz w:val="20"/>
                <w:szCs w:val="20"/>
              </w:rPr>
            </w:pPr>
            <w:r w:rsidRPr="00C93347">
              <w:rPr>
                <w:rFonts w:ascii="Times New Roman" w:hAnsi="Times New Roman" w:cs="Times New Roman"/>
                <w:color w:val="FF0000"/>
                <w:sz w:val="20"/>
                <w:szCs w:val="20"/>
              </w:rPr>
              <w:t>0.97</w:t>
            </w:r>
          </w:p>
        </w:tc>
      </w:tr>
      <w:tr w:rsidR="00B34430" w:rsidRPr="00C93347" w14:paraId="1B09B480" w14:textId="2F1D0118" w:rsidTr="00C93347">
        <w:trPr>
          <w:trHeight w:val="1259"/>
          <w:jc w:val="center"/>
        </w:trPr>
        <w:tc>
          <w:tcPr>
            <w:tcW w:w="2785" w:type="dxa"/>
          </w:tcPr>
          <w:p w14:paraId="4A72B64C" w14:textId="77777777" w:rsidR="00427FAA" w:rsidRPr="00C93347" w:rsidRDefault="00427FAA" w:rsidP="00427FAA">
            <w:pPr>
              <w:autoSpaceDE w:val="0"/>
              <w:autoSpaceDN w:val="0"/>
              <w:adjustRightInd w:val="0"/>
              <w:rPr>
                <w:rFonts w:ascii="Times New Roman" w:hAnsi="Times New Roman" w:cs="Times New Roman"/>
                <w:bCs/>
                <w:color w:val="FF0000"/>
                <w:sz w:val="20"/>
                <w:szCs w:val="20"/>
              </w:rPr>
            </w:pPr>
            <w:r w:rsidRPr="00C93347">
              <w:rPr>
                <w:rFonts w:ascii="Times New Roman" w:hAnsi="Times New Roman" w:cs="Times New Roman"/>
                <w:bCs/>
                <w:color w:val="FF0000"/>
                <w:sz w:val="20"/>
                <w:szCs w:val="20"/>
              </w:rPr>
              <w:t>Beneficiary was not enrolled in Medicare Parts A and B, or was enrolled in Part C, during the 90-day lookback period and episode window</w:t>
            </w:r>
          </w:p>
          <w:p w14:paraId="68502508" w14:textId="70B42816" w:rsidR="00B34430" w:rsidRPr="00C93347" w:rsidRDefault="00B34430" w:rsidP="00B34430">
            <w:pPr>
              <w:autoSpaceDE w:val="0"/>
              <w:autoSpaceDN w:val="0"/>
              <w:adjustRightInd w:val="0"/>
              <w:rPr>
                <w:rFonts w:ascii="Times New Roman" w:hAnsi="Times New Roman" w:cs="Times New Roman"/>
                <w:bCs/>
                <w:color w:val="FF0000"/>
                <w:sz w:val="20"/>
                <w:szCs w:val="20"/>
              </w:rPr>
            </w:pPr>
          </w:p>
        </w:tc>
        <w:tc>
          <w:tcPr>
            <w:tcW w:w="1440" w:type="dxa"/>
            <w:vAlign w:val="center"/>
          </w:tcPr>
          <w:p w14:paraId="65A9823D" w14:textId="7E135891" w:rsidR="00B34430" w:rsidRPr="00C93347" w:rsidDel="00B53C04" w:rsidRDefault="00B34430">
            <w:pPr>
              <w:autoSpaceDE w:val="0"/>
              <w:autoSpaceDN w:val="0"/>
              <w:adjustRightInd w:val="0"/>
              <w:jc w:val="right"/>
              <w:rPr>
                <w:rFonts w:ascii="Times New Roman" w:hAnsi="Times New Roman" w:cs="Times New Roman"/>
                <w:bCs/>
                <w:color w:val="FF0000"/>
                <w:sz w:val="20"/>
                <w:szCs w:val="20"/>
              </w:rPr>
            </w:pPr>
            <w:r w:rsidRPr="00C93347">
              <w:rPr>
                <w:rFonts w:ascii="Times New Roman" w:hAnsi="Times New Roman" w:cs="Times New Roman"/>
                <w:color w:val="FF0000"/>
                <w:sz w:val="20"/>
                <w:szCs w:val="20"/>
              </w:rPr>
              <w:t xml:space="preserve">      1,369,929 </w:t>
            </w:r>
          </w:p>
        </w:tc>
        <w:tc>
          <w:tcPr>
            <w:tcW w:w="1276" w:type="dxa"/>
            <w:vAlign w:val="center"/>
          </w:tcPr>
          <w:p w14:paraId="32F6524D" w14:textId="60F7E8C8" w:rsidR="00B34430" w:rsidRPr="00C93347" w:rsidDel="00B53C04" w:rsidRDefault="00B34430">
            <w:pPr>
              <w:autoSpaceDE w:val="0"/>
              <w:autoSpaceDN w:val="0"/>
              <w:adjustRightInd w:val="0"/>
              <w:jc w:val="right"/>
              <w:rPr>
                <w:rFonts w:ascii="Times New Roman" w:hAnsi="Times New Roman" w:cs="Times New Roman"/>
                <w:bCs/>
                <w:color w:val="FF0000"/>
                <w:sz w:val="20"/>
                <w:szCs w:val="20"/>
              </w:rPr>
            </w:pPr>
            <w:r w:rsidRPr="00C93347">
              <w:rPr>
                <w:rFonts w:ascii="Times New Roman" w:hAnsi="Times New Roman" w:cs="Times New Roman"/>
                <w:color w:val="FF0000"/>
                <w:sz w:val="20"/>
                <w:szCs w:val="20"/>
              </w:rPr>
              <w:t>14.18%</w:t>
            </w:r>
          </w:p>
        </w:tc>
        <w:tc>
          <w:tcPr>
            <w:tcW w:w="1276" w:type="dxa"/>
            <w:vAlign w:val="center"/>
          </w:tcPr>
          <w:p w14:paraId="6FE9E434" w14:textId="0EE032D3" w:rsidR="00B34430" w:rsidRPr="00C93347" w:rsidRDefault="00B34430">
            <w:pPr>
              <w:autoSpaceDE w:val="0"/>
              <w:autoSpaceDN w:val="0"/>
              <w:adjustRightInd w:val="0"/>
              <w:jc w:val="right"/>
              <w:rPr>
                <w:rFonts w:ascii="Times New Roman" w:hAnsi="Times New Roman" w:cs="Times New Roman"/>
                <w:color w:val="FF0000"/>
                <w:sz w:val="20"/>
                <w:szCs w:val="20"/>
              </w:rPr>
            </w:pPr>
            <w:r w:rsidRPr="00C93347">
              <w:rPr>
                <w:rFonts w:ascii="Times New Roman" w:hAnsi="Times New Roman" w:cs="Times New Roman"/>
                <w:color w:val="FF0000"/>
                <w:sz w:val="20"/>
                <w:szCs w:val="20"/>
              </w:rPr>
              <w:t>$22,474</w:t>
            </w:r>
          </w:p>
        </w:tc>
        <w:tc>
          <w:tcPr>
            <w:tcW w:w="1276" w:type="dxa"/>
            <w:vAlign w:val="center"/>
          </w:tcPr>
          <w:p w14:paraId="06BFCF90" w14:textId="7B6C6024" w:rsidR="00B34430" w:rsidRPr="00C93347" w:rsidRDefault="00B34430">
            <w:pPr>
              <w:autoSpaceDE w:val="0"/>
              <w:autoSpaceDN w:val="0"/>
              <w:adjustRightInd w:val="0"/>
              <w:jc w:val="right"/>
              <w:rPr>
                <w:rFonts w:ascii="Times New Roman" w:hAnsi="Times New Roman" w:cs="Times New Roman"/>
                <w:color w:val="FF0000"/>
                <w:sz w:val="20"/>
                <w:szCs w:val="20"/>
              </w:rPr>
            </w:pPr>
            <w:r w:rsidRPr="00C93347">
              <w:rPr>
                <w:rFonts w:ascii="Times New Roman" w:hAnsi="Times New Roman" w:cs="Times New Roman"/>
                <w:color w:val="FF0000"/>
                <w:sz w:val="20"/>
                <w:szCs w:val="20"/>
              </w:rPr>
              <w:t>0.91</w:t>
            </w:r>
          </w:p>
        </w:tc>
      </w:tr>
    </w:tbl>
    <w:p w14:paraId="43CD6D06" w14:textId="0FFBC8F8" w:rsidR="009A2F1E" w:rsidRDefault="009A2F1E">
      <w:pPr>
        <w:autoSpaceDE w:val="0"/>
        <w:autoSpaceDN w:val="0"/>
        <w:adjustRightInd w:val="0"/>
        <w:spacing w:after="0" w:line="240" w:lineRule="auto"/>
        <w:rPr>
          <w:rFonts w:cstheme="minorHAnsi"/>
          <w:b/>
          <w:bCs/>
        </w:rPr>
      </w:pPr>
    </w:p>
    <w:p w14:paraId="0EC314A9" w14:textId="77777777" w:rsidR="00083D14" w:rsidRPr="004C5C9D" w:rsidRDefault="00083D14">
      <w:pPr>
        <w:autoSpaceDE w:val="0"/>
        <w:autoSpaceDN w:val="0"/>
        <w:adjustRightInd w:val="0"/>
        <w:spacing w:after="0" w:line="240" w:lineRule="auto"/>
        <w:rPr>
          <w:rFonts w:ascii="Times New Roman" w:hAnsi="Times New Roman" w:cs="Times New Roman"/>
          <w:b/>
          <w:bCs/>
        </w:rPr>
      </w:pPr>
    </w:p>
    <w:p w14:paraId="0CABD01F" w14:textId="5DCB1BE8"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w:t>
      </w:r>
      <w:r w:rsidR="00771B2A" w:rsidRPr="00781267">
        <w:rPr>
          <w:rFonts w:ascii="Calibri" w:eastAsia="Calibri" w:hAnsi="Calibri" w:cs="Calibri"/>
        </w:rPr>
        <w:t>specified handling of missing data minimizes bias</w:t>
      </w:r>
      <w:r w:rsidR="008F7E67" w:rsidRPr="00781267">
        <w:rPr>
          <w:rFonts w:cstheme="minorHAnsi"/>
          <w:b/>
          <w:bCs/>
        </w:rPr>
        <w:t>?</w:t>
      </w:r>
      <w:r w:rsidR="008F7E67" w:rsidRPr="00781267">
        <w:rPr>
          <w:rFonts w:cstheme="minorHAnsi"/>
          <w:bCs/>
        </w:rPr>
        <w:t xml:space="preserve"> (i</w:t>
      </w:r>
      <w:r w:rsidR="008F7E67" w:rsidRPr="00781267">
        <w:rPr>
          <w:rFonts w:cstheme="minorHAnsi"/>
          <w:bCs/>
          <w:i/>
        </w:rPr>
        <w:t xml:space="preserve">.e., what do the results mean </w:t>
      </w:r>
      <w:r w:rsidR="00145D4F" w:rsidRPr="00781267">
        <w:rPr>
          <w:rFonts w:cstheme="minorHAnsi"/>
          <w:bCs/>
          <w:i/>
        </w:rPr>
        <w:t xml:space="preserve">in terms of supporting the selected approach for missing data </w:t>
      </w:r>
      <w:r w:rsidR="008F7E67" w:rsidRPr="00781267">
        <w:rPr>
          <w:rFonts w:cstheme="minorHAnsi"/>
          <w:bCs/>
          <w:i/>
        </w:rPr>
        <w:t>and what are the norms for the test conducted</w:t>
      </w:r>
      <w:r w:rsidR="00145D4F" w:rsidRPr="00781267">
        <w:rPr>
          <w:rFonts w:cstheme="minorHAnsi"/>
          <w:bCs/>
          <w:i/>
        </w:rPr>
        <w:t xml:space="preserve">; </w:t>
      </w:r>
      <w:r w:rsidR="00145D4F" w:rsidRPr="00781267">
        <w:rPr>
          <w:rFonts w:cstheme="minorHAnsi"/>
          <w:bCs/>
          <w:i/>
          <w:u w:val="single"/>
        </w:rPr>
        <w:t>if no empirical analysis</w:t>
      </w:r>
      <w:r w:rsidR="00145D4F" w:rsidRPr="00781267">
        <w:rPr>
          <w:rFonts w:cstheme="minorHAnsi"/>
          <w:bCs/>
          <w:i/>
        </w:rPr>
        <w:t>, provide rationale for the selected approach for missing data</w:t>
      </w:r>
      <w:r w:rsidR="008F7E67" w:rsidRPr="00781267">
        <w:rPr>
          <w:rFonts w:cstheme="minorHAnsi"/>
          <w:bCs/>
        </w:rPr>
        <w:t>)</w:t>
      </w:r>
    </w:p>
    <w:p w14:paraId="53FA792F" w14:textId="77777777" w:rsidR="0016494A" w:rsidRPr="00781267" w:rsidRDefault="0016494A">
      <w:pPr>
        <w:autoSpaceDE w:val="0"/>
        <w:autoSpaceDN w:val="0"/>
        <w:adjustRightInd w:val="0"/>
        <w:spacing w:after="0" w:line="240" w:lineRule="auto"/>
        <w:rPr>
          <w:rFonts w:cstheme="minorHAnsi"/>
          <w:bCs/>
        </w:rPr>
      </w:pPr>
    </w:p>
    <w:p w14:paraId="1F1120A4" w14:textId="1B50AC4D" w:rsidR="00C67E5D" w:rsidRPr="00C93347" w:rsidRDefault="00C67E5D" w:rsidP="004D5FA3">
      <w:pPr>
        <w:pStyle w:val="NoSpacing"/>
        <w:rPr>
          <w:rFonts w:ascii="Times New Roman" w:hAnsi="Times New Roman"/>
          <w:color w:val="FF0000"/>
        </w:rPr>
      </w:pPr>
      <w:r w:rsidRPr="00C93347">
        <w:rPr>
          <w:rFonts w:ascii="Times New Roman" w:hAnsi="Times New Roman"/>
          <w:color w:val="FF0000"/>
        </w:rPr>
        <w:t xml:space="preserve">As the MSPB </w:t>
      </w:r>
      <w:r w:rsidR="00264BC3" w:rsidRPr="00C93347">
        <w:rPr>
          <w:rFonts w:ascii="Times New Roman" w:hAnsi="Times New Roman"/>
          <w:color w:val="FF0000"/>
        </w:rPr>
        <w:t>Hospital</w:t>
      </w:r>
      <w:r w:rsidRPr="00C93347">
        <w:rPr>
          <w:rFonts w:ascii="Times New Roman" w:hAnsi="Times New Roman"/>
          <w:color w:val="FF0000"/>
        </w:rPr>
        <w:t xml:space="preserve"> measure is calculated with Medicare claims data, </w:t>
      </w:r>
      <w:r w:rsidR="00767B15" w:rsidRPr="00C93347">
        <w:rPr>
          <w:rFonts w:ascii="Times New Roman" w:hAnsi="Times New Roman"/>
          <w:color w:val="FF0000"/>
        </w:rPr>
        <w:t xml:space="preserve">we </w:t>
      </w:r>
      <w:r w:rsidRPr="00C93347">
        <w:rPr>
          <w:rFonts w:ascii="Times New Roman" w:hAnsi="Times New Roman"/>
          <w:color w:val="FF0000"/>
        </w:rPr>
        <w:t>expect a high degree of data completeness, which is supported by the limited frequency of missing data for birth date and invalid beneficiary death date information above. Additionally, the measure remove</w:t>
      </w:r>
      <w:r w:rsidR="0054413E" w:rsidRPr="00C93347">
        <w:rPr>
          <w:rFonts w:ascii="Times New Roman" w:hAnsi="Times New Roman"/>
          <w:color w:val="FF0000"/>
        </w:rPr>
        <w:t>s</w:t>
      </w:r>
      <w:r w:rsidRPr="00C93347">
        <w:rPr>
          <w:rFonts w:ascii="Times New Roman" w:hAnsi="Times New Roman"/>
          <w:color w:val="FF0000"/>
        </w:rPr>
        <w:t xml:space="preserve"> beneficiaries that may have gaps in the Medicare claims history due to alternate enrollment. </w:t>
      </w:r>
      <w:r w:rsidR="0054413E" w:rsidRPr="00C93347">
        <w:rPr>
          <w:rFonts w:ascii="Times New Roman" w:hAnsi="Times New Roman"/>
          <w:color w:val="FF0000"/>
        </w:rPr>
        <w:t xml:space="preserve">This data processing step ensures that we have complete and accurate information needed to calculate the measure. </w:t>
      </w:r>
    </w:p>
    <w:sectPr w:rsidR="00C67E5D" w:rsidRPr="00C93347" w:rsidSect="008505D1">
      <w:headerReference w:type="default" r:id="rId1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0D83" w16cex:dateUtc="2020-07-29T19:00:00Z"/>
  <w16cex:commentExtensible w16cex:durableId="22CC140C" w16cex:dateUtc="2020-07-29T19:26:00Z"/>
  <w16cex:commentExtensible w16cex:durableId="22CC2C2E" w16cex:dateUtc="2020-07-29T21:11:00Z"/>
  <w16cex:commentExtensible w16cex:durableId="22CC1A0E" w16cex:dateUtc="2020-07-29T19:53:00Z"/>
  <w16cex:commentExtensible w16cex:durableId="22CC505E" w16cex:dateUtc="2020-07-29T23:45:00Z"/>
  <w16cex:commentExtensible w16cex:durableId="22CC5031" w16cex:dateUtc="2020-07-29T2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5EDDDF" w16cid:durableId="22CC0D83"/>
  <w16cid:commentId w16cid:paraId="6A2FAEC9" w16cid:durableId="22CC140C"/>
  <w16cid:commentId w16cid:paraId="40A8ACDB" w16cid:durableId="22CC2C2E"/>
  <w16cid:commentId w16cid:paraId="067CA6EB" w16cid:durableId="22CC1A0E"/>
  <w16cid:commentId w16cid:paraId="3A5CA226" w16cid:durableId="22CC505E"/>
  <w16cid:commentId w16cid:paraId="0A7307BB" w16cid:durableId="22CC50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A4FC3" w14:textId="77777777" w:rsidR="00A12BD8" w:rsidRDefault="00A12BD8" w:rsidP="005C73CA">
      <w:pPr>
        <w:spacing w:after="0" w:line="240" w:lineRule="auto"/>
      </w:pPr>
      <w:r>
        <w:separator/>
      </w:r>
    </w:p>
  </w:endnote>
  <w:endnote w:type="continuationSeparator" w:id="0">
    <w:p w14:paraId="2C206FAD" w14:textId="77777777" w:rsidR="00A12BD8" w:rsidRDefault="00A12BD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24683" w14:textId="77777777" w:rsidR="00A12BD8" w:rsidRDefault="00A12BD8" w:rsidP="005C73CA">
      <w:pPr>
        <w:spacing w:after="0" w:line="240" w:lineRule="auto"/>
      </w:pPr>
      <w:r>
        <w:separator/>
      </w:r>
    </w:p>
  </w:footnote>
  <w:footnote w:type="continuationSeparator" w:id="0">
    <w:p w14:paraId="2B218E0D" w14:textId="77777777" w:rsidR="00A12BD8" w:rsidRDefault="00A12BD8" w:rsidP="005C73CA">
      <w:pPr>
        <w:spacing w:after="0" w:line="240" w:lineRule="auto"/>
      </w:pPr>
      <w:r>
        <w:continuationSeparator/>
      </w:r>
    </w:p>
  </w:footnote>
  <w:footnote w:id="1">
    <w:p w14:paraId="23EF59E8" w14:textId="77777777" w:rsidR="00A12BD8" w:rsidRPr="00162E70" w:rsidRDefault="00A12BD8" w:rsidP="006F3256">
      <w:pPr>
        <w:pStyle w:val="FootnoteText"/>
        <w:rPr>
          <w:color w:val="0070C0"/>
        </w:rPr>
      </w:pPr>
      <w:r w:rsidRPr="00F42A0A">
        <w:rPr>
          <w:rStyle w:val="FootnoteReference"/>
          <w:color w:val="FF0000"/>
        </w:rPr>
        <w:footnoteRef/>
      </w:r>
      <w:r w:rsidRPr="00F42A0A">
        <w:rPr>
          <w:color w:val="FF0000"/>
        </w:rPr>
        <w:t xml:space="preserve"> Subsection (d), which covers hospitals in the 50 states and D.C., does not include psychiatric hospitals, rehabilitation hospitals, hospitals whose inpatients are predominantly under 18 years old, hospitals whose average inpatient length of stay exceeds 25 days, and hospitals involved extensively in treatment for or research on cancer. </w:t>
      </w:r>
    </w:p>
  </w:footnote>
  <w:footnote w:id="2">
    <w:p w14:paraId="0B7F06A9" w14:textId="2EE92BF8" w:rsidR="00A12BD8" w:rsidRPr="00F42A0A" w:rsidRDefault="00A12BD8" w:rsidP="006F3256">
      <w:pPr>
        <w:pStyle w:val="FootnoteText"/>
        <w:rPr>
          <w:color w:val="FF0000"/>
        </w:rPr>
      </w:pPr>
      <w:r w:rsidRPr="00F42A0A">
        <w:rPr>
          <w:rStyle w:val="FootnoteReference"/>
          <w:color w:val="FF0000"/>
        </w:rPr>
        <w:footnoteRef/>
      </w:r>
      <w:r w:rsidRPr="00F42A0A">
        <w:rPr>
          <w:color w:val="FF0000"/>
        </w:rPr>
        <w:t xml:space="preserve"> University of Wisconsin School of Medicine Public Health. 2015 Area Deprivation Index v2.0. Downloaded from https://www.neighborhoodatlas.medicine.wisc.edu/ February 24, 2020.</w:t>
      </w:r>
    </w:p>
  </w:footnote>
  <w:footnote w:id="3">
    <w:p w14:paraId="5A8DD233" w14:textId="0346B8FF" w:rsidR="00A12BD8" w:rsidRPr="00F42A0A" w:rsidRDefault="00A12BD8" w:rsidP="006F3256">
      <w:pPr>
        <w:pStyle w:val="FootnoteText"/>
        <w:rPr>
          <w:color w:val="FF0000"/>
        </w:rPr>
      </w:pPr>
      <w:r w:rsidRPr="00F42A0A">
        <w:rPr>
          <w:rStyle w:val="FootnoteReference"/>
          <w:color w:val="FF0000"/>
        </w:rPr>
        <w:footnoteRef/>
      </w:r>
      <w:r w:rsidRPr="00F42A0A">
        <w:rPr>
          <w:color w:val="FF0000"/>
          <w:vertAlign w:val="superscript"/>
        </w:rPr>
        <w:t xml:space="preserve"> </w:t>
      </w:r>
      <w:r w:rsidRPr="00F42A0A">
        <w:rPr>
          <w:color w:val="FF0000"/>
        </w:rPr>
        <w:t xml:space="preserve">Agency for Healthcare Research &amp; Quality, Centers for Medicare &amp; Medicaid Services, and RTI International. “Creation of New Race-Ethnicity Codes and Socioeconomic Status (SES) Indicators for Medicare Beneficiaries.” Research Triangle Park, 2008. </w:t>
      </w:r>
      <w:hyperlink r:id="rId1" w:history="1">
        <w:r w:rsidRPr="00F42A0A">
          <w:rPr>
            <w:rStyle w:val="Hyperlink"/>
            <w:color w:val="FF0000"/>
            <w:u w:val="none"/>
          </w:rPr>
          <w:t>https://archive.ahrq.gov/research/findings/final-reports/medicareindicators/index.html</w:t>
        </w:r>
      </w:hyperlink>
    </w:p>
  </w:footnote>
  <w:footnote w:id="4">
    <w:p w14:paraId="5AAA866E" w14:textId="5FEA29AE" w:rsidR="00A12BD8" w:rsidRDefault="00A12BD8" w:rsidP="006F3256">
      <w:pPr>
        <w:pStyle w:val="FootnoteText"/>
      </w:pPr>
      <w:r w:rsidRPr="00F42A0A">
        <w:rPr>
          <w:rStyle w:val="FootnoteReference"/>
          <w:color w:val="FF0000"/>
        </w:rPr>
        <w:footnoteRef/>
      </w:r>
      <w:r w:rsidRPr="00F42A0A">
        <w:rPr>
          <w:color w:val="FF0000"/>
          <w:vertAlign w:val="superscript"/>
        </w:rPr>
        <w:t xml:space="preserve"> </w:t>
      </w:r>
      <w:r w:rsidRPr="00F42A0A">
        <w:rPr>
          <w:color w:val="FF0000"/>
        </w:rPr>
        <w:t>SES Index Score = 50 + (-0.07 * [% of households containing one or more person per room]) + (0.08 * [median value of owner-occupied dwelling, standardized range from 0-100] + (-.010 * [% of persons below the federally defined poverty line]) + (0.11 * [median household income, standardized range from 0-100]) + (0.10 * [% of persons aged ≥ 25 years with at least 4 years of college] + (-0.11 * [% of persons aged ≥ 25 years with less than a 12th grade education]) + (-0.08 * [% of persons aged 16 or older in the labor force who are unemployed])</w:t>
      </w:r>
    </w:p>
  </w:footnote>
  <w:footnote w:id="5">
    <w:p w14:paraId="38E0DCFC" w14:textId="77777777" w:rsidR="00A12BD8" w:rsidRPr="006F3256" w:rsidRDefault="00A12BD8" w:rsidP="006F3256">
      <w:pPr>
        <w:pStyle w:val="FootnoteText"/>
      </w:pPr>
      <w:r w:rsidRPr="00F42A0A">
        <w:rPr>
          <w:rStyle w:val="FootnoteReference"/>
        </w:rPr>
        <w:footnoteRef/>
      </w:r>
      <w:r w:rsidRPr="006F3256">
        <w:t xml:space="preserve"> Comprehensive Error Rate Testing (CERT) Program. “Appendices Medicare Fee-for-Service 2015 Improper Payments Report”. Table A6.  </w:t>
      </w:r>
      <w:hyperlink r:id="rId2" w:history="1">
        <w:r w:rsidRPr="006F3256">
          <w:rPr>
            <w:rStyle w:val="Hyperlink"/>
            <w:color w:val="auto"/>
            <w:u w:val="none"/>
          </w:rPr>
          <w:t>https://www.cms.gov/Research-Statistics-Data-and-Systems/Monitoring-Programs/Medicare-FFS-Compliance-Programs/CERT/CERT-Reports-Items/Downloads/AppendicesMedicareFee-for-Service2015ImproperPaymentsReport.pdf</w:t>
        </w:r>
      </w:hyperlink>
      <w:r w:rsidRPr="006F3256">
        <w:t xml:space="preserve">     </w:t>
      </w:r>
    </w:p>
  </w:footnote>
  <w:footnote w:id="6">
    <w:p w14:paraId="258A942D" w14:textId="77777777" w:rsidR="00A12BD8" w:rsidRPr="009E7A71" w:rsidRDefault="00A12BD8" w:rsidP="006F3256">
      <w:pPr>
        <w:pStyle w:val="FootnoteText"/>
      </w:pPr>
      <w:r w:rsidRPr="006739ED">
        <w:rPr>
          <w:rStyle w:val="FootnoteReference"/>
        </w:rPr>
        <w:footnoteRef/>
      </w:r>
      <w:r w:rsidRPr="006F3256">
        <w:t xml:space="preserve"> Statistical outlier episodes are excluded from the MSPB calculation to mitigate the effect of high-cost and low-cost outliers on each hospital’s MSPB Measure.  The MSPB Measure methodology uses “residuals” to define outlier episodes, where a residual equals the standardized episode spending minus the expected episode spending.  High-cost outliers are defined as episodes whose residual falls above the 99th percentile of the residual cost distribution within any MS-DRG admission category; similarly, low-cost outliers are defined as episodes whose residual falls below the 1st percentile of the residual cost distribution within any MS-DRG category.  For additional details on the definition of statistical outliers for the MSPB Measure, see the response to Question 2a1.20 of this measure submission form.</w:t>
      </w:r>
    </w:p>
  </w:footnote>
  <w:footnote w:id="7">
    <w:p w14:paraId="50635A03" w14:textId="77777777" w:rsidR="00A12BD8" w:rsidRPr="006F3256" w:rsidRDefault="00A12BD8" w:rsidP="006F3256">
      <w:pPr>
        <w:pStyle w:val="FootnoteText"/>
      </w:pPr>
      <w:r w:rsidRPr="006739ED">
        <w:rPr>
          <w:rStyle w:val="FootnoteReference"/>
        </w:rPr>
        <w:footnoteRef/>
      </w:r>
      <w:r w:rsidRPr="006F3256">
        <w:t xml:space="preserve"> If a hospital has a true MSPB Measure value of 1.0, a 95% confidence interval indicates that 95% of the time the hospital’s MSPB Measure value will fall between the 2.5th and 97.5th percentiles if the hospital gets X number of episodes from the original dataset containing MSPB episodes.</w:t>
      </w:r>
    </w:p>
  </w:footnote>
  <w:footnote w:id="8">
    <w:p w14:paraId="425137B3" w14:textId="77777777" w:rsidR="00A12BD8" w:rsidRPr="006F3256" w:rsidRDefault="00A12BD8" w:rsidP="00366B49">
      <w:pPr>
        <w:pStyle w:val="FootnoteText"/>
      </w:pPr>
      <w:r w:rsidRPr="006739ED">
        <w:rPr>
          <w:rStyle w:val="FootnoteReference"/>
          <w:color w:val="FF0000"/>
        </w:rPr>
        <w:footnoteRef/>
      </w:r>
      <w:r w:rsidRPr="00F42A0A">
        <w:rPr>
          <w:color w:val="FF0000"/>
        </w:rPr>
        <w:t xml:space="preserve"> Mathematica, Inc. “Memorandum: Reporting Period and Reliability of AHRQ, CMS 30-Day and HAC Quality Measures – Revised.” </w:t>
      </w:r>
      <w:hyperlink r:id="rId3" w:history="1">
        <w:r w:rsidRPr="00F42A0A">
          <w:rPr>
            <w:rStyle w:val="Hyperlink"/>
            <w:color w:val="FF0000"/>
            <w:u w:val="none"/>
          </w:rPr>
          <w:t>http://www.cms.gov/Medicare/Quality-Initiatives-Patient-Assessment-Instruments/hospital-value-based-purchasing/Downloads/HVBP_Measure_Reliability-.pdf</w:t>
        </w:r>
      </w:hyperlink>
      <w:r w:rsidRPr="00F42A0A">
        <w:rPr>
          <w:rStyle w:val="Hyperlink"/>
          <w:color w:val="FF0000"/>
          <w:u w:val="none"/>
        </w:rPr>
        <w:t>.</w:t>
      </w:r>
    </w:p>
  </w:footnote>
  <w:footnote w:id="9">
    <w:p w14:paraId="34AC93B6" w14:textId="77777777" w:rsidR="00A12BD8" w:rsidRPr="006F3256" w:rsidRDefault="00A12BD8" w:rsidP="006F3256">
      <w:pPr>
        <w:pStyle w:val="FootnoteText"/>
      </w:pPr>
      <w:r w:rsidRPr="00F42A0A">
        <w:rPr>
          <w:rStyle w:val="FootnoteReference"/>
        </w:rPr>
        <w:footnoteRef/>
      </w:r>
      <w:r w:rsidRPr="00F42A0A">
        <w:rPr>
          <w:vertAlign w:val="superscript"/>
        </w:rPr>
        <w:t xml:space="preserve"> </w:t>
      </w:r>
      <w:r w:rsidRPr="006F3256">
        <w:t xml:space="preserve">Goldberger, 1991, A Course in Econometrics, and Greene, 2002, Econometric Analysis. An MA(1) model of a dependent variable such as the MSPB score takes the form  </w:t>
      </w:r>
      <m:oMath>
        <m:sSub>
          <m:sSubPr>
            <m:ctrlPr>
              <w:rPr>
                <w:rFonts w:ascii="Cambria Math" w:hAnsi="Cambria Math"/>
              </w:rPr>
            </m:ctrlPr>
          </m:sSubPr>
          <m:e>
            <m:r>
              <w:rPr>
                <w:rFonts w:ascii="Cambria Math" w:hAnsi="Cambria Math"/>
              </w:rPr>
              <m:t>y</m:t>
            </m:r>
          </m:e>
          <m:sub>
            <m:r>
              <w:rPr>
                <w:rFonts w:ascii="Cambria Math" w:hAnsi="Cambria Math"/>
              </w:rPr>
              <m:t>t</m:t>
            </m:r>
          </m:sub>
        </m:sSub>
        <m:r>
          <m:rPr>
            <m:sty m:val="p"/>
          </m:rPr>
          <w:rPr>
            <w:rFonts w:ascii="Cambria Math" w:hAnsi="Cambria Math"/>
          </w:rPr>
          <m:t>=</m:t>
        </m:r>
        <m:r>
          <w:rPr>
            <w:rFonts w:ascii="Cambria Math" w:hAnsi="Cambria Math"/>
          </w:rPr>
          <m:t>μ</m:t>
        </m:r>
        <m:r>
          <m:rPr>
            <m:sty m:val="p"/>
          </m:rP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t</m:t>
            </m:r>
          </m:sub>
        </m:sSub>
        <m:r>
          <m:rPr>
            <m:sty m:val="p"/>
          </m:rPr>
          <w:rPr>
            <w:rFonts w:ascii="Cambria Math" w:hAnsi="Cambria Math"/>
          </w:rPr>
          <m:t>+</m:t>
        </m:r>
        <m:r>
          <w:rPr>
            <w:rFonts w:ascii="Cambria Math" w:hAnsi="Cambria Math"/>
          </w:rPr>
          <m:t>θ</m:t>
        </m:r>
        <m:sSub>
          <m:sSubPr>
            <m:ctrlPr>
              <w:rPr>
                <w:rFonts w:ascii="Cambria Math" w:hAnsi="Cambria Math"/>
              </w:rPr>
            </m:ctrlPr>
          </m:sSubPr>
          <m:e>
            <m:r>
              <w:rPr>
                <w:rFonts w:ascii="Cambria Math" w:hAnsi="Cambria Math"/>
              </w:rPr>
              <m:t>u</m:t>
            </m:r>
          </m:e>
          <m:sub>
            <m:r>
              <w:rPr>
                <w:rFonts w:ascii="Cambria Math" w:hAnsi="Cambria Math"/>
              </w:rPr>
              <m:t>t</m:t>
            </m:r>
            <m:r>
              <m:rPr>
                <m:sty m:val="p"/>
              </m:rPr>
              <w:rPr>
                <w:rFonts w:ascii="Cambria Math" w:hAnsi="Cambria Math"/>
              </w:rPr>
              <m:t>-1</m:t>
            </m:r>
          </m:sub>
        </m:sSub>
      </m:oMath>
      <w:r w:rsidRPr="006F3256">
        <w:t xml:space="preserve">, where t indicates the time period,  </w:t>
      </w:r>
      <m:oMath>
        <m:r>
          <w:rPr>
            <w:rFonts w:ascii="Cambria Math" w:hAnsi="Cambria Math"/>
          </w:rPr>
          <m:t>μ</m:t>
        </m:r>
      </m:oMath>
      <w:r w:rsidRPr="006F3256">
        <w:t xml:space="preserve"> is a constant over time, and </w:t>
      </w:r>
      <m:oMath>
        <m:sSub>
          <m:sSubPr>
            <m:ctrlPr>
              <w:rPr>
                <w:rFonts w:ascii="Cambria Math" w:hAnsi="Cambria Math"/>
              </w:rPr>
            </m:ctrlPr>
          </m:sSubPr>
          <m:e>
            <m:r>
              <w:rPr>
                <w:rFonts w:ascii="Cambria Math" w:hAnsi="Cambria Math"/>
              </w:rPr>
              <m:t>u</m:t>
            </m:r>
          </m:e>
          <m:sub>
            <m:r>
              <w:rPr>
                <w:rFonts w:ascii="Cambria Math" w:hAnsi="Cambria Math"/>
              </w:rPr>
              <m:t>t</m:t>
            </m:r>
          </m:sub>
        </m:sSub>
      </m:oMath>
      <w:r w:rsidRPr="006F3256">
        <w:t xml:space="preserve"> and </w:t>
      </w:r>
      <m:oMath>
        <m:sSub>
          <m:sSubPr>
            <m:ctrlPr>
              <w:rPr>
                <w:rFonts w:ascii="Cambria Math" w:hAnsi="Cambria Math"/>
              </w:rPr>
            </m:ctrlPr>
          </m:sSubPr>
          <m:e>
            <m:r>
              <w:rPr>
                <w:rFonts w:ascii="Cambria Math" w:hAnsi="Cambria Math"/>
              </w:rPr>
              <m:t>u</m:t>
            </m:r>
          </m:e>
          <m:sub>
            <m:r>
              <w:rPr>
                <w:rFonts w:ascii="Cambria Math" w:hAnsi="Cambria Math"/>
              </w:rPr>
              <m:t>t</m:t>
            </m:r>
            <m:r>
              <m:rPr>
                <m:sty m:val="p"/>
              </m:rPr>
              <w:rPr>
                <w:rFonts w:ascii="Cambria Math" w:hAnsi="Cambria Math"/>
              </w:rPr>
              <m:t>-1</m:t>
            </m:r>
          </m:sub>
        </m:sSub>
      </m:oMath>
      <w:r w:rsidRPr="006F3256">
        <w:t xml:space="preserve"> are mean zero, independent error terms. </w:t>
      </w:r>
    </w:p>
  </w:footnote>
  <w:footnote w:id="10">
    <w:p w14:paraId="5BAB84DB" w14:textId="77777777" w:rsidR="00A12BD8" w:rsidRPr="009E7A71" w:rsidRDefault="00A12BD8" w:rsidP="006F3256">
      <w:pPr>
        <w:pStyle w:val="FootnoteText"/>
      </w:pPr>
      <w:r w:rsidRPr="00F42A0A">
        <w:rPr>
          <w:rStyle w:val="FootnoteReference"/>
        </w:rPr>
        <w:footnoteRef/>
      </w:r>
      <w:r w:rsidRPr="00F42A0A">
        <w:rPr>
          <w:vertAlign w:val="superscript"/>
        </w:rPr>
        <w:t xml:space="preserve"> </w:t>
      </w:r>
      <w:r w:rsidRPr="006F3256">
        <w:t xml:space="preserve">This example parallels the </w:t>
      </w:r>
      <w:proofErr w:type="gramStart"/>
      <w:r w:rsidRPr="006F3256">
        <w:t>MA(</w:t>
      </w:r>
      <w:proofErr w:type="gramEnd"/>
      <w:r w:rsidRPr="006F3256">
        <w:t xml:space="preserve">1) time series example in footnote 2; see the references there for details. The econometric model of two outcomes in time period </w:t>
      </w:r>
      <w:proofErr w:type="gramStart"/>
      <w:r w:rsidRPr="006F3256">
        <w:t>t ,</w:t>
      </w:r>
      <w:proofErr w:type="gramEnd"/>
      <w:r w:rsidRPr="006F3256">
        <w:t xml:space="preserve"> </w:t>
      </w:r>
      <m:oMath>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1</m:t>
            </m:r>
          </m:sub>
        </m:sSub>
        <m:r>
          <m:rPr>
            <m:sty m:val="p"/>
          </m:rPr>
          <w:rPr>
            <w:rFonts w:ascii="Cambria Math" w:hAnsi="Cambria Math"/>
          </w:rPr>
          <m:t xml:space="preserve"> </m:t>
        </m:r>
      </m:oMath>
      <w:r w:rsidRPr="006F3256">
        <w:t xml:space="preserve"> and </w:t>
      </w:r>
      <m:oMath>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2</m:t>
            </m:r>
          </m:sub>
        </m:sSub>
      </m:oMath>
      <w:r w:rsidRPr="006F3256">
        <w:t xml:space="preserve">, is given by </w:t>
      </w:r>
      <m:oMath>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1</m:t>
            </m:r>
          </m:sub>
        </m:sSub>
        <m:r>
          <m:rPr>
            <m:sty m:val="p"/>
          </m:rPr>
          <w:rPr>
            <w:rFonts w:ascii="Cambria Math" w:hAnsi="Cambria Math"/>
          </w:rPr>
          <m:t>=</m:t>
        </m:r>
        <m:r>
          <w:rPr>
            <w:rFonts w:ascii="Cambria Math" w:hAnsi="Cambria Math"/>
          </w:rPr>
          <m:t>μ</m:t>
        </m:r>
        <m:r>
          <m:rPr>
            <m:sty m:val="p"/>
          </m:rPr>
          <w:rPr>
            <w:rFonts w:ascii="Cambria Math" w:hAnsi="Cambria Math"/>
          </w:rPr>
          <m:t>+</m:t>
        </m:r>
        <m:sSub>
          <m:sSubPr>
            <m:ctrlPr>
              <w:rPr>
                <w:rFonts w:ascii="Cambria Math" w:hAnsi="Cambria Math"/>
              </w:rPr>
            </m:ctrlPr>
          </m:sSubPr>
          <m:e>
            <m:r>
              <w:rPr>
                <w:rFonts w:ascii="Cambria Math" w:hAnsi="Cambria Math"/>
              </w:rPr>
              <m:t>ϵ</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t</m:t>
            </m:r>
            <m:r>
              <m:rPr>
                <m:sty m:val="p"/>
              </m:rPr>
              <w:rPr>
                <w:rFonts w:ascii="Cambria Math" w:hAnsi="Cambria Math"/>
              </w:rPr>
              <m:t>1</m:t>
            </m:r>
          </m:sub>
        </m:sSub>
      </m:oMath>
      <w:r w:rsidRPr="006F3256">
        <w:t xml:space="preserve"> and </w:t>
      </w:r>
      <m:oMath>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2</m:t>
            </m:r>
          </m:sub>
        </m:sSub>
        <m:r>
          <m:rPr>
            <m:sty m:val="p"/>
          </m:rPr>
          <w:rPr>
            <w:rFonts w:ascii="Cambria Math" w:hAnsi="Cambria Math"/>
          </w:rPr>
          <m:t>=</m:t>
        </m:r>
        <m:r>
          <w:rPr>
            <w:rFonts w:ascii="Cambria Math" w:hAnsi="Cambria Math"/>
          </w:rPr>
          <m:t>μ</m:t>
        </m:r>
        <m:r>
          <m:rPr>
            <m:sty m:val="p"/>
          </m:rPr>
          <w:rPr>
            <w:rFonts w:ascii="Cambria Math" w:hAnsi="Cambria Math"/>
          </w:rPr>
          <m:t xml:space="preserve">+ </m:t>
        </m:r>
        <m:sSub>
          <m:sSubPr>
            <m:ctrlPr>
              <w:rPr>
                <w:rFonts w:ascii="Cambria Math" w:hAnsi="Cambria Math"/>
              </w:rPr>
            </m:ctrlPr>
          </m:sSubPr>
          <m:e>
            <m:r>
              <w:rPr>
                <w:rFonts w:ascii="Cambria Math" w:hAnsi="Cambria Math"/>
              </w:rPr>
              <m:t>ϵ</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t</m:t>
            </m:r>
            <m:r>
              <m:rPr>
                <m:sty m:val="p"/>
              </m:rPr>
              <w:rPr>
                <w:rFonts w:ascii="Cambria Math" w:hAnsi="Cambria Math"/>
              </w:rPr>
              <m:t>2</m:t>
            </m:r>
          </m:sub>
        </m:sSub>
      </m:oMath>
      <w:r w:rsidRPr="006F3256">
        <w:t xml:space="preserve">, where </w:t>
      </w:r>
      <m:oMath>
        <m:r>
          <w:rPr>
            <w:rFonts w:ascii="Cambria Math" w:hAnsi="Cambria Math"/>
          </w:rPr>
          <m:t>μ</m:t>
        </m:r>
      </m:oMath>
      <w:r w:rsidRPr="006F3256">
        <w:t xml:space="preserve"> is the shared mean, and </w:t>
      </w:r>
      <m:oMath>
        <m:sSub>
          <m:sSubPr>
            <m:ctrlPr>
              <w:rPr>
                <w:rFonts w:ascii="Cambria Math" w:hAnsi="Cambria Math"/>
              </w:rPr>
            </m:ctrlPr>
          </m:sSubPr>
          <m:e>
            <m:r>
              <w:rPr>
                <w:rFonts w:ascii="Cambria Math" w:hAnsi="Cambria Math"/>
              </w:rPr>
              <m:t>ϵ</m:t>
            </m:r>
          </m:e>
          <m:sub>
            <m:r>
              <w:rPr>
                <w:rFonts w:ascii="Cambria Math" w:hAnsi="Cambria Math"/>
              </w:rPr>
              <m:t>t</m:t>
            </m:r>
          </m:sub>
        </m:sSub>
        <m:r>
          <m:rPr>
            <m:sty m:val="p"/>
          </m:rPr>
          <w:rPr>
            <w:rFonts w:ascii="Cambria Math" w:hAnsi="Cambria Math"/>
          </w:rPr>
          <m:t xml:space="preserve"> </m:t>
        </m:r>
      </m:oMath>
      <w:r w:rsidRPr="006F3256">
        <w:t xml:space="preserve">, </w:t>
      </w:r>
      <m:oMath>
        <m:sSub>
          <m:sSubPr>
            <m:ctrlPr>
              <w:rPr>
                <w:rFonts w:ascii="Cambria Math" w:hAnsi="Cambria Math"/>
              </w:rPr>
            </m:ctrlPr>
          </m:sSubPr>
          <m:e>
            <m:r>
              <w:rPr>
                <w:rFonts w:ascii="Cambria Math" w:hAnsi="Cambria Math"/>
              </w:rPr>
              <m:t>u</m:t>
            </m:r>
          </m:e>
          <m:sub>
            <m:r>
              <w:rPr>
                <w:rFonts w:ascii="Cambria Math" w:hAnsi="Cambria Math"/>
              </w:rPr>
              <m:t>t</m:t>
            </m:r>
            <m:r>
              <m:rPr>
                <m:sty m:val="p"/>
              </m:rPr>
              <w:rPr>
                <w:rFonts w:ascii="Cambria Math" w:hAnsi="Cambria Math"/>
              </w:rPr>
              <m:t>1</m:t>
            </m:r>
          </m:sub>
        </m:sSub>
      </m:oMath>
      <w:r w:rsidRPr="006F3256">
        <w:t xml:space="preserve"> and </w:t>
      </w:r>
      <m:oMath>
        <m:sSub>
          <m:sSubPr>
            <m:ctrlPr>
              <w:rPr>
                <w:rFonts w:ascii="Cambria Math" w:hAnsi="Cambria Math"/>
              </w:rPr>
            </m:ctrlPr>
          </m:sSubPr>
          <m:e>
            <m:r>
              <w:rPr>
                <w:rFonts w:ascii="Cambria Math" w:hAnsi="Cambria Math"/>
              </w:rPr>
              <m:t>u</m:t>
            </m:r>
          </m:e>
          <m:sub>
            <m:r>
              <w:rPr>
                <w:rFonts w:ascii="Cambria Math" w:hAnsi="Cambria Math"/>
              </w:rPr>
              <m:t>t</m:t>
            </m:r>
            <m:r>
              <m:rPr>
                <m:sty m:val="p"/>
              </m:rPr>
              <w:rPr>
                <w:rFonts w:ascii="Cambria Math" w:hAnsi="Cambria Math"/>
              </w:rPr>
              <m:t>2</m:t>
            </m:r>
          </m:sub>
        </m:sSub>
      </m:oMath>
      <w:r w:rsidRPr="006F3256">
        <w:t xml:space="preserve"> are independent, mean zero error terms with common variance.</w:t>
      </w:r>
      <w:r w:rsidRPr="009E7A71">
        <w:rPr>
          <w:rFonts w:eastAsiaTheme="minorEastAsia"/>
        </w:rPr>
        <w:t xml:space="preserve"> </w:t>
      </w:r>
    </w:p>
  </w:footnote>
  <w:footnote w:id="11">
    <w:p w14:paraId="185C1521" w14:textId="77777777" w:rsidR="00A12BD8" w:rsidRPr="00F42A0A" w:rsidRDefault="00A12BD8" w:rsidP="006F3256">
      <w:pPr>
        <w:pStyle w:val="FootnoteText"/>
        <w:rPr>
          <w:color w:val="FF0000"/>
        </w:rPr>
      </w:pPr>
      <w:r w:rsidRPr="00F42A0A">
        <w:rPr>
          <w:rStyle w:val="FootnoteReference"/>
          <w:color w:val="FF0000"/>
        </w:rPr>
        <w:footnoteRef/>
      </w:r>
      <w:r w:rsidRPr="00F42A0A">
        <w:rPr>
          <w:color w:val="FF0000"/>
          <w:vertAlign w:val="superscript"/>
        </w:rPr>
        <w:t xml:space="preserve"> </w:t>
      </w:r>
      <w:r w:rsidRPr="00F42A0A">
        <w:rPr>
          <w:color w:val="FF0000"/>
        </w:rPr>
        <w:t xml:space="preserve">Thresholds for sufficient measure reliability (including the ICC and other reliability methods) vary across sources (see, for example, Portney and Watkins, 2000, for a discussion). Authors provide a range of thresholds; for example, Landis and Koch (1977) classify Kappa statistics in the 0.41-0.60 range as “moderate,” 0.61-0.80 range as “substantial,” and 0.81-1.00 range as “almost perfect.” Koo and Li (2016), on the other hand, classify ICC values in the 0.5-0.75 range as “moderate,” 0.75-0.9 range as “good,” and above 0.9 as “excellent.” Nunnally (1978) is often cited to justify a threshold of 0.7 for “sufficient” reliability. CMS provides the following thresholds: “We generally consider reliability levels between 0.4 and 0.7 to indicate “moderate” reliability and levels above 0.7 to indicate “high” reliability.” (Quality Payment Program 2017 Final Rule: 81 FR 77169). The Department of Education provides the following thresholds: “Reliability of an outcome measure may be established by meeting the following minimum standards: (a) internal consistency (such as Cronbach’s alpha) of 0.50 or higher; (b) temporal stability/test-retest reliability of 0.40 or higher; or (c) inter-rater reliability (such as percentage agreement, correlation, or kappa) of 0.50 or higher.” (What Works Clearinghouse (WWC) Standards Handbook v4, p.78). </w:t>
      </w:r>
    </w:p>
    <w:p w14:paraId="64B94917" w14:textId="1FA36111" w:rsidR="00A12BD8" w:rsidRDefault="00A12BD8">
      <w:pPr>
        <w:pStyle w:val="FootnoteText"/>
      </w:pPr>
    </w:p>
  </w:footnote>
  <w:footnote w:id="12">
    <w:p w14:paraId="22754B34" w14:textId="307C12AA" w:rsidR="00A12BD8" w:rsidRPr="006755C9" w:rsidRDefault="00A12BD8" w:rsidP="005B7B96">
      <w:pPr>
        <w:autoSpaceDE w:val="0"/>
        <w:autoSpaceDN w:val="0"/>
        <w:adjustRightInd w:val="0"/>
        <w:spacing w:after="0" w:line="240" w:lineRule="auto"/>
        <w:rPr>
          <w:rFonts w:ascii="Times New Roman" w:hAnsi="Times New Roman" w:cs="Times New Roman"/>
          <w:bCs/>
          <w:color w:val="0070C0"/>
        </w:rPr>
      </w:pPr>
      <w:r w:rsidRPr="006739ED">
        <w:rPr>
          <w:rStyle w:val="FootnoteReference"/>
          <w:rFonts w:ascii="Times New Roman" w:hAnsi="Times New Roman"/>
          <w:color w:val="FF0000"/>
        </w:rPr>
        <w:footnoteRef/>
      </w:r>
      <w:r w:rsidRPr="006739ED">
        <w:rPr>
          <w:rFonts w:ascii="Times New Roman" w:hAnsi="Times New Roman" w:cs="Times New Roman"/>
          <w:color w:val="FF0000"/>
        </w:rPr>
        <w:t xml:space="preserve"> </w:t>
      </w:r>
      <w:hyperlink r:id="rId4" w:history="1">
        <w:r w:rsidRPr="006739ED">
          <w:rPr>
            <w:rStyle w:val="Hyperlink"/>
            <w:rFonts w:ascii="Times New Roman" w:hAnsi="Times New Roman" w:cs="Times New Roman"/>
          </w:rPr>
          <w:t>http://www.medpac.gov/docs/default-source/data-book/jun19_databook_sec8_sec.pdf?sfvrsn=0</w:t>
        </w:r>
      </w:hyperlink>
    </w:p>
  </w:footnote>
  <w:footnote w:id="13">
    <w:p w14:paraId="08852A9F" w14:textId="77777777" w:rsidR="00A12BD8" w:rsidRPr="00F86EA6" w:rsidRDefault="00A12BD8" w:rsidP="00821546">
      <w:pPr>
        <w:pStyle w:val="FootnoteText"/>
        <w:rPr>
          <w:color w:val="FF0000"/>
        </w:rPr>
      </w:pPr>
      <w:r w:rsidRPr="00F86EA6">
        <w:rPr>
          <w:rStyle w:val="FootnoteReference"/>
          <w:color w:val="FF0000"/>
        </w:rPr>
        <w:footnoteRef/>
      </w:r>
      <w:r w:rsidRPr="00F86EA6">
        <w:rPr>
          <w:color w:val="FF0000"/>
        </w:rPr>
        <w:t xml:space="preserve"> Consider, for example, the substitution between a high E&amp;M visits per episode rate for regular patient check-ups versus a low but costly adverse event, like emergency surgery.</w:t>
      </w:r>
    </w:p>
  </w:footnote>
  <w:footnote w:id="14">
    <w:p w14:paraId="0E0A73BB" w14:textId="43D59970" w:rsidR="00A12BD8" w:rsidRPr="00F86EA6" w:rsidRDefault="00A12BD8">
      <w:pPr>
        <w:pStyle w:val="FootnoteText"/>
        <w:rPr>
          <w:color w:val="FF0000"/>
        </w:rPr>
      </w:pPr>
      <w:r w:rsidRPr="00F86EA6">
        <w:rPr>
          <w:rStyle w:val="FootnoteReference"/>
          <w:color w:val="FF0000"/>
        </w:rPr>
        <w:footnoteRef/>
      </w:r>
      <w:r w:rsidRPr="00F86EA6">
        <w:rPr>
          <w:color w:val="FF0000"/>
        </w:rPr>
        <w:t xml:space="preserve"> The MSPB Hospital measure is used in one of four Hospital Value-Based Purchasing Program domains, the Cost and Efficiency Domain. </w:t>
      </w:r>
    </w:p>
  </w:footnote>
  <w:footnote w:id="15">
    <w:p w14:paraId="6252C498" w14:textId="77777777" w:rsidR="00A12BD8" w:rsidRPr="009E7A71" w:rsidRDefault="00A12BD8" w:rsidP="00F0695E">
      <w:pPr>
        <w:pStyle w:val="FootnoteText"/>
        <w:rPr>
          <w:rFonts w:asciiTheme="minorHAnsi" w:hAnsiTheme="minorHAnsi"/>
        </w:rPr>
      </w:pPr>
      <w:r w:rsidRPr="00F86EA6">
        <w:rPr>
          <w:rStyle w:val="FootnoteReference"/>
          <w:rFonts w:asciiTheme="minorHAnsi" w:hAnsiTheme="minorHAnsi"/>
          <w:color w:val="FF0000"/>
        </w:rPr>
        <w:footnoteRef/>
      </w:r>
      <w:r w:rsidRPr="00F86EA6">
        <w:rPr>
          <w:rFonts w:asciiTheme="minorHAnsi" w:hAnsiTheme="minorHAnsi"/>
          <w:color w:val="FF0000"/>
        </w:rPr>
        <w:t xml:space="preserve"> Centers for Medicare &amp; Medicaid Services. “Medicare Geographic Variation Public Use File.” </w:t>
      </w:r>
      <w:hyperlink r:id="rId5" w:history="1">
        <w:r w:rsidRPr="009E7A71">
          <w:rPr>
            <w:rStyle w:val="Hyperlink"/>
            <w:rFonts w:asciiTheme="minorHAnsi" w:hAnsiTheme="minorHAnsi"/>
          </w:rPr>
          <w:t>http://www.cms.gov/Research-Statistics-Data-and-Systems/Statistics-Trends-and-Reports/Medicare-Geographic-Variation/GV_PUF.html</w:t>
        </w:r>
      </w:hyperlink>
      <w:r w:rsidRPr="009E7A71">
        <w:rPr>
          <w:rFonts w:asciiTheme="minorHAnsi" w:hAnsiTheme="minorHAnsi"/>
        </w:rPr>
        <w:t xml:space="preserve"> </w:t>
      </w:r>
    </w:p>
  </w:footnote>
  <w:footnote w:id="16">
    <w:p w14:paraId="70C1ACEF" w14:textId="0C148F40" w:rsidR="00A12BD8" w:rsidRPr="00F86EA6" w:rsidRDefault="00A12BD8" w:rsidP="004D5FA3">
      <w:pPr>
        <w:pStyle w:val="FootnoteText"/>
        <w:rPr>
          <w:color w:val="FF0000"/>
        </w:rPr>
      </w:pPr>
      <w:r w:rsidRPr="00F86EA6">
        <w:rPr>
          <w:rStyle w:val="FootnoteReference"/>
          <w:color w:val="FF0000"/>
        </w:rPr>
        <w:footnoteRef/>
      </w:r>
      <w:r w:rsidRPr="00F86EA6">
        <w:rPr>
          <w:color w:val="FF0000"/>
          <w:vertAlign w:val="superscript"/>
        </w:rPr>
        <w:t xml:space="preserve"> </w:t>
      </w:r>
      <w:r w:rsidRPr="00F86EA6">
        <w:rPr>
          <w:color w:val="FF0000"/>
        </w:rPr>
        <w:t xml:space="preserve">Timely and Effective Care measures from Hospital Compare archived data also included a measure of the percentage of patients who had cataract surgery and had improvements in visual function within 90-days. This measure was excluded from analysis due to its lack of a conceptual basis for relationship with the MSPB Hospital measure and small matched sample size (N=45). </w:t>
      </w:r>
    </w:p>
  </w:footnote>
  <w:footnote w:id="17">
    <w:p w14:paraId="1DE77A96" w14:textId="28C361C1" w:rsidR="00A12BD8" w:rsidRDefault="00A12BD8" w:rsidP="004D5FA3">
      <w:pPr>
        <w:pStyle w:val="FootnoteText"/>
      </w:pPr>
      <w:r w:rsidRPr="00F86EA6">
        <w:rPr>
          <w:rStyle w:val="FootnoteReference"/>
          <w:color w:val="FF0000"/>
        </w:rPr>
        <w:footnoteRef/>
      </w:r>
      <w:r w:rsidRPr="00F86EA6">
        <w:rPr>
          <w:color w:val="FF0000"/>
          <w:vertAlign w:val="superscript"/>
        </w:rPr>
        <w:t xml:space="preserve"> </w:t>
      </w:r>
      <w:r w:rsidRPr="00F86EA6">
        <w:rPr>
          <w:color w:val="FF0000"/>
        </w:rPr>
        <w:t>The Hip/Knee complication measure is not included in this analysis.</w:t>
      </w:r>
    </w:p>
  </w:footnote>
  <w:footnote w:id="18">
    <w:p w14:paraId="2EC6FAA5" w14:textId="422E19E3" w:rsidR="00A12BD8" w:rsidRPr="004D5FA3" w:rsidRDefault="00A12BD8" w:rsidP="004D5FA3">
      <w:pPr>
        <w:pStyle w:val="FootnoteText"/>
      </w:pPr>
      <w:r w:rsidRPr="006739ED">
        <w:rPr>
          <w:rStyle w:val="FootnoteReference"/>
          <w:color w:val="FF0000"/>
        </w:rPr>
        <w:footnoteRef/>
      </w:r>
      <w:r w:rsidRPr="006739ED">
        <w:rPr>
          <w:color w:val="FF0000"/>
          <w:vertAlign w:val="superscript"/>
        </w:rPr>
        <w:t xml:space="preserve"> </w:t>
      </w:r>
      <w:r w:rsidRPr="006739ED">
        <w:rPr>
          <w:color w:val="FF0000"/>
        </w:rPr>
        <w:t xml:space="preserve">QualityNet, Hospital  - Inpatient, Payment Measure Methodology </w:t>
      </w:r>
      <w:r>
        <w:t>(</w:t>
      </w:r>
      <w:hyperlink r:id="rId6" w:history="1">
        <w:r w:rsidRPr="004D5FA3">
          <w:rPr>
            <w:rStyle w:val="Hyperlink"/>
            <w:color w:val="auto"/>
            <w:u w:val="none"/>
          </w:rPr>
          <w:t>https://www.qualitynet.org/inpatient/measures/payment/methodology</w:t>
        </w:r>
      </w:hyperlink>
      <w:r>
        <w:rPr>
          <w:rStyle w:val="Hyperlink"/>
          <w:color w:val="auto"/>
          <w:u w:val="none"/>
        </w:rPr>
        <w:t>)</w:t>
      </w:r>
    </w:p>
  </w:footnote>
  <w:footnote w:id="19">
    <w:p w14:paraId="686BCD9E" w14:textId="509C892B" w:rsidR="00A12BD8" w:rsidRPr="006739ED" w:rsidRDefault="00A12BD8" w:rsidP="004D5FA3">
      <w:pPr>
        <w:pStyle w:val="FootnoteText"/>
        <w:rPr>
          <w:color w:val="FF0000"/>
        </w:rPr>
      </w:pPr>
      <w:r w:rsidRPr="00F86EA6">
        <w:rPr>
          <w:rStyle w:val="FootnoteReference"/>
        </w:rPr>
        <w:footnoteRef/>
      </w:r>
      <w:r w:rsidRPr="00F86EA6">
        <w:rPr>
          <w:vertAlign w:val="superscript"/>
        </w:rPr>
        <w:t xml:space="preserve"> </w:t>
      </w:r>
      <w:r w:rsidRPr="006739ED">
        <w:rPr>
          <w:color w:val="FF0000"/>
        </w:rPr>
        <w:t>Kyriacou, D. N., Ricketts, V., Dyne, P. L., Mccollough, M. D., &amp;amp; Talan, D. A. (1999). A 5-Year Time Study Analysis of Emergency Department Patient Care Efficiency. Annals of Emergency Medicine, 34(3), 326-335. doi:10.1016/s0196-0644(99)70126-</w:t>
      </w:r>
      <w:r>
        <w:rPr>
          <w:color w:val="FF0000"/>
        </w:rPr>
        <w:t>5</w:t>
      </w:r>
    </w:p>
  </w:footnote>
  <w:footnote w:id="20">
    <w:p w14:paraId="55F856AB" w14:textId="20472571" w:rsidR="00A12BD8" w:rsidRPr="006739ED" w:rsidRDefault="00A12BD8" w:rsidP="004D5FA3">
      <w:pPr>
        <w:pStyle w:val="FootnoteText"/>
        <w:rPr>
          <w:color w:val="FF0000"/>
        </w:rPr>
      </w:pPr>
      <w:r w:rsidRPr="006739ED">
        <w:rPr>
          <w:rStyle w:val="FootnoteReference"/>
          <w:color w:val="FF0000"/>
        </w:rPr>
        <w:footnoteRef/>
      </w:r>
      <w:r w:rsidRPr="006739ED">
        <w:rPr>
          <w:color w:val="FF0000"/>
          <w:vertAlign w:val="superscript"/>
        </w:rPr>
        <w:t xml:space="preserve"> </w:t>
      </w:r>
      <w:r w:rsidRPr="006739ED">
        <w:rPr>
          <w:color w:val="FF0000"/>
        </w:rPr>
        <w:t>Hassan, Mahmud, Howard P. Tuckman, Robert H. Patrick, David S. Kountz, and Jennifer L. Kohn. "Cost of Hospital-Acquired Infection." Hospital Topics 88, no. 3 (2010/08/31 2010): 82-89. https://doi.org/10.1080/00185868.2010.507124.</w:t>
      </w:r>
    </w:p>
  </w:footnote>
  <w:footnote w:id="21">
    <w:p w14:paraId="7B1E695C" w14:textId="64742C53" w:rsidR="00A12BD8" w:rsidRPr="006739ED" w:rsidRDefault="00A12BD8" w:rsidP="004D5FA3">
      <w:pPr>
        <w:pStyle w:val="FootnoteText"/>
        <w:rPr>
          <w:color w:val="FF0000"/>
        </w:rPr>
      </w:pPr>
      <w:r w:rsidRPr="006739ED">
        <w:rPr>
          <w:rStyle w:val="FootnoteReference"/>
          <w:color w:val="FF0000"/>
        </w:rPr>
        <w:footnoteRef/>
      </w:r>
      <w:r w:rsidRPr="006739ED">
        <w:rPr>
          <w:color w:val="FF0000"/>
          <w:vertAlign w:val="superscript"/>
        </w:rPr>
        <w:t xml:space="preserve"> </w:t>
      </w:r>
      <w:r w:rsidRPr="006739ED">
        <w:rPr>
          <w:color w:val="FF0000"/>
        </w:rPr>
        <w:t>Peasah SK, McKay NL, Harman JS, Al-Amin M, Cook RL. Medicare non-payment of hospital-acquired infections: infection rates three years post implementation. Medicare Medicaid Res Rev. 2013</w:t>
      </w:r>
      <w:proofErr w:type="gramStart"/>
      <w:r w:rsidRPr="006739ED">
        <w:rPr>
          <w:color w:val="FF0000"/>
        </w:rPr>
        <w:t>;3</w:t>
      </w:r>
      <w:proofErr w:type="gramEnd"/>
      <w:r w:rsidRPr="006739ED">
        <w:rPr>
          <w:color w:val="FF0000"/>
        </w:rPr>
        <w:t xml:space="preserve">(3):mmrr.003.03.a08. Published 2013 Sep 25. doi:10.5600/mmrr.003.03.a08 </w:t>
      </w:r>
      <w:hyperlink r:id="rId7" w:history="1"/>
    </w:p>
  </w:footnote>
  <w:footnote w:id="22">
    <w:p w14:paraId="040F0445" w14:textId="57D568E8" w:rsidR="00A12BD8" w:rsidRPr="006739ED" w:rsidRDefault="00A12BD8" w:rsidP="004D5FA3">
      <w:pPr>
        <w:pStyle w:val="FootnoteText"/>
        <w:rPr>
          <w:color w:val="FF0000"/>
        </w:rPr>
      </w:pPr>
      <w:r w:rsidRPr="006739ED">
        <w:rPr>
          <w:rStyle w:val="FootnoteReference"/>
          <w:color w:val="FF0000"/>
        </w:rPr>
        <w:footnoteRef/>
      </w:r>
      <w:r w:rsidRPr="006739ED">
        <w:rPr>
          <w:color w:val="FF0000"/>
          <w:vertAlign w:val="superscript"/>
        </w:rPr>
        <w:t xml:space="preserve"> </w:t>
      </w:r>
      <w:r w:rsidRPr="006739ED">
        <w:rPr>
          <w:color w:val="FF0000"/>
        </w:rPr>
        <w:t>Tsai TC, Orav EJ, Jha AK. Patient satisfaction and quality of surgical care in US hospitals. Ann Surg. 2015</w:t>
      </w:r>
      <w:proofErr w:type="gramStart"/>
      <w:r w:rsidRPr="006739ED">
        <w:rPr>
          <w:color w:val="FF0000"/>
        </w:rPr>
        <w:t>;261</w:t>
      </w:r>
      <w:proofErr w:type="gramEnd"/>
      <w:r w:rsidRPr="006739ED">
        <w:rPr>
          <w:color w:val="FF0000"/>
        </w:rPr>
        <w:t>(1):2-8. doi:10.1097/SLA.0000000000000765</w:t>
      </w:r>
    </w:p>
  </w:footnote>
  <w:footnote w:id="23">
    <w:p w14:paraId="2C3F92C3" w14:textId="77777777" w:rsidR="00A12BD8" w:rsidRPr="009E7A71" w:rsidRDefault="00A12BD8" w:rsidP="004D5FA3">
      <w:pPr>
        <w:pStyle w:val="FootnoteText"/>
        <w:rPr>
          <w:rFonts w:asciiTheme="minorHAnsi" w:hAnsiTheme="minorHAnsi"/>
        </w:rPr>
      </w:pPr>
      <w:r w:rsidRPr="006739ED">
        <w:rPr>
          <w:rStyle w:val="FootnoteReference"/>
        </w:rPr>
        <w:footnoteRef/>
      </w:r>
      <w:r w:rsidRPr="006739ED">
        <w:rPr>
          <w:vertAlign w:val="superscript"/>
        </w:rPr>
        <w:t xml:space="preserve"> </w:t>
      </w:r>
      <w:r w:rsidRPr="004D5FA3">
        <w:t>Goldberger, 1991, A Course in Econometrics, and Greene, 2002, Econometric Analysis.</w:t>
      </w:r>
    </w:p>
  </w:footnote>
  <w:footnote w:id="24">
    <w:p w14:paraId="232C005A" w14:textId="77777777" w:rsidR="00A12BD8" w:rsidRPr="004D5FA3" w:rsidRDefault="00A12BD8" w:rsidP="004D5FA3">
      <w:pPr>
        <w:pStyle w:val="FootnoteText"/>
      </w:pPr>
      <w:r w:rsidRPr="006739ED">
        <w:rPr>
          <w:rStyle w:val="FootnoteReference"/>
        </w:rPr>
        <w:footnoteRef/>
      </w:r>
      <w:r w:rsidRPr="004D5FA3">
        <w:t xml:space="preserve"> Transfers, defined based on the claim discharge code, are not considered eligible as index admissions.  In other words, these cases will not generate new MSPB-Hospital episodes; neither the hospital which transfers a patient to another short-term acute hospital nor the receiving short-term acute hospital will have an index admission attributed to them.</w:t>
      </w:r>
    </w:p>
  </w:footnote>
  <w:footnote w:id="25">
    <w:p w14:paraId="6A1631D1" w14:textId="77777777" w:rsidR="00A12BD8" w:rsidRPr="004D5FA3" w:rsidRDefault="00A12BD8" w:rsidP="004D5FA3">
      <w:pPr>
        <w:pStyle w:val="FootnoteText"/>
      </w:pPr>
      <w:r w:rsidRPr="006739ED">
        <w:rPr>
          <w:rStyle w:val="FootnoteReference"/>
        </w:rPr>
        <w:footnoteRef/>
      </w:r>
      <w:r w:rsidRPr="006739ED">
        <w:rPr>
          <w:vertAlign w:val="superscript"/>
        </w:rPr>
        <w:t xml:space="preserve"> </w:t>
      </w:r>
      <w:r w:rsidRPr="004D5FA3">
        <w:t xml:space="preserve">Recall from S.9.1. </w:t>
      </w:r>
      <w:proofErr w:type="gramStart"/>
      <w:r w:rsidRPr="004D5FA3">
        <w:t>that</w:t>
      </w:r>
      <w:proofErr w:type="gramEnd"/>
      <w:r w:rsidRPr="004D5FA3">
        <w:t xml:space="preserve"> any episode where at any time during the episode the beneficiary dies is excluded from the MSPB-Hospital calculation.</w:t>
      </w:r>
    </w:p>
  </w:footnote>
  <w:footnote w:id="26">
    <w:p w14:paraId="708216CF" w14:textId="77777777" w:rsidR="00A12BD8" w:rsidRPr="006739ED" w:rsidRDefault="00A12BD8" w:rsidP="004D5FA3">
      <w:pPr>
        <w:pStyle w:val="FootnoteText"/>
        <w:rPr>
          <w:vertAlign w:val="superscript"/>
        </w:rPr>
      </w:pPr>
      <w:r w:rsidRPr="006739ED">
        <w:rPr>
          <w:rStyle w:val="FootnoteReference"/>
        </w:rPr>
        <w:footnoteRef/>
      </w:r>
      <w:r w:rsidRPr="004D5FA3">
        <w:t xml:space="preserve"> Recall from S.9.1. </w:t>
      </w:r>
      <w:proofErr w:type="gramStart"/>
      <w:r w:rsidRPr="004D5FA3">
        <w:t>that</w:t>
      </w:r>
      <w:proofErr w:type="gramEnd"/>
      <w:r w:rsidRPr="004D5FA3">
        <w:t xml:space="preserve"> MSPB-Hospital episodes whose relative scores fall above the 99th percentile or below the 1st percentile of the distribution of residuals are excluded from the MSPB-Hospital calculation.</w:t>
      </w:r>
    </w:p>
  </w:footnote>
  <w:footnote w:id="27">
    <w:p w14:paraId="49B1F504" w14:textId="77777777" w:rsidR="00A12BD8" w:rsidRPr="004D5FA3" w:rsidRDefault="00A12BD8" w:rsidP="004D5FA3">
      <w:pPr>
        <w:pStyle w:val="FootnoteText"/>
      </w:pPr>
      <w:r w:rsidRPr="006739ED">
        <w:rPr>
          <w:rStyle w:val="FootnoteReference"/>
        </w:rPr>
        <w:footnoteRef/>
      </w:r>
      <w:r w:rsidRPr="004D5FA3">
        <w:t xml:space="preserve"> Recall from S.9.1. </w:t>
      </w:r>
      <w:proofErr w:type="gramStart"/>
      <w:r w:rsidRPr="004D5FA3">
        <w:t>that</w:t>
      </w:r>
      <w:proofErr w:type="gramEnd"/>
      <w:r w:rsidRPr="004D5FA3">
        <w:t xml:space="preserve"> transfers, defined based on the claim discharge code, are not considered eligible as index admissions.  In other words, these cases will not generate new MSPB episodes; neither the hospital which transfers a patient to another short-term acute hospital, nor the receiving short-term acute hospital will have an index admission attributed to them.  The rationale for exclusion of these acute-to-acute transfer cases is that CMS wished to perform further analysis of hospital impacts and explore potential unintended consequences of attribution of the MSPB episode to either the transferring or the receiving hospital.</w:t>
      </w:r>
    </w:p>
  </w:footnote>
  <w:footnote w:id="28">
    <w:p w14:paraId="4B1170FF" w14:textId="77777777" w:rsidR="00A12BD8" w:rsidRPr="004D5FA3" w:rsidRDefault="00A12BD8" w:rsidP="004D5FA3">
      <w:pPr>
        <w:pStyle w:val="FootnoteText"/>
      </w:pPr>
      <w:r w:rsidRPr="006739ED">
        <w:rPr>
          <w:rStyle w:val="FootnoteReference"/>
        </w:rPr>
        <w:footnoteRef/>
      </w:r>
      <w:r w:rsidRPr="004D5FA3">
        <w:t xml:space="preserve"> Recall from S.9.1. </w:t>
      </w:r>
      <w:proofErr w:type="gramStart"/>
      <w:r w:rsidRPr="004D5FA3">
        <w:t>that</w:t>
      </w:r>
      <w:proofErr w:type="gramEnd"/>
      <w:r w:rsidRPr="004D5FA3">
        <w:t xml:space="preserve"> any episode where at any time during the episode the beneficiary becomes deceased is excluded from the MSPB calculation.</w:t>
      </w:r>
    </w:p>
  </w:footnote>
  <w:footnote w:id="29">
    <w:p w14:paraId="7728B89B" w14:textId="77777777" w:rsidR="00A12BD8" w:rsidRPr="009E7A71" w:rsidRDefault="00A12BD8" w:rsidP="004D5FA3">
      <w:pPr>
        <w:pStyle w:val="FootnoteText"/>
      </w:pPr>
      <w:r w:rsidRPr="006739ED">
        <w:rPr>
          <w:rStyle w:val="FootnoteReference"/>
        </w:rPr>
        <w:footnoteRef/>
      </w:r>
      <w:r w:rsidRPr="006739ED">
        <w:rPr>
          <w:vertAlign w:val="superscript"/>
        </w:rPr>
        <w:t xml:space="preserve"> </w:t>
      </w:r>
      <w:r w:rsidRPr="004D5FA3">
        <w:t xml:space="preserve">Recall from S.9.1. </w:t>
      </w:r>
      <w:proofErr w:type="gramStart"/>
      <w:r w:rsidRPr="004D5FA3">
        <w:t>that</w:t>
      </w:r>
      <w:proofErr w:type="gramEnd"/>
      <w:r w:rsidRPr="004D5FA3">
        <w:t xml:space="preserve"> MSPB episodes whose relative scores fall above the 99th percentile or below the 1st percentile of the distribution of residuals (see 2a1.20 for a description of MSPB residuals) within each index admission MS-DRG are excluded from the MSPB calculation.</w:t>
      </w:r>
    </w:p>
  </w:footnote>
  <w:footnote w:id="30">
    <w:p w14:paraId="2DDB2822" w14:textId="77777777" w:rsidR="00A12BD8" w:rsidRPr="004D5FA3" w:rsidRDefault="00A12BD8" w:rsidP="004D5FA3">
      <w:pPr>
        <w:pStyle w:val="FootnoteText"/>
      </w:pPr>
      <w:r w:rsidRPr="006739ED">
        <w:rPr>
          <w:rStyle w:val="FootnoteReference"/>
        </w:rPr>
        <w:footnoteRef/>
      </w:r>
      <w:r w:rsidRPr="004D5FA3">
        <w:t xml:space="preserve"> As an alternative to completely assigning transfer episodes to either the transferring hospital or the receiving hospital, transfer episode costs could be split between both hospitals.  A simple 50/50 weighting scheme would be one potential solution.  To implement a 50/50 weighting scheme, each hospital receives 50% of the observed cost in the MSPB Amount numerator and 50% of the expected in the denominator of the MSPB Amount risk-adjustment factor (αj).  This weighting scheme, however, does not take into account the length of stay at each hospital or the fact that the receiving hospital is in control of post-discharge spending.  More complicated alternative weighting schemes (e.g., assigning a fixed weight to the receiving hospital and splitting the remaining weight based on the relative number of days the patient spends at each hospital) could be tailored to the particular application of the MSPB Measure, but these approaches would also increase the complexity of the MSPB Measure methodology.</w:t>
      </w:r>
    </w:p>
  </w:footnote>
  <w:footnote w:id="31">
    <w:p w14:paraId="4B9F61FD" w14:textId="77777777" w:rsidR="00A12BD8" w:rsidRPr="009E7A71" w:rsidRDefault="00A12BD8" w:rsidP="004D5FA3">
      <w:pPr>
        <w:pStyle w:val="FootnoteText"/>
      </w:pPr>
      <w:r w:rsidRPr="006739ED">
        <w:rPr>
          <w:rStyle w:val="FootnoteReference"/>
        </w:rPr>
        <w:footnoteRef/>
      </w:r>
      <w:r w:rsidRPr="004D5FA3">
        <w:t xml:space="preserve"> </w:t>
      </w:r>
      <w:hyperlink r:id="rId8" w:history="1">
        <w:r w:rsidRPr="004D5FA3">
          <w:rPr>
            <w:rStyle w:val="Hyperlink"/>
            <w:color w:val="auto"/>
            <w:u w:val="none"/>
          </w:rPr>
          <w:t>http://www.dartmouthatlas.org/keyissues/issue.aspx?con=2944</w:t>
        </w:r>
      </w:hyperlink>
    </w:p>
  </w:footnote>
  <w:footnote w:id="32">
    <w:p w14:paraId="07DEE98D" w14:textId="2E657061" w:rsidR="00A12BD8" w:rsidRPr="006739ED" w:rsidRDefault="00A12BD8" w:rsidP="004D5FA3">
      <w:pPr>
        <w:pStyle w:val="FootnoteText"/>
        <w:rPr>
          <w:color w:val="FF0000"/>
        </w:rPr>
      </w:pPr>
      <w:r w:rsidRPr="006739ED">
        <w:rPr>
          <w:rStyle w:val="FootnoteReference"/>
          <w:color w:val="FF0000"/>
        </w:rPr>
        <w:footnoteRef/>
      </w:r>
      <w:r w:rsidRPr="006739ED">
        <w:rPr>
          <w:color w:val="FF0000"/>
          <w:vertAlign w:val="superscript"/>
        </w:rPr>
        <w:t xml:space="preserve"> </w:t>
      </w:r>
      <w:r w:rsidRPr="006739ED">
        <w:rPr>
          <w:color w:val="FF0000"/>
        </w:rPr>
        <w:t xml:space="preserve">In 2018, 20 million beneficiaries were enrolled in Medicare Part C plans and incurred $230 billion to cover Medicare Part A and Part B services for Medicare Advantage enrollees (MEDPAC Data Book Healthcare Spending and the Medicare Program, June 2019, </w:t>
      </w:r>
      <w:hyperlink r:id="rId9" w:history="1">
        <w:r w:rsidRPr="006739ED">
          <w:rPr>
            <w:rStyle w:val="Hyperlink"/>
            <w:color w:val="FF0000"/>
            <w:u w:val="none"/>
          </w:rPr>
          <w:t>http://www.medpac.gov/docs/default-source/data-book/jun19_databook_entirereport_sec.pdf?sfvrsn=0</w:t>
        </w:r>
      </w:hyperlink>
      <w:r w:rsidRPr="006739ED">
        <w:rPr>
          <w:color w:val="FF0000"/>
        </w:rPr>
        <w:t xml:space="preserve">) </w:t>
      </w:r>
    </w:p>
  </w:footnote>
  <w:footnote w:id="33">
    <w:p w14:paraId="4F87A4AB" w14:textId="77777777" w:rsidR="00A12BD8" w:rsidRPr="006739ED" w:rsidRDefault="00A12BD8" w:rsidP="004D5FA3">
      <w:pPr>
        <w:pStyle w:val="FootnoteText"/>
        <w:rPr>
          <w:color w:val="FF0000"/>
        </w:rPr>
      </w:pPr>
      <w:r w:rsidRPr="006739ED">
        <w:rPr>
          <w:rStyle w:val="FootnoteReference"/>
          <w:color w:val="FF0000"/>
        </w:rPr>
        <w:footnoteRef/>
      </w:r>
      <w:r w:rsidRPr="006739ED">
        <w:rPr>
          <w:color w:val="FF0000"/>
          <w:vertAlign w:val="superscript"/>
        </w:rPr>
        <w:t xml:space="preserve"> </w:t>
      </w:r>
      <w:r w:rsidRPr="006739ED">
        <w:rPr>
          <w:color w:val="FF0000"/>
        </w:rPr>
        <w:t>Pope, Gregory C., John Kautter, Melvin J. Ingber, Sara Freeman, Rishi Sekar, and Cordon Newhart. “Evaluation of the CMS-HCC Risk-Adjustment Model: Final Report.” RTI International: March 2011</w:t>
      </w:r>
    </w:p>
  </w:footnote>
  <w:footnote w:id="34">
    <w:p w14:paraId="688EEEE2" w14:textId="5540B14A" w:rsidR="00A12BD8" w:rsidRPr="004D5FA3" w:rsidRDefault="00A12BD8" w:rsidP="004D5FA3">
      <w:pPr>
        <w:pStyle w:val="FootnoteText"/>
      </w:pPr>
      <w:r w:rsidRPr="006739ED">
        <w:rPr>
          <w:rStyle w:val="FootnoteReference"/>
          <w:color w:val="FF0000"/>
        </w:rPr>
        <w:footnoteRef/>
      </w:r>
      <w:r w:rsidRPr="006739ED">
        <w:rPr>
          <w:color w:val="FF0000"/>
        </w:rPr>
        <w:t xml:space="preserve"> “Report to Congress: Risk Adjustment in Medicare Advantage”, CMS </w:t>
      </w:r>
      <w:hyperlink r:id="rId10" w:history="1">
        <w:r w:rsidRPr="006739ED">
          <w:rPr>
            <w:rStyle w:val="Hyperlink"/>
            <w:color w:val="FF0000"/>
            <w:u w:val="none"/>
          </w:rPr>
          <w:t>https://www.cms.gov/Medicare/Health-Plans/MedicareAdvtgSpecRateStats/Downloads/RTC-Dec2018.pdf</w:t>
        </w:r>
      </w:hyperlink>
      <w:r w:rsidRPr="006739ED">
        <w:rPr>
          <w:rStyle w:val="Hyperlink"/>
          <w:color w:val="FF0000"/>
          <w:u w:val="none"/>
        </w:rPr>
        <w:t>.</w:t>
      </w:r>
    </w:p>
  </w:footnote>
  <w:footnote w:id="35">
    <w:p w14:paraId="21C526B0" w14:textId="77777777" w:rsidR="00A12BD8" w:rsidRPr="006739ED" w:rsidRDefault="00A12BD8" w:rsidP="004D5FA3">
      <w:pPr>
        <w:pStyle w:val="FootnoteText"/>
        <w:rPr>
          <w:color w:val="FF0000"/>
        </w:rPr>
      </w:pPr>
      <w:r w:rsidRPr="006739ED">
        <w:rPr>
          <w:rStyle w:val="FootnoteReference"/>
          <w:color w:val="FF0000"/>
        </w:rPr>
        <w:footnoteRef/>
      </w:r>
      <w:r w:rsidRPr="006739ED">
        <w:rPr>
          <w:color w:val="FF0000"/>
        </w:rPr>
        <w:t xml:space="preserve"> National Quality Forum. “Risk Adjustment for Socioeconomic Status or Other Sociodemographic Factors: Technical Report.” National Quality Forum: August 2014</w:t>
      </w:r>
    </w:p>
  </w:footnote>
  <w:footnote w:id="36">
    <w:p w14:paraId="2369FD5D" w14:textId="2BA3C85B" w:rsidR="00A12BD8" w:rsidRPr="006739ED" w:rsidRDefault="00A12BD8" w:rsidP="00023FA4">
      <w:pPr>
        <w:pStyle w:val="FootnoteText"/>
        <w:rPr>
          <w:color w:val="FF0000"/>
        </w:rPr>
      </w:pPr>
      <w:r w:rsidRPr="006739ED">
        <w:rPr>
          <w:rStyle w:val="FootnoteReference"/>
          <w:color w:val="FF0000"/>
        </w:rPr>
        <w:footnoteRef/>
      </w:r>
      <w:r w:rsidRPr="006739ED">
        <w:rPr>
          <w:color w:val="FF0000"/>
        </w:rPr>
        <w:t xml:space="preserve"> National Academies of Sciences Engineering and Medicine (U.S.). Committee on Accounting for Socioeconomic Status in Medicare Payment Programs, Kwan LY, Stratton K, Steinwachs DM. Accounting for social risk factors in </w:t>
      </w:r>
      <w:r w:rsidR="006755C9">
        <w:rPr>
          <w:color w:val="FF0000"/>
        </w:rPr>
        <w:t>M</w:t>
      </w:r>
      <w:r w:rsidRPr="006739ED">
        <w:rPr>
          <w:color w:val="FF0000"/>
        </w:rPr>
        <w:t>edicare payment: a report of the National Academies of Sciences, Engineering, Medicine. Washington, DC: The National Academies Press; 2017</w:t>
      </w:r>
    </w:p>
  </w:footnote>
  <w:footnote w:id="37">
    <w:p w14:paraId="3429A0F1" w14:textId="77777777" w:rsidR="00A12BD8" w:rsidRPr="006739ED" w:rsidRDefault="00A12BD8" w:rsidP="00023FA4">
      <w:pPr>
        <w:pStyle w:val="FootnoteText"/>
        <w:rPr>
          <w:color w:val="FF0000"/>
        </w:rPr>
      </w:pPr>
      <w:r w:rsidRPr="006739ED">
        <w:rPr>
          <w:rStyle w:val="FootnoteReference"/>
          <w:color w:val="FF0000"/>
        </w:rPr>
        <w:footnoteRef/>
      </w:r>
      <w:r w:rsidRPr="006739ED">
        <w:rPr>
          <w:color w:val="FF0000"/>
          <w:vertAlign w:val="superscript"/>
        </w:rPr>
        <w:t xml:space="preserve"> </w:t>
      </w:r>
      <w:r w:rsidRPr="006739ED">
        <w:rPr>
          <w:color w:val="FF0000"/>
        </w:rPr>
        <w:t xml:space="preserve">Assistant Secretary of Health and Human Services for Planning and Evaluation. Report to Congress: Social Risk Factors and Performance </w:t>
      </w:r>
      <w:proofErr w:type="gramStart"/>
      <w:r w:rsidRPr="006739ED">
        <w:rPr>
          <w:color w:val="FF0000"/>
        </w:rPr>
        <w:t>Under</w:t>
      </w:r>
      <w:proofErr w:type="gramEnd"/>
      <w:r w:rsidRPr="006739ED">
        <w:rPr>
          <w:color w:val="FF0000"/>
        </w:rPr>
        <w:t xml:space="preserve"> Medicare’s Value-Based Purchasing Programs. Washington, D.C. December 2016</w:t>
      </w:r>
    </w:p>
  </w:footnote>
  <w:footnote w:id="38">
    <w:p w14:paraId="3C101451" w14:textId="77777777" w:rsidR="00A12BD8" w:rsidRPr="006739ED" w:rsidRDefault="00A12BD8" w:rsidP="00023FA4">
      <w:pPr>
        <w:pStyle w:val="FootnoteText"/>
        <w:rPr>
          <w:color w:val="FF0000"/>
        </w:rPr>
      </w:pPr>
      <w:r w:rsidRPr="006739ED">
        <w:rPr>
          <w:rStyle w:val="FootnoteReference"/>
          <w:color w:val="FF0000"/>
        </w:rPr>
        <w:footnoteRef/>
      </w:r>
      <w:r w:rsidRPr="006739ED">
        <w:rPr>
          <w:color w:val="FF0000"/>
          <w:vertAlign w:val="superscript"/>
        </w:rPr>
        <w:t xml:space="preserve"> </w:t>
      </w:r>
      <w:r w:rsidRPr="006739ED">
        <w:rPr>
          <w:color w:val="FF0000"/>
        </w:rPr>
        <w:t>Medicare Payment Advisory Commission. Beneficiaries Dually Eligible for Medicare and Medicaid. 2018</w:t>
      </w:r>
    </w:p>
  </w:footnote>
  <w:footnote w:id="39">
    <w:p w14:paraId="36C6D3E7" w14:textId="77777777" w:rsidR="00A12BD8" w:rsidRPr="006739ED" w:rsidRDefault="00A12BD8" w:rsidP="00023FA4">
      <w:pPr>
        <w:pStyle w:val="FootnoteText"/>
        <w:rPr>
          <w:color w:val="FF0000"/>
        </w:rPr>
      </w:pPr>
      <w:r w:rsidRPr="006739ED">
        <w:rPr>
          <w:rStyle w:val="FootnoteReference"/>
          <w:color w:val="FF0000"/>
        </w:rPr>
        <w:footnoteRef/>
      </w:r>
      <w:r w:rsidRPr="006739ED">
        <w:rPr>
          <w:color w:val="FF0000"/>
          <w:vertAlign w:val="superscript"/>
        </w:rPr>
        <w:t xml:space="preserve"> </w:t>
      </w:r>
      <w:hyperlink r:id="rId11" w:history="1">
        <w:r w:rsidRPr="006739ED">
          <w:rPr>
            <w:rStyle w:val="Hyperlink"/>
            <w:color w:val="FF0000"/>
            <w:u w:val="none"/>
          </w:rPr>
          <w:t>NQF 2017 Evaluation of the NQF Trial Period for Risk Adjustment for Social Risk Factors</w:t>
        </w:r>
      </w:hyperlink>
    </w:p>
  </w:footnote>
  <w:footnote w:id="40">
    <w:p w14:paraId="1B7E2969" w14:textId="77777777" w:rsidR="00A12BD8" w:rsidRPr="00023FA4" w:rsidRDefault="00A12BD8" w:rsidP="00023FA4">
      <w:pPr>
        <w:pStyle w:val="FootnoteText"/>
      </w:pPr>
      <w:r w:rsidRPr="006739ED">
        <w:rPr>
          <w:rStyle w:val="FootnoteReference"/>
          <w:color w:val="FF0000"/>
        </w:rPr>
        <w:footnoteRef/>
      </w:r>
      <w:r w:rsidRPr="006739ED">
        <w:rPr>
          <w:color w:val="FF0000"/>
        </w:rPr>
        <w:t xml:space="preserve"> “Report to Congress: Risk Adjustment in Medicare Advantage”, CMS </w:t>
      </w:r>
      <w:hyperlink r:id="rId12" w:history="1">
        <w:r w:rsidRPr="006739ED">
          <w:rPr>
            <w:rStyle w:val="Hyperlink"/>
            <w:color w:val="FF0000"/>
            <w:u w:val="none"/>
          </w:rPr>
          <w:t>https://www.cms.gov/Medicare/Health-Plans/MedicareAdvtgSpecRateStats/Downloads/RTC-Dec2018.pdf</w:t>
        </w:r>
      </w:hyperlink>
      <w:r w:rsidRPr="006739ED">
        <w:rPr>
          <w:rStyle w:val="Hyperlink"/>
          <w:color w:val="FF0000"/>
          <w:u w:val="none"/>
        </w:rPr>
        <w:t>.</w:t>
      </w:r>
    </w:p>
  </w:footnote>
  <w:footnote w:id="41">
    <w:p w14:paraId="39484BF2" w14:textId="77777777" w:rsidR="00A12BD8" w:rsidRPr="00023FA4" w:rsidRDefault="00A12BD8" w:rsidP="00023FA4">
      <w:pPr>
        <w:pStyle w:val="FootnoteText"/>
      </w:pPr>
      <w:r w:rsidRPr="006739ED">
        <w:rPr>
          <w:rStyle w:val="FootnoteReference"/>
        </w:rPr>
        <w:footnoteRef/>
      </w:r>
      <w:r w:rsidRPr="00023FA4">
        <w:t xml:space="preserve"> Kaiser Family Foundation. “Medicare Chartbook” Fourth Edition, 2010. http://www.kff.org/medicare/upload/8103.pdf  </w:t>
      </w:r>
    </w:p>
  </w:footnote>
  <w:footnote w:id="42">
    <w:p w14:paraId="259663B9" w14:textId="77777777" w:rsidR="00A12BD8" w:rsidRPr="004D5FA3" w:rsidRDefault="00A12BD8" w:rsidP="00023FA4">
      <w:pPr>
        <w:pStyle w:val="FootnoteText"/>
      </w:pPr>
      <w:r w:rsidRPr="006739ED">
        <w:rPr>
          <w:rStyle w:val="FootnoteReference"/>
        </w:rPr>
        <w:footnoteRef/>
      </w:r>
      <w:r w:rsidRPr="00023FA4">
        <w:t xml:space="preserve"> Hanchate, Amresh, et al. “Racial and Ethnic Differences in End-of-Life Costs: Why do Minorities Cost More than Whites?” Archives of Internal Medicine. 2009; 169(5):493-504.</w:t>
      </w:r>
    </w:p>
  </w:footnote>
  <w:footnote w:id="43">
    <w:p w14:paraId="157C7DC3" w14:textId="77777777" w:rsidR="00A12BD8" w:rsidRPr="00023FA4" w:rsidRDefault="00A12BD8" w:rsidP="00023FA4">
      <w:pPr>
        <w:pStyle w:val="FootnoteText"/>
      </w:pPr>
      <w:r w:rsidRPr="006739ED">
        <w:rPr>
          <w:rStyle w:val="FootnoteReference"/>
        </w:rPr>
        <w:footnoteRef/>
      </w:r>
      <w:r w:rsidRPr="006739ED">
        <w:rPr>
          <w:vertAlign w:val="superscript"/>
        </w:rPr>
        <w:t xml:space="preserve"> </w:t>
      </w:r>
      <w:r w:rsidRPr="00023FA4">
        <w:t>National Quality Forum. “Risk Adjustment for Socioeconomic Status or Other Sociodemographic Factors: Technical Report.” National Quality Forum: August 2014.</w:t>
      </w:r>
    </w:p>
  </w:footnote>
  <w:footnote w:id="44">
    <w:p w14:paraId="63F1553D" w14:textId="77777777" w:rsidR="00A12BD8" w:rsidRPr="00023FA4" w:rsidRDefault="00A12BD8" w:rsidP="00023FA4">
      <w:pPr>
        <w:pStyle w:val="FootnoteText"/>
      </w:pPr>
      <w:r w:rsidRPr="006739ED">
        <w:rPr>
          <w:rStyle w:val="FootnoteReference"/>
        </w:rPr>
        <w:footnoteRef/>
      </w:r>
      <w:r w:rsidRPr="00023FA4">
        <w:t xml:space="preserve"> Deaton, Angus S. and Paxson, Christina. Chapter 6: Measure Poverty among the Elderly. (Inquiries in the Economics of Aging, University of Chicago Press, January 1998), 171. https://core.ac.uk/download/pdf/6870973.pdf</w:t>
      </w:r>
    </w:p>
  </w:footnote>
  <w:footnote w:id="45">
    <w:p w14:paraId="3C5FF63A" w14:textId="77777777" w:rsidR="00A12BD8" w:rsidRPr="00023FA4" w:rsidRDefault="00A12BD8" w:rsidP="00023FA4">
      <w:pPr>
        <w:pStyle w:val="FootnoteText"/>
      </w:pPr>
      <w:r w:rsidRPr="006739ED">
        <w:rPr>
          <w:rStyle w:val="FootnoteReference"/>
        </w:rPr>
        <w:footnoteRef/>
      </w:r>
      <w:r w:rsidRPr="006739ED">
        <w:rPr>
          <w:vertAlign w:val="superscript"/>
        </w:rPr>
        <w:t xml:space="preserve"> </w:t>
      </w:r>
      <w:r w:rsidRPr="00023FA4">
        <w:t>Zaslavsky, Alan M, John Z Ayanian, and Lawrence B Zaborski. “The Validity of Race and Ethnicity in Enrollment Data for Medicare Beneficiaries.” Health Services Research 47.3 Pt 2 (2012): 1300–1321. PMC. Web. 28 Oct. 2016.</w:t>
      </w:r>
    </w:p>
  </w:footnote>
  <w:footnote w:id="46">
    <w:p w14:paraId="4875EC95" w14:textId="77777777" w:rsidR="00A12BD8" w:rsidRPr="004D5FA3" w:rsidRDefault="00A12BD8" w:rsidP="00023FA4">
      <w:pPr>
        <w:pStyle w:val="FootnoteText"/>
      </w:pPr>
      <w:r w:rsidRPr="006739ED">
        <w:rPr>
          <w:rStyle w:val="FootnoteReference"/>
        </w:rPr>
        <w:footnoteRef/>
      </w:r>
      <w:r w:rsidRPr="00023FA4">
        <w:t xml:space="preserve"> Centers for Medicare and Medicaid Services, Office of the Actuary. “Announcement of Calendar Year (CY) 2009 Medicare Advantage Capitation Rates and Medicare Advantage and Part D Payment Policies.” April 2008. </w:t>
      </w:r>
      <w:hyperlink r:id="rId13" w:history="1">
        <w:r w:rsidRPr="00023FA4">
          <w:rPr>
            <w:rStyle w:val="Hyperlink"/>
            <w:color w:val="auto"/>
            <w:u w:val="none"/>
          </w:rPr>
          <w:t>http://www.cms.gov/MedicareAdvtgSpecRateStats/Downloads/Announcement2009.pdf</w:t>
        </w:r>
      </w:hyperlink>
    </w:p>
  </w:footnote>
  <w:footnote w:id="47">
    <w:p w14:paraId="6F01DDFA" w14:textId="77777777" w:rsidR="00A12BD8" w:rsidRPr="004D5FA3" w:rsidRDefault="00A12BD8" w:rsidP="004D5FA3">
      <w:pPr>
        <w:pStyle w:val="FootnoteText"/>
      </w:pPr>
      <w:r w:rsidRPr="006739ED">
        <w:rPr>
          <w:rStyle w:val="FootnoteReference"/>
        </w:rPr>
        <w:footnoteRef/>
      </w:r>
      <w:r w:rsidRPr="004D5FA3">
        <w:t xml:space="preserve"> Kiyota, Uka, et al. “Accuracy of Medicare Claims-Based Diagnosis of Acute Myocardial Infarction: Estimating Positive Predictive Value on the Basis of Review of Hospital Records.” American Heart Journal. 148(1): 99-104, July 2004.</w:t>
      </w:r>
    </w:p>
  </w:footnote>
  <w:footnote w:id="48">
    <w:p w14:paraId="35ADB575" w14:textId="77777777" w:rsidR="00A12BD8" w:rsidRPr="004D5FA3" w:rsidRDefault="00A12BD8" w:rsidP="004D5FA3">
      <w:pPr>
        <w:pStyle w:val="FootnoteText"/>
      </w:pPr>
      <w:r w:rsidRPr="006739ED">
        <w:rPr>
          <w:rStyle w:val="FootnoteReference"/>
        </w:rPr>
        <w:footnoteRef/>
      </w:r>
      <w:r w:rsidRPr="004D5FA3">
        <w:t xml:space="preserve"> Winkelmayer, W. C., et al. “Identification of Individuals with CKD from Medicare Claims Data: A Validation Study.” Am J Kidney Dis. 46(2): 225-232, Aug </w:t>
      </w:r>
      <w:proofErr w:type="gramStart"/>
      <w:r w:rsidRPr="004D5FA3">
        <w:t>2005.</w:t>
      </w:r>
      <w:proofErr w:type="gramEnd"/>
    </w:p>
  </w:footnote>
  <w:footnote w:id="49">
    <w:p w14:paraId="64172A3C" w14:textId="77777777" w:rsidR="00A12BD8" w:rsidRPr="004D5FA3" w:rsidRDefault="00A12BD8" w:rsidP="004D5FA3">
      <w:pPr>
        <w:pStyle w:val="FootnoteText"/>
      </w:pPr>
      <w:r w:rsidRPr="006739ED">
        <w:rPr>
          <w:rStyle w:val="FootnoteReference"/>
        </w:rPr>
        <w:footnoteRef/>
      </w:r>
      <w:r w:rsidRPr="006739ED">
        <w:rPr>
          <w:vertAlign w:val="superscript"/>
        </w:rPr>
        <w:t xml:space="preserve"> </w:t>
      </w:r>
      <w:r w:rsidRPr="004D5FA3">
        <w:t>Birman-Deych, Elena, et al. “Accuracy of ICD-9-CM Codes for Identifying Cardiovascular and Stroke Risk Factors.” Medical Care. 43(5): 480-485, May 2005.</w:t>
      </w:r>
    </w:p>
  </w:footnote>
  <w:footnote w:id="50">
    <w:p w14:paraId="64CA21E0" w14:textId="77777777" w:rsidR="00A12BD8" w:rsidRDefault="00A12BD8" w:rsidP="004D5FA3">
      <w:pPr>
        <w:pStyle w:val="FootnoteText"/>
      </w:pPr>
      <w:r w:rsidRPr="006739ED">
        <w:rPr>
          <w:rStyle w:val="FootnoteReference"/>
          <w:color w:val="FF0000"/>
        </w:rPr>
        <w:footnoteRef/>
      </w:r>
      <w:r w:rsidRPr="006739ED">
        <w:rPr>
          <w:color w:val="FF0000"/>
        </w:rPr>
        <w:t xml:space="preserve"> Due to this exclusion, coefficients and model fit presented for the base model analyzed within the SRF testing will slightly differ to those presented for the model testing conducted in Section 2b3.5.</w:t>
      </w:r>
    </w:p>
  </w:footnote>
  <w:footnote w:id="51">
    <w:p w14:paraId="398278D9" w14:textId="454A080D" w:rsidR="00A12BD8" w:rsidRPr="004D5FA3" w:rsidRDefault="00A12BD8" w:rsidP="004D5FA3">
      <w:pPr>
        <w:pStyle w:val="FootnoteText"/>
      </w:pPr>
      <w:r w:rsidRPr="006739ED">
        <w:rPr>
          <w:rStyle w:val="FootnoteReference"/>
          <w:color w:val="FF0000"/>
        </w:rPr>
        <w:footnoteRef/>
      </w:r>
      <w:r w:rsidRPr="006739ED">
        <w:rPr>
          <w:color w:val="FF0000"/>
        </w:rPr>
        <w:t xml:space="preserve"> </w:t>
      </w:r>
      <w:r>
        <w:rPr>
          <w:color w:val="FF0000"/>
        </w:rPr>
        <w:t>T</w:t>
      </w:r>
      <w:r w:rsidRPr="006739ED">
        <w:rPr>
          <w:color w:val="FF0000"/>
        </w:rPr>
        <w:t>op quintile of DSH population nationwide</w:t>
      </w:r>
    </w:p>
  </w:footnote>
  <w:footnote w:id="52">
    <w:p w14:paraId="58685A2C" w14:textId="77777777" w:rsidR="00A12BD8" w:rsidRPr="004D5FA3" w:rsidRDefault="00A12BD8" w:rsidP="004D5FA3">
      <w:pPr>
        <w:pStyle w:val="FootnoteText"/>
      </w:pPr>
      <w:r w:rsidRPr="006739ED">
        <w:rPr>
          <w:rStyle w:val="FootnoteReference"/>
        </w:rPr>
        <w:footnoteRef/>
      </w:r>
      <w:r w:rsidRPr="004D5FA3">
        <w:t xml:space="preserve"> Dual enrollment is defined using the dual_stus_cd variable in the CME file.  Partial dual beneficiaries were defined as dual_stus_cd = 1, 3, 5, or 6, while full dual beneficiaries were defined as dual_stus_cd = 2, 4, or 7.</w:t>
      </w:r>
    </w:p>
  </w:footnote>
  <w:footnote w:id="53">
    <w:p w14:paraId="36583E6D" w14:textId="77777777" w:rsidR="00A12BD8" w:rsidRPr="004D5FA3" w:rsidRDefault="00A12BD8" w:rsidP="004D5FA3">
      <w:pPr>
        <w:pStyle w:val="FootnoteText"/>
      </w:pPr>
      <w:r w:rsidRPr="006739ED">
        <w:rPr>
          <w:rStyle w:val="FootnoteReference"/>
        </w:rPr>
        <w:footnoteRef/>
      </w:r>
      <w:r w:rsidRPr="004D5FA3">
        <w:t xml:space="preserve"> Office of the Assistant Secretary for Planning and Evaluation (ASPE).  “Report to Congress: Social Risk Factors and Performance </w:t>
      </w:r>
      <w:proofErr w:type="gramStart"/>
      <w:r w:rsidRPr="004D5FA3">
        <w:t>Under</w:t>
      </w:r>
      <w:proofErr w:type="gramEnd"/>
      <w:r w:rsidRPr="004D5FA3">
        <w:t xml:space="preserve"> Medicare’s Value-Based Purchasing Programs.”  December, 2016.  Available at </w:t>
      </w:r>
      <w:hyperlink r:id="rId14" w:history="1">
        <w:r w:rsidRPr="004D5FA3">
          <w:rPr>
            <w:rStyle w:val="Hyperlink"/>
            <w:color w:val="auto"/>
            <w:u w:val="none"/>
          </w:rPr>
          <w:t>https://aspe.hhs.gov/system/files/pdf/253971/ASPESESRTCfull.pdf</w:t>
        </w:r>
      </w:hyperlink>
      <w:r w:rsidRPr="004D5FA3">
        <w:t>.</w:t>
      </w:r>
    </w:p>
  </w:footnote>
  <w:footnote w:id="54">
    <w:p w14:paraId="407FE475" w14:textId="77777777" w:rsidR="00A12BD8" w:rsidRPr="004D5FA3" w:rsidRDefault="00A12BD8" w:rsidP="004D5FA3">
      <w:pPr>
        <w:pStyle w:val="FootnoteText"/>
      </w:pPr>
      <w:r w:rsidRPr="004D5FA3">
        <w:rPr>
          <w:rStyle w:val="FootnoteReference"/>
          <w:vertAlign w:val="baseline"/>
        </w:rPr>
        <w:footnoteRef/>
      </w:r>
      <w:r w:rsidRPr="004D5FA3">
        <w:t xml:space="preserve"> Ibid.</w:t>
      </w:r>
    </w:p>
  </w:footnote>
  <w:footnote w:id="55">
    <w:p w14:paraId="056C2AE2" w14:textId="77777777" w:rsidR="00A12BD8" w:rsidRPr="009E7A71" w:rsidRDefault="00A12BD8" w:rsidP="004D5FA3">
      <w:pPr>
        <w:pStyle w:val="FootnoteText"/>
      </w:pPr>
      <w:r w:rsidRPr="004D5FA3">
        <w:rPr>
          <w:rStyle w:val="FootnoteReference"/>
          <w:vertAlign w:val="baseline"/>
        </w:rPr>
        <w:footnoteRef/>
      </w:r>
      <w:r w:rsidRPr="004D5FA3">
        <w:t xml:space="preserve"> Ibid.</w:t>
      </w:r>
    </w:p>
  </w:footnote>
  <w:footnote w:id="56">
    <w:p w14:paraId="13A96131" w14:textId="77777777" w:rsidR="00A12BD8" w:rsidRPr="004D5FA3" w:rsidRDefault="00A12BD8" w:rsidP="004D5FA3">
      <w:pPr>
        <w:pStyle w:val="FootnoteText"/>
      </w:pPr>
      <w:r w:rsidRPr="006739ED">
        <w:rPr>
          <w:rStyle w:val="FootnoteReference"/>
        </w:rPr>
        <w:footnoteRef/>
      </w:r>
      <w:r w:rsidRPr="004D5FA3">
        <w:t xml:space="preserve"> Ibid, 6.</w:t>
      </w:r>
    </w:p>
  </w:footnote>
  <w:footnote w:id="57">
    <w:p w14:paraId="64023E29" w14:textId="77777777" w:rsidR="00A12BD8" w:rsidRPr="004D5FA3" w:rsidRDefault="00A12BD8" w:rsidP="004D5FA3">
      <w:pPr>
        <w:pStyle w:val="FootnoteText"/>
      </w:pPr>
      <w:r w:rsidRPr="004D5FA3">
        <w:rPr>
          <w:rStyle w:val="FootnoteReference"/>
          <w:vertAlign w:val="baseline"/>
        </w:rPr>
        <w:footnoteRef/>
      </w:r>
      <w:r w:rsidRPr="004D5FA3">
        <w:t xml:space="preserve"> MaCurdy, Thomas et al. “Challenges in the Risk Adjustment of Episode Costs.”  CMS, February 2010.  Available online at https://www.cms.gov/Research-Statistics-Data-and-Systems/Statistics-Trends-and-Reports/Reports/downloads/MaCurdy_ERA_2010.pdf.</w:t>
      </w:r>
    </w:p>
  </w:footnote>
  <w:footnote w:id="58">
    <w:p w14:paraId="5CFE9686" w14:textId="4423AF04" w:rsidR="00A12BD8" w:rsidRPr="006739ED" w:rsidRDefault="00A12BD8" w:rsidP="004D5FA3">
      <w:pPr>
        <w:pStyle w:val="FootnoteText"/>
        <w:rPr>
          <w:color w:val="FF0000"/>
        </w:rPr>
      </w:pPr>
      <w:r w:rsidRPr="006739ED">
        <w:rPr>
          <w:rStyle w:val="FootnoteReference"/>
          <w:color w:val="FF0000"/>
        </w:rPr>
        <w:footnoteRef/>
      </w:r>
      <w:r w:rsidRPr="006739ED">
        <w:rPr>
          <w:color w:val="FF0000"/>
        </w:rPr>
        <w:t xml:space="preserve"> </w:t>
      </w:r>
      <w:r>
        <w:rPr>
          <w:color w:val="FF0000"/>
        </w:rPr>
        <w:t xml:space="preserve">Giancotti, M., </w:t>
      </w:r>
      <w:r w:rsidRPr="00BD74AF">
        <w:rPr>
          <w:color w:val="FF0000"/>
        </w:rPr>
        <w:t>Guglielmo</w:t>
      </w:r>
      <w:r>
        <w:rPr>
          <w:color w:val="FF0000"/>
        </w:rPr>
        <w:t xml:space="preserve">, </w:t>
      </w:r>
      <w:r w:rsidRPr="00BD74AF">
        <w:rPr>
          <w:color w:val="FF0000"/>
        </w:rPr>
        <w:t>A</w:t>
      </w:r>
      <w:r>
        <w:rPr>
          <w:color w:val="FF0000"/>
        </w:rPr>
        <w:t xml:space="preserve">., </w:t>
      </w:r>
      <w:r w:rsidRPr="00BD74AF">
        <w:rPr>
          <w:color w:val="FF0000"/>
        </w:rPr>
        <w:t>Mauro M</w:t>
      </w:r>
      <w:proofErr w:type="gramStart"/>
      <w:r>
        <w:rPr>
          <w:color w:val="FF0000"/>
        </w:rPr>
        <w:t>..</w:t>
      </w:r>
      <w:proofErr w:type="gramEnd"/>
      <w:r>
        <w:rPr>
          <w:color w:val="FF0000"/>
        </w:rPr>
        <w:t xml:space="preserve"> “</w:t>
      </w:r>
      <w:r w:rsidRPr="00BD74AF">
        <w:rPr>
          <w:color w:val="FF0000"/>
        </w:rPr>
        <w:t>Efficiency and optimal size of hospitals: Results of a systematic search</w:t>
      </w:r>
      <w:r>
        <w:rPr>
          <w:color w:val="FF0000"/>
        </w:rPr>
        <w:t xml:space="preserve">”, Plos One, March 29, 2017. Available online at: </w:t>
      </w:r>
      <w:hyperlink r:id="rId15" w:anchor="abstract0" w:history="1">
        <w:r w:rsidRPr="000F53B6">
          <w:rPr>
            <w:rStyle w:val="Hyperlink"/>
            <w:color w:val="FF0000"/>
            <w:u w:val="none"/>
          </w:rPr>
          <w:t>https://journals.plos.org/plosone/article?id=10.1371/journal.pone.0174533#abstract0</w:t>
        </w:r>
      </w:hyperlink>
    </w:p>
  </w:footnote>
  <w:footnote w:id="59">
    <w:p w14:paraId="6FD5385E" w14:textId="77777777" w:rsidR="00A12BD8" w:rsidRPr="006739ED" w:rsidRDefault="00A12BD8" w:rsidP="004D5FA3">
      <w:pPr>
        <w:pStyle w:val="FootnoteText"/>
        <w:rPr>
          <w:color w:val="FF0000"/>
        </w:rPr>
      </w:pPr>
      <w:r w:rsidRPr="006739ED">
        <w:rPr>
          <w:rStyle w:val="FootnoteReference"/>
          <w:color w:val="FF0000"/>
        </w:rPr>
        <w:footnoteRef/>
      </w:r>
      <w:r w:rsidRPr="006739ED">
        <w:rPr>
          <w:color w:val="FF0000"/>
          <w:vertAlign w:val="superscript"/>
        </w:rPr>
        <w:t xml:space="preserve"> </w:t>
      </w:r>
      <w:r w:rsidRPr="006739ED">
        <w:rPr>
          <w:color w:val="FF0000"/>
        </w:rPr>
        <w:t xml:space="preserve">Skinner, Jonathan et al. “A New Series of Medical Expenditure Measures by Hospital Referral Region: 2003-2008”. The Dartmouth Institute for Health Policy and Clinical Practice. June 21, 2011.  </w:t>
      </w:r>
      <w:hyperlink r:id="rId16" w:history="1">
        <w:r w:rsidRPr="006739ED">
          <w:rPr>
            <w:rStyle w:val="Hyperlink"/>
            <w:color w:val="FF0000"/>
            <w:u w:val="none"/>
          </w:rPr>
          <w:t>http://www.dartmouthatlas.org/downloads/reports/PA_Spending_Report_0611.pdf</w:t>
        </w:r>
      </w:hyperlink>
      <w:r w:rsidRPr="006739ED">
        <w:rPr>
          <w:color w:val="FF0000"/>
        </w:rPr>
        <w:t xml:space="preserve"> </w:t>
      </w:r>
    </w:p>
  </w:footnote>
  <w:footnote w:id="60">
    <w:p w14:paraId="0D7AB048" w14:textId="27FE138E" w:rsidR="00A12BD8" w:rsidRPr="006739ED" w:rsidRDefault="00A12BD8" w:rsidP="004D5FA3">
      <w:pPr>
        <w:pStyle w:val="FootnoteText"/>
        <w:rPr>
          <w:color w:val="FF0000"/>
        </w:rPr>
      </w:pPr>
      <w:r w:rsidRPr="006739ED">
        <w:rPr>
          <w:rStyle w:val="FootnoteReference"/>
          <w:color w:val="FF0000"/>
        </w:rPr>
        <w:footnoteRef/>
      </w:r>
      <w:r>
        <w:rPr>
          <w:color w:val="FF0000"/>
          <w:vertAlign w:val="superscript"/>
        </w:rPr>
        <w:t xml:space="preserve"> </w:t>
      </w:r>
      <w:r w:rsidRPr="006739ED">
        <w:rPr>
          <w:color w:val="FF0000"/>
          <w:vertAlign w:val="superscript"/>
        </w:rPr>
        <w:t xml:space="preserve"> </w:t>
      </w:r>
      <w:r w:rsidRPr="00BD74AF">
        <w:rPr>
          <w:color w:val="FF0000"/>
        </w:rPr>
        <w:t xml:space="preserve">“Report to Congress: Regional Variation in Medicare Part A, Part B, and Part D Spending and Service Use”, CMS, September, 2017. Available online at </w:t>
      </w:r>
      <w:hyperlink r:id="rId17" w:history="1">
        <w:r w:rsidRPr="00BD74AF">
          <w:rPr>
            <w:rStyle w:val="Hyperlink"/>
            <w:color w:val="FF0000"/>
            <w:u w:val="none"/>
          </w:rPr>
          <w:t>http://medpac.gov/docs/default-source/reports/sept17_regionalvariation_report_final_sec.pdf?sfvrsn=0</w:t>
        </w:r>
      </w:hyperlink>
      <w:r w:rsidRPr="00BD74AF">
        <w:rPr>
          <w:rStyle w:val="Hyperlink"/>
          <w:color w:val="FF0000"/>
          <w:u w:val="none"/>
        </w:rPr>
        <w:t>.</w:t>
      </w:r>
    </w:p>
  </w:footnote>
  <w:footnote w:id="61">
    <w:p w14:paraId="47CE7EDA" w14:textId="59410607" w:rsidR="00A12BD8" w:rsidRPr="006739ED" w:rsidRDefault="00A12BD8" w:rsidP="004D5FA3">
      <w:pPr>
        <w:pStyle w:val="FootnoteText"/>
        <w:rPr>
          <w:color w:val="FF0000"/>
        </w:rPr>
      </w:pPr>
      <w:r w:rsidRPr="006739ED">
        <w:rPr>
          <w:rStyle w:val="FootnoteReference"/>
          <w:color w:val="FF0000"/>
        </w:rPr>
        <w:footnoteRef/>
      </w:r>
      <w:r w:rsidRPr="006739ED">
        <w:rPr>
          <w:color w:val="FF0000"/>
        </w:rPr>
        <w:t xml:space="preserve"> </w:t>
      </w:r>
      <w:r w:rsidRPr="00BD74AF">
        <w:rPr>
          <w:color w:val="FF0000"/>
        </w:rPr>
        <w:t>Burke LG, Khullar D, Zheng J, Frakt AB, Orav EJ, Jha AK. Comparison of Costs of Care for Medicare Patients Hospitalized in Teaching and Nonteaching Hospitals. JAMA Netw Open. 2019</w:t>
      </w:r>
      <w:proofErr w:type="gramStart"/>
      <w:r w:rsidRPr="00BD74AF">
        <w:rPr>
          <w:color w:val="FF0000"/>
        </w:rPr>
        <w:t>;2</w:t>
      </w:r>
      <w:proofErr w:type="gramEnd"/>
      <w:r w:rsidRPr="00BD74AF">
        <w:rPr>
          <w:color w:val="FF0000"/>
        </w:rPr>
        <w:t>(6):e195229. doi:10.1001/jamanetworkopen.2019.5229</w:t>
      </w:r>
    </w:p>
  </w:footnote>
  <w:footnote w:id="62">
    <w:p w14:paraId="2F3E0E79" w14:textId="215319E8" w:rsidR="00A12BD8" w:rsidRDefault="00A12BD8" w:rsidP="004D5FA3">
      <w:pPr>
        <w:pStyle w:val="FootnoteText"/>
      </w:pPr>
      <w:r w:rsidRPr="006739ED">
        <w:rPr>
          <w:rStyle w:val="FootnoteReference"/>
          <w:color w:val="FF0000"/>
        </w:rPr>
        <w:footnoteRef/>
      </w:r>
      <w:r w:rsidRPr="006739ED">
        <w:rPr>
          <w:color w:val="FF0000"/>
        </w:rPr>
        <w:t xml:space="preserve"> Chart 6.13 and Chart 6.19 from </w:t>
      </w:r>
      <w:r>
        <w:rPr>
          <w:color w:val="FF0000"/>
        </w:rPr>
        <w:t xml:space="preserve">“A Data Book: Health Care Spending and the Medicare Program”, CMS, June 2019. Available online at: </w:t>
      </w:r>
      <w:hyperlink r:id="rId18" w:history="1">
        <w:r w:rsidRPr="006739ED">
          <w:rPr>
            <w:rStyle w:val="Hyperlink"/>
            <w:color w:val="FF0000"/>
            <w:u w:val="none"/>
          </w:rPr>
          <w:t>http://medpac.gov/docs/default-source/data-book/jun19_databook_entirereport_sec.pdf?sfvrsn=0</w:t>
        </w:r>
      </w:hyperlink>
    </w:p>
  </w:footnote>
  <w:footnote w:id="63">
    <w:p w14:paraId="415099EC" w14:textId="77777777" w:rsidR="00A12BD8" w:rsidRPr="004D5FA3" w:rsidRDefault="00A12BD8" w:rsidP="004D5FA3">
      <w:pPr>
        <w:pStyle w:val="FootnoteText"/>
      </w:pPr>
      <w:r w:rsidRPr="006739ED">
        <w:rPr>
          <w:rStyle w:val="FootnoteReference"/>
        </w:rPr>
        <w:footnoteRef/>
      </w:r>
      <w:r w:rsidRPr="004D5FA3">
        <w:t xml:space="preserve"> The geographic regions used in this analysis are drawn from the census regions and divisions used by the U.S. Census Bureau.  See “Census Regions and Divisions of the United States.” U.S. Census Bureau. </w:t>
      </w:r>
      <w:hyperlink r:id="rId19" w:history="1">
        <w:r w:rsidRPr="004D5FA3">
          <w:rPr>
            <w:rStyle w:val="Hyperlink"/>
            <w:color w:val="auto"/>
            <w:u w:val="none"/>
          </w:rPr>
          <w:t>https://www2.census.gov/geo/pdfs/maps-data/maps/reference/us_regdiv.pdf</w:t>
        </w:r>
      </w:hyperlink>
      <w:r w:rsidRPr="004D5FA3">
        <w:t xml:space="preserve"> </w:t>
      </w:r>
    </w:p>
  </w:footnote>
  <w:footnote w:id="64">
    <w:p w14:paraId="4C2DCFF2" w14:textId="77777777" w:rsidR="00A12BD8" w:rsidRPr="004D5FA3" w:rsidRDefault="00A12BD8" w:rsidP="004D5FA3">
      <w:pPr>
        <w:pStyle w:val="FootnoteText"/>
      </w:pPr>
      <w:r w:rsidRPr="006739ED">
        <w:rPr>
          <w:rStyle w:val="FootnoteReference"/>
        </w:rPr>
        <w:footnoteRef/>
      </w:r>
      <w:r w:rsidRPr="004D5FA3">
        <w:t xml:space="preserve"> The Medicare DSH patient percentage is equal to the sum of the percentage of Medicare inpatient days attributable to patients entitled to both Medicare Part A and Supplemental Security Income and the percentage of total inpatient days attributable to patients eligible for Medicaid but not eligible for Medicare Part A.</w:t>
      </w:r>
    </w:p>
  </w:footnote>
  <w:footnote w:id="65">
    <w:p w14:paraId="623E7790" w14:textId="77777777" w:rsidR="00A12BD8" w:rsidRPr="009E7A71" w:rsidRDefault="00A12BD8" w:rsidP="004D5FA3">
      <w:pPr>
        <w:pStyle w:val="FootnoteText"/>
      </w:pPr>
      <w:r w:rsidRPr="006739ED">
        <w:rPr>
          <w:rStyle w:val="FootnoteReference"/>
        </w:rPr>
        <w:footnoteRef/>
      </w:r>
      <w:r w:rsidRPr="006739ED">
        <w:rPr>
          <w:vertAlign w:val="superscript"/>
        </w:rPr>
        <w:t xml:space="preserve"> </w:t>
      </w:r>
      <w:r w:rsidRPr="004D5FA3">
        <w:t xml:space="preserve">Fisher, Elliott et al. “Health Care Spending, Quality, and Outcomes.” The Dartmouth Institute for Health Policy and Clinical Practice. February 27, 2009. </w:t>
      </w:r>
      <w:hyperlink r:id="rId20" w:history="1">
        <w:r w:rsidRPr="004D5FA3">
          <w:rPr>
            <w:rStyle w:val="Hyperlink"/>
            <w:color w:val="auto"/>
            <w:u w:val="none"/>
          </w:rPr>
          <w:t>http://www.dartmouthatlas.org/downloads/reports/Spending_Brief_022709.pdf</w:t>
        </w:r>
      </w:hyperlink>
      <w:r w:rsidRPr="009E7A71">
        <w:t xml:space="preserve"> </w:t>
      </w:r>
    </w:p>
  </w:footnote>
  <w:footnote w:id="66">
    <w:p w14:paraId="117DC747" w14:textId="77777777" w:rsidR="00A12BD8" w:rsidRPr="004D5FA3" w:rsidRDefault="00A12BD8" w:rsidP="004D5FA3">
      <w:pPr>
        <w:pStyle w:val="FootnoteText"/>
      </w:pPr>
      <w:r w:rsidRPr="006739ED">
        <w:rPr>
          <w:rStyle w:val="FootnoteReference"/>
        </w:rPr>
        <w:footnoteRef/>
      </w:r>
      <w:r w:rsidRPr="006739ED">
        <w:rPr>
          <w:vertAlign w:val="superscript"/>
        </w:rPr>
        <w:t xml:space="preserve"> </w:t>
      </w:r>
      <w:r w:rsidRPr="004D5FA3">
        <w:t xml:space="preserve">Skinner, Jonathan et al. “A New Series of Medical Expenditure Measures by Hospital Referral Region: 2003-2008”. The Dartmouth Institute for Health Policy and Clinical Practice. June 21, 2011.  </w:t>
      </w:r>
      <w:hyperlink r:id="rId21" w:history="1">
        <w:r w:rsidRPr="004D5FA3">
          <w:rPr>
            <w:rStyle w:val="Hyperlink"/>
            <w:color w:val="auto"/>
            <w:u w:val="none"/>
          </w:rPr>
          <w:t>http://www.dartmouthatlas.org/downloads/reports/PA_Spending_Report_0611.pdf</w:t>
        </w:r>
      </w:hyperlink>
      <w:r w:rsidRPr="004D5FA3">
        <w:t xml:space="preserve"> </w:t>
      </w:r>
    </w:p>
  </w:footnote>
  <w:footnote w:id="67">
    <w:p w14:paraId="21529ADA" w14:textId="77777777" w:rsidR="00A12BD8" w:rsidRPr="009E7A71" w:rsidRDefault="00A12BD8" w:rsidP="004D5FA3">
      <w:pPr>
        <w:pStyle w:val="FootnoteText"/>
      </w:pPr>
      <w:r w:rsidRPr="006739ED">
        <w:rPr>
          <w:rStyle w:val="FootnoteReference"/>
        </w:rPr>
        <w:footnoteRef/>
      </w:r>
      <w:r w:rsidRPr="004D5FA3">
        <w:t xml:space="preserve"> Romley, John et al. “Spending and Mortality in US Acute Care Hospitals.” Am J Manag Care. 2013;19(2):e46-e54</w:t>
      </w:r>
      <w:r w:rsidRPr="009E7A7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A12BD8" w:rsidRPr="00105D8B" w:rsidRDefault="00A12BD8"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37E3E3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3B2DCF"/>
    <w:multiLevelType w:val="hybridMultilevel"/>
    <w:tmpl w:val="42260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A66EF"/>
    <w:multiLevelType w:val="hybridMultilevel"/>
    <w:tmpl w:val="74D0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F21EC"/>
    <w:multiLevelType w:val="hybridMultilevel"/>
    <w:tmpl w:val="6F78F086"/>
    <w:lvl w:ilvl="0" w:tplc="D23A8C8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A39EC"/>
    <w:multiLevelType w:val="hybridMultilevel"/>
    <w:tmpl w:val="BE647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E044D"/>
    <w:multiLevelType w:val="hybridMultilevel"/>
    <w:tmpl w:val="7E5AB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C0D13"/>
    <w:multiLevelType w:val="hybridMultilevel"/>
    <w:tmpl w:val="67082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646AF7"/>
    <w:multiLevelType w:val="hybridMultilevel"/>
    <w:tmpl w:val="972AB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3F6EF2"/>
    <w:multiLevelType w:val="hybridMultilevel"/>
    <w:tmpl w:val="376C8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425E7F"/>
    <w:multiLevelType w:val="hybridMultilevel"/>
    <w:tmpl w:val="15303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213C8"/>
    <w:multiLevelType w:val="hybridMultilevel"/>
    <w:tmpl w:val="38CC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98699C"/>
    <w:multiLevelType w:val="hybridMultilevel"/>
    <w:tmpl w:val="9DA42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336038"/>
    <w:multiLevelType w:val="hybridMultilevel"/>
    <w:tmpl w:val="692C1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90DD1"/>
    <w:multiLevelType w:val="hybridMultilevel"/>
    <w:tmpl w:val="64602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47418"/>
    <w:multiLevelType w:val="hybridMultilevel"/>
    <w:tmpl w:val="74569E34"/>
    <w:lvl w:ilvl="0" w:tplc="74D2149C">
      <w:start w:val="1"/>
      <w:numFmt w:val="decimal"/>
      <w:lvlText w:val="%1."/>
      <w:lvlJc w:val="left"/>
      <w:pPr>
        <w:ind w:left="1080" w:hanging="360"/>
      </w:pPr>
      <w:rPr>
        <w:rFonts w:eastAsiaTheme="minorHAnsi" w:hint="default"/>
        <w:b w:val="0"/>
        <w:i/>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261632"/>
    <w:multiLevelType w:val="hybridMultilevel"/>
    <w:tmpl w:val="3DE01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B40CB"/>
    <w:multiLevelType w:val="hybridMultilevel"/>
    <w:tmpl w:val="9F423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14A3D"/>
    <w:multiLevelType w:val="hybridMultilevel"/>
    <w:tmpl w:val="878ED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9B0A37"/>
    <w:multiLevelType w:val="hybridMultilevel"/>
    <w:tmpl w:val="B3EE44AA"/>
    <w:lvl w:ilvl="0" w:tplc="BF887B8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424FC6"/>
    <w:multiLevelType w:val="hybridMultilevel"/>
    <w:tmpl w:val="90081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9"/>
  </w:num>
  <w:num w:numId="3">
    <w:abstractNumId w:val="0"/>
  </w:num>
  <w:num w:numId="4">
    <w:abstractNumId w:val="15"/>
  </w:num>
  <w:num w:numId="5">
    <w:abstractNumId w:val="8"/>
  </w:num>
  <w:num w:numId="6">
    <w:abstractNumId w:val="14"/>
  </w:num>
  <w:num w:numId="7">
    <w:abstractNumId w:val="16"/>
  </w:num>
  <w:num w:numId="8">
    <w:abstractNumId w:val="21"/>
  </w:num>
  <w:num w:numId="9">
    <w:abstractNumId w:val="4"/>
  </w:num>
  <w:num w:numId="10">
    <w:abstractNumId w:val="13"/>
  </w:num>
  <w:num w:numId="11">
    <w:abstractNumId w:val="12"/>
  </w:num>
  <w:num w:numId="12">
    <w:abstractNumId w:val="18"/>
  </w:num>
  <w:num w:numId="13">
    <w:abstractNumId w:val="9"/>
  </w:num>
  <w:num w:numId="14">
    <w:abstractNumId w:val="11"/>
  </w:num>
  <w:num w:numId="15">
    <w:abstractNumId w:val="2"/>
  </w:num>
  <w:num w:numId="16">
    <w:abstractNumId w:val="20"/>
  </w:num>
  <w:num w:numId="17">
    <w:abstractNumId w:val="6"/>
  </w:num>
  <w:num w:numId="18">
    <w:abstractNumId w:val="5"/>
  </w:num>
  <w:num w:numId="19">
    <w:abstractNumId w:val="3"/>
  </w:num>
  <w:num w:numId="20">
    <w:abstractNumId w:val="17"/>
  </w:num>
  <w:num w:numId="21">
    <w:abstractNumId w:val="10"/>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mailMerge>
    <w:mainDocumentType w:val="formLetters"/>
    <w:dataType w:val="textFile"/>
    <w:activeRecord w:val="-1"/>
  </w:mailMerge>
  <w:trackRevisions/>
  <w:defaultTabStop w:val="720"/>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s>
  <w:rsids>
    <w:rsidRoot w:val="008A403A"/>
    <w:rsid w:val="000002D0"/>
    <w:rsid w:val="00001D73"/>
    <w:rsid w:val="00003469"/>
    <w:rsid w:val="00003D57"/>
    <w:rsid w:val="00005B40"/>
    <w:rsid w:val="00005D15"/>
    <w:rsid w:val="000076C8"/>
    <w:rsid w:val="00007F5F"/>
    <w:rsid w:val="0001094F"/>
    <w:rsid w:val="00013CE5"/>
    <w:rsid w:val="0001440F"/>
    <w:rsid w:val="0001515C"/>
    <w:rsid w:val="00017873"/>
    <w:rsid w:val="00021170"/>
    <w:rsid w:val="0002128B"/>
    <w:rsid w:val="00021EF2"/>
    <w:rsid w:val="0002326A"/>
    <w:rsid w:val="0002351A"/>
    <w:rsid w:val="00023FA4"/>
    <w:rsid w:val="00024DFD"/>
    <w:rsid w:val="00025BBE"/>
    <w:rsid w:val="000263D9"/>
    <w:rsid w:val="00027658"/>
    <w:rsid w:val="00027AB8"/>
    <w:rsid w:val="00027EE5"/>
    <w:rsid w:val="00030462"/>
    <w:rsid w:val="000309DD"/>
    <w:rsid w:val="000311FE"/>
    <w:rsid w:val="00031414"/>
    <w:rsid w:val="0003295D"/>
    <w:rsid w:val="00033038"/>
    <w:rsid w:val="000339AD"/>
    <w:rsid w:val="00033B4D"/>
    <w:rsid w:val="00033D63"/>
    <w:rsid w:val="0003436F"/>
    <w:rsid w:val="000370D7"/>
    <w:rsid w:val="00040DA0"/>
    <w:rsid w:val="00041221"/>
    <w:rsid w:val="00041324"/>
    <w:rsid w:val="000414E8"/>
    <w:rsid w:val="00041B68"/>
    <w:rsid w:val="000426CC"/>
    <w:rsid w:val="0004379F"/>
    <w:rsid w:val="0004556B"/>
    <w:rsid w:val="0004593A"/>
    <w:rsid w:val="00046764"/>
    <w:rsid w:val="00047193"/>
    <w:rsid w:val="000472D6"/>
    <w:rsid w:val="00047BD6"/>
    <w:rsid w:val="00050A3E"/>
    <w:rsid w:val="00052A6F"/>
    <w:rsid w:val="00053C90"/>
    <w:rsid w:val="00053F02"/>
    <w:rsid w:val="000557B2"/>
    <w:rsid w:val="00055B20"/>
    <w:rsid w:val="00055F2D"/>
    <w:rsid w:val="0005612B"/>
    <w:rsid w:val="00056721"/>
    <w:rsid w:val="000574AB"/>
    <w:rsid w:val="0006147A"/>
    <w:rsid w:val="0006234F"/>
    <w:rsid w:val="0006245D"/>
    <w:rsid w:val="000639D0"/>
    <w:rsid w:val="00063AF5"/>
    <w:rsid w:val="00064B02"/>
    <w:rsid w:val="00065B80"/>
    <w:rsid w:val="000663DC"/>
    <w:rsid w:val="00067CA3"/>
    <w:rsid w:val="00067E05"/>
    <w:rsid w:val="00070E86"/>
    <w:rsid w:val="00071DEB"/>
    <w:rsid w:val="00071F80"/>
    <w:rsid w:val="000725A0"/>
    <w:rsid w:val="00072941"/>
    <w:rsid w:val="000745D9"/>
    <w:rsid w:val="000775F8"/>
    <w:rsid w:val="00080584"/>
    <w:rsid w:val="000806FE"/>
    <w:rsid w:val="00080819"/>
    <w:rsid w:val="00080CF7"/>
    <w:rsid w:val="000818C9"/>
    <w:rsid w:val="00083D14"/>
    <w:rsid w:val="000851B2"/>
    <w:rsid w:val="0008592B"/>
    <w:rsid w:val="000863A2"/>
    <w:rsid w:val="000868D8"/>
    <w:rsid w:val="00087629"/>
    <w:rsid w:val="00087DFE"/>
    <w:rsid w:val="000913CF"/>
    <w:rsid w:val="00092566"/>
    <w:rsid w:val="00093BD8"/>
    <w:rsid w:val="00093FCB"/>
    <w:rsid w:val="00094C72"/>
    <w:rsid w:val="0009533D"/>
    <w:rsid w:val="000955A0"/>
    <w:rsid w:val="00095948"/>
    <w:rsid w:val="000968F8"/>
    <w:rsid w:val="00097012"/>
    <w:rsid w:val="000A058F"/>
    <w:rsid w:val="000A1E1E"/>
    <w:rsid w:val="000A349F"/>
    <w:rsid w:val="000A5A5E"/>
    <w:rsid w:val="000B032A"/>
    <w:rsid w:val="000B06D1"/>
    <w:rsid w:val="000B12B1"/>
    <w:rsid w:val="000B22BF"/>
    <w:rsid w:val="000B2DF7"/>
    <w:rsid w:val="000B3880"/>
    <w:rsid w:val="000B3E16"/>
    <w:rsid w:val="000B7D57"/>
    <w:rsid w:val="000C036D"/>
    <w:rsid w:val="000C0FF8"/>
    <w:rsid w:val="000C1F1C"/>
    <w:rsid w:val="000C31A6"/>
    <w:rsid w:val="000C4A2D"/>
    <w:rsid w:val="000C4D44"/>
    <w:rsid w:val="000C5AEE"/>
    <w:rsid w:val="000C5E4E"/>
    <w:rsid w:val="000C65C1"/>
    <w:rsid w:val="000D2722"/>
    <w:rsid w:val="000D489F"/>
    <w:rsid w:val="000D53EB"/>
    <w:rsid w:val="000D69CD"/>
    <w:rsid w:val="000D7948"/>
    <w:rsid w:val="000D7C84"/>
    <w:rsid w:val="000E04FE"/>
    <w:rsid w:val="000E0C02"/>
    <w:rsid w:val="000E1168"/>
    <w:rsid w:val="000E1594"/>
    <w:rsid w:val="000E2575"/>
    <w:rsid w:val="000E2B11"/>
    <w:rsid w:val="000E36C2"/>
    <w:rsid w:val="000E4E13"/>
    <w:rsid w:val="000E6DA8"/>
    <w:rsid w:val="000E78F6"/>
    <w:rsid w:val="000F034A"/>
    <w:rsid w:val="000F06B5"/>
    <w:rsid w:val="000F08AF"/>
    <w:rsid w:val="000F1B7A"/>
    <w:rsid w:val="000F1C33"/>
    <w:rsid w:val="000F2111"/>
    <w:rsid w:val="000F39E9"/>
    <w:rsid w:val="000F3A63"/>
    <w:rsid w:val="000F4A20"/>
    <w:rsid w:val="000F58BD"/>
    <w:rsid w:val="00100CFD"/>
    <w:rsid w:val="001025F4"/>
    <w:rsid w:val="0010299E"/>
    <w:rsid w:val="001032D6"/>
    <w:rsid w:val="00103505"/>
    <w:rsid w:val="00104001"/>
    <w:rsid w:val="00104449"/>
    <w:rsid w:val="00104B45"/>
    <w:rsid w:val="00105D8B"/>
    <w:rsid w:val="001071C7"/>
    <w:rsid w:val="001133C4"/>
    <w:rsid w:val="0011342F"/>
    <w:rsid w:val="001139FE"/>
    <w:rsid w:val="00115267"/>
    <w:rsid w:val="0011618E"/>
    <w:rsid w:val="0011626C"/>
    <w:rsid w:val="00117145"/>
    <w:rsid w:val="001202E9"/>
    <w:rsid w:val="00120F6E"/>
    <w:rsid w:val="00121030"/>
    <w:rsid w:val="00121638"/>
    <w:rsid w:val="0012454F"/>
    <w:rsid w:val="001248AA"/>
    <w:rsid w:val="001250ED"/>
    <w:rsid w:val="00125273"/>
    <w:rsid w:val="0012575E"/>
    <w:rsid w:val="0012666A"/>
    <w:rsid w:val="00127C06"/>
    <w:rsid w:val="00132B53"/>
    <w:rsid w:val="00135D35"/>
    <w:rsid w:val="0014007D"/>
    <w:rsid w:val="00142FAD"/>
    <w:rsid w:val="00144694"/>
    <w:rsid w:val="00144A8B"/>
    <w:rsid w:val="00145149"/>
    <w:rsid w:val="00145D4F"/>
    <w:rsid w:val="00145F2F"/>
    <w:rsid w:val="001464F3"/>
    <w:rsid w:val="0014773C"/>
    <w:rsid w:val="00147BC4"/>
    <w:rsid w:val="00150CD0"/>
    <w:rsid w:val="00151625"/>
    <w:rsid w:val="00152111"/>
    <w:rsid w:val="00152332"/>
    <w:rsid w:val="0015323A"/>
    <w:rsid w:val="001552C8"/>
    <w:rsid w:val="00155794"/>
    <w:rsid w:val="00155D34"/>
    <w:rsid w:val="00156262"/>
    <w:rsid w:val="001563E8"/>
    <w:rsid w:val="00156BF3"/>
    <w:rsid w:val="00156FFD"/>
    <w:rsid w:val="001579FD"/>
    <w:rsid w:val="00160F95"/>
    <w:rsid w:val="00162539"/>
    <w:rsid w:val="00162E70"/>
    <w:rsid w:val="0016494A"/>
    <w:rsid w:val="00165DDF"/>
    <w:rsid w:val="00165F76"/>
    <w:rsid w:val="0017027C"/>
    <w:rsid w:val="0017040A"/>
    <w:rsid w:val="001705ED"/>
    <w:rsid w:val="00171DEB"/>
    <w:rsid w:val="00172E48"/>
    <w:rsid w:val="00174B04"/>
    <w:rsid w:val="001755E3"/>
    <w:rsid w:val="001761BF"/>
    <w:rsid w:val="001767C0"/>
    <w:rsid w:val="0017696D"/>
    <w:rsid w:val="00176982"/>
    <w:rsid w:val="00177003"/>
    <w:rsid w:val="001775F2"/>
    <w:rsid w:val="001824A8"/>
    <w:rsid w:val="00182D2F"/>
    <w:rsid w:val="0018368F"/>
    <w:rsid w:val="001838A9"/>
    <w:rsid w:val="00184700"/>
    <w:rsid w:val="001848FC"/>
    <w:rsid w:val="00184E00"/>
    <w:rsid w:val="0018695B"/>
    <w:rsid w:val="00187115"/>
    <w:rsid w:val="00187CF3"/>
    <w:rsid w:val="0019289D"/>
    <w:rsid w:val="00193F21"/>
    <w:rsid w:val="00194D96"/>
    <w:rsid w:val="00194F98"/>
    <w:rsid w:val="001969C5"/>
    <w:rsid w:val="00197317"/>
    <w:rsid w:val="001975E7"/>
    <w:rsid w:val="00197BF0"/>
    <w:rsid w:val="001A02C7"/>
    <w:rsid w:val="001A3BBA"/>
    <w:rsid w:val="001A3C1A"/>
    <w:rsid w:val="001A646F"/>
    <w:rsid w:val="001A6CDD"/>
    <w:rsid w:val="001B0D97"/>
    <w:rsid w:val="001B1A12"/>
    <w:rsid w:val="001B1D2D"/>
    <w:rsid w:val="001B277D"/>
    <w:rsid w:val="001B2A06"/>
    <w:rsid w:val="001B5128"/>
    <w:rsid w:val="001B5617"/>
    <w:rsid w:val="001B5AB9"/>
    <w:rsid w:val="001B7CB4"/>
    <w:rsid w:val="001C12EE"/>
    <w:rsid w:val="001C22AB"/>
    <w:rsid w:val="001C35BA"/>
    <w:rsid w:val="001C7B02"/>
    <w:rsid w:val="001D0DE3"/>
    <w:rsid w:val="001D1FDD"/>
    <w:rsid w:val="001D2C9A"/>
    <w:rsid w:val="001D4AF5"/>
    <w:rsid w:val="001D52E1"/>
    <w:rsid w:val="001D6FB6"/>
    <w:rsid w:val="001D744F"/>
    <w:rsid w:val="001E05E3"/>
    <w:rsid w:val="001E097F"/>
    <w:rsid w:val="001E1C10"/>
    <w:rsid w:val="001E3680"/>
    <w:rsid w:val="001E4DD4"/>
    <w:rsid w:val="001E541A"/>
    <w:rsid w:val="001E5A26"/>
    <w:rsid w:val="001E69DC"/>
    <w:rsid w:val="001E782D"/>
    <w:rsid w:val="001E7C69"/>
    <w:rsid w:val="001F169D"/>
    <w:rsid w:val="001F1935"/>
    <w:rsid w:val="001F1DA1"/>
    <w:rsid w:val="001F273F"/>
    <w:rsid w:val="001F2FD3"/>
    <w:rsid w:val="001F369C"/>
    <w:rsid w:val="001F39D9"/>
    <w:rsid w:val="001F433B"/>
    <w:rsid w:val="001F4ABD"/>
    <w:rsid w:val="001F6F93"/>
    <w:rsid w:val="001F734B"/>
    <w:rsid w:val="001F7A20"/>
    <w:rsid w:val="00201924"/>
    <w:rsid w:val="00202E1D"/>
    <w:rsid w:val="00205FC8"/>
    <w:rsid w:val="0020601D"/>
    <w:rsid w:val="00207B36"/>
    <w:rsid w:val="0021054A"/>
    <w:rsid w:val="00210A6A"/>
    <w:rsid w:val="0021195A"/>
    <w:rsid w:val="00213383"/>
    <w:rsid w:val="00215903"/>
    <w:rsid w:val="0021601E"/>
    <w:rsid w:val="00217275"/>
    <w:rsid w:val="00217ACB"/>
    <w:rsid w:val="00220250"/>
    <w:rsid w:val="00222444"/>
    <w:rsid w:val="0022691B"/>
    <w:rsid w:val="00226E47"/>
    <w:rsid w:val="00232163"/>
    <w:rsid w:val="002333B9"/>
    <w:rsid w:val="00236C1A"/>
    <w:rsid w:val="002376F8"/>
    <w:rsid w:val="00237EF7"/>
    <w:rsid w:val="002408E4"/>
    <w:rsid w:val="00241591"/>
    <w:rsid w:val="00241EEE"/>
    <w:rsid w:val="00243CDF"/>
    <w:rsid w:val="00246D41"/>
    <w:rsid w:val="00250B4F"/>
    <w:rsid w:val="002527CE"/>
    <w:rsid w:val="00253FEF"/>
    <w:rsid w:val="002546E5"/>
    <w:rsid w:val="00254894"/>
    <w:rsid w:val="00254EA6"/>
    <w:rsid w:val="00255B16"/>
    <w:rsid w:val="0025719F"/>
    <w:rsid w:val="0025762F"/>
    <w:rsid w:val="00261738"/>
    <w:rsid w:val="0026220F"/>
    <w:rsid w:val="002632E7"/>
    <w:rsid w:val="002634BA"/>
    <w:rsid w:val="00264BC3"/>
    <w:rsid w:val="00264D09"/>
    <w:rsid w:val="0026544C"/>
    <w:rsid w:val="00265A76"/>
    <w:rsid w:val="00266733"/>
    <w:rsid w:val="00270F90"/>
    <w:rsid w:val="00275563"/>
    <w:rsid w:val="0027594B"/>
    <w:rsid w:val="0028114D"/>
    <w:rsid w:val="00281813"/>
    <w:rsid w:val="0028292B"/>
    <w:rsid w:val="00282C6B"/>
    <w:rsid w:val="002856AC"/>
    <w:rsid w:val="00285BEC"/>
    <w:rsid w:val="00287649"/>
    <w:rsid w:val="00287E84"/>
    <w:rsid w:val="00290BE0"/>
    <w:rsid w:val="002920B8"/>
    <w:rsid w:val="0029286C"/>
    <w:rsid w:val="0029300E"/>
    <w:rsid w:val="002935E1"/>
    <w:rsid w:val="00293E5B"/>
    <w:rsid w:val="00294120"/>
    <w:rsid w:val="00294EFB"/>
    <w:rsid w:val="00295755"/>
    <w:rsid w:val="002A1C52"/>
    <w:rsid w:val="002A211A"/>
    <w:rsid w:val="002A3702"/>
    <w:rsid w:val="002A625D"/>
    <w:rsid w:val="002A6D4C"/>
    <w:rsid w:val="002B0C3A"/>
    <w:rsid w:val="002B125C"/>
    <w:rsid w:val="002B2116"/>
    <w:rsid w:val="002B2D9B"/>
    <w:rsid w:val="002B5016"/>
    <w:rsid w:val="002B5AEC"/>
    <w:rsid w:val="002B69C6"/>
    <w:rsid w:val="002B742C"/>
    <w:rsid w:val="002B7F4D"/>
    <w:rsid w:val="002C1ECE"/>
    <w:rsid w:val="002C2398"/>
    <w:rsid w:val="002C2436"/>
    <w:rsid w:val="002C272A"/>
    <w:rsid w:val="002C285C"/>
    <w:rsid w:val="002C7BE4"/>
    <w:rsid w:val="002D01B6"/>
    <w:rsid w:val="002D19CD"/>
    <w:rsid w:val="002D3C24"/>
    <w:rsid w:val="002D417D"/>
    <w:rsid w:val="002D4C4D"/>
    <w:rsid w:val="002D5E5D"/>
    <w:rsid w:val="002D7022"/>
    <w:rsid w:val="002D71DC"/>
    <w:rsid w:val="002E182C"/>
    <w:rsid w:val="002E31E8"/>
    <w:rsid w:val="002E4148"/>
    <w:rsid w:val="002E5217"/>
    <w:rsid w:val="002E55DE"/>
    <w:rsid w:val="002E676F"/>
    <w:rsid w:val="002E692C"/>
    <w:rsid w:val="002E6E16"/>
    <w:rsid w:val="002E7577"/>
    <w:rsid w:val="002E78A0"/>
    <w:rsid w:val="002F2687"/>
    <w:rsid w:val="002F48E1"/>
    <w:rsid w:val="002F4F3B"/>
    <w:rsid w:val="002F6EE8"/>
    <w:rsid w:val="002F7107"/>
    <w:rsid w:val="003015CA"/>
    <w:rsid w:val="00302BDC"/>
    <w:rsid w:val="00302E3D"/>
    <w:rsid w:val="00304BB1"/>
    <w:rsid w:val="00304C86"/>
    <w:rsid w:val="003059EB"/>
    <w:rsid w:val="00307EE7"/>
    <w:rsid w:val="00310253"/>
    <w:rsid w:val="00311134"/>
    <w:rsid w:val="003114CF"/>
    <w:rsid w:val="003116AC"/>
    <w:rsid w:val="00312187"/>
    <w:rsid w:val="00313104"/>
    <w:rsid w:val="00314A2B"/>
    <w:rsid w:val="00315567"/>
    <w:rsid w:val="00317C1C"/>
    <w:rsid w:val="00320831"/>
    <w:rsid w:val="00321172"/>
    <w:rsid w:val="00322239"/>
    <w:rsid w:val="00322DF2"/>
    <w:rsid w:val="00322F23"/>
    <w:rsid w:val="003241C9"/>
    <w:rsid w:val="00330144"/>
    <w:rsid w:val="003302E0"/>
    <w:rsid w:val="0033107F"/>
    <w:rsid w:val="00332DA6"/>
    <w:rsid w:val="00334329"/>
    <w:rsid w:val="00334E8D"/>
    <w:rsid w:val="003409E8"/>
    <w:rsid w:val="00341E82"/>
    <w:rsid w:val="00342009"/>
    <w:rsid w:val="00344F91"/>
    <w:rsid w:val="00345038"/>
    <w:rsid w:val="00345CBA"/>
    <w:rsid w:val="00346245"/>
    <w:rsid w:val="00346A6A"/>
    <w:rsid w:val="003472DB"/>
    <w:rsid w:val="003521B0"/>
    <w:rsid w:val="003538E8"/>
    <w:rsid w:val="00353A34"/>
    <w:rsid w:val="0035452D"/>
    <w:rsid w:val="0035541A"/>
    <w:rsid w:val="00355B07"/>
    <w:rsid w:val="00356267"/>
    <w:rsid w:val="00356407"/>
    <w:rsid w:val="00356BAD"/>
    <w:rsid w:val="00356CEB"/>
    <w:rsid w:val="00357E9A"/>
    <w:rsid w:val="003605B4"/>
    <w:rsid w:val="003625B6"/>
    <w:rsid w:val="003627AC"/>
    <w:rsid w:val="003648D8"/>
    <w:rsid w:val="00364D72"/>
    <w:rsid w:val="00365922"/>
    <w:rsid w:val="00365B84"/>
    <w:rsid w:val="00366914"/>
    <w:rsid w:val="003669EC"/>
    <w:rsid w:val="00366B49"/>
    <w:rsid w:val="0037022C"/>
    <w:rsid w:val="00372FE3"/>
    <w:rsid w:val="0037350F"/>
    <w:rsid w:val="00373788"/>
    <w:rsid w:val="0037388B"/>
    <w:rsid w:val="003747E9"/>
    <w:rsid w:val="00375058"/>
    <w:rsid w:val="003755CB"/>
    <w:rsid w:val="003759AE"/>
    <w:rsid w:val="00381811"/>
    <w:rsid w:val="0038256D"/>
    <w:rsid w:val="003827E8"/>
    <w:rsid w:val="003831EE"/>
    <w:rsid w:val="00383A94"/>
    <w:rsid w:val="00383F85"/>
    <w:rsid w:val="00384E5A"/>
    <w:rsid w:val="00385C6A"/>
    <w:rsid w:val="00385DC9"/>
    <w:rsid w:val="003876B1"/>
    <w:rsid w:val="00387BA1"/>
    <w:rsid w:val="00390EDF"/>
    <w:rsid w:val="00392D55"/>
    <w:rsid w:val="00393E3A"/>
    <w:rsid w:val="00395691"/>
    <w:rsid w:val="003A306C"/>
    <w:rsid w:val="003A5D1A"/>
    <w:rsid w:val="003A7DE7"/>
    <w:rsid w:val="003B0216"/>
    <w:rsid w:val="003B1006"/>
    <w:rsid w:val="003B2AE0"/>
    <w:rsid w:val="003B3671"/>
    <w:rsid w:val="003B526C"/>
    <w:rsid w:val="003B675B"/>
    <w:rsid w:val="003B73A8"/>
    <w:rsid w:val="003B7BB0"/>
    <w:rsid w:val="003B7D78"/>
    <w:rsid w:val="003C01F1"/>
    <w:rsid w:val="003C320A"/>
    <w:rsid w:val="003C58A3"/>
    <w:rsid w:val="003C5F11"/>
    <w:rsid w:val="003C60E4"/>
    <w:rsid w:val="003C6574"/>
    <w:rsid w:val="003C7E35"/>
    <w:rsid w:val="003D11EA"/>
    <w:rsid w:val="003D1477"/>
    <w:rsid w:val="003D1D85"/>
    <w:rsid w:val="003D294B"/>
    <w:rsid w:val="003D3F66"/>
    <w:rsid w:val="003D6401"/>
    <w:rsid w:val="003D76F9"/>
    <w:rsid w:val="003E1863"/>
    <w:rsid w:val="003E34CE"/>
    <w:rsid w:val="003E3870"/>
    <w:rsid w:val="003E4D91"/>
    <w:rsid w:val="003E5577"/>
    <w:rsid w:val="003E5A5B"/>
    <w:rsid w:val="003E5B52"/>
    <w:rsid w:val="003E5DEA"/>
    <w:rsid w:val="003E73E8"/>
    <w:rsid w:val="003F25C5"/>
    <w:rsid w:val="003F2FC1"/>
    <w:rsid w:val="003F315F"/>
    <w:rsid w:val="003F3B8A"/>
    <w:rsid w:val="003F5021"/>
    <w:rsid w:val="003F6613"/>
    <w:rsid w:val="003F7F6B"/>
    <w:rsid w:val="0040013C"/>
    <w:rsid w:val="00401B34"/>
    <w:rsid w:val="00402A2B"/>
    <w:rsid w:val="00402FC2"/>
    <w:rsid w:val="00403210"/>
    <w:rsid w:val="0040413D"/>
    <w:rsid w:val="00405193"/>
    <w:rsid w:val="00406678"/>
    <w:rsid w:val="004101D7"/>
    <w:rsid w:val="004101F8"/>
    <w:rsid w:val="004124DE"/>
    <w:rsid w:val="004136C4"/>
    <w:rsid w:val="00414CF6"/>
    <w:rsid w:val="0041606D"/>
    <w:rsid w:val="00416962"/>
    <w:rsid w:val="00417389"/>
    <w:rsid w:val="00417CC8"/>
    <w:rsid w:val="004206A8"/>
    <w:rsid w:val="00420DDB"/>
    <w:rsid w:val="004238A3"/>
    <w:rsid w:val="00424881"/>
    <w:rsid w:val="00426A84"/>
    <w:rsid w:val="00426F20"/>
    <w:rsid w:val="00427FAA"/>
    <w:rsid w:val="0043399D"/>
    <w:rsid w:val="0043437B"/>
    <w:rsid w:val="004348BD"/>
    <w:rsid w:val="004348CC"/>
    <w:rsid w:val="004402C0"/>
    <w:rsid w:val="00440C63"/>
    <w:rsid w:val="00443057"/>
    <w:rsid w:val="00444336"/>
    <w:rsid w:val="00444C04"/>
    <w:rsid w:val="00446953"/>
    <w:rsid w:val="00446C12"/>
    <w:rsid w:val="00447B6D"/>
    <w:rsid w:val="00450C58"/>
    <w:rsid w:val="00451401"/>
    <w:rsid w:val="00452062"/>
    <w:rsid w:val="004520CE"/>
    <w:rsid w:val="0045317E"/>
    <w:rsid w:val="00453FBC"/>
    <w:rsid w:val="00455B13"/>
    <w:rsid w:val="0046071B"/>
    <w:rsid w:val="00460A8E"/>
    <w:rsid w:val="0046138D"/>
    <w:rsid w:val="00461ED8"/>
    <w:rsid w:val="004658FF"/>
    <w:rsid w:val="00474628"/>
    <w:rsid w:val="00474D88"/>
    <w:rsid w:val="00474DA3"/>
    <w:rsid w:val="00474ED7"/>
    <w:rsid w:val="004756E1"/>
    <w:rsid w:val="00475AAA"/>
    <w:rsid w:val="00476C86"/>
    <w:rsid w:val="0047776E"/>
    <w:rsid w:val="0048008A"/>
    <w:rsid w:val="00480D61"/>
    <w:rsid w:val="00481A3A"/>
    <w:rsid w:val="00482087"/>
    <w:rsid w:val="0048271D"/>
    <w:rsid w:val="00483E94"/>
    <w:rsid w:val="00484120"/>
    <w:rsid w:val="00484A33"/>
    <w:rsid w:val="00484A66"/>
    <w:rsid w:val="004853A0"/>
    <w:rsid w:val="00485529"/>
    <w:rsid w:val="00485DDC"/>
    <w:rsid w:val="00496B5F"/>
    <w:rsid w:val="004A0A7D"/>
    <w:rsid w:val="004A222B"/>
    <w:rsid w:val="004A2D53"/>
    <w:rsid w:val="004A2E10"/>
    <w:rsid w:val="004A3229"/>
    <w:rsid w:val="004A39EF"/>
    <w:rsid w:val="004A63F5"/>
    <w:rsid w:val="004A6745"/>
    <w:rsid w:val="004A6CA2"/>
    <w:rsid w:val="004B17FF"/>
    <w:rsid w:val="004B1BA0"/>
    <w:rsid w:val="004B5133"/>
    <w:rsid w:val="004B5B59"/>
    <w:rsid w:val="004B6B60"/>
    <w:rsid w:val="004B6CEE"/>
    <w:rsid w:val="004C0090"/>
    <w:rsid w:val="004C14F2"/>
    <w:rsid w:val="004C19F9"/>
    <w:rsid w:val="004C2443"/>
    <w:rsid w:val="004C2A5E"/>
    <w:rsid w:val="004C3588"/>
    <w:rsid w:val="004C358F"/>
    <w:rsid w:val="004C3599"/>
    <w:rsid w:val="004C35AE"/>
    <w:rsid w:val="004C3790"/>
    <w:rsid w:val="004C39A2"/>
    <w:rsid w:val="004C498F"/>
    <w:rsid w:val="004C49FA"/>
    <w:rsid w:val="004C56AE"/>
    <w:rsid w:val="004C58AD"/>
    <w:rsid w:val="004C5C9D"/>
    <w:rsid w:val="004C5D29"/>
    <w:rsid w:val="004C6205"/>
    <w:rsid w:val="004C6783"/>
    <w:rsid w:val="004C681A"/>
    <w:rsid w:val="004D0CA8"/>
    <w:rsid w:val="004D45D6"/>
    <w:rsid w:val="004D4C32"/>
    <w:rsid w:val="004D4D8A"/>
    <w:rsid w:val="004D5FA3"/>
    <w:rsid w:val="004E2373"/>
    <w:rsid w:val="004E4E38"/>
    <w:rsid w:val="004E5250"/>
    <w:rsid w:val="004F0ABE"/>
    <w:rsid w:val="004F191E"/>
    <w:rsid w:val="004F2B7E"/>
    <w:rsid w:val="004F4613"/>
    <w:rsid w:val="004F495A"/>
    <w:rsid w:val="004F4AE9"/>
    <w:rsid w:val="004F5E61"/>
    <w:rsid w:val="004F6555"/>
    <w:rsid w:val="004F68AD"/>
    <w:rsid w:val="004F68EE"/>
    <w:rsid w:val="005008A1"/>
    <w:rsid w:val="005010BD"/>
    <w:rsid w:val="005038D5"/>
    <w:rsid w:val="00504C3E"/>
    <w:rsid w:val="00506E55"/>
    <w:rsid w:val="00510B36"/>
    <w:rsid w:val="00511BA4"/>
    <w:rsid w:val="00511EC5"/>
    <w:rsid w:val="00512018"/>
    <w:rsid w:val="00512CB4"/>
    <w:rsid w:val="005143CA"/>
    <w:rsid w:val="005149E7"/>
    <w:rsid w:val="005176BD"/>
    <w:rsid w:val="00517792"/>
    <w:rsid w:val="0052166A"/>
    <w:rsid w:val="005225B5"/>
    <w:rsid w:val="005232D6"/>
    <w:rsid w:val="00524C81"/>
    <w:rsid w:val="0052523D"/>
    <w:rsid w:val="00527F96"/>
    <w:rsid w:val="005305D6"/>
    <w:rsid w:val="00531010"/>
    <w:rsid w:val="0053241A"/>
    <w:rsid w:val="00532FDD"/>
    <w:rsid w:val="005333CC"/>
    <w:rsid w:val="00534548"/>
    <w:rsid w:val="00534EC4"/>
    <w:rsid w:val="0053550B"/>
    <w:rsid w:val="005363F1"/>
    <w:rsid w:val="005368A4"/>
    <w:rsid w:val="00536E32"/>
    <w:rsid w:val="00537C1B"/>
    <w:rsid w:val="00537CFA"/>
    <w:rsid w:val="0054413E"/>
    <w:rsid w:val="00544D70"/>
    <w:rsid w:val="0055007C"/>
    <w:rsid w:val="00551347"/>
    <w:rsid w:val="00553EE7"/>
    <w:rsid w:val="00554922"/>
    <w:rsid w:val="00555282"/>
    <w:rsid w:val="005560E7"/>
    <w:rsid w:val="00556F41"/>
    <w:rsid w:val="005606C8"/>
    <w:rsid w:val="0056084E"/>
    <w:rsid w:val="00560E2C"/>
    <w:rsid w:val="005612CC"/>
    <w:rsid w:val="00562E84"/>
    <w:rsid w:val="00563029"/>
    <w:rsid w:val="005635A2"/>
    <w:rsid w:val="005642FF"/>
    <w:rsid w:val="00565362"/>
    <w:rsid w:val="00565946"/>
    <w:rsid w:val="00567D12"/>
    <w:rsid w:val="005711BC"/>
    <w:rsid w:val="0057262D"/>
    <w:rsid w:val="00572998"/>
    <w:rsid w:val="00573D8E"/>
    <w:rsid w:val="00574741"/>
    <w:rsid w:val="00574979"/>
    <w:rsid w:val="00576062"/>
    <w:rsid w:val="005761B5"/>
    <w:rsid w:val="005773B9"/>
    <w:rsid w:val="00577AD8"/>
    <w:rsid w:val="0058003D"/>
    <w:rsid w:val="0058139C"/>
    <w:rsid w:val="00584301"/>
    <w:rsid w:val="00585670"/>
    <w:rsid w:val="005858C6"/>
    <w:rsid w:val="00590E46"/>
    <w:rsid w:val="00591BE2"/>
    <w:rsid w:val="00592D77"/>
    <w:rsid w:val="00593A58"/>
    <w:rsid w:val="00594C82"/>
    <w:rsid w:val="0059559F"/>
    <w:rsid w:val="00597519"/>
    <w:rsid w:val="005A15FD"/>
    <w:rsid w:val="005A296E"/>
    <w:rsid w:val="005A368B"/>
    <w:rsid w:val="005A3A00"/>
    <w:rsid w:val="005A49FF"/>
    <w:rsid w:val="005A4FC0"/>
    <w:rsid w:val="005A57EB"/>
    <w:rsid w:val="005A5E77"/>
    <w:rsid w:val="005A7634"/>
    <w:rsid w:val="005A7B54"/>
    <w:rsid w:val="005B189D"/>
    <w:rsid w:val="005B5655"/>
    <w:rsid w:val="005B6CFD"/>
    <w:rsid w:val="005B6F04"/>
    <w:rsid w:val="005B7B96"/>
    <w:rsid w:val="005B7F12"/>
    <w:rsid w:val="005C0447"/>
    <w:rsid w:val="005C15E5"/>
    <w:rsid w:val="005C1FC5"/>
    <w:rsid w:val="005C2297"/>
    <w:rsid w:val="005C2B45"/>
    <w:rsid w:val="005C49F6"/>
    <w:rsid w:val="005C739F"/>
    <w:rsid w:val="005C73CA"/>
    <w:rsid w:val="005C7601"/>
    <w:rsid w:val="005C784A"/>
    <w:rsid w:val="005C7ED5"/>
    <w:rsid w:val="005D09EB"/>
    <w:rsid w:val="005D18D8"/>
    <w:rsid w:val="005D3655"/>
    <w:rsid w:val="005D3B83"/>
    <w:rsid w:val="005D4768"/>
    <w:rsid w:val="005D5216"/>
    <w:rsid w:val="005D5AD5"/>
    <w:rsid w:val="005E139B"/>
    <w:rsid w:val="005E2CAB"/>
    <w:rsid w:val="005E429E"/>
    <w:rsid w:val="005E507F"/>
    <w:rsid w:val="005E7549"/>
    <w:rsid w:val="005E75B7"/>
    <w:rsid w:val="005E7F70"/>
    <w:rsid w:val="005F3873"/>
    <w:rsid w:val="005F4BD0"/>
    <w:rsid w:val="005F5491"/>
    <w:rsid w:val="005F57DA"/>
    <w:rsid w:val="005F676A"/>
    <w:rsid w:val="005F6D90"/>
    <w:rsid w:val="00600279"/>
    <w:rsid w:val="0060034F"/>
    <w:rsid w:val="00601ED4"/>
    <w:rsid w:val="006030BC"/>
    <w:rsid w:val="0060509E"/>
    <w:rsid w:val="00611BC6"/>
    <w:rsid w:val="00612866"/>
    <w:rsid w:val="00613B5F"/>
    <w:rsid w:val="00616EB5"/>
    <w:rsid w:val="00616FEF"/>
    <w:rsid w:val="00617180"/>
    <w:rsid w:val="00620B4E"/>
    <w:rsid w:val="00621F8D"/>
    <w:rsid w:val="006247F4"/>
    <w:rsid w:val="0062507A"/>
    <w:rsid w:val="006269D4"/>
    <w:rsid w:val="00627DD8"/>
    <w:rsid w:val="006317F4"/>
    <w:rsid w:val="006327D8"/>
    <w:rsid w:val="00633BE4"/>
    <w:rsid w:val="00633C20"/>
    <w:rsid w:val="0063495E"/>
    <w:rsid w:val="006362A4"/>
    <w:rsid w:val="0063679C"/>
    <w:rsid w:val="00637561"/>
    <w:rsid w:val="00637DC6"/>
    <w:rsid w:val="0064070A"/>
    <w:rsid w:val="00641069"/>
    <w:rsid w:val="006417DC"/>
    <w:rsid w:val="0064221B"/>
    <w:rsid w:val="006427A3"/>
    <w:rsid w:val="00643A01"/>
    <w:rsid w:val="00644614"/>
    <w:rsid w:val="00644AC6"/>
    <w:rsid w:val="0064766C"/>
    <w:rsid w:val="00651D44"/>
    <w:rsid w:val="006531A9"/>
    <w:rsid w:val="00655604"/>
    <w:rsid w:val="006574D2"/>
    <w:rsid w:val="00663563"/>
    <w:rsid w:val="0066387B"/>
    <w:rsid w:val="00664A85"/>
    <w:rsid w:val="00665430"/>
    <w:rsid w:val="006663BE"/>
    <w:rsid w:val="006666CB"/>
    <w:rsid w:val="00666D77"/>
    <w:rsid w:val="006676D4"/>
    <w:rsid w:val="00670B76"/>
    <w:rsid w:val="00670F8E"/>
    <w:rsid w:val="006739ED"/>
    <w:rsid w:val="006746DE"/>
    <w:rsid w:val="00675535"/>
    <w:rsid w:val="006755C9"/>
    <w:rsid w:val="00680BC4"/>
    <w:rsid w:val="00681359"/>
    <w:rsid w:val="00683667"/>
    <w:rsid w:val="0068496C"/>
    <w:rsid w:val="00686C53"/>
    <w:rsid w:val="00687326"/>
    <w:rsid w:val="00691435"/>
    <w:rsid w:val="0069157C"/>
    <w:rsid w:val="00691DD9"/>
    <w:rsid w:val="006927BF"/>
    <w:rsid w:val="00694CEF"/>
    <w:rsid w:val="00696262"/>
    <w:rsid w:val="006966FA"/>
    <w:rsid w:val="006A5822"/>
    <w:rsid w:val="006A6B1C"/>
    <w:rsid w:val="006B091E"/>
    <w:rsid w:val="006B484B"/>
    <w:rsid w:val="006B5058"/>
    <w:rsid w:val="006B604F"/>
    <w:rsid w:val="006B7D8E"/>
    <w:rsid w:val="006C0813"/>
    <w:rsid w:val="006C0DD2"/>
    <w:rsid w:val="006C207C"/>
    <w:rsid w:val="006C3007"/>
    <w:rsid w:val="006C3944"/>
    <w:rsid w:val="006C3A4F"/>
    <w:rsid w:val="006C4845"/>
    <w:rsid w:val="006C4E4B"/>
    <w:rsid w:val="006C5AF4"/>
    <w:rsid w:val="006C683E"/>
    <w:rsid w:val="006D0F8C"/>
    <w:rsid w:val="006D16E3"/>
    <w:rsid w:val="006D5EF9"/>
    <w:rsid w:val="006D6653"/>
    <w:rsid w:val="006D66F5"/>
    <w:rsid w:val="006D6BC1"/>
    <w:rsid w:val="006D7207"/>
    <w:rsid w:val="006E2426"/>
    <w:rsid w:val="006E2BFC"/>
    <w:rsid w:val="006E31C6"/>
    <w:rsid w:val="006E408E"/>
    <w:rsid w:val="006E4CB9"/>
    <w:rsid w:val="006E538B"/>
    <w:rsid w:val="006E5C57"/>
    <w:rsid w:val="006E5F00"/>
    <w:rsid w:val="006F08B6"/>
    <w:rsid w:val="006F22A5"/>
    <w:rsid w:val="006F3256"/>
    <w:rsid w:val="006F5A36"/>
    <w:rsid w:val="006F70BE"/>
    <w:rsid w:val="00700E63"/>
    <w:rsid w:val="00701336"/>
    <w:rsid w:val="00702C73"/>
    <w:rsid w:val="007049E5"/>
    <w:rsid w:val="00710251"/>
    <w:rsid w:val="00713394"/>
    <w:rsid w:val="0071512C"/>
    <w:rsid w:val="00720908"/>
    <w:rsid w:val="00724677"/>
    <w:rsid w:val="00724BE8"/>
    <w:rsid w:val="00725AC2"/>
    <w:rsid w:val="00726FA8"/>
    <w:rsid w:val="007275CA"/>
    <w:rsid w:val="00732880"/>
    <w:rsid w:val="007329A3"/>
    <w:rsid w:val="00735117"/>
    <w:rsid w:val="0073573C"/>
    <w:rsid w:val="007360CF"/>
    <w:rsid w:val="00736229"/>
    <w:rsid w:val="007416B9"/>
    <w:rsid w:val="007422FD"/>
    <w:rsid w:val="007434AA"/>
    <w:rsid w:val="00743E46"/>
    <w:rsid w:val="007469EA"/>
    <w:rsid w:val="00747C45"/>
    <w:rsid w:val="00752758"/>
    <w:rsid w:val="00753023"/>
    <w:rsid w:val="0075312E"/>
    <w:rsid w:val="00753149"/>
    <w:rsid w:val="00753B41"/>
    <w:rsid w:val="00754926"/>
    <w:rsid w:val="00755872"/>
    <w:rsid w:val="00756FDB"/>
    <w:rsid w:val="00757890"/>
    <w:rsid w:val="0076011A"/>
    <w:rsid w:val="00761853"/>
    <w:rsid w:val="007629B6"/>
    <w:rsid w:val="0076455B"/>
    <w:rsid w:val="007645FA"/>
    <w:rsid w:val="00764DF6"/>
    <w:rsid w:val="007665BF"/>
    <w:rsid w:val="00766CC9"/>
    <w:rsid w:val="00766F5E"/>
    <w:rsid w:val="007672E4"/>
    <w:rsid w:val="007679C9"/>
    <w:rsid w:val="00767B15"/>
    <w:rsid w:val="007702BB"/>
    <w:rsid w:val="00770F20"/>
    <w:rsid w:val="00771B2A"/>
    <w:rsid w:val="00771BDB"/>
    <w:rsid w:val="00772163"/>
    <w:rsid w:val="00773F5F"/>
    <w:rsid w:val="00774B36"/>
    <w:rsid w:val="007757CE"/>
    <w:rsid w:val="00775800"/>
    <w:rsid w:val="00777975"/>
    <w:rsid w:val="00781267"/>
    <w:rsid w:val="00782566"/>
    <w:rsid w:val="0078257A"/>
    <w:rsid w:val="00784578"/>
    <w:rsid w:val="0078525D"/>
    <w:rsid w:val="0078547A"/>
    <w:rsid w:val="0079085D"/>
    <w:rsid w:val="0079091A"/>
    <w:rsid w:val="0079180E"/>
    <w:rsid w:val="00794FD6"/>
    <w:rsid w:val="007950CC"/>
    <w:rsid w:val="00795189"/>
    <w:rsid w:val="0079538B"/>
    <w:rsid w:val="007961B8"/>
    <w:rsid w:val="00797624"/>
    <w:rsid w:val="0079790F"/>
    <w:rsid w:val="00797FB1"/>
    <w:rsid w:val="007A0302"/>
    <w:rsid w:val="007A2B7A"/>
    <w:rsid w:val="007A471A"/>
    <w:rsid w:val="007A4828"/>
    <w:rsid w:val="007A573C"/>
    <w:rsid w:val="007A5BAF"/>
    <w:rsid w:val="007A6E3C"/>
    <w:rsid w:val="007A723D"/>
    <w:rsid w:val="007B0444"/>
    <w:rsid w:val="007B093D"/>
    <w:rsid w:val="007B1AF8"/>
    <w:rsid w:val="007B2069"/>
    <w:rsid w:val="007B29C0"/>
    <w:rsid w:val="007B508B"/>
    <w:rsid w:val="007B5C3A"/>
    <w:rsid w:val="007B73D9"/>
    <w:rsid w:val="007C04A1"/>
    <w:rsid w:val="007C05FD"/>
    <w:rsid w:val="007C1E1B"/>
    <w:rsid w:val="007C20EB"/>
    <w:rsid w:val="007C21FA"/>
    <w:rsid w:val="007C38DE"/>
    <w:rsid w:val="007C5162"/>
    <w:rsid w:val="007C7A63"/>
    <w:rsid w:val="007D13B1"/>
    <w:rsid w:val="007D4008"/>
    <w:rsid w:val="007D4351"/>
    <w:rsid w:val="007D7019"/>
    <w:rsid w:val="007E0387"/>
    <w:rsid w:val="007E061C"/>
    <w:rsid w:val="007E18DB"/>
    <w:rsid w:val="007E2505"/>
    <w:rsid w:val="007E6C0A"/>
    <w:rsid w:val="007E6F1C"/>
    <w:rsid w:val="007E75B9"/>
    <w:rsid w:val="007F649B"/>
    <w:rsid w:val="007F7186"/>
    <w:rsid w:val="00804C69"/>
    <w:rsid w:val="00805F09"/>
    <w:rsid w:val="0080711D"/>
    <w:rsid w:val="008119A0"/>
    <w:rsid w:val="008127C4"/>
    <w:rsid w:val="00814149"/>
    <w:rsid w:val="008155CD"/>
    <w:rsid w:val="00816813"/>
    <w:rsid w:val="00821546"/>
    <w:rsid w:val="00822AF2"/>
    <w:rsid w:val="0082307D"/>
    <w:rsid w:val="00823B13"/>
    <w:rsid w:val="00831B6C"/>
    <w:rsid w:val="0083280F"/>
    <w:rsid w:val="008329C0"/>
    <w:rsid w:val="008332E5"/>
    <w:rsid w:val="00833325"/>
    <w:rsid w:val="00834C6D"/>
    <w:rsid w:val="0084044F"/>
    <w:rsid w:val="00840A41"/>
    <w:rsid w:val="00842F3C"/>
    <w:rsid w:val="0084369D"/>
    <w:rsid w:val="0084398A"/>
    <w:rsid w:val="008442E4"/>
    <w:rsid w:val="00845091"/>
    <w:rsid w:val="0084557C"/>
    <w:rsid w:val="00845E0A"/>
    <w:rsid w:val="0084612B"/>
    <w:rsid w:val="008475CD"/>
    <w:rsid w:val="008505D1"/>
    <w:rsid w:val="008514DA"/>
    <w:rsid w:val="0085326E"/>
    <w:rsid w:val="00855158"/>
    <w:rsid w:val="00855B66"/>
    <w:rsid w:val="008564E0"/>
    <w:rsid w:val="00857D7F"/>
    <w:rsid w:val="00857EE8"/>
    <w:rsid w:val="008620CB"/>
    <w:rsid w:val="008629EE"/>
    <w:rsid w:val="00862A5C"/>
    <w:rsid w:val="00864370"/>
    <w:rsid w:val="008644B0"/>
    <w:rsid w:val="0086464B"/>
    <w:rsid w:val="008647FC"/>
    <w:rsid w:val="00864CA8"/>
    <w:rsid w:val="00865A2D"/>
    <w:rsid w:val="00865CE8"/>
    <w:rsid w:val="00865E2D"/>
    <w:rsid w:val="00870E6C"/>
    <w:rsid w:val="0087107A"/>
    <w:rsid w:val="00871525"/>
    <w:rsid w:val="008716FA"/>
    <w:rsid w:val="00871711"/>
    <w:rsid w:val="00873C63"/>
    <w:rsid w:val="00875846"/>
    <w:rsid w:val="00875FC4"/>
    <w:rsid w:val="00876684"/>
    <w:rsid w:val="00877111"/>
    <w:rsid w:val="00877BAF"/>
    <w:rsid w:val="00881694"/>
    <w:rsid w:val="00882C0B"/>
    <w:rsid w:val="0088314E"/>
    <w:rsid w:val="00884486"/>
    <w:rsid w:val="00884685"/>
    <w:rsid w:val="008856D1"/>
    <w:rsid w:val="008857FC"/>
    <w:rsid w:val="00885D0B"/>
    <w:rsid w:val="00886E35"/>
    <w:rsid w:val="008871A9"/>
    <w:rsid w:val="00887B22"/>
    <w:rsid w:val="00890C8E"/>
    <w:rsid w:val="0089105E"/>
    <w:rsid w:val="008916BA"/>
    <w:rsid w:val="00891BAE"/>
    <w:rsid w:val="00892176"/>
    <w:rsid w:val="00894625"/>
    <w:rsid w:val="00894948"/>
    <w:rsid w:val="00894D33"/>
    <w:rsid w:val="008A1831"/>
    <w:rsid w:val="008A1DB7"/>
    <w:rsid w:val="008A403A"/>
    <w:rsid w:val="008A4C13"/>
    <w:rsid w:val="008A515A"/>
    <w:rsid w:val="008A7E07"/>
    <w:rsid w:val="008B00A9"/>
    <w:rsid w:val="008B224A"/>
    <w:rsid w:val="008B3C1C"/>
    <w:rsid w:val="008B4BFF"/>
    <w:rsid w:val="008B604D"/>
    <w:rsid w:val="008B6710"/>
    <w:rsid w:val="008C45A6"/>
    <w:rsid w:val="008C46E2"/>
    <w:rsid w:val="008C4900"/>
    <w:rsid w:val="008C5094"/>
    <w:rsid w:val="008C54A9"/>
    <w:rsid w:val="008C54C9"/>
    <w:rsid w:val="008C6817"/>
    <w:rsid w:val="008D0489"/>
    <w:rsid w:val="008D16B2"/>
    <w:rsid w:val="008D18FE"/>
    <w:rsid w:val="008D3925"/>
    <w:rsid w:val="008D3E8D"/>
    <w:rsid w:val="008D490A"/>
    <w:rsid w:val="008D4EF6"/>
    <w:rsid w:val="008D7692"/>
    <w:rsid w:val="008E47E1"/>
    <w:rsid w:val="008E67C3"/>
    <w:rsid w:val="008E6A66"/>
    <w:rsid w:val="008F0132"/>
    <w:rsid w:val="008F093A"/>
    <w:rsid w:val="008F127E"/>
    <w:rsid w:val="008F15ED"/>
    <w:rsid w:val="008F2C7D"/>
    <w:rsid w:val="008F3580"/>
    <w:rsid w:val="008F418C"/>
    <w:rsid w:val="008F589F"/>
    <w:rsid w:val="008F76A9"/>
    <w:rsid w:val="008F7E67"/>
    <w:rsid w:val="00900DBF"/>
    <w:rsid w:val="00902E38"/>
    <w:rsid w:val="00903FE5"/>
    <w:rsid w:val="009048B9"/>
    <w:rsid w:val="00904E91"/>
    <w:rsid w:val="00910431"/>
    <w:rsid w:val="00912004"/>
    <w:rsid w:val="00912D51"/>
    <w:rsid w:val="00914E5E"/>
    <w:rsid w:val="0091518E"/>
    <w:rsid w:val="00915886"/>
    <w:rsid w:val="009203B3"/>
    <w:rsid w:val="00920913"/>
    <w:rsid w:val="0092103C"/>
    <w:rsid w:val="009214DC"/>
    <w:rsid w:val="009223B8"/>
    <w:rsid w:val="009241FB"/>
    <w:rsid w:val="00926D51"/>
    <w:rsid w:val="00927027"/>
    <w:rsid w:val="0092749D"/>
    <w:rsid w:val="009308E2"/>
    <w:rsid w:val="00930D08"/>
    <w:rsid w:val="00931490"/>
    <w:rsid w:val="009318BF"/>
    <w:rsid w:val="00931FB5"/>
    <w:rsid w:val="00932F5B"/>
    <w:rsid w:val="009338D7"/>
    <w:rsid w:val="00933AC6"/>
    <w:rsid w:val="009341C0"/>
    <w:rsid w:val="009344BA"/>
    <w:rsid w:val="00936BFE"/>
    <w:rsid w:val="00941E51"/>
    <w:rsid w:val="009421F2"/>
    <w:rsid w:val="009433D0"/>
    <w:rsid w:val="00945D71"/>
    <w:rsid w:val="0094607F"/>
    <w:rsid w:val="00946E61"/>
    <w:rsid w:val="00947CAC"/>
    <w:rsid w:val="00947F78"/>
    <w:rsid w:val="00953234"/>
    <w:rsid w:val="009555BC"/>
    <w:rsid w:val="00955AD9"/>
    <w:rsid w:val="0095679D"/>
    <w:rsid w:val="009569B7"/>
    <w:rsid w:val="00957F34"/>
    <w:rsid w:val="00960D51"/>
    <w:rsid w:val="00961EAF"/>
    <w:rsid w:val="0096278F"/>
    <w:rsid w:val="00962C8A"/>
    <w:rsid w:val="00965AFE"/>
    <w:rsid w:val="00966242"/>
    <w:rsid w:val="009715AC"/>
    <w:rsid w:val="009726E1"/>
    <w:rsid w:val="009728F3"/>
    <w:rsid w:val="00972A04"/>
    <w:rsid w:val="00975148"/>
    <w:rsid w:val="009751AA"/>
    <w:rsid w:val="00975462"/>
    <w:rsid w:val="00976C85"/>
    <w:rsid w:val="00977591"/>
    <w:rsid w:val="009778F4"/>
    <w:rsid w:val="009809A3"/>
    <w:rsid w:val="00980E75"/>
    <w:rsid w:val="0098351D"/>
    <w:rsid w:val="00984593"/>
    <w:rsid w:val="00985FD6"/>
    <w:rsid w:val="00986597"/>
    <w:rsid w:val="00987CDC"/>
    <w:rsid w:val="00990AE0"/>
    <w:rsid w:val="009913A0"/>
    <w:rsid w:val="0099169A"/>
    <w:rsid w:val="00991B6C"/>
    <w:rsid w:val="00992B39"/>
    <w:rsid w:val="00994BE0"/>
    <w:rsid w:val="00995492"/>
    <w:rsid w:val="0099575D"/>
    <w:rsid w:val="009958EC"/>
    <w:rsid w:val="00995B35"/>
    <w:rsid w:val="009971E5"/>
    <w:rsid w:val="00997CC4"/>
    <w:rsid w:val="00997E2B"/>
    <w:rsid w:val="009A1534"/>
    <w:rsid w:val="009A1C62"/>
    <w:rsid w:val="009A216B"/>
    <w:rsid w:val="009A25B1"/>
    <w:rsid w:val="009A2ACD"/>
    <w:rsid w:val="009A2F1E"/>
    <w:rsid w:val="009A4608"/>
    <w:rsid w:val="009A5A09"/>
    <w:rsid w:val="009A6A57"/>
    <w:rsid w:val="009A70BF"/>
    <w:rsid w:val="009B023D"/>
    <w:rsid w:val="009B1A15"/>
    <w:rsid w:val="009B2914"/>
    <w:rsid w:val="009B2E68"/>
    <w:rsid w:val="009B6809"/>
    <w:rsid w:val="009B68D9"/>
    <w:rsid w:val="009C0852"/>
    <w:rsid w:val="009C0992"/>
    <w:rsid w:val="009C13CA"/>
    <w:rsid w:val="009C2310"/>
    <w:rsid w:val="009C3126"/>
    <w:rsid w:val="009C32C6"/>
    <w:rsid w:val="009C39D4"/>
    <w:rsid w:val="009C4055"/>
    <w:rsid w:val="009C43A8"/>
    <w:rsid w:val="009C665F"/>
    <w:rsid w:val="009C689C"/>
    <w:rsid w:val="009C73D0"/>
    <w:rsid w:val="009C7513"/>
    <w:rsid w:val="009C7A77"/>
    <w:rsid w:val="009D05A1"/>
    <w:rsid w:val="009D2E8B"/>
    <w:rsid w:val="009D3882"/>
    <w:rsid w:val="009D38C7"/>
    <w:rsid w:val="009D46BD"/>
    <w:rsid w:val="009D579C"/>
    <w:rsid w:val="009D7E38"/>
    <w:rsid w:val="009E095B"/>
    <w:rsid w:val="009E0DAE"/>
    <w:rsid w:val="009E1846"/>
    <w:rsid w:val="009E40BB"/>
    <w:rsid w:val="009E46DA"/>
    <w:rsid w:val="009E78FF"/>
    <w:rsid w:val="009E7B7C"/>
    <w:rsid w:val="009F029C"/>
    <w:rsid w:val="009F385B"/>
    <w:rsid w:val="00A00FE9"/>
    <w:rsid w:val="00A01494"/>
    <w:rsid w:val="00A0157A"/>
    <w:rsid w:val="00A024EB"/>
    <w:rsid w:val="00A043F6"/>
    <w:rsid w:val="00A07666"/>
    <w:rsid w:val="00A07FCA"/>
    <w:rsid w:val="00A10932"/>
    <w:rsid w:val="00A10FCF"/>
    <w:rsid w:val="00A118F5"/>
    <w:rsid w:val="00A12802"/>
    <w:rsid w:val="00A12BD8"/>
    <w:rsid w:val="00A13710"/>
    <w:rsid w:val="00A1427D"/>
    <w:rsid w:val="00A17FA6"/>
    <w:rsid w:val="00A21F9B"/>
    <w:rsid w:val="00A22082"/>
    <w:rsid w:val="00A2289C"/>
    <w:rsid w:val="00A22FA9"/>
    <w:rsid w:val="00A2469A"/>
    <w:rsid w:val="00A25024"/>
    <w:rsid w:val="00A2755A"/>
    <w:rsid w:val="00A275A1"/>
    <w:rsid w:val="00A27E2F"/>
    <w:rsid w:val="00A31430"/>
    <w:rsid w:val="00A3320A"/>
    <w:rsid w:val="00A34D49"/>
    <w:rsid w:val="00A35806"/>
    <w:rsid w:val="00A35F8F"/>
    <w:rsid w:val="00A40D90"/>
    <w:rsid w:val="00A41377"/>
    <w:rsid w:val="00A4263D"/>
    <w:rsid w:val="00A42F7D"/>
    <w:rsid w:val="00A43675"/>
    <w:rsid w:val="00A45862"/>
    <w:rsid w:val="00A468AE"/>
    <w:rsid w:val="00A509B8"/>
    <w:rsid w:val="00A50B6F"/>
    <w:rsid w:val="00A515BB"/>
    <w:rsid w:val="00A52AB9"/>
    <w:rsid w:val="00A5417A"/>
    <w:rsid w:val="00A5463E"/>
    <w:rsid w:val="00A54C13"/>
    <w:rsid w:val="00A5592E"/>
    <w:rsid w:val="00A55D21"/>
    <w:rsid w:val="00A60FBF"/>
    <w:rsid w:val="00A6206E"/>
    <w:rsid w:val="00A6210B"/>
    <w:rsid w:val="00A62274"/>
    <w:rsid w:val="00A62FC2"/>
    <w:rsid w:val="00A64EBF"/>
    <w:rsid w:val="00A659F7"/>
    <w:rsid w:val="00A65A1D"/>
    <w:rsid w:val="00A662B0"/>
    <w:rsid w:val="00A6660C"/>
    <w:rsid w:val="00A71200"/>
    <w:rsid w:val="00A712BD"/>
    <w:rsid w:val="00A716D3"/>
    <w:rsid w:val="00A71E86"/>
    <w:rsid w:val="00A71F81"/>
    <w:rsid w:val="00A72198"/>
    <w:rsid w:val="00A72288"/>
    <w:rsid w:val="00A7323A"/>
    <w:rsid w:val="00A736BB"/>
    <w:rsid w:val="00A7438F"/>
    <w:rsid w:val="00A8280C"/>
    <w:rsid w:val="00A831B4"/>
    <w:rsid w:val="00A8520A"/>
    <w:rsid w:val="00A852E6"/>
    <w:rsid w:val="00A85F48"/>
    <w:rsid w:val="00A863DB"/>
    <w:rsid w:val="00A86570"/>
    <w:rsid w:val="00A8709E"/>
    <w:rsid w:val="00A87570"/>
    <w:rsid w:val="00A93056"/>
    <w:rsid w:val="00A962AE"/>
    <w:rsid w:val="00A96E67"/>
    <w:rsid w:val="00A97798"/>
    <w:rsid w:val="00AA11C1"/>
    <w:rsid w:val="00AA3367"/>
    <w:rsid w:val="00AA4216"/>
    <w:rsid w:val="00AA5213"/>
    <w:rsid w:val="00AA657A"/>
    <w:rsid w:val="00AA65A6"/>
    <w:rsid w:val="00AA7BF9"/>
    <w:rsid w:val="00AB0827"/>
    <w:rsid w:val="00AB1064"/>
    <w:rsid w:val="00AB4326"/>
    <w:rsid w:val="00AB4E9A"/>
    <w:rsid w:val="00AB6E5B"/>
    <w:rsid w:val="00AB7CD8"/>
    <w:rsid w:val="00AC0C00"/>
    <w:rsid w:val="00AC1A13"/>
    <w:rsid w:val="00AC1D52"/>
    <w:rsid w:val="00AC1D8E"/>
    <w:rsid w:val="00AC3295"/>
    <w:rsid w:val="00AC48FA"/>
    <w:rsid w:val="00AC639F"/>
    <w:rsid w:val="00AC6D8E"/>
    <w:rsid w:val="00AC7549"/>
    <w:rsid w:val="00AC77B7"/>
    <w:rsid w:val="00AC7C2D"/>
    <w:rsid w:val="00AC7CAF"/>
    <w:rsid w:val="00AD0240"/>
    <w:rsid w:val="00AD08AB"/>
    <w:rsid w:val="00AD22EA"/>
    <w:rsid w:val="00AD4137"/>
    <w:rsid w:val="00AD57DE"/>
    <w:rsid w:val="00AD6178"/>
    <w:rsid w:val="00AD7675"/>
    <w:rsid w:val="00AE0F10"/>
    <w:rsid w:val="00AE22FC"/>
    <w:rsid w:val="00AE2DA9"/>
    <w:rsid w:val="00AE3C2A"/>
    <w:rsid w:val="00AF00DC"/>
    <w:rsid w:val="00AF2D68"/>
    <w:rsid w:val="00AF4DAD"/>
    <w:rsid w:val="00B02679"/>
    <w:rsid w:val="00B030EE"/>
    <w:rsid w:val="00B037BA"/>
    <w:rsid w:val="00B03F2A"/>
    <w:rsid w:val="00B07986"/>
    <w:rsid w:val="00B12B8A"/>
    <w:rsid w:val="00B14315"/>
    <w:rsid w:val="00B165EB"/>
    <w:rsid w:val="00B16CCA"/>
    <w:rsid w:val="00B20139"/>
    <w:rsid w:val="00B205AE"/>
    <w:rsid w:val="00B2065C"/>
    <w:rsid w:val="00B2080C"/>
    <w:rsid w:val="00B20AD0"/>
    <w:rsid w:val="00B20DD9"/>
    <w:rsid w:val="00B218DA"/>
    <w:rsid w:val="00B22F87"/>
    <w:rsid w:val="00B23E63"/>
    <w:rsid w:val="00B26750"/>
    <w:rsid w:val="00B27DF6"/>
    <w:rsid w:val="00B301FC"/>
    <w:rsid w:val="00B342FA"/>
    <w:rsid w:val="00B34430"/>
    <w:rsid w:val="00B37801"/>
    <w:rsid w:val="00B41171"/>
    <w:rsid w:val="00B437BB"/>
    <w:rsid w:val="00B44203"/>
    <w:rsid w:val="00B44BC5"/>
    <w:rsid w:val="00B44E7F"/>
    <w:rsid w:val="00B45901"/>
    <w:rsid w:val="00B45A5C"/>
    <w:rsid w:val="00B505C3"/>
    <w:rsid w:val="00B53273"/>
    <w:rsid w:val="00B53E8B"/>
    <w:rsid w:val="00B54A0F"/>
    <w:rsid w:val="00B54FF9"/>
    <w:rsid w:val="00B56BAF"/>
    <w:rsid w:val="00B60EE7"/>
    <w:rsid w:val="00B60F3A"/>
    <w:rsid w:val="00B62E25"/>
    <w:rsid w:val="00B658BC"/>
    <w:rsid w:val="00B668DA"/>
    <w:rsid w:val="00B66F87"/>
    <w:rsid w:val="00B6754B"/>
    <w:rsid w:val="00B72518"/>
    <w:rsid w:val="00B7577D"/>
    <w:rsid w:val="00B76694"/>
    <w:rsid w:val="00B774D2"/>
    <w:rsid w:val="00B77F95"/>
    <w:rsid w:val="00B80146"/>
    <w:rsid w:val="00B8015A"/>
    <w:rsid w:val="00B807AA"/>
    <w:rsid w:val="00B81CC0"/>
    <w:rsid w:val="00B825EF"/>
    <w:rsid w:val="00B82932"/>
    <w:rsid w:val="00B82A57"/>
    <w:rsid w:val="00B85F51"/>
    <w:rsid w:val="00B871A0"/>
    <w:rsid w:val="00B8734D"/>
    <w:rsid w:val="00B8738C"/>
    <w:rsid w:val="00B90596"/>
    <w:rsid w:val="00B92794"/>
    <w:rsid w:val="00B9343D"/>
    <w:rsid w:val="00B94D1D"/>
    <w:rsid w:val="00B94F9F"/>
    <w:rsid w:val="00B950D4"/>
    <w:rsid w:val="00B955F4"/>
    <w:rsid w:val="00B95BEE"/>
    <w:rsid w:val="00B97B28"/>
    <w:rsid w:val="00BA016D"/>
    <w:rsid w:val="00BA053B"/>
    <w:rsid w:val="00BA2AAE"/>
    <w:rsid w:val="00BA6A26"/>
    <w:rsid w:val="00BA6FF5"/>
    <w:rsid w:val="00BA73C4"/>
    <w:rsid w:val="00BB1AF9"/>
    <w:rsid w:val="00BB33DA"/>
    <w:rsid w:val="00BB35AE"/>
    <w:rsid w:val="00BB65AD"/>
    <w:rsid w:val="00BB6B8F"/>
    <w:rsid w:val="00BB6F7C"/>
    <w:rsid w:val="00BC03A1"/>
    <w:rsid w:val="00BC0D25"/>
    <w:rsid w:val="00BC4770"/>
    <w:rsid w:val="00BD0608"/>
    <w:rsid w:val="00BD13FD"/>
    <w:rsid w:val="00BD1BAA"/>
    <w:rsid w:val="00BD2505"/>
    <w:rsid w:val="00BD3A09"/>
    <w:rsid w:val="00BD4BAA"/>
    <w:rsid w:val="00BD5261"/>
    <w:rsid w:val="00BD5744"/>
    <w:rsid w:val="00BD6C85"/>
    <w:rsid w:val="00BD74AF"/>
    <w:rsid w:val="00BD7F60"/>
    <w:rsid w:val="00BE0E89"/>
    <w:rsid w:val="00BE557F"/>
    <w:rsid w:val="00BE592D"/>
    <w:rsid w:val="00BF0079"/>
    <w:rsid w:val="00BF03D7"/>
    <w:rsid w:val="00BF0A38"/>
    <w:rsid w:val="00BF3F17"/>
    <w:rsid w:val="00BF5082"/>
    <w:rsid w:val="00BF52B0"/>
    <w:rsid w:val="00BF5697"/>
    <w:rsid w:val="00BF6D44"/>
    <w:rsid w:val="00BF6F1F"/>
    <w:rsid w:val="00BF7B6A"/>
    <w:rsid w:val="00BF7C6D"/>
    <w:rsid w:val="00C02914"/>
    <w:rsid w:val="00C035C8"/>
    <w:rsid w:val="00C0532E"/>
    <w:rsid w:val="00C054EF"/>
    <w:rsid w:val="00C10747"/>
    <w:rsid w:val="00C12DAF"/>
    <w:rsid w:val="00C14907"/>
    <w:rsid w:val="00C14A31"/>
    <w:rsid w:val="00C14CCC"/>
    <w:rsid w:val="00C1695E"/>
    <w:rsid w:val="00C203C3"/>
    <w:rsid w:val="00C229D3"/>
    <w:rsid w:val="00C22C1C"/>
    <w:rsid w:val="00C2433D"/>
    <w:rsid w:val="00C273D5"/>
    <w:rsid w:val="00C27CB4"/>
    <w:rsid w:val="00C30241"/>
    <w:rsid w:val="00C30727"/>
    <w:rsid w:val="00C307F4"/>
    <w:rsid w:val="00C3197D"/>
    <w:rsid w:val="00C31C0B"/>
    <w:rsid w:val="00C31DE9"/>
    <w:rsid w:val="00C32531"/>
    <w:rsid w:val="00C3295F"/>
    <w:rsid w:val="00C33F2E"/>
    <w:rsid w:val="00C34936"/>
    <w:rsid w:val="00C34C14"/>
    <w:rsid w:val="00C355B9"/>
    <w:rsid w:val="00C368F6"/>
    <w:rsid w:val="00C36A94"/>
    <w:rsid w:val="00C37075"/>
    <w:rsid w:val="00C37EF1"/>
    <w:rsid w:val="00C401C4"/>
    <w:rsid w:val="00C41680"/>
    <w:rsid w:val="00C41961"/>
    <w:rsid w:val="00C427B8"/>
    <w:rsid w:val="00C43353"/>
    <w:rsid w:val="00C443E9"/>
    <w:rsid w:val="00C46295"/>
    <w:rsid w:val="00C52020"/>
    <w:rsid w:val="00C5206F"/>
    <w:rsid w:val="00C53B48"/>
    <w:rsid w:val="00C55CF7"/>
    <w:rsid w:val="00C57ED4"/>
    <w:rsid w:val="00C60A25"/>
    <w:rsid w:val="00C610B4"/>
    <w:rsid w:val="00C6171C"/>
    <w:rsid w:val="00C61B77"/>
    <w:rsid w:val="00C62F50"/>
    <w:rsid w:val="00C663F1"/>
    <w:rsid w:val="00C6663E"/>
    <w:rsid w:val="00C67E5D"/>
    <w:rsid w:val="00C72420"/>
    <w:rsid w:val="00C73144"/>
    <w:rsid w:val="00C75CAC"/>
    <w:rsid w:val="00C765C5"/>
    <w:rsid w:val="00C7695F"/>
    <w:rsid w:val="00C775CE"/>
    <w:rsid w:val="00C77D2F"/>
    <w:rsid w:val="00C800FC"/>
    <w:rsid w:val="00C823BF"/>
    <w:rsid w:val="00C82479"/>
    <w:rsid w:val="00C867F0"/>
    <w:rsid w:val="00C93347"/>
    <w:rsid w:val="00C93899"/>
    <w:rsid w:val="00C94E2A"/>
    <w:rsid w:val="00C96C52"/>
    <w:rsid w:val="00C975A9"/>
    <w:rsid w:val="00CA06D8"/>
    <w:rsid w:val="00CA0C76"/>
    <w:rsid w:val="00CA1CFE"/>
    <w:rsid w:val="00CA345A"/>
    <w:rsid w:val="00CA3EF9"/>
    <w:rsid w:val="00CA40A2"/>
    <w:rsid w:val="00CA508B"/>
    <w:rsid w:val="00CA61A5"/>
    <w:rsid w:val="00CA6273"/>
    <w:rsid w:val="00CB00EB"/>
    <w:rsid w:val="00CB21E2"/>
    <w:rsid w:val="00CB26C5"/>
    <w:rsid w:val="00CB277F"/>
    <w:rsid w:val="00CB2BF8"/>
    <w:rsid w:val="00CB3293"/>
    <w:rsid w:val="00CB4345"/>
    <w:rsid w:val="00CB49FF"/>
    <w:rsid w:val="00CB609D"/>
    <w:rsid w:val="00CC02CF"/>
    <w:rsid w:val="00CC086A"/>
    <w:rsid w:val="00CC0884"/>
    <w:rsid w:val="00CC4359"/>
    <w:rsid w:val="00CC60C8"/>
    <w:rsid w:val="00CC74F3"/>
    <w:rsid w:val="00CD0E24"/>
    <w:rsid w:val="00CD0F66"/>
    <w:rsid w:val="00CD2AB9"/>
    <w:rsid w:val="00CD364B"/>
    <w:rsid w:val="00CD3E70"/>
    <w:rsid w:val="00CD600B"/>
    <w:rsid w:val="00CD6B52"/>
    <w:rsid w:val="00CD77D2"/>
    <w:rsid w:val="00CD7C2E"/>
    <w:rsid w:val="00CE0828"/>
    <w:rsid w:val="00CE0CA4"/>
    <w:rsid w:val="00CE10B8"/>
    <w:rsid w:val="00CE118E"/>
    <w:rsid w:val="00CE1567"/>
    <w:rsid w:val="00CE23B8"/>
    <w:rsid w:val="00CE2520"/>
    <w:rsid w:val="00CE284E"/>
    <w:rsid w:val="00CE356F"/>
    <w:rsid w:val="00CE50D7"/>
    <w:rsid w:val="00CF19E4"/>
    <w:rsid w:val="00CF3670"/>
    <w:rsid w:val="00CF4CBE"/>
    <w:rsid w:val="00D00344"/>
    <w:rsid w:val="00D005E9"/>
    <w:rsid w:val="00D009D6"/>
    <w:rsid w:val="00D03C3F"/>
    <w:rsid w:val="00D040D9"/>
    <w:rsid w:val="00D05A56"/>
    <w:rsid w:val="00D07AE4"/>
    <w:rsid w:val="00D12A4E"/>
    <w:rsid w:val="00D12E9C"/>
    <w:rsid w:val="00D15DB0"/>
    <w:rsid w:val="00D167A2"/>
    <w:rsid w:val="00D17299"/>
    <w:rsid w:val="00D1754D"/>
    <w:rsid w:val="00D219CC"/>
    <w:rsid w:val="00D21A5D"/>
    <w:rsid w:val="00D2223F"/>
    <w:rsid w:val="00D22929"/>
    <w:rsid w:val="00D2668D"/>
    <w:rsid w:val="00D268A6"/>
    <w:rsid w:val="00D2716E"/>
    <w:rsid w:val="00D274A4"/>
    <w:rsid w:val="00D27540"/>
    <w:rsid w:val="00D277AF"/>
    <w:rsid w:val="00D3095E"/>
    <w:rsid w:val="00D31163"/>
    <w:rsid w:val="00D31C3C"/>
    <w:rsid w:val="00D320B1"/>
    <w:rsid w:val="00D33AFD"/>
    <w:rsid w:val="00D3559E"/>
    <w:rsid w:val="00D36489"/>
    <w:rsid w:val="00D369E9"/>
    <w:rsid w:val="00D408DC"/>
    <w:rsid w:val="00D42195"/>
    <w:rsid w:val="00D4723E"/>
    <w:rsid w:val="00D47BC8"/>
    <w:rsid w:val="00D50704"/>
    <w:rsid w:val="00D51180"/>
    <w:rsid w:val="00D557CF"/>
    <w:rsid w:val="00D5698B"/>
    <w:rsid w:val="00D571A4"/>
    <w:rsid w:val="00D5739D"/>
    <w:rsid w:val="00D5760A"/>
    <w:rsid w:val="00D57BA5"/>
    <w:rsid w:val="00D61410"/>
    <w:rsid w:val="00D62659"/>
    <w:rsid w:val="00D63612"/>
    <w:rsid w:val="00D65029"/>
    <w:rsid w:val="00D71D3F"/>
    <w:rsid w:val="00D75F44"/>
    <w:rsid w:val="00D76B73"/>
    <w:rsid w:val="00D8181D"/>
    <w:rsid w:val="00D81F55"/>
    <w:rsid w:val="00D82BBC"/>
    <w:rsid w:val="00D84EF4"/>
    <w:rsid w:val="00D85BDE"/>
    <w:rsid w:val="00D85EF7"/>
    <w:rsid w:val="00D8724B"/>
    <w:rsid w:val="00D87A12"/>
    <w:rsid w:val="00D902D1"/>
    <w:rsid w:val="00D90B25"/>
    <w:rsid w:val="00D92A06"/>
    <w:rsid w:val="00D92D63"/>
    <w:rsid w:val="00D95F17"/>
    <w:rsid w:val="00D96134"/>
    <w:rsid w:val="00D968D8"/>
    <w:rsid w:val="00DA02E6"/>
    <w:rsid w:val="00DA070C"/>
    <w:rsid w:val="00DA0D65"/>
    <w:rsid w:val="00DA3EA1"/>
    <w:rsid w:val="00DA40FA"/>
    <w:rsid w:val="00DA563D"/>
    <w:rsid w:val="00DA65A6"/>
    <w:rsid w:val="00DA7277"/>
    <w:rsid w:val="00DA7DC3"/>
    <w:rsid w:val="00DB05E9"/>
    <w:rsid w:val="00DB20FA"/>
    <w:rsid w:val="00DB349E"/>
    <w:rsid w:val="00DB34DF"/>
    <w:rsid w:val="00DB3627"/>
    <w:rsid w:val="00DB3AFD"/>
    <w:rsid w:val="00DB4724"/>
    <w:rsid w:val="00DB6264"/>
    <w:rsid w:val="00DB6944"/>
    <w:rsid w:val="00DB6A83"/>
    <w:rsid w:val="00DB6ED1"/>
    <w:rsid w:val="00DB75DE"/>
    <w:rsid w:val="00DC107C"/>
    <w:rsid w:val="00DC357C"/>
    <w:rsid w:val="00DC3638"/>
    <w:rsid w:val="00DC4746"/>
    <w:rsid w:val="00DC5810"/>
    <w:rsid w:val="00DC74C6"/>
    <w:rsid w:val="00DD0D6D"/>
    <w:rsid w:val="00DD13D4"/>
    <w:rsid w:val="00DD3D19"/>
    <w:rsid w:val="00DD48D1"/>
    <w:rsid w:val="00DD5F85"/>
    <w:rsid w:val="00DD6870"/>
    <w:rsid w:val="00DD799C"/>
    <w:rsid w:val="00DD7E6A"/>
    <w:rsid w:val="00DE0588"/>
    <w:rsid w:val="00DE4F42"/>
    <w:rsid w:val="00DE577E"/>
    <w:rsid w:val="00DE6F72"/>
    <w:rsid w:val="00DE7149"/>
    <w:rsid w:val="00DF4A89"/>
    <w:rsid w:val="00DF4B36"/>
    <w:rsid w:val="00DF5674"/>
    <w:rsid w:val="00DF6A9F"/>
    <w:rsid w:val="00DF7666"/>
    <w:rsid w:val="00E00AF4"/>
    <w:rsid w:val="00E0314C"/>
    <w:rsid w:val="00E10D80"/>
    <w:rsid w:val="00E11AC8"/>
    <w:rsid w:val="00E128EE"/>
    <w:rsid w:val="00E13B2E"/>
    <w:rsid w:val="00E1508F"/>
    <w:rsid w:val="00E1516C"/>
    <w:rsid w:val="00E15631"/>
    <w:rsid w:val="00E171BA"/>
    <w:rsid w:val="00E2185F"/>
    <w:rsid w:val="00E21C12"/>
    <w:rsid w:val="00E25907"/>
    <w:rsid w:val="00E259F7"/>
    <w:rsid w:val="00E261DF"/>
    <w:rsid w:val="00E263FC"/>
    <w:rsid w:val="00E27240"/>
    <w:rsid w:val="00E278E7"/>
    <w:rsid w:val="00E27CE5"/>
    <w:rsid w:val="00E27EDD"/>
    <w:rsid w:val="00E30584"/>
    <w:rsid w:val="00E310B9"/>
    <w:rsid w:val="00E31226"/>
    <w:rsid w:val="00E32FFA"/>
    <w:rsid w:val="00E340DE"/>
    <w:rsid w:val="00E3551F"/>
    <w:rsid w:val="00E366E8"/>
    <w:rsid w:val="00E37E1B"/>
    <w:rsid w:val="00E415DF"/>
    <w:rsid w:val="00E416A3"/>
    <w:rsid w:val="00E41C15"/>
    <w:rsid w:val="00E42505"/>
    <w:rsid w:val="00E44679"/>
    <w:rsid w:val="00E463E1"/>
    <w:rsid w:val="00E46F99"/>
    <w:rsid w:val="00E477BA"/>
    <w:rsid w:val="00E47929"/>
    <w:rsid w:val="00E513C8"/>
    <w:rsid w:val="00E5462B"/>
    <w:rsid w:val="00E552D8"/>
    <w:rsid w:val="00E561B3"/>
    <w:rsid w:val="00E562C0"/>
    <w:rsid w:val="00E56A3F"/>
    <w:rsid w:val="00E56D65"/>
    <w:rsid w:val="00E572DE"/>
    <w:rsid w:val="00E57FAF"/>
    <w:rsid w:val="00E609B1"/>
    <w:rsid w:val="00E61E27"/>
    <w:rsid w:val="00E67099"/>
    <w:rsid w:val="00E672D6"/>
    <w:rsid w:val="00E72C72"/>
    <w:rsid w:val="00E73DDE"/>
    <w:rsid w:val="00E76024"/>
    <w:rsid w:val="00E76B2D"/>
    <w:rsid w:val="00E76FC2"/>
    <w:rsid w:val="00E7774A"/>
    <w:rsid w:val="00E77C37"/>
    <w:rsid w:val="00E81E3E"/>
    <w:rsid w:val="00E83500"/>
    <w:rsid w:val="00E8433D"/>
    <w:rsid w:val="00E856A2"/>
    <w:rsid w:val="00E86E12"/>
    <w:rsid w:val="00E87A99"/>
    <w:rsid w:val="00E91399"/>
    <w:rsid w:val="00E91AA7"/>
    <w:rsid w:val="00E92F3A"/>
    <w:rsid w:val="00E93513"/>
    <w:rsid w:val="00E95493"/>
    <w:rsid w:val="00E967AD"/>
    <w:rsid w:val="00E96884"/>
    <w:rsid w:val="00EA24A8"/>
    <w:rsid w:val="00EA5435"/>
    <w:rsid w:val="00EA5F47"/>
    <w:rsid w:val="00EA6D5F"/>
    <w:rsid w:val="00EB1607"/>
    <w:rsid w:val="00EB21F2"/>
    <w:rsid w:val="00EB3D56"/>
    <w:rsid w:val="00EB455E"/>
    <w:rsid w:val="00EC04D5"/>
    <w:rsid w:val="00EC0C89"/>
    <w:rsid w:val="00EC1CFB"/>
    <w:rsid w:val="00EC2888"/>
    <w:rsid w:val="00EC305C"/>
    <w:rsid w:val="00EC5979"/>
    <w:rsid w:val="00EC654E"/>
    <w:rsid w:val="00EC6E7D"/>
    <w:rsid w:val="00EC6EAF"/>
    <w:rsid w:val="00EC7291"/>
    <w:rsid w:val="00EC79DE"/>
    <w:rsid w:val="00ED2E68"/>
    <w:rsid w:val="00ED3F02"/>
    <w:rsid w:val="00ED4ACE"/>
    <w:rsid w:val="00ED59F7"/>
    <w:rsid w:val="00ED61B8"/>
    <w:rsid w:val="00EE0CBC"/>
    <w:rsid w:val="00EE226F"/>
    <w:rsid w:val="00EE4D35"/>
    <w:rsid w:val="00EE62DD"/>
    <w:rsid w:val="00EE6841"/>
    <w:rsid w:val="00EE7229"/>
    <w:rsid w:val="00EE76B7"/>
    <w:rsid w:val="00EF1BE0"/>
    <w:rsid w:val="00EF1EAB"/>
    <w:rsid w:val="00EF1F04"/>
    <w:rsid w:val="00EF2DA7"/>
    <w:rsid w:val="00EF4693"/>
    <w:rsid w:val="00EF51A6"/>
    <w:rsid w:val="00EF5FC9"/>
    <w:rsid w:val="00EF615C"/>
    <w:rsid w:val="00EF64A3"/>
    <w:rsid w:val="00EF65F4"/>
    <w:rsid w:val="00EF6C4C"/>
    <w:rsid w:val="00F013EE"/>
    <w:rsid w:val="00F01AE0"/>
    <w:rsid w:val="00F02A71"/>
    <w:rsid w:val="00F02AE9"/>
    <w:rsid w:val="00F04F29"/>
    <w:rsid w:val="00F0695E"/>
    <w:rsid w:val="00F110BC"/>
    <w:rsid w:val="00F118BB"/>
    <w:rsid w:val="00F12865"/>
    <w:rsid w:val="00F12914"/>
    <w:rsid w:val="00F136A4"/>
    <w:rsid w:val="00F1412B"/>
    <w:rsid w:val="00F1507D"/>
    <w:rsid w:val="00F15B99"/>
    <w:rsid w:val="00F15BFA"/>
    <w:rsid w:val="00F212BF"/>
    <w:rsid w:val="00F220B2"/>
    <w:rsid w:val="00F26132"/>
    <w:rsid w:val="00F310C9"/>
    <w:rsid w:val="00F32772"/>
    <w:rsid w:val="00F33DE8"/>
    <w:rsid w:val="00F34FAB"/>
    <w:rsid w:val="00F36C9C"/>
    <w:rsid w:val="00F4189A"/>
    <w:rsid w:val="00F41FFC"/>
    <w:rsid w:val="00F42A0A"/>
    <w:rsid w:val="00F43569"/>
    <w:rsid w:val="00F435AA"/>
    <w:rsid w:val="00F445CE"/>
    <w:rsid w:val="00F44817"/>
    <w:rsid w:val="00F512A7"/>
    <w:rsid w:val="00F51A66"/>
    <w:rsid w:val="00F56947"/>
    <w:rsid w:val="00F5738A"/>
    <w:rsid w:val="00F57F34"/>
    <w:rsid w:val="00F612D4"/>
    <w:rsid w:val="00F62987"/>
    <w:rsid w:val="00F63D73"/>
    <w:rsid w:val="00F7196D"/>
    <w:rsid w:val="00F7389E"/>
    <w:rsid w:val="00F75BF5"/>
    <w:rsid w:val="00F75E96"/>
    <w:rsid w:val="00F76DE8"/>
    <w:rsid w:val="00F77D7B"/>
    <w:rsid w:val="00F77F1D"/>
    <w:rsid w:val="00F833BB"/>
    <w:rsid w:val="00F8370F"/>
    <w:rsid w:val="00F84E09"/>
    <w:rsid w:val="00F86EA6"/>
    <w:rsid w:val="00F8715C"/>
    <w:rsid w:val="00F87CCB"/>
    <w:rsid w:val="00F93FD2"/>
    <w:rsid w:val="00F960AD"/>
    <w:rsid w:val="00F96EDE"/>
    <w:rsid w:val="00FA0901"/>
    <w:rsid w:val="00FA2704"/>
    <w:rsid w:val="00FA30D3"/>
    <w:rsid w:val="00FA31E5"/>
    <w:rsid w:val="00FA48C7"/>
    <w:rsid w:val="00FA598F"/>
    <w:rsid w:val="00FA61A9"/>
    <w:rsid w:val="00FA6673"/>
    <w:rsid w:val="00FA7832"/>
    <w:rsid w:val="00FB3F3B"/>
    <w:rsid w:val="00FB51FB"/>
    <w:rsid w:val="00FB667E"/>
    <w:rsid w:val="00FB6E91"/>
    <w:rsid w:val="00FB73C1"/>
    <w:rsid w:val="00FB7C20"/>
    <w:rsid w:val="00FC147C"/>
    <w:rsid w:val="00FC1739"/>
    <w:rsid w:val="00FC1E44"/>
    <w:rsid w:val="00FC29BB"/>
    <w:rsid w:val="00FC3B92"/>
    <w:rsid w:val="00FC3C3C"/>
    <w:rsid w:val="00FC5142"/>
    <w:rsid w:val="00FC5BD6"/>
    <w:rsid w:val="00FD082E"/>
    <w:rsid w:val="00FD0BFF"/>
    <w:rsid w:val="00FD0E9C"/>
    <w:rsid w:val="00FD1BF1"/>
    <w:rsid w:val="00FD2392"/>
    <w:rsid w:val="00FD4AE2"/>
    <w:rsid w:val="00FD613D"/>
    <w:rsid w:val="00FE216D"/>
    <w:rsid w:val="00FE2A26"/>
    <w:rsid w:val="00FE75C6"/>
    <w:rsid w:val="00FF0891"/>
    <w:rsid w:val="00FF0A88"/>
    <w:rsid w:val="00FF4141"/>
    <w:rsid w:val="00FF49E1"/>
    <w:rsid w:val="00FF57C8"/>
    <w:rsid w:val="00FF6ED6"/>
    <w:rsid w:val="00FF75C6"/>
    <w:rsid w:val="00FF7717"/>
    <w:rsid w:val="00FF79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D74A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666D7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aliases w:val="Acumen,AcuSPHERE"/>
    <w:basedOn w:val="TableNormal"/>
    <w:uiPriority w:val="59"/>
    <w:qFormat/>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aliases w:val="Bullet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Body125">
    <w:name w:val="Body 1.25"/>
    <w:basedOn w:val="BodyText"/>
    <w:link w:val="Body125Char"/>
    <w:uiPriority w:val="6"/>
    <w:qFormat/>
    <w:rsid w:val="005C1FC5"/>
    <w:pPr>
      <w:spacing w:after="0" w:line="240" w:lineRule="auto"/>
      <w:ind w:firstLine="288"/>
    </w:pPr>
    <w:rPr>
      <w:rFonts w:ascii="Times New Roman" w:eastAsiaTheme="minorHAnsi" w:hAnsi="Times New Roman" w:cs="Times New Roman"/>
      <w:spacing w:val="-10"/>
      <w:sz w:val="24"/>
      <w:szCs w:val="24"/>
    </w:rPr>
  </w:style>
  <w:style w:type="character" w:customStyle="1" w:styleId="Body125Char">
    <w:name w:val="Body 1.25 Char"/>
    <w:basedOn w:val="BodyTextChar"/>
    <w:link w:val="Body125"/>
    <w:uiPriority w:val="6"/>
    <w:rsid w:val="005C1FC5"/>
    <w:rPr>
      <w:rFonts w:ascii="Times New Roman" w:eastAsiaTheme="minorHAnsi" w:hAnsi="Times New Roman" w:cs="Times New Roman"/>
      <w:spacing w:val="-10"/>
      <w:sz w:val="24"/>
      <w:szCs w:val="24"/>
    </w:rPr>
  </w:style>
  <w:style w:type="paragraph" w:styleId="BodyText">
    <w:name w:val="Body Text"/>
    <w:basedOn w:val="Normal"/>
    <w:link w:val="BodyTextChar"/>
    <w:uiPriority w:val="99"/>
    <w:semiHidden/>
    <w:unhideWhenUsed/>
    <w:rsid w:val="005C1FC5"/>
    <w:pPr>
      <w:spacing w:after="120"/>
    </w:pPr>
  </w:style>
  <w:style w:type="character" w:customStyle="1" w:styleId="BodyTextChar">
    <w:name w:val="Body Text Char"/>
    <w:basedOn w:val="DefaultParagraphFont"/>
    <w:link w:val="BodyText"/>
    <w:uiPriority w:val="99"/>
    <w:semiHidden/>
    <w:rsid w:val="005C1FC5"/>
  </w:style>
  <w:style w:type="paragraph" w:customStyle="1" w:styleId="Body125Left">
    <w:name w:val="Body 1.25 Left"/>
    <w:basedOn w:val="Body125"/>
    <w:link w:val="Body125LeftChar"/>
    <w:uiPriority w:val="7"/>
    <w:qFormat/>
    <w:rsid w:val="00931FB5"/>
    <w:pPr>
      <w:spacing w:before="120" w:after="120" w:line="300" w:lineRule="auto"/>
      <w:ind w:firstLine="0"/>
    </w:pPr>
    <w:rPr>
      <w:rFonts w:eastAsia="Times New Roman"/>
    </w:rPr>
  </w:style>
  <w:style w:type="character" w:customStyle="1" w:styleId="Body125LeftChar">
    <w:name w:val="Body 1.25 Left Char"/>
    <w:basedOn w:val="Body125Char"/>
    <w:link w:val="Body125Left"/>
    <w:uiPriority w:val="7"/>
    <w:rsid w:val="00931FB5"/>
    <w:rPr>
      <w:rFonts w:ascii="Times New Roman" w:eastAsia="Times New Roman" w:hAnsi="Times New Roman" w:cs="Times New Roman"/>
      <w:spacing w:val="-10"/>
      <w:sz w:val="24"/>
      <w:szCs w:val="24"/>
    </w:rPr>
  </w:style>
  <w:style w:type="paragraph" w:customStyle="1" w:styleId="Default">
    <w:name w:val="Default"/>
    <w:rsid w:val="00155794"/>
    <w:pPr>
      <w:autoSpaceDE w:val="0"/>
      <w:autoSpaceDN w:val="0"/>
      <w:adjustRightInd w:val="0"/>
      <w:spacing w:after="0" w:line="240" w:lineRule="auto"/>
    </w:pPr>
    <w:rPr>
      <w:rFonts w:ascii="Arial" w:eastAsiaTheme="minorHAnsi" w:hAnsi="Arial" w:cs="Arial"/>
      <w:color w:val="000000"/>
      <w:sz w:val="24"/>
      <w:szCs w:val="24"/>
    </w:rPr>
  </w:style>
  <w:style w:type="character" w:customStyle="1" w:styleId="UnresolvedMention1">
    <w:name w:val="Unresolved Mention1"/>
    <w:basedOn w:val="DefaultParagraphFont"/>
    <w:uiPriority w:val="99"/>
    <w:semiHidden/>
    <w:unhideWhenUsed/>
    <w:rsid w:val="003C58A3"/>
    <w:rPr>
      <w:color w:val="605E5C"/>
      <w:shd w:val="clear" w:color="auto" w:fill="E1DFDD"/>
    </w:rPr>
  </w:style>
  <w:style w:type="paragraph" w:styleId="Caption">
    <w:name w:val="caption"/>
    <w:basedOn w:val="Normal"/>
    <w:next w:val="Normal"/>
    <w:uiPriority w:val="17"/>
    <w:qFormat/>
    <w:rsid w:val="00C67E5D"/>
    <w:pPr>
      <w:spacing w:line="240" w:lineRule="auto"/>
    </w:pPr>
    <w:rPr>
      <w:rFonts w:ascii="Arial" w:eastAsiaTheme="minorHAnsi" w:hAnsi="Arial" w:cs="Arial"/>
      <w:b/>
      <w:iCs/>
      <w:color w:val="243766"/>
      <w:sz w:val="21"/>
      <w:szCs w:val="18"/>
    </w:rPr>
  </w:style>
  <w:style w:type="table" w:styleId="TableGridLight">
    <w:name w:val="Grid Table Light"/>
    <w:basedOn w:val="TableNormal"/>
    <w:uiPriority w:val="40"/>
    <w:rsid w:val="00B22F8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cuSPHERE1">
    <w:name w:val="AcuSPHERE1"/>
    <w:basedOn w:val="TableNormal"/>
    <w:next w:val="TableGrid"/>
    <w:uiPriority w:val="39"/>
    <w:qFormat/>
    <w:rsid w:val="00877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97317"/>
  </w:style>
  <w:style w:type="paragraph" w:styleId="PlainText">
    <w:name w:val="Plain Text"/>
    <w:basedOn w:val="Normal"/>
    <w:link w:val="PlainTextChar"/>
    <w:uiPriority w:val="99"/>
    <w:unhideWhenUsed/>
    <w:rsid w:val="00AD6178"/>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AD6178"/>
    <w:rPr>
      <w:rFonts w:ascii="Calibri" w:eastAsiaTheme="minorHAnsi" w:hAnsi="Calibri"/>
      <w:szCs w:val="21"/>
    </w:rPr>
  </w:style>
  <w:style w:type="character" w:customStyle="1" w:styleId="UnresolvedMention2">
    <w:name w:val="Unresolved Mention2"/>
    <w:basedOn w:val="DefaultParagraphFont"/>
    <w:uiPriority w:val="99"/>
    <w:semiHidden/>
    <w:unhideWhenUsed/>
    <w:rsid w:val="001133C4"/>
    <w:rPr>
      <w:color w:val="605E5C"/>
      <w:shd w:val="clear" w:color="auto" w:fill="E1DFDD"/>
    </w:rPr>
  </w:style>
  <w:style w:type="paragraph" w:styleId="ListBullet">
    <w:name w:val="List Bullet"/>
    <w:basedOn w:val="Normal"/>
    <w:uiPriority w:val="99"/>
    <w:semiHidden/>
    <w:unhideWhenUsed/>
    <w:rsid w:val="003C7E35"/>
    <w:pPr>
      <w:numPr>
        <w:numId w:val="3"/>
      </w:numPr>
      <w:contextualSpacing/>
    </w:pPr>
  </w:style>
  <w:style w:type="character" w:customStyle="1" w:styleId="paragraph">
    <w:name w:val="paragraph"/>
    <w:basedOn w:val="DefaultParagraphFont"/>
    <w:rsid w:val="00F0695E"/>
  </w:style>
  <w:style w:type="character" w:customStyle="1" w:styleId="Heading3Char">
    <w:name w:val="Heading 3 Char"/>
    <w:basedOn w:val="DefaultParagraphFont"/>
    <w:link w:val="Heading3"/>
    <w:uiPriority w:val="9"/>
    <w:semiHidden/>
    <w:rsid w:val="00666D77"/>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uiPriority w:val="9"/>
    <w:rsid w:val="00BD74A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69417">
      <w:bodyDiv w:val="1"/>
      <w:marLeft w:val="0"/>
      <w:marRight w:val="0"/>
      <w:marTop w:val="0"/>
      <w:marBottom w:val="0"/>
      <w:divBdr>
        <w:top w:val="none" w:sz="0" w:space="0" w:color="auto"/>
        <w:left w:val="none" w:sz="0" w:space="0" w:color="auto"/>
        <w:bottom w:val="none" w:sz="0" w:space="0" w:color="auto"/>
        <w:right w:val="none" w:sz="0" w:space="0" w:color="auto"/>
      </w:divBdr>
    </w:div>
    <w:div w:id="196085611">
      <w:bodyDiv w:val="1"/>
      <w:marLeft w:val="0"/>
      <w:marRight w:val="0"/>
      <w:marTop w:val="0"/>
      <w:marBottom w:val="0"/>
      <w:divBdr>
        <w:top w:val="none" w:sz="0" w:space="0" w:color="auto"/>
        <w:left w:val="none" w:sz="0" w:space="0" w:color="auto"/>
        <w:bottom w:val="none" w:sz="0" w:space="0" w:color="auto"/>
        <w:right w:val="none" w:sz="0" w:space="0" w:color="auto"/>
      </w:divBdr>
    </w:div>
    <w:div w:id="357389027">
      <w:bodyDiv w:val="1"/>
      <w:marLeft w:val="0"/>
      <w:marRight w:val="0"/>
      <w:marTop w:val="0"/>
      <w:marBottom w:val="0"/>
      <w:divBdr>
        <w:top w:val="none" w:sz="0" w:space="0" w:color="auto"/>
        <w:left w:val="none" w:sz="0" w:space="0" w:color="auto"/>
        <w:bottom w:val="none" w:sz="0" w:space="0" w:color="auto"/>
        <w:right w:val="none" w:sz="0" w:space="0" w:color="auto"/>
      </w:divBdr>
    </w:div>
    <w:div w:id="425075507">
      <w:bodyDiv w:val="1"/>
      <w:marLeft w:val="0"/>
      <w:marRight w:val="0"/>
      <w:marTop w:val="0"/>
      <w:marBottom w:val="0"/>
      <w:divBdr>
        <w:top w:val="none" w:sz="0" w:space="0" w:color="auto"/>
        <w:left w:val="none" w:sz="0" w:space="0" w:color="auto"/>
        <w:bottom w:val="none" w:sz="0" w:space="0" w:color="auto"/>
        <w:right w:val="none" w:sz="0" w:space="0" w:color="auto"/>
      </w:divBdr>
    </w:div>
    <w:div w:id="428236522">
      <w:bodyDiv w:val="1"/>
      <w:marLeft w:val="0"/>
      <w:marRight w:val="0"/>
      <w:marTop w:val="0"/>
      <w:marBottom w:val="0"/>
      <w:divBdr>
        <w:top w:val="none" w:sz="0" w:space="0" w:color="auto"/>
        <w:left w:val="none" w:sz="0" w:space="0" w:color="auto"/>
        <w:bottom w:val="none" w:sz="0" w:space="0" w:color="auto"/>
        <w:right w:val="none" w:sz="0" w:space="0" w:color="auto"/>
      </w:divBdr>
    </w:div>
    <w:div w:id="449471671">
      <w:bodyDiv w:val="1"/>
      <w:marLeft w:val="0"/>
      <w:marRight w:val="0"/>
      <w:marTop w:val="0"/>
      <w:marBottom w:val="0"/>
      <w:divBdr>
        <w:top w:val="none" w:sz="0" w:space="0" w:color="auto"/>
        <w:left w:val="none" w:sz="0" w:space="0" w:color="auto"/>
        <w:bottom w:val="none" w:sz="0" w:space="0" w:color="auto"/>
        <w:right w:val="none" w:sz="0" w:space="0" w:color="auto"/>
      </w:divBdr>
    </w:div>
    <w:div w:id="48801285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6602708">
      <w:bodyDiv w:val="1"/>
      <w:marLeft w:val="0"/>
      <w:marRight w:val="0"/>
      <w:marTop w:val="0"/>
      <w:marBottom w:val="0"/>
      <w:divBdr>
        <w:top w:val="none" w:sz="0" w:space="0" w:color="auto"/>
        <w:left w:val="none" w:sz="0" w:space="0" w:color="auto"/>
        <w:bottom w:val="none" w:sz="0" w:space="0" w:color="auto"/>
        <w:right w:val="none" w:sz="0" w:space="0" w:color="auto"/>
      </w:divBdr>
    </w:div>
    <w:div w:id="584845970">
      <w:bodyDiv w:val="1"/>
      <w:marLeft w:val="0"/>
      <w:marRight w:val="0"/>
      <w:marTop w:val="0"/>
      <w:marBottom w:val="0"/>
      <w:divBdr>
        <w:top w:val="none" w:sz="0" w:space="0" w:color="auto"/>
        <w:left w:val="none" w:sz="0" w:space="0" w:color="auto"/>
        <w:bottom w:val="none" w:sz="0" w:space="0" w:color="auto"/>
        <w:right w:val="none" w:sz="0" w:space="0" w:color="auto"/>
      </w:divBdr>
    </w:div>
    <w:div w:id="592780786">
      <w:bodyDiv w:val="1"/>
      <w:marLeft w:val="0"/>
      <w:marRight w:val="0"/>
      <w:marTop w:val="0"/>
      <w:marBottom w:val="0"/>
      <w:divBdr>
        <w:top w:val="none" w:sz="0" w:space="0" w:color="auto"/>
        <w:left w:val="none" w:sz="0" w:space="0" w:color="auto"/>
        <w:bottom w:val="none" w:sz="0" w:space="0" w:color="auto"/>
        <w:right w:val="none" w:sz="0" w:space="0" w:color="auto"/>
      </w:divBdr>
    </w:div>
    <w:div w:id="689181274">
      <w:bodyDiv w:val="1"/>
      <w:marLeft w:val="0"/>
      <w:marRight w:val="0"/>
      <w:marTop w:val="0"/>
      <w:marBottom w:val="0"/>
      <w:divBdr>
        <w:top w:val="none" w:sz="0" w:space="0" w:color="auto"/>
        <w:left w:val="none" w:sz="0" w:space="0" w:color="auto"/>
        <w:bottom w:val="none" w:sz="0" w:space="0" w:color="auto"/>
        <w:right w:val="none" w:sz="0" w:space="0" w:color="auto"/>
      </w:divBdr>
    </w:div>
    <w:div w:id="751510789">
      <w:bodyDiv w:val="1"/>
      <w:marLeft w:val="0"/>
      <w:marRight w:val="0"/>
      <w:marTop w:val="0"/>
      <w:marBottom w:val="0"/>
      <w:divBdr>
        <w:top w:val="none" w:sz="0" w:space="0" w:color="auto"/>
        <w:left w:val="none" w:sz="0" w:space="0" w:color="auto"/>
        <w:bottom w:val="none" w:sz="0" w:space="0" w:color="auto"/>
        <w:right w:val="none" w:sz="0" w:space="0" w:color="auto"/>
      </w:divBdr>
    </w:div>
    <w:div w:id="756442013">
      <w:bodyDiv w:val="1"/>
      <w:marLeft w:val="0"/>
      <w:marRight w:val="0"/>
      <w:marTop w:val="0"/>
      <w:marBottom w:val="0"/>
      <w:divBdr>
        <w:top w:val="none" w:sz="0" w:space="0" w:color="auto"/>
        <w:left w:val="none" w:sz="0" w:space="0" w:color="auto"/>
        <w:bottom w:val="none" w:sz="0" w:space="0" w:color="auto"/>
        <w:right w:val="none" w:sz="0" w:space="0" w:color="auto"/>
      </w:divBdr>
    </w:div>
    <w:div w:id="793133587">
      <w:bodyDiv w:val="1"/>
      <w:marLeft w:val="0"/>
      <w:marRight w:val="0"/>
      <w:marTop w:val="0"/>
      <w:marBottom w:val="0"/>
      <w:divBdr>
        <w:top w:val="none" w:sz="0" w:space="0" w:color="auto"/>
        <w:left w:val="none" w:sz="0" w:space="0" w:color="auto"/>
        <w:bottom w:val="none" w:sz="0" w:space="0" w:color="auto"/>
        <w:right w:val="none" w:sz="0" w:space="0" w:color="auto"/>
      </w:divBdr>
    </w:div>
    <w:div w:id="816143773">
      <w:bodyDiv w:val="1"/>
      <w:marLeft w:val="0"/>
      <w:marRight w:val="0"/>
      <w:marTop w:val="0"/>
      <w:marBottom w:val="0"/>
      <w:divBdr>
        <w:top w:val="none" w:sz="0" w:space="0" w:color="auto"/>
        <w:left w:val="none" w:sz="0" w:space="0" w:color="auto"/>
        <w:bottom w:val="none" w:sz="0" w:space="0" w:color="auto"/>
        <w:right w:val="none" w:sz="0" w:space="0" w:color="auto"/>
      </w:divBdr>
    </w:div>
    <w:div w:id="890923628">
      <w:bodyDiv w:val="1"/>
      <w:marLeft w:val="0"/>
      <w:marRight w:val="0"/>
      <w:marTop w:val="0"/>
      <w:marBottom w:val="0"/>
      <w:divBdr>
        <w:top w:val="none" w:sz="0" w:space="0" w:color="auto"/>
        <w:left w:val="none" w:sz="0" w:space="0" w:color="auto"/>
        <w:bottom w:val="none" w:sz="0" w:space="0" w:color="auto"/>
        <w:right w:val="none" w:sz="0" w:space="0" w:color="auto"/>
      </w:divBdr>
    </w:div>
    <w:div w:id="985545351">
      <w:bodyDiv w:val="1"/>
      <w:marLeft w:val="0"/>
      <w:marRight w:val="0"/>
      <w:marTop w:val="0"/>
      <w:marBottom w:val="0"/>
      <w:divBdr>
        <w:top w:val="none" w:sz="0" w:space="0" w:color="auto"/>
        <w:left w:val="none" w:sz="0" w:space="0" w:color="auto"/>
        <w:bottom w:val="none" w:sz="0" w:space="0" w:color="auto"/>
        <w:right w:val="none" w:sz="0" w:space="0" w:color="auto"/>
      </w:divBdr>
    </w:div>
    <w:div w:id="1104806812">
      <w:bodyDiv w:val="1"/>
      <w:marLeft w:val="0"/>
      <w:marRight w:val="0"/>
      <w:marTop w:val="0"/>
      <w:marBottom w:val="0"/>
      <w:divBdr>
        <w:top w:val="none" w:sz="0" w:space="0" w:color="auto"/>
        <w:left w:val="none" w:sz="0" w:space="0" w:color="auto"/>
        <w:bottom w:val="none" w:sz="0" w:space="0" w:color="auto"/>
        <w:right w:val="none" w:sz="0" w:space="0" w:color="auto"/>
      </w:divBdr>
    </w:div>
    <w:div w:id="1181968031">
      <w:bodyDiv w:val="1"/>
      <w:marLeft w:val="0"/>
      <w:marRight w:val="0"/>
      <w:marTop w:val="0"/>
      <w:marBottom w:val="0"/>
      <w:divBdr>
        <w:top w:val="none" w:sz="0" w:space="0" w:color="auto"/>
        <w:left w:val="none" w:sz="0" w:space="0" w:color="auto"/>
        <w:bottom w:val="none" w:sz="0" w:space="0" w:color="auto"/>
        <w:right w:val="none" w:sz="0" w:space="0" w:color="auto"/>
      </w:divBdr>
    </w:div>
    <w:div w:id="1203640270">
      <w:bodyDiv w:val="1"/>
      <w:marLeft w:val="0"/>
      <w:marRight w:val="0"/>
      <w:marTop w:val="0"/>
      <w:marBottom w:val="0"/>
      <w:divBdr>
        <w:top w:val="none" w:sz="0" w:space="0" w:color="auto"/>
        <w:left w:val="none" w:sz="0" w:space="0" w:color="auto"/>
        <w:bottom w:val="none" w:sz="0" w:space="0" w:color="auto"/>
        <w:right w:val="none" w:sz="0" w:space="0" w:color="auto"/>
      </w:divBdr>
    </w:div>
    <w:div w:id="1270088348">
      <w:bodyDiv w:val="1"/>
      <w:marLeft w:val="0"/>
      <w:marRight w:val="0"/>
      <w:marTop w:val="0"/>
      <w:marBottom w:val="0"/>
      <w:divBdr>
        <w:top w:val="none" w:sz="0" w:space="0" w:color="auto"/>
        <w:left w:val="none" w:sz="0" w:space="0" w:color="auto"/>
        <w:bottom w:val="none" w:sz="0" w:space="0" w:color="auto"/>
        <w:right w:val="none" w:sz="0" w:space="0" w:color="auto"/>
      </w:divBdr>
    </w:div>
    <w:div w:id="1329867341">
      <w:bodyDiv w:val="1"/>
      <w:marLeft w:val="0"/>
      <w:marRight w:val="0"/>
      <w:marTop w:val="0"/>
      <w:marBottom w:val="0"/>
      <w:divBdr>
        <w:top w:val="none" w:sz="0" w:space="0" w:color="auto"/>
        <w:left w:val="none" w:sz="0" w:space="0" w:color="auto"/>
        <w:bottom w:val="none" w:sz="0" w:space="0" w:color="auto"/>
        <w:right w:val="none" w:sz="0" w:space="0" w:color="auto"/>
      </w:divBdr>
    </w:div>
    <w:div w:id="140942165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1529524">
      <w:bodyDiv w:val="1"/>
      <w:marLeft w:val="0"/>
      <w:marRight w:val="0"/>
      <w:marTop w:val="0"/>
      <w:marBottom w:val="0"/>
      <w:divBdr>
        <w:top w:val="none" w:sz="0" w:space="0" w:color="auto"/>
        <w:left w:val="none" w:sz="0" w:space="0" w:color="auto"/>
        <w:bottom w:val="none" w:sz="0" w:space="0" w:color="auto"/>
        <w:right w:val="none" w:sz="0" w:space="0" w:color="auto"/>
      </w:divBdr>
    </w:div>
    <w:div w:id="1550458490">
      <w:bodyDiv w:val="1"/>
      <w:marLeft w:val="0"/>
      <w:marRight w:val="0"/>
      <w:marTop w:val="0"/>
      <w:marBottom w:val="0"/>
      <w:divBdr>
        <w:top w:val="none" w:sz="0" w:space="0" w:color="auto"/>
        <w:left w:val="none" w:sz="0" w:space="0" w:color="auto"/>
        <w:bottom w:val="none" w:sz="0" w:space="0" w:color="auto"/>
        <w:right w:val="none" w:sz="0" w:space="0" w:color="auto"/>
      </w:divBdr>
    </w:div>
    <w:div w:id="1563103359">
      <w:bodyDiv w:val="1"/>
      <w:marLeft w:val="0"/>
      <w:marRight w:val="0"/>
      <w:marTop w:val="0"/>
      <w:marBottom w:val="0"/>
      <w:divBdr>
        <w:top w:val="none" w:sz="0" w:space="0" w:color="auto"/>
        <w:left w:val="none" w:sz="0" w:space="0" w:color="auto"/>
        <w:bottom w:val="none" w:sz="0" w:space="0" w:color="auto"/>
        <w:right w:val="none" w:sz="0" w:space="0" w:color="auto"/>
      </w:divBdr>
    </w:div>
    <w:div w:id="1659920667">
      <w:bodyDiv w:val="1"/>
      <w:marLeft w:val="0"/>
      <w:marRight w:val="0"/>
      <w:marTop w:val="0"/>
      <w:marBottom w:val="0"/>
      <w:divBdr>
        <w:top w:val="none" w:sz="0" w:space="0" w:color="auto"/>
        <w:left w:val="none" w:sz="0" w:space="0" w:color="auto"/>
        <w:bottom w:val="none" w:sz="0" w:space="0" w:color="auto"/>
        <w:right w:val="none" w:sz="0" w:space="0" w:color="auto"/>
      </w:divBdr>
    </w:div>
    <w:div w:id="1711421958">
      <w:bodyDiv w:val="1"/>
      <w:marLeft w:val="0"/>
      <w:marRight w:val="0"/>
      <w:marTop w:val="0"/>
      <w:marBottom w:val="0"/>
      <w:divBdr>
        <w:top w:val="none" w:sz="0" w:space="0" w:color="auto"/>
        <w:left w:val="none" w:sz="0" w:space="0" w:color="auto"/>
        <w:bottom w:val="none" w:sz="0" w:space="0" w:color="auto"/>
        <w:right w:val="none" w:sz="0" w:space="0" w:color="auto"/>
      </w:divBdr>
    </w:div>
    <w:div w:id="1714425450">
      <w:bodyDiv w:val="1"/>
      <w:marLeft w:val="0"/>
      <w:marRight w:val="0"/>
      <w:marTop w:val="0"/>
      <w:marBottom w:val="0"/>
      <w:divBdr>
        <w:top w:val="none" w:sz="0" w:space="0" w:color="auto"/>
        <w:left w:val="none" w:sz="0" w:space="0" w:color="auto"/>
        <w:bottom w:val="none" w:sz="0" w:space="0" w:color="auto"/>
        <w:right w:val="none" w:sz="0" w:space="0" w:color="auto"/>
      </w:divBdr>
    </w:div>
    <w:div w:id="1726639236">
      <w:bodyDiv w:val="1"/>
      <w:marLeft w:val="0"/>
      <w:marRight w:val="0"/>
      <w:marTop w:val="0"/>
      <w:marBottom w:val="0"/>
      <w:divBdr>
        <w:top w:val="none" w:sz="0" w:space="0" w:color="auto"/>
        <w:left w:val="none" w:sz="0" w:space="0" w:color="auto"/>
        <w:bottom w:val="none" w:sz="0" w:space="0" w:color="auto"/>
        <w:right w:val="none" w:sz="0" w:space="0" w:color="auto"/>
      </w:divBdr>
    </w:div>
    <w:div w:id="1776243744">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24812219">
      <w:bodyDiv w:val="1"/>
      <w:marLeft w:val="0"/>
      <w:marRight w:val="0"/>
      <w:marTop w:val="0"/>
      <w:marBottom w:val="0"/>
      <w:divBdr>
        <w:top w:val="none" w:sz="0" w:space="0" w:color="auto"/>
        <w:left w:val="none" w:sz="0" w:space="0" w:color="auto"/>
        <w:bottom w:val="none" w:sz="0" w:space="0" w:color="auto"/>
        <w:right w:val="none" w:sz="0" w:space="0" w:color="auto"/>
      </w:divBdr>
    </w:div>
    <w:div w:id="1851217598">
      <w:bodyDiv w:val="1"/>
      <w:marLeft w:val="0"/>
      <w:marRight w:val="0"/>
      <w:marTop w:val="0"/>
      <w:marBottom w:val="0"/>
      <w:divBdr>
        <w:top w:val="none" w:sz="0" w:space="0" w:color="auto"/>
        <w:left w:val="none" w:sz="0" w:space="0" w:color="auto"/>
        <w:bottom w:val="none" w:sz="0" w:space="0" w:color="auto"/>
        <w:right w:val="none" w:sz="0" w:space="0" w:color="auto"/>
      </w:divBdr>
    </w:div>
    <w:div w:id="1866870718">
      <w:bodyDiv w:val="1"/>
      <w:marLeft w:val="0"/>
      <w:marRight w:val="0"/>
      <w:marTop w:val="0"/>
      <w:marBottom w:val="0"/>
      <w:divBdr>
        <w:top w:val="none" w:sz="0" w:space="0" w:color="auto"/>
        <w:left w:val="none" w:sz="0" w:space="0" w:color="auto"/>
        <w:bottom w:val="none" w:sz="0" w:space="0" w:color="auto"/>
        <w:right w:val="none" w:sz="0" w:space="0" w:color="auto"/>
      </w:divBdr>
    </w:div>
    <w:div w:id="1873181475">
      <w:bodyDiv w:val="1"/>
      <w:marLeft w:val="0"/>
      <w:marRight w:val="0"/>
      <w:marTop w:val="0"/>
      <w:marBottom w:val="0"/>
      <w:divBdr>
        <w:top w:val="none" w:sz="0" w:space="0" w:color="auto"/>
        <w:left w:val="none" w:sz="0" w:space="0" w:color="auto"/>
        <w:bottom w:val="none" w:sz="0" w:space="0" w:color="auto"/>
        <w:right w:val="none" w:sz="0" w:space="0" w:color="auto"/>
      </w:divBdr>
    </w:div>
    <w:div w:id="1900969696">
      <w:bodyDiv w:val="1"/>
      <w:marLeft w:val="0"/>
      <w:marRight w:val="0"/>
      <w:marTop w:val="0"/>
      <w:marBottom w:val="0"/>
      <w:divBdr>
        <w:top w:val="none" w:sz="0" w:space="0" w:color="auto"/>
        <w:left w:val="none" w:sz="0" w:space="0" w:color="auto"/>
        <w:bottom w:val="none" w:sz="0" w:space="0" w:color="auto"/>
        <w:right w:val="none" w:sz="0" w:space="0" w:color="auto"/>
      </w:divBdr>
    </w:div>
    <w:div w:id="1917398864">
      <w:bodyDiv w:val="1"/>
      <w:marLeft w:val="0"/>
      <w:marRight w:val="0"/>
      <w:marTop w:val="0"/>
      <w:marBottom w:val="0"/>
      <w:divBdr>
        <w:top w:val="none" w:sz="0" w:space="0" w:color="auto"/>
        <w:left w:val="none" w:sz="0" w:space="0" w:color="auto"/>
        <w:bottom w:val="none" w:sz="0" w:space="0" w:color="auto"/>
        <w:right w:val="none" w:sz="0" w:space="0" w:color="auto"/>
      </w:divBdr>
    </w:div>
    <w:div w:id="1944923538">
      <w:bodyDiv w:val="1"/>
      <w:marLeft w:val="0"/>
      <w:marRight w:val="0"/>
      <w:marTop w:val="0"/>
      <w:marBottom w:val="0"/>
      <w:divBdr>
        <w:top w:val="none" w:sz="0" w:space="0" w:color="auto"/>
        <w:left w:val="none" w:sz="0" w:space="0" w:color="auto"/>
        <w:bottom w:val="none" w:sz="0" w:space="0" w:color="auto"/>
        <w:right w:val="none" w:sz="0" w:space="0" w:color="auto"/>
      </w:divBdr>
    </w:div>
    <w:div w:id="1975863282">
      <w:bodyDiv w:val="1"/>
      <w:marLeft w:val="0"/>
      <w:marRight w:val="0"/>
      <w:marTop w:val="0"/>
      <w:marBottom w:val="0"/>
      <w:divBdr>
        <w:top w:val="none" w:sz="0" w:space="0" w:color="auto"/>
        <w:left w:val="none" w:sz="0" w:space="0" w:color="auto"/>
        <w:bottom w:val="none" w:sz="0" w:space="0" w:color="auto"/>
        <w:right w:val="none" w:sz="0" w:space="0" w:color="auto"/>
      </w:divBdr>
    </w:div>
    <w:div w:id="1977223583">
      <w:bodyDiv w:val="1"/>
      <w:marLeft w:val="0"/>
      <w:marRight w:val="0"/>
      <w:marTop w:val="0"/>
      <w:marBottom w:val="0"/>
      <w:divBdr>
        <w:top w:val="none" w:sz="0" w:space="0" w:color="auto"/>
        <w:left w:val="none" w:sz="0" w:space="0" w:color="auto"/>
        <w:bottom w:val="none" w:sz="0" w:space="0" w:color="auto"/>
        <w:right w:val="none" w:sz="0" w:space="0" w:color="auto"/>
      </w:divBdr>
    </w:div>
    <w:div w:id="2018917142">
      <w:bodyDiv w:val="1"/>
      <w:marLeft w:val="0"/>
      <w:marRight w:val="0"/>
      <w:marTop w:val="0"/>
      <w:marBottom w:val="0"/>
      <w:divBdr>
        <w:top w:val="none" w:sz="0" w:space="0" w:color="auto"/>
        <w:left w:val="none" w:sz="0" w:space="0" w:color="auto"/>
        <w:bottom w:val="none" w:sz="0" w:space="0" w:color="auto"/>
        <w:right w:val="none" w:sz="0" w:space="0" w:color="auto"/>
      </w:divBdr>
    </w:div>
    <w:div w:id="2060860526">
      <w:bodyDiv w:val="1"/>
      <w:marLeft w:val="0"/>
      <w:marRight w:val="0"/>
      <w:marTop w:val="0"/>
      <w:marBottom w:val="0"/>
      <w:divBdr>
        <w:top w:val="none" w:sz="0" w:space="0" w:color="auto"/>
        <w:left w:val="none" w:sz="0" w:space="0" w:color="auto"/>
        <w:bottom w:val="none" w:sz="0" w:space="0" w:color="auto"/>
        <w:right w:val="none" w:sz="0" w:space="0" w:color="auto"/>
      </w:divBdr>
    </w:div>
    <w:div w:id="2081248194">
      <w:bodyDiv w:val="1"/>
      <w:marLeft w:val="0"/>
      <w:marRight w:val="0"/>
      <w:marTop w:val="0"/>
      <w:marBottom w:val="0"/>
      <w:divBdr>
        <w:top w:val="none" w:sz="0" w:space="0" w:color="auto"/>
        <w:left w:val="none" w:sz="0" w:space="0" w:color="auto"/>
        <w:bottom w:val="none" w:sz="0" w:space="0" w:color="auto"/>
        <w:right w:val="none" w:sz="0" w:space="0" w:color="auto"/>
      </w:divBdr>
    </w:div>
    <w:div w:id="213289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image" Target="media/image4.png"/><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8" Type="http://schemas.openxmlformats.org/officeDocument/2006/relationships/hyperlink" Target="http://www.dartmouthatlas.org/keyissues/issue.aspx?con=2944" TargetMode="External"/><Relationship Id="rId13" Type="http://schemas.openxmlformats.org/officeDocument/2006/relationships/hyperlink" Target="http://www.cms.gov/MedicareAdvtgSpecRateStats/Downloads/Announcement2009.pdf" TargetMode="External"/><Relationship Id="rId18" Type="http://schemas.openxmlformats.org/officeDocument/2006/relationships/hyperlink" Target="http://medpac.gov/docs/default-source/data-book/jun19_databook_entirereport_sec.pdf?sfvrsn=0" TargetMode="External"/><Relationship Id="rId3" Type="http://schemas.openxmlformats.org/officeDocument/2006/relationships/hyperlink" Target="http://www.cms.gov/Medicare/Quality-Initiatives-Patient-Assessment-Instruments/hospital-value-based-purchasing/Downloads/HVBP_Measure_Reliability-.pdf" TargetMode="External"/><Relationship Id="rId21" Type="http://schemas.openxmlformats.org/officeDocument/2006/relationships/hyperlink" Target="http://www.dartmouthatlas.org/downloads/reports/PA_Spending_Report_0611.pdf" TargetMode="External"/><Relationship Id="rId7" Type="http://schemas.openxmlformats.org/officeDocument/2006/relationships/hyperlink" Target="https://www.ncbi.nlm.nih.gov/pmc/articles/PMC3983733/" TargetMode="External"/><Relationship Id="rId12" Type="http://schemas.openxmlformats.org/officeDocument/2006/relationships/hyperlink" Target="https://www.cms.gov/Medicare/Health-Plans/MedicareAdvtgSpecRateStats/Downloads/RTC-Dec2018.pdf" TargetMode="External"/><Relationship Id="rId17" Type="http://schemas.openxmlformats.org/officeDocument/2006/relationships/hyperlink" Target="http://medpac.gov/docs/default-source/reports/sept17_regionalvariation_report_final_sec.pdf?sfvrsn=0" TargetMode="External"/><Relationship Id="rId2" Type="http://schemas.openxmlformats.org/officeDocument/2006/relationships/hyperlink" Target="https://www.cms.gov/Research-Statistics-Data-and-Systems/Monitoring-Programs/Medicare-FFS-Compliance-Programs/CERT/CERT-Reports-Items/Downloads/AppendicesMedicareFee-for-Service2015ImproperPaymentsReport.pdf" TargetMode="External"/><Relationship Id="rId16" Type="http://schemas.openxmlformats.org/officeDocument/2006/relationships/hyperlink" Target="http://www.dartmouthatlas.org/downloads/reports/PA_Spending_Report_0611.pdf" TargetMode="External"/><Relationship Id="rId20" Type="http://schemas.openxmlformats.org/officeDocument/2006/relationships/hyperlink" Target="http://www.dartmouthatlas.org/downloads/reports/Spending_Brief_022709.pdf" TargetMode="External"/><Relationship Id="rId1" Type="http://schemas.openxmlformats.org/officeDocument/2006/relationships/hyperlink" Target="https://archive.ahrq.gov/research/findings/final-reports/medicareindicators/index.html" TargetMode="External"/><Relationship Id="rId6" Type="http://schemas.openxmlformats.org/officeDocument/2006/relationships/hyperlink" Target="https://www.qualitynet.org/inpatient/measures/payment/methodology" TargetMode="External"/><Relationship Id="rId11" Type="http://schemas.openxmlformats.org/officeDocument/2006/relationships/hyperlink" Target="https://www.qualityforum.org/WorkArea/linkit.aspx?LinkIdentifier=id&amp;ItemID=85635" TargetMode="External"/><Relationship Id="rId5" Type="http://schemas.openxmlformats.org/officeDocument/2006/relationships/hyperlink" Target="http://www.cms.gov/Research-Statistics-Data-and-Systems/Statistics-Trends-and-Reports/Medicare-Geographic-Variation/GV_PUF.html" TargetMode="External"/><Relationship Id="rId15" Type="http://schemas.openxmlformats.org/officeDocument/2006/relationships/hyperlink" Target="https://journals.plos.org/plosone/article?id=10.1371/journal.pone.0174533" TargetMode="External"/><Relationship Id="rId10" Type="http://schemas.openxmlformats.org/officeDocument/2006/relationships/hyperlink" Target="https://www.cms.gov/Medicare/Health-Plans/MedicareAdvtgSpecRateStats/Downloads/RTC-Dec2018.pdf" TargetMode="External"/><Relationship Id="rId19" Type="http://schemas.openxmlformats.org/officeDocument/2006/relationships/hyperlink" Target="https://www2.census.gov/geo/pdfs/maps-data/maps/reference/us_regdiv.pdf" TargetMode="External"/><Relationship Id="rId4" Type="http://schemas.openxmlformats.org/officeDocument/2006/relationships/hyperlink" Target="http://www.medpac.gov/docs/default-source/data-book/jun19_databook_sec8_sec.pdf?sfvrsn=0" TargetMode="External"/><Relationship Id="rId9" Type="http://schemas.openxmlformats.org/officeDocument/2006/relationships/hyperlink" Target="http://www.medpac.gov/docs/default-source/data-book/jun19_databook_entirereport_sec.pdf?sfvrsn=0" TargetMode="External"/><Relationship Id="rId14" Type="http://schemas.openxmlformats.org/officeDocument/2006/relationships/hyperlink" Target="https://aspe.hhs.gov/system/files/pdf/253971/ASPESESRTCfull.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altName w:val="游明朝"/>
    <w:charset w:val="80"/>
    <w:family w:val="roman"/>
    <w:pitch w:val="variable"/>
    <w:sig w:usb0="800002E7" w:usb1="2AC7FCF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1ACD"/>
    <w:rsid w:val="00081BD5"/>
    <w:rsid w:val="00094BD4"/>
    <w:rsid w:val="000E0AEE"/>
    <w:rsid w:val="00105ED4"/>
    <w:rsid w:val="00127222"/>
    <w:rsid w:val="001736D7"/>
    <w:rsid w:val="00190AF4"/>
    <w:rsid w:val="001E4A63"/>
    <w:rsid w:val="001F052F"/>
    <w:rsid w:val="00223FA3"/>
    <w:rsid w:val="00243EF4"/>
    <w:rsid w:val="002A288F"/>
    <w:rsid w:val="002C29BC"/>
    <w:rsid w:val="002C65A7"/>
    <w:rsid w:val="002F052A"/>
    <w:rsid w:val="0031683E"/>
    <w:rsid w:val="00321B42"/>
    <w:rsid w:val="00343A32"/>
    <w:rsid w:val="00350176"/>
    <w:rsid w:val="003840F0"/>
    <w:rsid w:val="003A27EF"/>
    <w:rsid w:val="003A2A67"/>
    <w:rsid w:val="003C4870"/>
    <w:rsid w:val="003D7918"/>
    <w:rsid w:val="003E5490"/>
    <w:rsid w:val="00437537"/>
    <w:rsid w:val="004450EC"/>
    <w:rsid w:val="00447D5B"/>
    <w:rsid w:val="00455A8C"/>
    <w:rsid w:val="00495273"/>
    <w:rsid w:val="004D6319"/>
    <w:rsid w:val="004D785E"/>
    <w:rsid w:val="004F06EC"/>
    <w:rsid w:val="004F249D"/>
    <w:rsid w:val="00513FC9"/>
    <w:rsid w:val="0053654E"/>
    <w:rsid w:val="00550EB4"/>
    <w:rsid w:val="00594F08"/>
    <w:rsid w:val="005A3C88"/>
    <w:rsid w:val="005D770C"/>
    <w:rsid w:val="005F4398"/>
    <w:rsid w:val="00610196"/>
    <w:rsid w:val="00632A7E"/>
    <w:rsid w:val="00632AB6"/>
    <w:rsid w:val="006808DA"/>
    <w:rsid w:val="00697184"/>
    <w:rsid w:val="006A6DA3"/>
    <w:rsid w:val="006D6D44"/>
    <w:rsid w:val="00710961"/>
    <w:rsid w:val="007128D6"/>
    <w:rsid w:val="0072078A"/>
    <w:rsid w:val="00730B33"/>
    <w:rsid w:val="00734340"/>
    <w:rsid w:val="007507C2"/>
    <w:rsid w:val="00772B2A"/>
    <w:rsid w:val="007B0694"/>
    <w:rsid w:val="007C672A"/>
    <w:rsid w:val="007D4368"/>
    <w:rsid w:val="00803B7B"/>
    <w:rsid w:val="00812058"/>
    <w:rsid w:val="00815619"/>
    <w:rsid w:val="00822666"/>
    <w:rsid w:val="00823ECC"/>
    <w:rsid w:val="00826796"/>
    <w:rsid w:val="00854A4F"/>
    <w:rsid w:val="00866C97"/>
    <w:rsid w:val="008B30DF"/>
    <w:rsid w:val="009017AE"/>
    <w:rsid w:val="00901EF2"/>
    <w:rsid w:val="00943002"/>
    <w:rsid w:val="009A38F4"/>
    <w:rsid w:val="009C542D"/>
    <w:rsid w:val="00A01A18"/>
    <w:rsid w:val="00A36E46"/>
    <w:rsid w:val="00A848F5"/>
    <w:rsid w:val="00A84DB8"/>
    <w:rsid w:val="00A95183"/>
    <w:rsid w:val="00AB4AF7"/>
    <w:rsid w:val="00AD33EB"/>
    <w:rsid w:val="00AD79BA"/>
    <w:rsid w:val="00AD7C4F"/>
    <w:rsid w:val="00AE368F"/>
    <w:rsid w:val="00AF3DEB"/>
    <w:rsid w:val="00B0325F"/>
    <w:rsid w:val="00B33625"/>
    <w:rsid w:val="00B443CA"/>
    <w:rsid w:val="00B445F5"/>
    <w:rsid w:val="00BB3CB4"/>
    <w:rsid w:val="00BB6B29"/>
    <w:rsid w:val="00BD40CB"/>
    <w:rsid w:val="00BF365E"/>
    <w:rsid w:val="00C24E7E"/>
    <w:rsid w:val="00C26AEE"/>
    <w:rsid w:val="00C362A2"/>
    <w:rsid w:val="00C41E82"/>
    <w:rsid w:val="00C80406"/>
    <w:rsid w:val="00C90121"/>
    <w:rsid w:val="00C96E73"/>
    <w:rsid w:val="00CA1FE8"/>
    <w:rsid w:val="00CA344F"/>
    <w:rsid w:val="00CA660C"/>
    <w:rsid w:val="00D1676E"/>
    <w:rsid w:val="00D25648"/>
    <w:rsid w:val="00D535B0"/>
    <w:rsid w:val="00D812FC"/>
    <w:rsid w:val="00DB6038"/>
    <w:rsid w:val="00DC0246"/>
    <w:rsid w:val="00DE736C"/>
    <w:rsid w:val="00E12B8D"/>
    <w:rsid w:val="00E6518A"/>
    <w:rsid w:val="00E80D07"/>
    <w:rsid w:val="00EE107B"/>
    <w:rsid w:val="00EE4031"/>
    <w:rsid w:val="00F0049D"/>
    <w:rsid w:val="00F1181E"/>
    <w:rsid w:val="00F540AB"/>
    <w:rsid w:val="00F85817"/>
    <w:rsid w:val="00F915BA"/>
    <w:rsid w:val="00F96D79"/>
    <w:rsid w:val="00FA337C"/>
    <w:rsid w:val="00FC4DE3"/>
    <w:rsid w:val="00FE6629"/>
    <w:rsid w:val="00FF1A58"/>
    <w:rsid w:val="00FF67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6B29"/>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3BBDE03C62B42B7D1AAD33A91D428" ma:contentTypeVersion="9" ma:contentTypeDescription="Create a new document." ma:contentTypeScope="" ma:versionID="771c36bc551bfff094cb714f91d81ae9">
  <xsd:schema xmlns:xsd="http://www.w3.org/2001/XMLSchema" xmlns:xs="http://www.w3.org/2001/XMLSchema" xmlns:p="http://schemas.microsoft.com/office/2006/metadata/properties" xmlns:ns3="2b8b6fed-c2ad-4ded-97a7-77fb88559370" targetNamespace="http://schemas.microsoft.com/office/2006/metadata/properties" ma:root="true" ma:fieldsID="6bb1302926f81cf0a3407c8e283ff490" ns3:_="">
    <xsd:import namespace="2b8b6fed-c2ad-4ded-97a7-77fb8855937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b6fed-c2ad-4ded-97a7-77fb885593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7F028-4FEA-4E91-B3EB-45AE2664E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b6fed-c2ad-4ded-97a7-77fb88559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D700C901-3C40-4C03-AF30-8401D54B3554}">
  <ds:schemaRefs>
    <ds:schemaRef ds:uri="http://schemas.microsoft.com/office/2006/documentManagement/types"/>
    <ds:schemaRef ds:uri="http://purl.org/dc/dcmitype/"/>
    <ds:schemaRef ds:uri="2b8b6fed-c2ad-4ded-97a7-77fb88559370"/>
    <ds:schemaRef ds:uri="http://purl.org/dc/terms/"/>
    <ds:schemaRef ds:uri="http://www.w3.org/XML/1998/namespace"/>
    <ds:schemaRef ds:uri="http://schemas.openxmlformats.org/package/2006/metadata/core-properties"/>
    <ds:schemaRef ds:uri="http://schemas.microsoft.com/office/infopath/2007/PartnerControls"/>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231F0725-749B-46C5-95AE-798AD8E92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26381</Words>
  <Characters>150377</Characters>
  <Application>Microsoft Office Word</Application>
  <DocSecurity>0</DocSecurity>
  <Lines>1253</Lines>
  <Paragraphs>352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176406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Nastia Biriuchinskaia</cp:lastModifiedBy>
  <cp:revision>4</cp:revision>
  <dcterms:created xsi:type="dcterms:W3CDTF">2020-07-31T21:23:00Z</dcterms:created>
  <dcterms:modified xsi:type="dcterms:W3CDTF">2020-07-31T22:38:00Z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0x010100B3D3BBDE03C62B42B7D1AAD33A91D428</vt:lpwstr>
  </property>
</Properties>
</file>