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2375</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PointRight ® Pro 30™</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American Health Care Association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PointRight Pro-30 is an all-cause, risk adjusted rehospitalization measure. It provides the rate at which a patient (regardless of payer status or diagnosis) who enters a skilled nursing facility (SNF) from an acute hospital and is subsequently rehospitalized during their SNF stay, within 30 days from their admission to the SNF.</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Rehospitalization among admissions to SNFs has been identified as frequent and costly by academic studies (Grabowski 2007; Clark, 2010; Mor, 2010; Walsh, 2012), non-profit foundations such as Kaiser Foundation (Jacobson, 2010) and Commonwealth Fund (Schoen, 2013) as well as by government agency studies such as MedPAC (MedPAC, 2012) and CMS (Walsh, 2010).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Most of the reasons for high SNF rehospitalizations have been attributed to structural and process issues not directly related to clinical management of diagnoses listed on the hospital readmission claims (Ouslander, 2012; Ouslander, 2011). In the hospital setting, efforts to reduce rehospitalization also appear related to structure and processes not directly related to the clinical conditions (Dharmarajan, 2013;Hansen, 2011). In fact, a majority of rehospitalizations are for a different diagnosis or reason than their discharge diagnosis and more often reflect the broader condition of the patient and problems with the health care delivery system (Krumholtz, 2013). Solutions proposed by federal agencies have also suggested changes in payment and structural aspects of care (MedPac ,2012; Polniaszek, 2011). CMS’s Center for Medicare &amp; Medicaid Innovation is also testing models that promote nurse practitioners,the INTERACT program, and other models, all unrelated to specific clinical practice algorithms.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The frequent occurrence of rehospitalizations, the high cost, and the negative impact hospitalizations have on residents supports the need for a SNF rehospitalization measure. We see this measure as being used by providers (to benchmark their performance to others and to track their progress in quality improvement efforts), by insurance companies (to include in payment models and reporting programs) and by government agencies (to include in public reporting such as CMS’s Nursing Home Compare and Medicare or Medicaid payment models).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Dharmarajan, K., Hsieh, A., Lin A., Bueno, H., Ross, J.S., Horwitz, L., … Hines, H.J. (2013). Hospital readmission performance and patterns of readmission: Retrospective cohort study of Medicare admissions. BMJ, 347.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Jacobson, G., Neuman, T., &amp; Damico, A. (2010). Medicare spending and use of medical services for beneficiaries in nursing homes and other long term care facilities: A potential for achieving Medicare saving and improving the quality of care. The Henry J. Kaiser Family Foundation.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Krumholz, H.M. (2013). Post-hospital syndrome- an acquired, transient condition of generalized risk. NEJM, 386(2): 100-102.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MedPAC. (2012) Report to congress: Payment policy. http://medpac.gov/documents/mar12_entirereport.pdf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Mor, V., Intrator, O., Feng, Z., &amp; Grabowski, D.C. (2010). The revolving door of rehospitalizations from skilled nursing facilities. Health Affairs, 29(1): 57-64.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Oslander, J.G., &amp; Maslow, K. (2012). Geriatrics and the triple aim: Defining preventable hospitalizations in the long-term care population. J Am Geriatr Soc., 60(12): 2313-2318.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Ouslander, J.G., &amp; Bersenson, R.A. (2011). Reducing unnecessary hospitalization of nursing home residents. NEJM, 356(13): 1165-1167.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Ouslander, J.G., Lamb, G., Perloe, M., Givens, J.H., Kluge, L., Rutland, T, … Saliba, D. (2010). Potentially avoidable hospitalizations of nursing home residents: Frequency, causes, and costs. J Am Geriatr Soc., 58(4): 627-635.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Ouslander, J.G., Lamb,G., Tappen, R., Herndon, L., Diaz, S., Roos, B.A., … Bonner, A. (2011). Interventions to reduce hospitalizations from nursing homes: Evaluation of the INTERACT II collaborative quality improvement project. J Am Geriatr Soc., 59(4): 745-753.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Polniaszek, S., Walsh, E.G., &amp; Wiener, J.M. (2011). Hospitalizations of nursing home residents: Background and options. Office of the Assistant Secretary for Planning and Evaluation, http://aspe.hhs.gov/daltcp/reports/2011/NHResHosp.pdf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Schoen, C., Radley, D., Riley, P., Lippa, J., Berenson, J., Dermody, C., &amp; Shih A. (2013). Health Care in the two Americas: Findings from the scorecard on the state health system performance for low-income populations. The Commonwealth Fund.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http://www.commonwealthfund.org/Publications/Fund-Reports/2013/Sep/Low-Income-Scorecard.aspx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Walsh, E.D., Freiman, M., Haber, S., Bragg, A., Ouslander, J., &amp; Wiener, J.M. (2010) Cost drivers for dually eligible beneficiaries: Potentially avoidable hospitalization from nursing facility, skilled nursing facility, and home and community-based services waiver programs, final task 2 report. RTI International.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Young, H.M., Kurtzman, E., Roes, M., Toles, M., Ammerman, A., &amp; Pace, D. (2011). Measurement opportunities &amp; gaps: Transitional care processes and outcomes among adult recipients of long-term services and supports. Long Term Quality Alliance, Quality Measurement Workgroup.</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The numerator is the number of patients sent back to any acute care hospital (excluding emergency room only visits) during their SNF stay within 30 days from a SNF admission, as indicated on the MDS 3.0 discharge assessment during a 12 month measurement period.</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The denominator is the number of all admissions, regardless of payer status and diagnosis, with an MDS 3.0 admission assessment to a SNF from an acute hospital during the 12 month measurement period.</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Individuals with incomplete MDS assessments are excluded. Payer status and clinical conditions are not used for any exclusions.</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Outcome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Assessment Data</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Facility</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2014-12-23 12:57 PM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No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Rehospitalizations of any cause among individuals admitted to a skilled nursing facility (SNF) is the result of numerous clinical and non-clinical situations (Ouslander, 2012). The pathway leading to rehospitalizations is complex and differs for when the rehospitalization occurs after admission. However, a combination of structure, process and interventions influence the likelihood of rehospitalizations more than patient acuity and condition (Ouslander, 2012; Young et al., 2011). For early rehospitalizations following transfers from a hospital to a SNF, structural causes such as lack of equipment or medications upon arrival to the SNF often lead to rapid rehospitalizations. Inadequate information on transfer from the hospital to the SNF is another contributor for early rehospitalizations. For rehospitalizations occurring several days after transfer, structural causes such as those related to staffing levels (e.g., 24 RN presence) and type (e.g. nurse practitioner availability) are associated with lower rehospitalization rates. Processes and interventions such as early detection of signs and symptoms of impending infections (pneumonia, UTI, etc.) and chronic disease exacerbation (e.g. CHF, DM, etc.) can help reduce rehospitalizations. Inadequate adherence to treatment interventions and protocols for such conditions as pneumonia or UTI also lead to rehospitalizations. Ineffective communication between the RN and attending physician also commonly leads to rehospitalizations. Lack of discussion about end-of-life preferences including Do Not Hospitalize preferences lead to more rehospitalizations than necessary.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4362450" cy="4324350"/>
            <wp:docPr id="100008" name="" descr="Logic model of structure and processes that influence rehospitaliz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4362450" cy="432435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Logic model of structure and processes that influence rehospitalizations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Oslander, J.G., &amp; Maslow, K. (2012). Geriatrics and the triple aim: Defining preventable hospitalizations in the long-term care population. </w:t>
      </w:r>
      <w:r>
        <w:rPr>
          <w:rFonts w:ascii="Calibri" w:eastAsia="Calibri" w:hAnsi="Calibri" w:cs="Calibri"/>
          <w:b w:val="0"/>
          <w:i/>
          <w:iCs/>
          <w:color w:val="000000"/>
          <w:sz w:val="20"/>
        </w:rPr>
        <w:t>J Am Geriatr Soc.</w:t>
      </w:r>
      <w:r>
        <w:rPr>
          <w:rFonts w:ascii="Calibri" w:eastAsia="Calibri" w:hAnsi="Calibri" w:cs="Calibri"/>
          <w:b w:val="0"/>
          <w:i w:val="0"/>
          <w:color w:val="000000"/>
          <w:sz w:val="20"/>
        </w:rPr>
        <w:t xml:space="preserve">, 60(12): 2313-2318.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Young, Y., Inamdar, S., Dichter, B.S., Kilburn, H., &amp; Hannan, E.L. (2011). Clinical and nonclinical factors associated with potentially preventable hospitalizations among nursing home residents in New York state. </w:t>
      </w:r>
      <w:r>
        <w:rPr>
          <w:rFonts w:ascii="Calibri" w:eastAsia="Calibri" w:hAnsi="Calibri" w:cs="Calibri"/>
          <w:b w:val="0"/>
          <w:i/>
          <w:iCs/>
          <w:color w:val="000000"/>
          <w:sz w:val="20"/>
        </w:rPr>
        <w:t>JAMDA</w:t>
      </w:r>
      <w:r>
        <w:rPr>
          <w:rFonts w:ascii="Calibri" w:eastAsia="Calibri" w:hAnsi="Calibri" w:cs="Calibri"/>
          <w:b w:val="0"/>
          <w:i w:val="0"/>
          <w:color w:val="000000"/>
          <w:sz w:val="20"/>
        </w:rPr>
        <w:t xml:space="preserve">, 5: 364-371.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Provide evidence that the target population values the measured outcome, process, or structure and finds it meaningful.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how and from whom input was obtained.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Studies show rehospitalizations of the elderly negatively impact mobility, function, and mortality (Brown et al. 2009; Creditor, 1993; Lum et al., 2012). Rehospitalizations can cause complications unrelated to the primary reason for the hospitalization. These negative effects are driven by a decline in muscle strength, increased stress, and exposure to possible infections during a hospital stay, where physical movement is often restricted. Elderly individuals with dementia or memory loss can also find waking up in a hospital room disorienting. Thus, elderly individuals generally value avoiding hospitalizations when possible.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Brown, C.J., Roth, D.L, Allman, R.M., Sawyer, P., Ritchie, C.S., Roseman, J.M. (2009). Trajectories of life-space mobility after hospitalization. Ann Intern Med. 150(6): 372-378.</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Creditor, M.C. (1993). Hazards of hospitalization of the elderly. Ann Intern Med. 118(3): 219-223.</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Lum, H.D., Studenski, S.A., Degenholtz, H.B., Hardy, S.E. (2012). Early hospital readmission is a predictor of one-year mortality in community-dwelling older Medicare beneficiaries. Journal of General Internal Medicine. 27(11): 1467-74.</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empirical data demonstrating the relationship between the outcome (or PRO) and at least one healthcare structure, process, intervention, or service.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large portion of the rehospitalizations have hospital admission diagnoses suggesting that better clinical management in the SNF may have prevented the rehospitalization (Halfon et al., 2006; Spector, 2013; Walker, 2009). Following expert physician review of cases, many of the rehospitalizations are felt to be preventable and are often a result of the lack of early detection of the patient’s clinical deterioration by SNF staff (Saliba ,2000; Ouslander, 2010). In addition, adequacy of information upon transfer from the hospital to the SNF (Brook, 2013), the availability of information to physicians and SNFs (MedPac, 2012); the communication between the SNF staff and the attending physician (Ouslander, 2011) and discussions about end of life (Berkowitz, 2011) have all been shown as significant contributors to higher rehospitalizations from SNF.</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Berkowitz, R.E., Jones, R.N., Rieder, R., Bryan, M., Schreiber, R., Verney, S., &amp; Paasche-Orlow, M.K. (2011). Improving disposition outcomes for patients in a geriatric nursing facility. </w:t>
      </w:r>
      <w:r>
        <w:rPr>
          <w:rFonts w:ascii="Calibri" w:eastAsia="Calibri" w:hAnsi="Calibri" w:cs="Calibri"/>
          <w:b w:val="0"/>
          <w:i/>
          <w:iCs/>
          <w:color w:val="000000"/>
          <w:sz w:val="20"/>
        </w:rPr>
        <w:t>J Am Geriatr Soc.</w:t>
      </w:r>
      <w:r>
        <w:rPr>
          <w:rFonts w:ascii="Calibri" w:eastAsia="Calibri" w:hAnsi="Calibri" w:cs="Calibri"/>
          <w:b w:val="0"/>
          <w:i w:val="0"/>
          <w:color w:val="000000"/>
          <w:sz w:val="20"/>
        </w:rPr>
        <w:t xml:space="preserve">, 59: 1130-1136.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Brock, J., Mitchell, J., Irby, K., Stevens, B., Archibald, T., Goroski, A., &amp; Lynn, J. (2013). Association between quality improvement for care transitions in communities and rehospitalizations among Medicare beneficiaries. </w:t>
      </w:r>
      <w:r>
        <w:rPr>
          <w:rFonts w:ascii="Calibri" w:eastAsia="Calibri" w:hAnsi="Calibri" w:cs="Calibri"/>
          <w:b w:val="0"/>
          <w:i/>
          <w:iCs/>
          <w:color w:val="000000"/>
          <w:sz w:val="20"/>
        </w:rPr>
        <w:t>JAMA</w:t>
      </w:r>
      <w:r>
        <w:rPr>
          <w:rFonts w:ascii="Calibri" w:eastAsia="Calibri" w:hAnsi="Calibri" w:cs="Calibri"/>
          <w:b w:val="0"/>
          <w:i w:val="0"/>
          <w:color w:val="000000"/>
          <w:sz w:val="20"/>
        </w:rPr>
        <w:t>, 309(4).</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Halfon, P., Eggli, Y., Pretre-Rohrback, I., Meylan, D., Marazzi, A., &amp; Burnand, B. (2006). Validation of the potentially avoidable hospital readmission rate as a routine indicator of the quality of hospital care. </w:t>
      </w:r>
      <w:r>
        <w:rPr>
          <w:rFonts w:ascii="Calibri" w:eastAsia="Calibri" w:hAnsi="Calibri" w:cs="Calibri"/>
          <w:b w:val="0"/>
          <w:i/>
          <w:iCs/>
          <w:color w:val="000000"/>
          <w:sz w:val="20"/>
        </w:rPr>
        <w:t>Medical Care</w:t>
      </w:r>
      <w:r>
        <w:rPr>
          <w:rFonts w:ascii="Calibri" w:eastAsia="Calibri" w:hAnsi="Calibri" w:cs="Calibri"/>
          <w:b w:val="0"/>
          <w:i w:val="0"/>
          <w:color w:val="000000"/>
          <w:sz w:val="20"/>
        </w:rPr>
        <w:t xml:space="preserve">, 44(11): 972-981.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MedPAC. (2012) Report to congress: Payment policy. </w:t>
      </w:r>
      <w:hyperlink r:id="rId6" w:tgtFrame="_blank" w:history="1">
        <w:r>
          <w:rPr>
            <w:rFonts w:ascii="Calibri" w:eastAsia="Calibri" w:hAnsi="Calibri" w:cs="Calibri"/>
            <w:b w:val="0"/>
            <w:i w:val="0"/>
            <w:color w:val="0000FF"/>
            <w:sz w:val="20"/>
            <w:u w:val="single" w:color="0000FF"/>
          </w:rPr>
          <w:t>http://medpac.gov/documents/mar12_entirereport.pdf</w:t>
        </w:r>
      </w:hyperlink>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Ouslander, J.G., Lamb,G., Tappen, R., Herndon, L., Diaz, S., Roos, B.A., … Bonner, A. (2011). Interventions to reduce hospitalizations from nursing homes: Evaluation of the INTERACT II collaborative quality improvement project. </w:t>
      </w:r>
      <w:r>
        <w:rPr>
          <w:rFonts w:ascii="Calibri" w:eastAsia="Calibri" w:hAnsi="Calibri" w:cs="Calibri"/>
          <w:b w:val="0"/>
          <w:i/>
          <w:iCs/>
          <w:color w:val="000000"/>
          <w:sz w:val="20"/>
        </w:rPr>
        <w:t>J Am Geriatr Soc</w:t>
      </w:r>
      <w:r>
        <w:rPr>
          <w:rFonts w:ascii="Calibri" w:eastAsia="Calibri" w:hAnsi="Calibri" w:cs="Calibri"/>
          <w:b w:val="0"/>
          <w:i w:val="0"/>
          <w:color w:val="000000"/>
          <w:sz w:val="20"/>
        </w:rPr>
        <w:t xml:space="preserve">., 59(4): 745-753.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Saliba, D., Kington, R., Buchanan, J., Bell, R., Wang, M., Lee, M., …Rubenstein, L. (2000). Appropriateness of the decision to transfer nursing facility residents to the hospital. </w:t>
      </w:r>
      <w:r>
        <w:rPr>
          <w:rFonts w:ascii="Calibri" w:eastAsia="Calibri" w:hAnsi="Calibri" w:cs="Calibri"/>
          <w:b w:val="0"/>
          <w:i/>
          <w:iCs/>
          <w:color w:val="000000"/>
          <w:sz w:val="20"/>
        </w:rPr>
        <w:t>J Am Geriatr Soc.</w:t>
      </w:r>
      <w:r>
        <w:rPr>
          <w:rFonts w:ascii="Calibri" w:eastAsia="Calibri" w:hAnsi="Calibri" w:cs="Calibri"/>
          <w:b w:val="0"/>
          <w:i w:val="0"/>
          <w:color w:val="000000"/>
          <w:sz w:val="20"/>
        </w:rPr>
        <w:t xml:space="preserve">, 48(2): 154-163.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Spector, W.D., Limcangco, R., Williams, C., Rhodes, W., &amp; Hurd, D. (2013). Potentially Avoidable Hospitalizations for Elderly Long-stay residents in nursing homes. </w:t>
      </w:r>
      <w:r>
        <w:rPr>
          <w:rFonts w:ascii="Calibri" w:eastAsia="Calibri" w:hAnsi="Calibri" w:cs="Calibri"/>
          <w:b w:val="0"/>
          <w:i/>
          <w:iCs/>
          <w:color w:val="000000"/>
          <w:sz w:val="20"/>
        </w:rPr>
        <w:t>Medical Care</w:t>
      </w:r>
      <w:r>
        <w:rPr>
          <w:rFonts w:ascii="Calibri" w:eastAsia="Calibri" w:hAnsi="Calibri" w:cs="Calibri"/>
          <w:b w:val="0"/>
          <w:i w:val="0"/>
          <w:color w:val="000000"/>
          <w:sz w:val="20"/>
        </w:rPr>
        <w:t>, 51(8):673-681.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Walker, J.D., Teare, G.F., Hogan, D.B., Lewis, S., &amp; Maxwell, C.J. (2009). Identifying potentially avoidable hospital admissions form Canadian long-term care facilities. </w:t>
      </w:r>
      <w:r>
        <w:rPr>
          <w:rFonts w:ascii="Calibri" w:eastAsia="Calibri" w:hAnsi="Calibri" w:cs="Calibri"/>
          <w:b w:val="0"/>
          <w:i/>
          <w:iCs/>
          <w:color w:val="000000"/>
          <w:sz w:val="20"/>
        </w:rPr>
        <w:t>Medical Care</w:t>
      </w:r>
      <w:r>
        <w:rPr>
          <w:rFonts w:ascii="Calibri" w:eastAsia="Calibri" w:hAnsi="Calibri" w:cs="Calibri"/>
          <w:b w:val="0"/>
          <w:i w:val="0"/>
          <w:color w:val="000000"/>
          <w:sz w:val="20"/>
        </w:rPr>
        <w:t>, 47(2):250-254.</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Rehospitalization among admissions to SNFs has been identified as frequent and costly by academic studies (Grabowski 2007; Clark, 2010; Mor, 2010; Walsh, 2012), non-profit foundations such as Kaiser Foundation (Jacobson, 2010) and Commonwealth Fund (Schoen, 2013) as well as by government agency studies such as MedPAC (MedPAC, 2012) and CMS (Walsh, 2010).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Most of the reasons for high SNF rehospitalizations have been attributed to structural and process issues not directly related to clinical management of diagnoses listed on the hospital readmission claims (Ouslander, 2012; Ouslander, 2011). In the hospital setting, efforts to reduce rehospitalization also appear related to structure and processes not directly related to the clinical conditions (Dharmarajan, 2013;Hansen, 2011). In fact, a majority of rehospitalizations are for a different diagnosis or reason than their discharge diagnosis and more often reflect the broader condition of the patient and problems with the health care delivery system (Krumholtz, 2013). Solutions proposed by federal agencies have also suggested changes in payment and structural aspects of care (MedPac ,2012; Polniaszek, 2011). CMS’s Center for Medicare &amp; Medicaid Innovation is also testing models that promote nurse practitioners,the INTERACT program, and other models, all unrelated to specific clinical practice algorithms.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frequent occurrence of rehospitalizations, the high cost, and the negative impact hospitalizations have on residents supports the need for a SNF rehospitalization measure. We see this measure as being used by providers (to benchmark their performance to others and to track their progress in quality improvement efforts), by insurance companies (to include in payment models and reporting programs) and by government agencies (to include in public reporting such as CMS’s Nursing Home Compare and Medicare or Medicaid payment models).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Dharmarajan, K., Hsieh, A., Lin A., Bueno, H., Ross, J.S., Horwitz, L., … Hines, H.J. (2013). Hospital readmission performance and patterns of readmission: Retrospective cohort study of Medicare admissions. BMJ, 347.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Jacobson, G., Neuman, T., &amp; Damico, A. (2010). Medicare spending and use of medical services for beneficiaries in nursing homes and other long term care facilities: A potential for achieving Medicare saving and improving the quality of care. The Henry J. Kaiser Family Foundation.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Krumholz, H.M. (2013). Post-hospital syndrome- an acquired, transient condition of generalized risk. NEJM, 386(2): 100-102.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MedPAC. (2012) Report to congress: Payment policy. http://medpac.gov/documents/mar12_entirereport.pdf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Mor, V., Intrator, O., Feng, Z., &amp; Grabowski, D.C. (2010). The revolving door of rehospitalizations from skilled nursing facilities. Health Affairs, 29(1): 57-64.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Oslander, J.G., &amp; Maslow, K. (2012). Geriatrics and the triple aim: Defining preventable hospitalizations in the long-term care population. J Am Geriatr Soc., 60(12): 2313-2318.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Ouslander, J.G., &amp; Bersenson, R.A. (2011). Reducing unnecessary hospitalization of nursing home residents. NEJM, 356(13): 1165-1167.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Ouslander, J.G., Lamb, G., Perloe, M., Givens, J.H., Kluge, L., Rutland, T, … Saliba, D. (2010). Potentially avoidable hospitalizations of nursing home residents: Frequency, causes, and costs. J Am Geriatr Soc., 58(4): 627-635.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Ouslander, J.G., Lamb,G., Tappen, R., Herndon, L., Diaz, S., Roos, B.A., … Bonner, A. (2011). Interventions to reduce hospitalizations from nursing homes: Evaluation of the INTERACT II collaborative quality improvement project. J Am Geriatr Soc., 59(4): 745-753.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Polniaszek, S., Walsh, E.G., &amp; Wiener, J.M. (2011). Hospitalizations of nursing home residents: Background and options. Office of the Assistant Secretary for Planning and Evaluation, http://aspe.hhs.gov/daltcp/reports/2011/NHResHosp.pdf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Schoen, C., Radley, D., Riley, P., Lippa, J., Berenson, J., Dermody, C., &amp; Shih A. (2013). Health Care in the two Americas: Findings from the scorecard on the state health system performance for low-income populations. The Commonwealth Fund.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http://www.commonwealthfund.org/Publications/Fund-Reports/2013/Sep/Low-Income-Scorecard.aspx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Walsh, E.D., Freiman, M., Haber, S., Bragg, A., Ouslander, J., &amp; Wiener, J.M. (2010) Cost drivers for dually eligible beneficiaries: Potentially avoidable hospitalization from nursing facility, skilled nursing facility, and home and community-based services waiver programs, final task 2 report. RTI International.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Young, H.M., Kurtzman, E., Roes, M., Toles, M., Ammerman, A., &amp; Pace, D. (2011). Measurement opportunities &amp; gaps: Transitional care processes and outcomes among adult recipients of long-term services and supports. Long Term Quality Alliance, Quality Measurement Workgroup.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AHCA has been calculating and tracking rehospitalizations for all SNFs nationally for data from 2011 and updating results each quarter. Below are the basic statistics for the measure from the most recent data available; care through the 4th quarter of 2020. </w:t>
      </w:r>
    </w:p>
    <w:tbl>
      <w:tblPr>
        <w:tblStyle w:val="TableGrid"/>
        <w:tblCaption w:val="Recent Pro30 Statistics"/>
        <w:tblDescription w:val="Recent Pro30 Statistics"/>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222"/>
        <w:gridCol w:w="2183"/>
        <w:gridCol w:w="2183"/>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943"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Statistics</w:t>
            </w:r>
          </w:p>
        </w:tc>
        <w:tc>
          <w:tcPr>
            <w:tcW w:w="1934"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 xml:space="preserve">2019q4 </w:t>
            </w:r>
          </w:p>
          <w:p w:rsidR="00A77B3E">
            <w:pPr>
              <w:spacing w:before="0" w:after="80"/>
              <w:jc w:val="right"/>
              <w:rPr>
                <w:rFonts w:ascii="Calibri" w:eastAsia="Calibri" w:hAnsi="Calibri" w:cs="Calibri"/>
                <w:b/>
                <w:bCs/>
                <w:i w:val="0"/>
                <w:color w:val="00000A"/>
                <w:sz w:val="20"/>
              </w:rPr>
            </w:pPr>
            <w:r>
              <w:rPr>
                <w:rFonts w:ascii="Calibri" w:eastAsia="Calibri" w:hAnsi="Calibri" w:cs="Calibri"/>
                <w:b/>
                <w:bCs/>
                <w:i w:val="0"/>
                <w:color w:val="00000A"/>
                <w:sz w:val="20"/>
              </w:rPr>
              <w:t>(Pre-COVID)</w:t>
            </w:r>
          </w:p>
        </w:tc>
        <w:tc>
          <w:tcPr>
            <w:tcW w:w="1934"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 xml:space="preserve">2020q4 </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N</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13,799</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13,328</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Risk Adjusted Mean Rate</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16.6%</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16.3%</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Standard Deviation</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4.9%</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5.2%</w:t>
            </w:r>
          </w:p>
        </w:tc>
      </w:tr>
      <w:tr>
        <w:trPr>
          <w:cantSplit/>
        </w:trPr>
        <w:tc>
          <w:tcPr>
            <w:tcW w:w="1943"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Min-Max</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0-58.7%</w:t>
            </w:r>
          </w:p>
        </w:tc>
        <w:tc>
          <w:tcPr>
            <w:tcW w:w="19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0-81.9%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Recent Pro30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The distribution of the SNFs with reportable data is as follows: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550"/>
        <w:gridCol w:w="2431"/>
        <w:gridCol w:w="1464"/>
        <w:gridCol w:w="2431"/>
        <w:gridCol w:w="146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602"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Risk-Adjusted Rate Range</w:t>
            </w:r>
          </w:p>
        </w:tc>
        <w:tc>
          <w:tcPr>
            <w:tcW w:w="2958"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2019q4 (Pre-COVID)</w:t>
            </w:r>
          </w:p>
        </w:tc>
        <w:tc>
          <w:tcPr/>
          <w:p w:rsidR="00A77B3E">
            <w:pPr>
              <w:rPr>
                <w:rFonts w:ascii="Calibri" w:eastAsia="Calibri" w:hAnsi="Calibri" w:cs="Calibri"/>
                <w:b/>
                <w:bCs/>
                <w:i w:val="0"/>
                <w:color w:val="00000A"/>
                <w:sz w:val="20"/>
              </w:rPr>
            </w:pPr>
          </w:p>
        </w:tc>
        <w:tc>
          <w:tcPr>
            <w:tcW w:w="2958"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2020q4</w:t>
            </w:r>
          </w:p>
        </w:tc>
        <w:tc>
          <w:tcPr/>
          <w:p w:rsidR="00A77B3E">
            <w:pPr>
              <w:rPr>
                <w:rFonts w:ascii="Calibri" w:eastAsia="Calibri" w:hAnsi="Calibri" w:cs="Calibri"/>
                <w:b/>
                <w:bCs/>
                <w:i w:val="0"/>
                <w:color w:val="00000A"/>
                <w:sz w:val="20"/>
              </w:rPr>
            </w:pPr>
          </w:p>
        </w:tc>
      </w:tr>
      <w:tr>
        <w:trPr>
          <w:cantSplit/>
        </w:trPr>
        <w:tc>
          <w:tcPr/>
          <w:p w:rsidR="00A77B3E">
            <w:pPr>
              <w:rPr>
                <w:rFonts w:ascii="Calibri" w:eastAsia="Calibri" w:hAnsi="Calibri" w:cs="Calibri"/>
                <w:b/>
                <w:bCs/>
                <w:i w:val="0"/>
                <w:color w:val="00000A"/>
                <w:sz w:val="20"/>
              </w:rPr>
            </w:pP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c>
          <w:tcPr>
            <w:tcW w:w="1592"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0-&lt;5%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95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0.7%</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170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1.3%</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5-&lt;10%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968</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7.0%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1,208</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9.1%</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10-&lt;15%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4,115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29.8%</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4,047</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30.4%</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15-&lt;20%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5,575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40.4%</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4,948</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37.1%</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20-&lt;25%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2,374</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17.2%</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2,316</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17.4%</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25-&lt;30%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553</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4.0%</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531</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4.0%</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30-35%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94</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0.7%</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97</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0.7%</w:t>
            </w:r>
          </w:p>
        </w:tc>
      </w:tr>
      <w:tr>
        <w:trPr>
          <w:cantSplit/>
        </w:trPr>
        <w:tc>
          <w:tcPr>
            <w:tcW w:w="1602"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&gt;=35%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25</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0.2%</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11</w:t>
            </w:r>
          </w:p>
        </w:tc>
        <w:tc>
          <w:tcPr>
            <w:tcW w:w="1592"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0.1%</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In addition, all AHCA member facilities have access to their own rehospitalization rate updated each quarter through AHCA’s Quality Dashboard (Long Term Care Trend Tracker). The national trends have shown a steady decline in the overall rate from fourth quarter of 2011 to the third quarter of 2020. There was a slight uptick in the national average rate for the fourth quarter of 2020, which could be related to the COVID pandemic. With the most recent uptick, there has still been an average improvement of 10.4% from the fourth quarter of 2011 to the fourth quarter of 2020., with the average improvement by state varying (see below).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680190"/>
            <wp:docPr id="100010" name="" descr="National Trend of Risk-Adjusted Average Pro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5943600" cy="268019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National Trend of Risk-Adjusted Average Pro30</w:t>
      </w:r>
    </w:p>
    <w:tbl>
      <w:tblPr>
        <w:tblStyle w:val="TableGrid"/>
        <w:tblCaption w:val="State average Pro30 Rates from 2011 to 2020 and percent change"/>
        <w:tblDescription w:val="State average Pro30 Rates from 2011 to 2020 and percent change"/>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74"/>
        <w:gridCol w:w="1854"/>
        <w:gridCol w:w="1994"/>
        <w:gridCol w:w="1754"/>
        <w:gridCol w:w="143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00"/>
          <w:tblHeader/>
        </w:trPr>
        <w:tc>
          <w:tcPr>
            <w:tcW w:w="11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State</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2011-Q4 Rate</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2020-Q4 Rate</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 Change</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Facilities</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Nation</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18.2%</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13,328</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AK</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-23.5%</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201</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AR</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AZ</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1,028</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CT</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17.5%</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DC</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17.4%</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FL</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687</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323</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HI</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11.8%</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13.9%</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273</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ID</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IL</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20.9%</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18.2%</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635</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17.4%</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477</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KS</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191</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KY</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LA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23.3%</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19.2%</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-17.5%</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252</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346</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MD</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15.4%</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211</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76</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MI</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414</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MN</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17.2%</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275</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MO</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19.2%</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404</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MS</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21.5%</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MT</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11.7%</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NC</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15.3%</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403</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ND</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14.3%</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-4.5%</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NH</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-6.8%</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NJ</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18.1%</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343</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NM</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15.7%</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NV</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52</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NY</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18.4%</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580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OH</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-5.0%</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868</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OK</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20.2%</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-11.9%</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OR</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108</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15.3%</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656</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RI</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15.6%</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72</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SC</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SD</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12.6%</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13.4%</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59</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TN</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15.6%</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295</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TX</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19.2%</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1,034</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UT</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11.8%</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12.2%</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18.1%</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267</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VT</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14.0%</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6.2%</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WA</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13.8%</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-15.6%</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185</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WI</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319</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WV</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18.2%</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-16.1%</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r>
      <w:tr>
        <w:trPr>
          <w:cantSplit/>
          <w:trHeight w:val="300"/>
        </w:trPr>
        <w:tc>
          <w:tcPr>
            <w:tcW w:w="11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WY</w:t>
            </w:r>
          </w:p>
        </w:tc>
        <w:tc>
          <w:tcPr>
            <w:tcW w:w="16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13.0%</w:t>
            </w:r>
          </w:p>
        </w:tc>
        <w:tc>
          <w:tcPr>
            <w:tcW w:w="174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10.7%</w:t>
            </w:r>
          </w:p>
        </w:tc>
        <w:tc>
          <w:tcPr>
            <w:tcW w:w="150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-17.3%</w:t>
            </w:r>
          </w:p>
        </w:tc>
        <w:tc>
          <w:tcPr>
            <w:tcW w:w="11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State average Pro30 Rates from 2011 to 2020 and percent change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The measure reflects the entire population of individuals admitted to a SNF following a hospitalization. It includes all race and ethnicities regardless of payer status. Nationally, 76% of all nursing home residents are classified as White, 14% as African American, and 2% as Asian (see table below for fully breakdown in 2020).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Race/Ethnicity Makeup of SNF Residents (2020q1-2020q4)</w:t>
      </w:r>
    </w:p>
    <w:tbl>
      <w:tblPr>
        <w:tblStyle w:val="TableGrid"/>
        <w:tblCaption w:val="SNF Resident Race and Ethnicity in 2020"/>
        <w:tblDescription w:val="SNF Resident Race and Ethnicity in 202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104"/>
        <w:gridCol w:w="1205"/>
        <w:gridCol w:w="1086"/>
        <w:gridCol w:w="1191"/>
        <w:gridCol w:w="1057"/>
        <w:gridCol w:w="1097"/>
        <w:gridCol w:w="173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1459"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SNFs</w:t>
            </w:r>
          </w:p>
        </w:tc>
        <w:tc>
          <w:tcPr>
            <w:tcW w:w="1459"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Residents</w:t>
            </w:r>
          </w:p>
        </w:tc>
        <w:tc>
          <w:tcPr>
            <w:tcW w:w="1459"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White</w:t>
            </w:r>
          </w:p>
        </w:tc>
        <w:tc>
          <w:tcPr>
            <w:tcW w:w="1459"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African American</w:t>
            </w:r>
          </w:p>
        </w:tc>
        <w:tc>
          <w:tcPr>
            <w:tcW w:w="1459"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Asian</w:t>
            </w:r>
          </w:p>
        </w:tc>
        <w:tc>
          <w:tcPr>
            <w:tcW w:w="1459"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Hispanic</w:t>
            </w:r>
          </w:p>
        </w:tc>
        <w:tc>
          <w:tcPr>
            <w:tcW w:w="2713"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Native American/ Hawaii Pacific Islander</w:t>
            </w:r>
          </w:p>
        </w:tc>
      </w:tr>
      <w:tr>
        <w:trPr>
          <w:cantSplit/>
        </w:trPr>
        <w:tc>
          <w:tcPr>
            <w:tcW w:w="145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15,715</w:t>
            </w:r>
          </w:p>
        </w:tc>
        <w:tc>
          <w:tcPr>
            <w:tcW w:w="145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3,739,243</w:t>
            </w:r>
          </w:p>
        </w:tc>
        <w:tc>
          <w:tcPr>
            <w:tcW w:w="145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75.8%</w:t>
            </w:r>
          </w:p>
        </w:tc>
        <w:tc>
          <w:tcPr>
            <w:tcW w:w="145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13.7%</w:t>
            </w:r>
          </w:p>
        </w:tc>
        <w:tc>
          <w:tcPr>
            <w:tcW w:w="145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2.0%</w:t>
            </w:r>
          </w:p>
        </w:tc>
        <w:tc>
          <w:tcPr>
            <w:tcW w:w="145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5.6%</w:t>
            </w:r>
          </w:p>
        </w:tc>
        <w:tc>
          <w:tcPr>
            <w:tcW w:w="2713"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A"/>
                <w:sz w:val="20"/>
              </w:rPr>
              <w:t>0.4%</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SNF Resident Race and Ethnicity in 2020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Stratifying the measure by race and ethnicity would result in most providers having inadequate sample size to report a rehospitalization rate. Also, the measure is an all-cause readmission measure, intended to capture the overall performance of each SNF.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When we categorize facilities by their percent of minority residents, we find that facilities with fewer minorities have lower risk adjusted Pro30 readmission rates. The difference in the average readmission rate between facilities with low (&lt;5%) and high (&gt;=35%) percentage of minorities has decreased over time. In 2011-Q4, the difference was 4.1 percentage points. In 2020-Q4, the difference was 2.8 percentage points (See table below).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Facility-Level Race/Ethnicity x Pro30 Rehospitalization Rate</w:t>
      </w:r>
    </w:p>
    <w:tbl>
      <w:tblPr>
        <w:tblStyle w:val="TableGrid"/>
        <w:tblCaption w:val="Facility-level Minority Race/Ethncity and Average Pro30 Rate in 2011 and 2020"/>
        <w:tblDescription w:val="Facility-level Minority Race/Ethncity and Average Pro30 Rate in 2011 and 202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095"/>
        <w:gridCol w:w="1842"/>
        <w:gridCol w:w="2852"/>
        <w:gridCol w:w="155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00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Facility Categorization of Minority Race/Ethnicity</w:t>
            </w:r>
          </w:p>
        </w:tc>
        <w:tc>
          <w:tcPr>
            <w:tcW w:w="1691"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SNF Count</w:t>
            </w:r>
          </w:p>
        </w:tc>
        <w:tc>
          <w:tcPr>
            <w:tcW w:w="263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Average Risk-Adjusted Pro30 Readmission Rate</w:t>
            </w:r>
          </w:p>
        </w:tc>
        <w:tc>
          <w:tcPr/>
          <w:p w:rsidR="00A77B3E">
            <w:pPr>
              <w:rPr>
                <w:rFonts w:ascii="Calibri" w:eastAsia="Calibri" w:hAnsi="Calibri" w:cs="Calibri"/>
                <w:b/>
                <w:bCs/>
                <w:i w:val="0"/>
                <w:color w:val="00000A"/>
                <w:sz w:val="20"/>
              </w:rPr>
            </w:pPr>
          </w:p>
        </w:tc>
      </w:tr>
      <w:tr>
        <w:trPr>
          <w:cantSplit/>
        </w:trPr>
        <w:tc>
          <w:tcPr/>
          <w:p w:rsidR="00A77B3E">
            <w:pPr>
              <w:rPr>
                <w:rFonts w:ascii="Calibri" w:eastAsia="Calibri" w:hAnsi="Calibri" w:cs="Calibri"/>
                <w:b/>
                <w:bCs/>
                <w:i w:val="0"/>
                <w:color w:val="00000A"/>
                <w:sz w:val="20"/>
              </w:rPr>
            </w:pPr>
          </w:p>
        </w:tc>
        <w:tc>
          <w:tcPr/>
          <w:p w:rsidR="00A77B3E">
            <w:pPr>
              <w:rPr>
                <w:rFonts w:ascii="Calibri" w:eastAsia="Calibri" w:hAnsi="Calibri" w:cs="Calibri"/>
                <w:b/>
                <w:bCs/>
                <w:i w:val="0"/>
                <w:color w:val="00000A"/>
                <w:sz w:val="20"/>
              </w:rPr>
            </w:pPr>
          </w:p>
        </w:tc>
        <w:tc>
          <w:tcPr>
            <w:tcW w:w="1466"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2011-Q4</w:t>
            </w:r>
          </w:p>
        </w:tc>
        <w:tc>
          <w:tcPr>
            <w:tcW w:w="1386"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2020-Q4</w:t>
            </w:r>
          </w:p>
        </w:tc>
      </w:tr>
      <w:tr>
        <w:trPr>
          <w:cantSplit/>
        </w:trPr>
        <w:tc>
          <w:tcPr>
            <w:tcW w:w="300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Low (&lt;5%)</w:t>
            </w:r>
          </w:p>
        </w:tc>
        <w:tc>
          <w:tcPr>
            <w:tcW w:w="169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5,313 (34%)</w:t>
            </w:r>
          </w:p>
        </w:tc>
        <w:tc>
          <w:tcPr>
            <w:tcW w:w="146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14.9%</w:t>
            </w:r>
          </w:p>
        </w:tc>
      </w:tr>
      <w:tr>
        <w:trPr>
          <w:cantSplit/>
        </w:trPr>
        <w:tc>
          <w:tcPr>
            <w:tcW w:w="300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Medium-Low (5-14.9%)</w:t>
            </w:r>
          </w:p>
        </w:tc>
        <w:tc>
          <w:tcPr>
            <w:tcW w:w="169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3,608 (23%)</w:t>
            </w:r>
          </w:p>
        </w:tc>
        <w:tc>
          <w:tcPr>
            <w:tcW w:w="146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r>
      <w:tr>
        <w:trPr>
          <w:cantSplit/>
        </w:trPr>
        <w:tc>
          <w:tcPr>
            <w:tcW w:w="300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Medium-High (15-34.9%)</w:t>
            </w:r>
          </w:p>
        </w:tc>
        <w:tc>
          <w:tcPr>
            <w:tcW w:w="169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3,284 (21%)</w:t>
            </w:r>
          </w:p>
        </w:tc>
        <w:tc>
          <w:tcPr>
            <w:tcW w:w="146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r>
      <w:tr>
        <w:trPr>
          <w:cantSplit/>
        </w:trPr>
        <w:tc>
          <w:tcPr>
            <w:tcW w:w="3001"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High (&gt;=35%)</w:t>
            </w:r>
          </w:p>
        </w:tc>
        <w:tc>
          <w:tcPr>
            <w:tcW w:w="169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3,243 (21%)</w:t>
            </w:r>
          </w:p>
        </w:tc>
        <w:tc>
          <w:tcPr>
            <w:tcW w:w="146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20.6%</w:t>
            </w:r>
          </w:p>
        </w:tc>
        <w:tc>
          <w:tcPr>
            <w:tcW w:w="138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Facility-level Minority Race/Ethncity and Average Pro30 Rate in 2011 and 2020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A similar pattern is seen when we look at a facility’s geographic location relative to the CDC’s Social Vulnerability Index (SVI). </w:t>
      </w:r>
      <w:r>
        <w:rPr>
          <w:rFonts w:ascii="Calibri" w:eastAsia="Calibri" w:hAnsi="Calibri" w:cs="Calibri"/>
          <w:b w:val="0"/>
          <w:i w:val="0"/>
          <w:color w:val="00000A"/>
          <w:sz w:val="20"/>
        </w:rPr>
        <w:t>The SVI evaluates the relative social vulnerability of counties across the United States using 15 different measures of vulnerability in 4 different themes: socioeconomic status, household composition &amp; disability, minority status &amp; language, and housing type &amp; transportation. For every measure, if a county is above the 90th percentile (i.e. in the most vulnerable 10%), it is given a flag.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Facilities located in lower SVI counties had lower risk adjusted Pro30 readmission rates. The difference in the average readmission rate between facilities in low (0 flags) and high (&gt;= 4 flags) SVI counties has decreased over time. In 2011-Q4, the difference was 2.7 percentage points. In 2020-Q4, the difference was 1.4 percentage points (See table below).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County-Level Social Vulnerability Index (SVI) x Pro30 Rehospitalization Rate</w:t>
      </w:r>
    </w:p>
    <w:tbl>
      <w:tblPr>
        <w:tblStyle w:val="TableGrid"/>
        <w:tblCaption w:val="Facility County SVI and Average Pro30 Rates in 2011 and 2020"/>
        <w:tblDescription w:val="Facility County SVI and Average Pro30 Rates in 2011 and 202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189"/>
        <w:gridCol w:w="1173"/>
        <w:gridCol w:w="4060"/>
        <w:gridCol w:w="91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Facility Categorization by County SVI</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SNF Count</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A"/>
                <w:sz w:val="20"/>
              </w:rPr>
              <w:t>Average Risk-Adjusted Pro30 Readmission Rate</w:t>
            </w:r>
          </w:p>
        </w:tc>
        <w:tc>
          <w:tcPr/>
          <w:p w:rsidR="00A77B3E">
            <w:pPr>
              <w:rPr>
                <w:rFonts w:ascii="Calibri" w:eastAsia="Calibri" w:hAnsi="Calibri" w:cs="Calibri"/>
                <w:b/>
                <w:bCs/>
                <w:i w:val="0"/>
                <w:color w:val="00000A"/>
                <w:sz w:val="20"/>
              </w:rPr>
            </w:pPr>
          </w:p>
        </w:tc>
      </w:tr>
      <w:tr>
        <w:trPr>
          <w:cantSplit/>
        </w:trPr>
        <w:tc>
          <w:tcPr/>
          <w:p w:rsidR="00A77B3E">
            <w:pPr>
              <w:rPr>
                <w:rFonts w:ascii="Calibri" w:eastAsia="Calibri" w:hAnsi="Calibri" w:cs="Calibri"/>
                <w:b/>
                <w:bCs/>
                <w:i w:val="0"/>
                <w:color w:val="00000A"/>
                <w:sz w:val="20"/>
              </w:rPr>
            </w:pPr>
          </w:p>
        </w:tc>
        <w:tc>
          <w:tcPr/>
          <w:p w:rsidR="00A77B3E">
            <w:pPr>
              <w:rPr>
                <w:rFonts w:ascii="Calibri" w:eastAsia="Calibri" w:hAnsi="Calibri" w:cs="Calibri"/>
                <w:b/>
                <w:bCs/>
                <w:i w:val="0"/>
                <w:color w:val="00000A"/>
                <w:sz w:val="20"/>
              </w:rPr>
            </w:pP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2011-Q4</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A"/>
                <w:sz w:val="20"/>
              </w:rPr>
              <w:t>2020-Q4</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Low (0 Flags)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5,335 (35%)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Medium-Low (1 Flag)</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3,861 (25%)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16.1%</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Medium-High (2-3 Flags)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3,317 (22%)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High (&gt;=4 Flags)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2,699 (18%)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17.2%</w:t>
            </w:r>
          </w:p>
        </w:tc>
      </w:tr>
    </w:tbl>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Facility County SVI and Average Pro30 Rates in 2011 and 2020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2016, Pro30 was part of NQF's Socio-Demographic Status (SDS) Trial Period project. During this project, three patient-level sociodemographic variables (marital status, race [black or non-black], and Medicaid enrollment) were analyzed. None of these variables markedly improved the validity of the risk model. Thus, it was agreed to keep them out. A memo summarizing the results of this analysis is attached in the appendix.</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 lot of articles in the literature address disparities in long term care but not for residents receiving short post-acute care services. Two articles focus on ethnic disparities related to hospitalizations (Li, 2011; Grunier, 2008). In the first study using national MDS data from 2008, the authors found that the 30 day rehospitalization rates were 14.3% for white patients (n = 865,993) and 18.6% for black patients (n = 94,651). Both patient and admitting facility characteristics accounted for a considerable portion of overall racial disparities, but disparities persisted after multivariable adjustments overall and in patient subgroup (Li, 2011). However, this study did not compare within- facility and between-facility disparities. Within-facility disparities are those where disparities exist between Blacks and Whites in the same facilities and between-facility disparities are those where disparities exist between facilities with different racial composition (i.e. facilities with higher minority populations have poorer care quality than facilities with mostly white populations). Based on previous research related to racial disparities in SNFs, it is expected that disparities in rehospitalization would exist between facilities.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the second article, hospitalization rates for long stay residents on Medicaid were examined (short stay residents were not included) (Grunier, 2008). In this study, using MDS data to look at long stay residents, 18.5% of white and 24.1% of black residents were hospitalized. Residents in nursing homes with high concentrations of blacks had 20% higher odds (95 percent confidence interval [CI]=1.15-1.25) of hospitalization than residents in nursing homes with no blacks. Ten-dollar increments in Medicaid rates reduced the odds of hospitalization by 4 percent (95 percent CI=0.93-1.00) for white residents and 22 percent (95 percent CI=0.69-0.87) for black residents.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Multiple studies in the past twenty years have examined racial disparities in the care of SNF residents and have consistently found poorer care in facilities with high minority populations (Fennell et al., 2000; Mor et al., 2004; Smith et al., 2007). Work on disparities in quality of care between elderly white and black residents within SNFs has shown clearly that nursing homes remain relatively segregated, and that nursing home care can be described as a tiered system in which blacks are concentrated in marginal-quality homes (Mor et al., 2004). Such homes tend to have serious deficiencies in staffing ratios, performance, and are more financially vulnerable (Smith et al, 2007; Chisholm et al., 2013). Based on a review of the SNF disparities literature, Konetzka and Werner (2009) concluded that disparities in care are likely related to racial and socioeconomic segregation as opposed to within-provider discrimination. This conclusion is supported, for example, by Grunier and colleagues who found that as the proportion of black residents in the nursing home increased the risk of hospitalization among all residents, regardless of race, also increased (Grunier et al., 2008). Rehospitalization risk likely also increases as the proportion of black residents increases, indicating that the best measure of racial disparities in rates of rehospitalization is one that measures rehospitalization at the facility level.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sample size for African Americans divided across all the SNFs would make most SNFs unable to report a rate stratified by race. African American ethnicity is the next largest ethnicity after White.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Cai, S., Mukamel, D., &amp; Temkin-Greener, H. (2010). Pressure ulcer prevalence among black and white nursing home residents in New York state: Evidence of racial disparity? Medical Care 48(3), 233-239.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Chisholm, L., Weech-Maldonado, R., Laberge, A., Lin, F. C., &amp; Hyer, K. (2013). Nursing Home Quality and Financial Performance: Does the Racial Composition of Residents Matter?. Health services research.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Fennell, M. L., Miller, S. C., &amp; Mor, V. (2000). Facility effects on racial differences in nursing home quality of care. American Journal of Medical Quality, 15(4), 174-181.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Grabowski, D.C. (2004). The admission of Blacks to high-deficiency nursing homes. Medical Care 42(5): 456-464.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Gruneir, A., Miller, S. C., Feng, Z., Intrator, O., &amp; Mor, V. (2008). Relationship between state Medicaid policies, nursing home racial composition, and the risk of hospitalization for black and white residents. Health Services Research, 43(3), 869-881.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Konetzka, R. T., &amp; Werner, R. M. (2009). Review: Disparities in long-term care building equity into market-based reforms. Medical Care Research and Review, 66(5), 491-521.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Li, Y., Glance, L.G., Yin, J.,&amp; Mukamel, D.B (2011). Racial disparities in rehospitalization among Medicare patients in skilled nursing facilities. American Journal of Public Health, 101 (5), 875-882.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Mor, V., Papandanatos, G., &amp; Miller, S.C. (2005). End-of –life hospitalization for African American and non-Latino White nursing home residents: Variation by race and a facility’s racial composition. Journal of Palliative Medicine, 8(1): 58-68.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Mor, V., Zinn, J., Angelelli, J., Teno, J. M., &amp; Miller, S. C. (2004). Driven to tiers: socioeconomic and racial disparities in the quality of nursing home care. Milbank Quarterly, 82(2), 227-256.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Smith, D. B., Feng, Z., Fennell, M. L., Zinn, J. S., &amp; Mor, V. (2007). Separate and unequal: racial segregation and disparities in quality across US nursing homes. Health Affairs, 26(5): 1448-1458.</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8"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PointRight ® Pro 30™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PointRight Pro-30 is an all-cause, risk adjusted rehospitalization measure. It provides the rate at which a patient (regardless of payer status or diagnosis) who enters a skilled nursing facility (SNF) from an acute hospital and is subsequently rehospitalized during their SNF stay, within 30 days from their admission to the SNF.</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1"/>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(specify)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[Other (specify)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Care Coordination: Readmissions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Care Coordination: Transitions of Care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Elderly (Age &gt;= 65)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Post-Acute Care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https://www.ahcancal.org/Data-and-Research/Documents/Rehospitalization%20Help%20Doc.pdf</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9"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state the outcome being measured.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is the number of patients sent back to any acute care hospital (excluding emergency room only visits) during their SNF stay within 30 days from a SNF admission, as indicated on the MDS 3.0 discharge assessment during a 12 month measurement period.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describe how the observed outcome is identified/counted.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is the number of patients that are discharged from a SNF to an acute hospital within 30 days of entry from an acute hospital as indicated by MDS item A2100=03 (indicating ‘discharge to acute hospitals’) and MDS item A0310F=10/11 (indicating discharge status). The length of stay before rehospitalization is calculated by subtracting MDS item A1600 (entry date) from MDS item A2000 (discharge date).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state the target population for the outcome.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is the number of all admissions, regardless of payer status and diagnosis, with an MDS 3.0 admission assessment to a SNF from an acute hospital during the 12 month measurement period.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the question below: describe how the target population is identified. Calculation of the risk-adjusted outcome should be described in sp.22.</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total number of admissions to the facility, from an acute hospital, during the 12 month measurement period is determined using the MDS item A1800=03, indicating 'entered from hospital'. The entry date is determined using two MDS variables: A1600 (entry date) and A0310F=01 (indicating entry tracking record').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Individuals with incomplete MDS assessments are excluded. Payer status and clinical conditions are not used for any exclusions.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Admissions that do not have either a discharge assessment or a quarterly (annual or change of status) assessment within 120 days of admissions are excluded, as they are considered incomplete.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Statistical risk model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Lower score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formula for a facility’s adjusted rehospitalization rate is as follows: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Rate of Rehospitalization within 30 days) / (Expected Rate of Rehospitalization within 30 days) * (National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Note- the national rate is updated annually, while the observed and expected rates are updated quarterly.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 Observed Rate Calculation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formula for a facility’s observed Rehospitalization rate is as follows: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(Observed count of discharges to hospitals within 30 days of admission) / (Observed count of admissions from hospitals)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denominator is the number of any admissions from a hospital during the 12 month measurement period. (This is a count of events, not of residents.)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is the number of all admissions to the SNF during the 12 month measurement period who then went back to the hospital within 30 days of their admission date. (This is a count of events, not of residents.)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 Expected Rate Calculation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2.1 First the expected rate for every single resident admission is calculated using the formula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calculation must be performed at least 45 days after the end of the target 12-month measurement period. This is to allow 30 days to elapse to capture rehospitalizations that occur from admission to the SNF on the last day of the target period and another 14 days to allow facilities to submit data to CMS. We recommend waiting an additional 2 to 3 weeks to ensure maximum data availability for MDS assessments not submitted during the 14 day period.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VARIABLE CALCULATION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Intercept: -2.9736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Age Under 65: if age&lt;65 then Variable=1; else Variable=0; (If Date of Birth is missing, then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End Stage Prognosis: if J1400=1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Hospice Care: if O0100K2=1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Male: if A0800=1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Medicare: if A0310B = 01 or 06,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SNF Admission is Return to Same SNF Following Hospitalization: if A0310B=06 AND A1600 minus A2000 (on a previous MDS where A2100=3) &lt; 30 then Variable=1; else if A1700=2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Diagnoses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Anemia: if I0200=1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Asthma: if I6200=1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Diabetes Mellitus: if I2900=1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Diabetic Foot Ulcer: if M1040B=1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Pressure Ulcer Stage 2: if M0300B2&gt;0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Pressure Ulcer Stage 3: if M0300C2&gt;0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Pressure Ulcer Stage 4: if M0300D2&gt;0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Pressure Ulcer Unstageable: if M0300E2&gt;0 or M0300F2&gt;0 or M0300G2&gt;0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Respiratory Failure: if I6300=1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Septicemia: if I2100=1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Vascular Ulcer: if M1030&gt;0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Viral Hepatitis: if I2400=1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Heart Failure: if I0600=1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Internal Bleeding: if J1550D=1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Functional Status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Daily Pain: if J0400=1 or J0850=3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Eating Dependence- Total: if G0110H1 = 4,7, or 8,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Two Person assist Needed with One or More ADLs: if G0110A2=3 or G0110B2=3 or G0110C2=3 or G0110D2=3 or G0110E2=3 or G0110F2=3 or G0110G2=3 or G0110H2=3 or G0110I2=3 or G0110J2=3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Cognition not Completely Intact: if C0100=1 AND if C0500=15 then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C0100=1 AND if C0500 &lt;&gt;15 then Variable=1;if C0100=0 AND if C0700=0 AND C0800=0 AND C1000=0 AND C0900A=1 AND C0900B=1 AND C0900C=1 AND C0900D=1 then Variable=0; else Variable=1;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Total Bowel Incontinence: if H0400&gt;0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Treatment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Cancer Chemotherapy: if O0100A1=1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Dialysis: if O0100J1=1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Insulin: if N0350A&gt;0 or N0350B&gt;0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IV Medications Continuing from Hospital: if O0100H1=1 and O0100H2=1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Ostomy Care: if H0100C=1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Oxygen Continuing from Hospital: if O0100C1=1 and O0100C2=1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Radiation Therapy: if O0100B1=1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Tracheostomy Continuing from Hospital: if O0100E1=1 and O0100E2=1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FORMULA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LogOdds = - 2.8252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- 0.7846 * End Stage Prognosis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- 1.5085 * Hospice_care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+ 0.0923 * Anemia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+ 0.1033 * Asthma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+ 0.0611 * Daily Pain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+ 0.0462 * Diabetes_Mellitus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+ 0.1459 * Diabetic Foot Ulcer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+ 0.6038 * Dialysis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+ 0.1777 * Insulin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+ 0.3263 * Ostomy Care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+ 0.1670 * Pressure Ulcer Stage 2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+ 0.1334 * Pressure Ulcer Stage 3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+ 0.1569 * Pressure Ulcer Stage 4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+ 0.1810 * Pressure Ulcer Unstageable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+ 0.0891 * Septicemia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+ 0.1848 * Total Bowel Incontinence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+ 0.1862 * Venous Arterial Ulcer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+ 0.4017 * Viral Hepatitis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+ 0.1770 * Age Under 65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+ 0.6001 * Cancer Chemotherapy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+ 0.1880 * IV Medication Continued from Hospital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+ 0.3395 * Oxygen Continuing from Hospital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+ 0.1336 * Tracheostomy Continuing from Hospital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+ 0.4718 * Eating Dependency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+ 0.2004 * Heart Failure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+ 0.8920 * Internal Bleeding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+ 0.1622 * Male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+ 0.1400 * Return to Same SNF Following Hospitalizations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+ 0.5543 * Medicare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+ 0.2389 * Two Person Assist Required for One or More ADLs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+ 0.6111 * Radiation Therapy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+ 0.1159 * Respiratory Failure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+ 0.3327 * Cognition Not Completely Intact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30day_Rehospitalization_Probability= 1/(1+exp(-LogOdds))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2.2 Once the above calculation is performed for all admissions within the measurement period, the results are averaged to obtain the facility’s expected rate of rehospitalization. Hence, the expected rate for a facility is the average of the expected rehospitalization probabilities for each admission during the target time period.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Procedure for Calculating the Measure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Establish the 12 month time period and collect all assessments with entry dates that fall within the time period. The count of these entries is the observed denominator.</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each entry date, determine whether the resident was discharged back to an acute hospital within 30 days of the entry date. The count of these discharges is the observed numerator.</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Divide the numerator by the denominator to obtain the observed rate for the SNF.</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Calculate the expected rate for the facility using the expected probability model for admissions during the sample period, then average them for the 12-month period.</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Divide the observed rate by the expected rate and multiply by the national average rate to obtain the adjusted all cause rehospitalization rate for the facility.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 Assessment Instrument Minimum Data Set (MDS) version 3.0</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appendix in Question 1 of the Additional Section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0"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1"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Assessment Data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Resident Assessment Instrument Minimum Data Set (MDS) version 3.0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01-01-2011 - 12-31-2012</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Facility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Initial, testing was completed on 2,800 facilities to verify the calculations. Subsequent analyses were conducted on the national MDS database for all Medicare certified SNFs in the country. Presented below is summary information on the number and types of SNFs nationally in 2011 and 2012.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1. Number and Types of SNFs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935"/>
        <w:gridCol w:w="2874"/>
        <w:gridCol w:w="287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19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Ownership Category</w:t>
            </w:r>
          </w:p>
        </w:tc>
        <w:tc>
          <w:tcPr>
            <w:tcW w:w="319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2011</w:t>
            </w:r>
          </w:p>
        </w:tc>
        <w:tc>
          <w:tcPr>
            <w:tcW w:w="319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2012</w:t>
            </w:r>
          </w:p>
        </w:tc>
      </w:tr>
      <w:tr>
        <w:trPr>
          <w:cantSplit/>
        </w:trPr>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Number of SNFs</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15,693</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15,690</w:t>
            </w:r>
          </w:p>
        </w:tc>
      </w:tr>
      <w:tr>
        <w:trPr>
          <w:cantSplit/>
        </w:trPr>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–Profit</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10,758</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10,832</w:t>
            </w:r>
          </w:p>
        </w:tc>
      </w:tr>
      <w:tr>
        <w:trPr>
          <w:cantSplit/>
        </w:trPr>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Not-for-Profit</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4,030</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3,968</w:t>
            </w:r>
          </w:p>
        </w:tc>
      </w:tr>
      <w:tr>
        <w:trPr>
          <w:cantSplit/>
        </w:trPr>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Government</w:t>
            </w:r>
            <w:r>
              <w:rPr>
                <w:rFonts w:ascii="Calibri" w:eastAsia="Calibri" w:hAnsi="Calibri" w:cs="Calibri"/>
                <w:b/>
                <w:bCs/>
                <w:i w:val="0"/>
                <w:color w:val="000000"/>
                <w:sz w:val="20"/>
              </w:rPr>
              <w:t xml:space="preserve"> </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905</w:t>
            </w:r>
          </w:p>
        </w:tc>
        <w:tc>
          <w:tcPr>
            <w:tcW w:w="319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890</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from AHCA Quality Report 2013, based on CMS OSCAR data.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Data reported from 2012 shows that there were 2,452,848 Medicare admissions and 798,513 Non-Medicare admissions to SNFs. The table below provides a breakdown of the descriptive characteristics of these 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 xml:space="preserve">TABLE 2. Characteristics of Patients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219"/>
        <w:gridCol w:w="1783"/>
        <w:gridCol w:w="2819"/>
        <w:gridCol w:w="281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750"/>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Characteristic</w:t>
            </w:r>
          </w:p>
        </w:tc>
        <w:tc>
          <w:tcPr>
            <w:tcW w:w="151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Characteristic Category</w:t>
            </w:r>
          </w:p>
        </w:tc>
        <w:tc>
          <w:tcPr>
            <w:tcW w:w="319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Medicare Admissions</w:t>
            </w:r>
          </w:p>
        </w:tc>
        <w:tc>
          <w:tcPr>
            <w:tcW w:w="3195" w:type="dxa"/>
          </w:tcPr>
          <w:p w:rsidR="00A77B3E">
            <w:pPr>
              <w:spacing w:before="0" w:after="80"/>
              <w:ind w:left="0"/>
              <w:jc w:val="center"/>
              <w:rPr>
                <w:rFonts w:ascii="Calibri" w:eastAsia="Calibri" w:hAnsi="Calibri" w:cs="Calibri"/>
                <w:b/>
                <w:bCs/>
                <w:i w:val="0"/>
                <w:color w:val="000000"/>
                <w:sz w:val="20"/>
              </w:rPr>
            </w:pPr>
            <w:r>
              <w:rPr>
                <w:rFonts w:ascii="Calibri" w:eastAsia="Calibri" w:hAnsi="Calibri" w:cs="Calibri"/>
                <w:b/>
                <w:bCs/>
                <w:i w:val="0"/>
                <w:color w:val="000000"/>
                <w:sz w:val="20"/>
              </w:rPr>
              <w:t>Non-Medicare Admissions</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Under 65</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10.6%</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26.3%</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Age 65-84</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53.7%</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43.1%</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85 and Older</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35.8%</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30.6%</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Average Age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78.8</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74.4</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Gender</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37.7%</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39.6%</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62.3%</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60.4%</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Bed Mobility</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Independent</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4.8%</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Supervision/Limited Assistance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22.3%</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23.8%</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Extensive Assistance/Total Dependence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72.7%</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66.4%</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Transfer</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Independent</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6.7%</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Supervision/Limited Assistance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23.5%</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25.1%</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Extensive Assistance/Total Dependence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73.9%</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68.1%</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Eating</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Independent</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34.2%</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34.9%</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Supervision/Limited Assistance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47.7%</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47.2%</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Extensive Assistance/Total Dependence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Toilet Use</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Independent</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Supervision/Limited Assistance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20.9%</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21.7%</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Extensive Assistance/Total Dependence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76.5%</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72.3%</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Bathing</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Independent</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Supervision/Limited Assistance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10.9%</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Extensive Assistance/Total Dependence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88.8%</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86.7%</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2.7%</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3.8%</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6.2%</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82.1%</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75.2%</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Native Hawaiian or Pacific Islander</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Unknown</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1.8%</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Active Diagnoses</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31.0%</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26.1%</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Arteriosclerotic Heart Disease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21.5%</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Congestive Heart Failure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22.8%</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COPD</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25.2%</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21.5%</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Depression</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32.3%</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33.4%</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Diabetes</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34.4%</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33.3%</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Hip Fracture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5.0%</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Hypertension</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75.4%</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71.2%</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Osteoporosis</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44.9%</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Stroke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12.4%</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12.7%</w:t>
            </w:r>
          </w:p>
        </w:tc>
      </w:tr>
      <w:tr>
        <w:trPr>
          <w:cantSplit/>
          <w:trHeight w:val="750"/>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Special Treatment and Services</w:t>
            </w: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Brain Injury</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Hospice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5.9%</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IV Medication</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9.1%</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7.7%</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Parenteral/IV Nutrition</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Respite</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0.9%</w:t>
            </w:r>
          </w:p>
        </w:tc>
      </w:tr>
      <w:tr>
        <w:trPr>
          <w:cantSplit/>
          <w:trHeight w:val="750"/>
        </w:trPr>
        <w:tc>
          <w:tcPr/>
          <w:p w:rsidR="00A77B3E">
            <w:pPr>
              <w:rPr>
                <w:rFonts w:ascii="Calibri" w:eastAsia="Calibri" w:hAnsi="Calibri" w:cs="Calibri"/>
                <w:b w:val="0"/>
                <w:i w:val="0"/>
                <w:color w:val="000000"/>
                <w:sz w:val="20"/>
              </w:rPr>
            </w:pPr>
          </w:p>
        </w:tc>
        <w:tc>
          <w:tcPr>
            <w:tcW w:w="1515" w:type="dxa"/>
          </w:tcPr>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Ventilator/Respirator</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c>
          <w:tcPr>
            <w:tcW w:w="3195" w:type="dxa"/>
          </w:tcPr>
          <w:p w:rsidR="00A77B3E">
            <w:pPr>
              <w:spacing w:before="0" w:after="80"/>
              <w:ind w:left="0"/>
              <w:jc w:val="right"/>
              <w:rPr>
                <w:rFonts w:ascii="Calibri" w:eastAsia="Calibri" w:hAnsi="Calibri" w:cs="Calibri"/>
                <w:b w:val="0"/>
                <w:i w:val="0"/>
                <w:color w:val="000000"/>
                <w:sz w:val="20"/>
              </w:rPr>
            </w:pPr>
            <w:r>
              <w:rPr>
                <w:rFonts w:ascii="Calibri" w:eastAsia="Calibri" w:hAnsi="Calibri" w:cs="Calibri"/>
                <w:b w:val="0"/>
                <w:i w:val="0"/>
                <w:color w:val="000000"/>
                <w:sz w:val="20"/>
              </w:rPr>
              <w:t>0.7%</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*Data from AHCA Quality Report 2013, based on MDS and OSCAR data.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 validity testing, we used more recent national data from 2019 and 2020.</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tested black/non-black, Medicaid/non-Medicaid, and the interaction between these binary variables for their relationships with rehospitalization rates.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Race/ethnicity items other than black/non-black either did not have significant patient-level effects in a fixed effects model (Hispanic/Latino) or our sample was insufficient (American Indian or Alaska Native; Native Hawaiian or Pacific Islander).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(e.g., inter-abstractor reliability; data element reliability must address ALL critical data elements)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used parallel forms reliability by calculating several measures based on MDS 3.0 data submitted by over 2,800 SNFs directly to the research team and MDS 3.0 data from these same SNFs provided by CMS. We calculated the number of admission, tracking rate, observed rehospitalization rate and expected rehospitalization rate using both data sets and compared the results.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1"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results of these reliability tests showed that in 206 cases (7%), numbers matched exactly on both the number of admissions and the tracking rate. In 1,869 cases (66%), the CMS data observed rate calculation minus the SNF data observed calculation was within 1%. In 2,652 cases (94%), the CMS data expected rate calculation minus the SNF data expected calculation was within</w:t>
      </w:r>
      <w:r>
        <w:rPr>
          <w:rFonts w:ascii="Calibri" w:eastAsia="Calibri" w:hAnsi="Calibri" w:cs="Calibri"/>
          <w:b w:val="0"/>
          <w:i w:val="0"/>
          <w:color w:val="1F497D"/>
          <w:sz w:val="20"/>
        </w:rPr>
        <w:t xml:space="preserve"> 1%.</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MDS 3.0 data received from CMS are reliable when compared to data gathered directly from participating SNFs. We assumed that data gathered directly from SNFs would be more accurate and complete because the facilities providing these data were paying for analytic services.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Patient or Encounter-Level (data element validity must address ALL critical data elements)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Empirical validity testing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Systematic assessment of face validity of performance measure score as an indicator of quality or resource use (i.e., is an accurate reflection of performance on quality or resource use and can distinguish good from poor performance)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First, Medicare hospitalization claims were used to validate MDS 3.0 discharge assessments. Discharge records were categorized into four groups based on the values in the discharge status field: acute (if acute hospital), non-acute (if psychiatric hospital or ID/DD facility), death (if deceased), and other (if community, another SNF or swing bed, IRF, Hospice and other). Any hospitalization claims within ±3 days of a discharge assessment for the individual were identified and checked whether the discharge status could be verified by the Medicare claim. Verifying claims as acute (i.e. inpatient claims filed by general hospitals), outpatient and non-acute (i.e. inpatient claims filed by specialized hospitals) were grouped. Death was verified using date of death from the enrollment records. Discharge records matching to hospital claims and death dates were examined.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Second, the proportion of Medicare hospital claims that had an associated MDS 3.0 discharge assessment designated as being sent to the hospital from the SNF were estimated. The origin location of patients based on previous MDS 3.0 discharge assessments were also identified to ensure patients had not been discharged to a facility or other places after SNF admission. The 30 day rehospitalization rates were calculated using different data sources aggregating a binary variable indicating whether the patient was rehospitalized within 30 days of SNF admission. The rates were decomposed into three components: verified by other source, not rehospitalized from SNF and not-verified. If an individual had multiple hospitalizations, the earlier component trumped the later components.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extent to which there was systematic error (related to facility characteristics) when MDS and claims data disagreed was explored. To examine this, the fraction of hospitalization events for SNFs that were identified by both MDS 3.0 and Medicare claims data was calculated. The hospitalization events that originated from SNFs and occurred within 30 days of SNF admission were included. The relationship of this variable with several SNF characteristics, including structural characteristics from OSCAR (size, occupancy rate, availability of staffing, deficiency score) and patient composition based on MDS 2010 were examined.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Finally, 30 day rehospitalization rates calculated at the SNF level based on acute discharge MDS 3.0 assessments with respect to rates based on Medicare hospitalization claims were plotted.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also conducted construct validity testing. We hypothesized that facilities with low rehospitalization rates would correlate with other measures of quality such as CMS’s overall five star rating system, the staffing component of the five star rating system, the number of survey deficiencies cited by CMS during their annual onsite inspection, as well as AHCA’s quality award program based on the Baldridge program. We tested the relationship between a facility’s rehospitalization rate and the short stay quality measure for pneumococcal vaccine (since infection is a leading cause of hospitalization and high vaccination rates also indicate a facility with a systematic process and philosophy of prevention).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grouped facilities by their quality measures (e.g. five star rating, pneumococcal vaccination rates by quintile, and recipients of AHCA’s Baldrige based quality award at silver or gold level) and calculated the rehospitalization rates for each grouping and also conducted correlation tests. We hypothesized that facilities with higher five star rating would have a lower rehospitalization for overall five star rating, the survey deficiency component and staffing component of five star. We also hypothesized that facilities with higher rates of pneumococcal vaccination would have lower rehospitalization rates. Additionally, we hypothesized that silver or gold recipients of the ACHA Quality Award program (based on meeting Baldrige criteria) would have lower rehospitalization rates compared to non-recipients.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u w:val="single"/>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Since the last measure endorsement, we have expanded the validity testing as more relevant comparison data has become available. Specifically, we have added a comparison to two other short-stay readmission measures. First, CMS added a short-stay Medicare Fee-for-Service (FFS) claims-based rehospitalization (NHC-RM) to Care Compare (formerly Nursing Home Compare) and Five-Star in 2016. This measure has not been submitted for NQF endorsement. Second, CMS also began a Medicare Value-Based Purchasing (VBP) program based on another Medicare FFS claims-based measure (SNF-RM), which has been NQF endorsed (NQF#2510) in 2016. We hypothesized that Pro30 performance would correlate positively with both measures.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also conducted additional testing on the relationship between five star ratings and Pro30 with more recent data to see if the prior inverse relationship still holds true.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shown in Table 3, 82.9% of MDS 3.0 discharge assessments indicating discharge location at an acute care hospital could be verified with inpatient claims data. An additional 3.7% of MDS 3.0 discharges could be verified with outpatient claims (indicating the event had been billed as an observation stay that probably lasted at least one night). Altogether, only 12.9% of MDS 3.0 discharges indicating acute hospitalization could not be verified with Medicare claims data. Since most MDS 3.0 discharge records indicating non-acute hospitalization had a corresponding acute hospital Medicare claim (63.3%), if both types of MDS 3.0 hospitalizations were combined, the percentage of MDS 3.0 discharges verified by an inpatient, outpatient or non-acute hospital claim is 87%. As shown in the lower panel of Table 3, results were similar when discharge assessments were restricted to just those occurring within 30 days of SNF admission. It should be noted that MDS 3.0 discharge records indicating that the patient was discharged dead were extremely accurate in comparison with the Medicare encounter record, which includes a discharge death date. This is a great improvement over the performance of the MDS 2.0 discharge record based upon published analyses from the last decade.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3. Verifying MDS Discharge Records Using Inpatient and Outpatient Claims and Death Records, 2011</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310"/>
        <w:gridCol w:w="875"/>
        <w:gridCol w:w="1278"/>
        <w:gridCol w:w="818"/>
        <w:gridCol w:w="767"/>
        <w:gridCol w:w="952"/>
        <w:gridCol w:w="690"/>
        <w:gridCol w:w="921"/>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Discharge records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Discharge code for MDS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Acute Hospitalization from Claims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Out-Patient From Claims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Non-Acute from Claims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Death from Enrollment</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Not Verified</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 Number of Discharges</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Discharge Records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Acute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404,122</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Non-Acute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63.3%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9,283</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Dead</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81,220</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90.9%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801,284</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Discharge Records within 30 Days of SNF Admission</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Acute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216,674</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Non-Acute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59.2%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4,760</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Dead</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33,803</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Others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95.8%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470,370</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4 below shows the 30 day rehospitalization rates calculated using the different data sources as well as the proportion of these that can be verified using the alternate data source (e.g. MDS discharge records vs. Medicare claims). Rehospitalization rates based upon the MDS, whether including non-acute events or not, are lower than those relying upon Medicare claims. At least part of this is attributable to the fact that the Medicare claim is truly a 30 day rehospitalization rate regardless of whether the patient had been discharged from the hospital or not; whereas, the MDS discharge refers only to transfers directly from the SNF that occurred within 30 days of admission from the hospital. For example, of the 19.77% acute hospitalization rate measured by the presence of a Medicare inpatient acute hospital claim, the rate would be 15.81% if measured only from an MDS discharge directly from the SNF. However, 3.35% of the 19.77% were hospitalizations that occurred before 30 days but AFTER the patient was discharged from the SNF to another location, often facility, meaning that the unexplained differential in the Medicare claims based rate and the MDS based rate is only 0.61%, or about 3 percent. Adding all the other sources of Medicare claims to the pool (including outpatient observation stays), the 30 day rehospitalization rate is higher at 21.11%, but the proportion unaccounted for is still very small. The bottom two rows begin with the MDS based measures and ask how frequently they are confirmed by Medicare claims. In this instance, whether we combine the acute and non-acute or look only at them independently, 2.16% to 2.23%, or just under 12%, of the difference is unexplained.</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4. 30 Day Rehospitalization Rate Based Upon Different Data Sources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246"/>
        <w:gridCol w:w="2496"/>
        <w:gridCol w:w="1678"/>
        <w:gridCol w:w="960"/>
        <w:gridCol w:w="96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30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Source</w:t>
            </w:r>
          </w:p>
        </w:tc>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30 day Rehospitalization Rate</w:t>
            </w:r>
          </w:p>
        </w:tc>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Rehospitalization Rate Decomposed by Verification from Other Source</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22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Verified</w:t>
            </w:r>
          </w:p>
        </w:tc>
        <w:tc>
          <w:tcPr>
            <w:tcW w:w="22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Not from SNF</w:t>
            </w:r>
          </w:p>
        </w:tc>
        <w:tc>
          <w:tcPr>
            <w:tcW w:w="2280" w:type="dxa"/>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Non-verified</w:t>
            </w:r>
          </w:p>
        </w:tc>
      </w:tr>
      <w:tr>
        <w:trPr>
          <w:cantSplit/>
        </w:trPr>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Acute Hospitalization (Medicare Inpatient Claims)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19.77%</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15.81%</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3.35%</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0.61%</w:t>
            </w:r>
          </w:p>
        </w:tc>
      </w:tr>
      <w:tr>
        <w:trPr>
          <w:cantSplit/>
        </w:trPr>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Any Hospitalization (Medicare Inpatient, Outpatient and Chronic Hospital Claims)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21.11%</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16.69%</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0.62%</w:t>
            </w:r>
          </w:p>
        </w:tc>
      </w:tr>
      <w:tr>
        <w:trPr>
          <w:cantSplit/>
        </w:trPr>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Acute Hospitalization (MDS Discharge)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18.37%</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16.21%</w:t>
            </w:r>
          </w:p>
        </w:tc>
        <w:tc>
          <w:tcPr>
            <w:tcW w:w="2280" w:type="dxa"/>
          </w:tcPr>
          <w:p w:rsidR="00A77B3E">
            <w:pPr>
              <w:spacing w:before="0" w:after="80"/>
              <w:jc w:val="right"/>
              <w:rPr>
                <w:rFonts w:ascii="Calibri" w:eastAsia="Calibri" w:hAnsi="Calibri" w:cs="Calibri"/>
                <w:b w:val="0"/>
                <w:i w:val="0"/>
                <w:color w:val="000000"/>
                <w:sz w:val="20"/>
              </w:rPr>
            </w:pP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2.16%</w:t>
            </w:r>
          </w:p>
        </w:tc>
      </w:tr>
      <w:tr>
        <w:trPr>
          <w:cantSplit/>
        </w:trPr>
        <w:tc>
          <w:tcPr>
            <w:tcW w:w="303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Any Hospitalization (MDS Discharge)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18.77%</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16.54%</w:t>
            </w:r>
          </w:p>
        </w:tc>
        <w:tc>
          <w:tcPr>
            <w:tcW w:w="2280" w:type="dxa"/>
          </w:tcPr>
          <w:p w:rsidR="00A77B3E">
            <w:pPr>
              <w:spacing w:before="0" w:after="80"/>
              <w:jc w:val="right"/>
              <w:rPr>
                <w:rFonts w:ascii="Calibri" w:eastAsia="Calibri" w:hAnsi="Calibri" w:cs="Calibri"/>
                <w:b w:val="0"/>
                <w:i w:val="0"/>
                <w:color w:val="000000"/>
                <w:sz w:val="20"/>
              </w:rPr>
            </w:pP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2.23%</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shown in Table 5 below, after excluding Medicare claims for those individuals with prior MDS records indicating discharge from the nursing facility to facility or another location, 93% of Medicare hospitalization claims taking place within 30 days of SNF admission could be verified with MDS discharge records. Another 1.5% had MDS discharge records indicating discharge to a non-acute location and 5.6% did not have an MDS discharge assessment. This suggests that, relative to Medicare claims data, the MDS discharge record is about 94% accurate.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5. Verifying Medicare Hospitalization Claims Using MDS Discharge Records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55"/>
        <w:gridCol w:w="1065"/>
        <w:gridCol w:w="894"/>
        <w:gridCol w:w="1779"/>
        <w:gridCol w:w="1249"/>
        <w:gridCol w:w="1249"/>
        <w:gridCol w:w="124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Hospitalization Claims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Type of Claims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Total</w:t>
            </w:r>
          </w:p>
        </w:tc>
        <w:tc>
          <w:tcPr>
            <w:tcW w:w="22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of Claims Identified as not from SNF</w:t>
            </w:r>
          </w:p>
        </w:tc>
        <w:tc>
          <w:tcPr>
            <w:tcW w:w="15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of Claims that are Identified as from SNF Verified by MDS Records</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tcW w:w="15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Acute</w:t>
            </w:r>
          </w:p>
        </w:tc>
        <w:tc>
          <w:tcPr>
            <w:tcW w:w="15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Non-Acute</w:t>
            </w:r>
          </w:p>
        </w:tc>
        <w:tc>
          <w:tcPr>
            <w:tcW w:w="153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Not Verified</w:t>
            </w:r>
          </w:p>
        </w:tc>
      </w:tr>
      <w:tr>
        <w:trPr>
          <w:cantSplit/>
        </w:trPr>
        <w:tc>
          <w:tcPr>
            <w:tcW w:w="2280"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 Hospitalization Claims within 30 Days of SNF Admission</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Acute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241,559</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20.2%</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93.0%</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5.6%</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Non-acute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15,439</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39.1%</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90.2%</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9.3%</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Out patient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7,173</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63.8%</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46.7%</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38.2%</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15.0%</w:t>
            </w:r>
          </w:p>
        </w:tc>
      </w:tr>
      <w:tr>
        <w:trPr>
          <w:cantSplit/>
        </w:trPr>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All</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264,171</w:t>
            </w:r>
          </w:p>
        </w:tc>
        <w:tc>
          <w:tcPr>
            <w:tcW w:w="22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22.5%</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92.2%</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w:t>
            </w:r>
          </w:p>
        </w:tc>
        <w:tc>
          <w:tcPr>
            <w:tcW w:w="153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5.9%</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order to determine whether SNFs with certain characteristics were more or less likely to have submitted discharge records on their patients that were “errors” relative to the “gold standard” of Medicare claims, we calculated the percentage of all MDS discharge records reported that corresponded to a Medicare claim (either inpatient or outpatient). Table 6 below presents the marginal effect of a one unit change in the explanatory variable on the facility “accuracy” rate. The facility characteristics generally have no relationship to the measurement performance as can be seen by t-statistics smaller than 2.0. The only variables that are marginally significant are the proportion of minority patients in the facility and even these are very small effects.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6. Linear Regression of Fraction of Hospitalization Events Identified From Both MDS and Medicare Claims onto SNF Characteristics</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656"/>
        <w:gridCol w:w="931"/>
        <w:gridCol w:w="890"/>
        <w:gridCol w:w="204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Independent Variables</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Coefficient</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t-statistics</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95% Confidence Interval</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Current Health Deficiencies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 0.038)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Best-Guess Total Beds in Facility</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(0.004, 0.017)</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Medicaid as Primary Payer</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 0.054)</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Part of a Chain</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0.543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(-0.28, 1.366)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For-Profit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-0.519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(-1.337, 0.299)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Hospital Based</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0.248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(-1.394, 1.89)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Resident Acuity Index</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(-0.418, 0.05)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Any Physician Extender FTEs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(-0.53, 0.469)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Ratio of RN to total nurse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0.673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(-2.342, 3.688)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Total direct Care Hours per Day per Resident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(-0.293, 0.206)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Weighted Deficiency (all) Score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 0.004)</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Percent Occupancy</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(0.004, 0.062)</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of Admissions Classified "Low Care"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 0.104)</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of Admissions from Acute Hospital</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(-0.017, 0.042)</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of Admissions Female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(-0.009, 0.066)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of Admissions Black</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(-0.083, -0.027)</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of Admissions Hispanic</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(-0.112, -0.025)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of Annual Admissions per Bed</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(-0.264, 0.056)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Hospitalizations per Resident Year</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0.422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(-0.362, 1.205)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Mean RUGS (512) Value Across Residents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6.417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(2.531, 10.303)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Mean Age at Assessment Across Residents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(-0.003, 0.168)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Constant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65.177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11.73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(54.008, 76.346)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13684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R-squared</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Joint Test of Significance F (21,48)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7.11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*Cells intentionally left blank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Finally, as shown in Figure 1 below, we compared facility level 30 day rehospitalization rates using MDS and Medicare claims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1. 30 Day Rehospitalization Rates Calculated from Medicare Claims and MDS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4438650" cy="2714625"/>
            <wp:docPr id="100013" name="" descr="Scatter plot of claims-based rehospitalization on the y-axis and MDS-based rehospitalizations on the x-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12"/>
                    <a:stretch>
                      <a:fillRect/>
                    </a:stretch>
                  </pic:blipFill>
                  <pic:spPr>
                    <a:xfrm>
                      <a:off x="0" y="0"/>
                      <a:ext cx="4438650" cy="2714625"/>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Scatter plot of claims-based rehospitalization on the y-axis and MDS-based rehospitalizations on the x-axis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With respect to the short stay quality measure for pneumococcal vaccination rates; we found an inverse correlation (-0.15916, p&lt;0.0001) with a facility’s rehospitalization rate. In other words, the higher the vaccination rate, the lower the rehospitalization rate. With respect to the relationship between a facility’s rehospitalization rate and being a recipient of AHCA's Baldridge based award, silver/gold recipients have significantly lower rehospitalization rates compared to non-AHCA member recipients (17.8 vs 18.3 in 2011 Q4, p&lt;0.01). This difference persisted 18 months later in 2013 Q2 data (17.2 vs 17.7, p&lt;0.01).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iCs/>
          <w:color w:val="000000"/>
          <w:sz w:val="20"/>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respect to the relationship of rehospitalization rate and five star rating, we found a consistent inverse relationship between the rehospitalization rate and the overall five star rating, health inspection component of five star, and the nurse staffing component of five star. These relationships held true with more recent five-star ratings pre-COVID pandemic (2019-Q3) and during (2020-Q3) (see Table 7.A, 7.B, and 7.C below).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7.A. Average Rehospitalization Rate by Overall Five Star Rating</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52"/>
        <w:gridCol w:w="3296"/>
        <w:gridCol w:w="1582"/>
        <w:gridCol w:w="158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Overall Five Star Rating</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Risk-Adjusted Rehospitalization Rate</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2012-Q2</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Correlation Coefficient (p-value)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-0.157 (p&lt;0.001)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-0.247 (p&lt;0.001)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-0.206 (p&lt;0.001)</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7.B Average Rehospitalization Rate by CMS’s Health Inspections Five Star Rating</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988"/>
        <w:gridCol w:w="3241"/>
        <w:gridCol w:w="1556"/>
        <w:gridCol w:w="155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Health Inspection Five Star Rating</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Risk-Adjusted Rehospitalization Rate</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2012-Q2</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17.1</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15.7</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Correlation Coefficient (p-value)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-0.134 (p&lt;0.001)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-0.150 (p&lt;0.001)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-0.123 (p&lt;0.001)</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7.C Average Rehospitalization Rate by Nurse Staffing Five Star Rating</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2852"/>
        <w:gridCol w:w="3296"/>
        <w:gridCol w:w="1582"/>
        <w:gridCol w:w="158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Nurse Staffing Five Star Rating</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Risk-Adjusted Rehospitalization Rate</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Pr>
        <w:tc>
          <w:tcPr/>
          <w:p w:rsidR="00A77B3E">
            <w:pPr>
              <w:rPr>
                <w:rFonts w:ascii="Calibri" w:eastAsia="Calibri" w:hAnsi="Calibri" w:cs="Calibri"/>
                <w:b/>
                <w:bCs/>
                <w:i w:val="0"/>
                <w:color w:val="000000"/>
                <w:sz w:val="20"/>
              </w:rPr>
            </w:pP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2012-Q2</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2019-Q3</w:t>
            </w:r>
          </w:p>
        </w:tc>
        <w:tc>
          <w:tcPr/>
          <w:p w:rsidR="00A77B3E">
            <w:pPr>
              <w:spacing w:before="0" w:after="80"/>
              <w:jc w:val="right"/>
              <w:rPr>
                <w:rFonts w:ascii="Calibri" w:eastAsia="Calibri" w:hAnsi="Calibri" w:cs="Calibri"/>
                <w:b/>
                <w:bCs/>
                <w:i w:val="0"/>
                <w:color w:val="000000"/>
                <w:sz w:val="20"/>
              </w:rPr>
            </w:pPr>
            <w:r>
              <w:rPr>
                <w:rFonts w:ascii="Calibri" w:eastAsia="Calibri" w:hAnsi="Calibri" w:cs="Calibri"/>
                <w:b/>
                <w:bCs/>
                <w:i w:val="0"/>
                <w:color w:val="000000"/>
                <w:sz w:val="20"/>
              </w:rPr>
              <w:t>2020-Q3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16.7</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16.6</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14.9</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Correlation Coefficient (p-value)</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-0.173 (p&lt;0.001)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-0.174 (p&lt;0.001)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-0.110 (p&lt;0.001)</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Table 8 below provides a comparison of the three short-stay rehospitalization measures in use today. Pro30 had a statistically significant positive correlation with both Medicare claims-based rehospitalization measures, NHC-RM (0.622, p&lt;0.0001) and SNF-RM (0.586, p&lt;0.0001) (see figures 2 and 3 for scatter plots).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TABLE 8. 30 Day Rehospitalization Rate Across Different Measures (2019-Q3)</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764"/>
        <w:gridCol w:w="1702"/>
        <w:gridCol w:w="1700"/>
        <w:gridCol w:w="587"/>
        <w:gridCol w:w="528"/>
        <w:gridCol w:w="427"/>
        <w:gridCol w:w="528"/>
        <w:gridCol w:w="1025"/>
        <w:gridCol w:w="528"/>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Measure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Data Source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Uses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Mean</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Std</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p25</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p50 Median</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p75</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Pro30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MDS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State Medicaid VBPs</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13,791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NHC-RM</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Medicare FFS Claims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Five-Star</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13,517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25.8%</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SNF-RM</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Medicare FFS Claims</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Medicare SNF-VBP</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12,510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21.1%</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2. 30 Day Rehospitalization Rates Calculated Using Pro30 (MDS-based) and NHC-RM (Claims-based) - 2019Q3</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559474"/>
            <wp:docPr id="100015" name="" descr="Scatter plot of Pro30 MDS-based rehospitalization on the y-axis and NHC-RM claims-based rehospitalizations on the x-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13"/>
                    <a:stretch>
                      <a:fillRect/>
                    </a:stretch>
                  </pic:blipFill>
                  <pic:spPr>
                    <a:xfrm>
                      <a:off x="0" y="0"/>
                      <a:ext cx="5943600" cy="4559474"/>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Scatter plot of Pro30 MDS-based rehospitalization on the y-axis and NHC-RM claims-based rehospitalizations on the x-axis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FIGURE 3. 30 Day Rehospitalization Rates Calculated Using Pro30 (MDS-based) and SNFRM (Claims-based) - 2019Q3</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532791"/>
            <wp:docPr id="100017" name="" descr="Scatter plot of Pro30 MDS-based rehospitalization on the y-axis and SNF-RM claims-based rehospitalizations on the x-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
                    <pic:cNvPicPr>
                      <a:picLocks noChangeAspect="1"/>
                    </pic:cNvPicPr>
                  </pic:nvPicPr>
                  <pic:blipFill>
                    <a:blip xmlns:r="http://schemas.openxmlformats.org/officeDocument/2006/relationships" r:embed="rId14"/>
                    <a:stretch>
                      <a:fillRect/>
                    </a:stretch>
                  </pic:blipFill>
                  <pic:spPr>
                    <a:xfrm>
                      <a:off x="0" y="0"/>
                      <a:ext cx="5943600" cy="4532791"/>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Scatter plot of Pro30 MDS-based rehospitalization on the y-axis and SNF-RM claims-based rehospitalizations on the x-axis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 summary, the results suggest that the MDS 3.0 and Medicare claims correspond over 90%, depending upon how one collapses the types of hospitalization. As importantly, our analyses of the facility factors related to non-correspondence between MDS and Medicare claims strongly suggest that what we observe is truly “random error”, suggesting that an MDS based measure is a good surrogate for a Medicare claims based measure. This is further supported by the more recent analysis comparing Pro30 measure rates with both NHC-RM and SNF-RM, two Medicare claims-based measures. Relative to these claims-based measures, Pro30 has the added advantage of being much timelier, includes Medicare advantage and even non-Medicare patients and clearly includes hospitalizations that are billed as “Observation Days”.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While the team did not specifically conduct analysis on the MDS, the validity of this tool has been confirmed by previous analyses presented in peer reviewed literature (list of citations provided below). Notably, Saliba and Buchanan (2008) found that the MDS 3.0 is reliable and valid. Validity of the instrument was determined by comparing items to established gold standards or other related items and scales. MDS 3.0 cognitive, depression and behavioral items have a higher level of correlation with the comparison groups than did MDS 2.0 items. Eighty one percent of the nurses sampled also strongly agreed or agreed that the MDS 3.0 was clinically relevant and 89 percent strongly agreed or agreed that the MDS 3.0 items provide a more accurate report of the resident’s characteristics.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Saliba , D., &amp; Buchanan, J. (2008). Development &amp; validation of a revised nursing facility assessment tool: MDS 3.0. </w:t>
      </w:r>
      <w:r>
        <w:rPr>
          <w:rFonts w:ascii="Calibri" w:eastAsia="Calibri" w:hAnsi="Calibri" w:cs="Calibri"/>
          <w:b w:val="0"/>
          <w:i/>
          <w:iCs/>
          <w:color w:val="000000"/>
          <w:sz w:val="20"/>
        </w:rPr>
        <w:t>Rand Health Corporation</w:t>
      </w:r>
      <w:r>
        <w:rPr>
          <w:rFonts w:ascii="Calibri" w:eastAsia="Calibri" w:hAnsi="Calibri" w:cs="Calibri"/>
          <w:b w:val="0"/>
          <w:i w:val="0"/>
          <w:color w:val="000000"/>
          <w:sz w:val="20"/>
        </w:rPr>
        <w: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Saliba, D. &amp; Buchanan, J. (2012). Making the investment count: Revision of the minimum data set for nursing homes, MDS 3.0. </w:t>
      </w:r>
      <w:r>
        <w:rPr>
          <w:rFonts w:ascii="Calibri" w:eastAsia="Calibri" w:hAnsi="Calibri" w:cs="Calibri"/>
          <w:b w:val="0"/>
          <w:i/>
          <w:iCs/>
          <w:color w:val="000000"/>
          <w:sz w:val="20"/>
        </w:rPr>
        <w:t>J Am Med Dir Assoc</w:t>
      </w:r>
      <w:r>
        <w:rPr>
          <w:rFonts w:ascii="Calibri" w:eastAsia="Calibri" w:hAnsi="Calibri" w:cs="Calibri"/>
          <w:b w:val="0"/>
          <w:i w:val="0"/>
          <w:color w:val="000000"/>
          <w:sz w:val="20"/>
        </w:rPr>
        <w:t>. 13(7), 602-610.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Saliba, D., Buchanan, J., Eldelen, M.O., Streim, J., Ouslander, J., Berlowitz, D., &amp; Chodosh, J. (2012). MDS 3.0: Brief interview for mental status. </w:t>
      </w:r>
      <w:r>
        <w:rPr>
          <w:rFonts w:ascii="Calibri" w:eastAsia="Calibri" w:hAnsi="Calibri" w:cs="Calibri"/>
          <w:b w:val="0"/>
          <w:i/>
          <w:iCs/>
          <w:color w:val="000000"/>
          <w:sz w:val="20"/>
        </w:rPr>
        <w:t xml:space="preserve">J Am Med Dir Assoc. </w:t>
      </w:r>
      <w:r>
        <w:rPr>
          <w:rFonts w:ascii="Calibri" w:eastAsia="Calibri" w:hAnsi="Calibri" w:cs="Calibri"/>
          <w:b w:val="0"/>
          <w:i w:val="0"/>
          <w:color w:val="000000"/>
          <w:sz w:val="20"/>
        </w:rPr>
        <w:t>13(7), 611-617.</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Saliba, D., DeFilippo, S., Edelen, M.O., Kroenke, K., Buchanan, J., &amp; Streim, J. (2012) Testing the PHQ-9 interview and observational versions (PHQ-9 OV) for MDS 3.0. </w:t>
      </w:r>
      <w:r>
        <w:rPr>
          <w:rFonts w:ascii="Calibri" w:eastAsia="Calibri" w:hAnsi="Calibri" w:cs="Calibri"/>
          <w:b w:val="0"/>
          <w:i/>
          <w:iCs/>
          <w:color w:val="000000"/>
          <w:sz w:val="20"/>
        </w:rPr>
        <w:t>J Am Dir Assoc.</w:t>
      </w:r>
      <w:r>
        <w:rPr>
          <w:rFonts w:ascii="Calibri" w:eastAsia="Calibri" w:hAnsi="Calibri" w:cs="Calibri"/>
          <w:b w:val="0"/>
          <w:i w:val="0"/>
          <w:color w:val="000000"/>
          <w:sz w:val="20"/>
        </w:rPr>
        <w:t xml:space="preserve"> 13(7), 618-625.</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Saliba, D., Jones, M., Streim, J., Ouslander, J., Berlowitz, D., &amp; Buchanan, J. (2012) Overview of significant changes in the minimum data set for nursing facilities version 3.0. </w:t>
      </w:r>
      <w:r>
        <w:rPr>
          <w:rFonts w:ascii="Calibri" w:eastAsia="Calibri" w:hAnsi="Calibri" w:cs="Calibri"/>
          <w:b w:val="0"/>
          <w:i/>
          <w:iCs/>
          <w:color w:val="000000"/>
          <w:sz w:val="20"/>
        </w:rPr>
        <w:t>J Am Dir Assoc</w:t>
      </w:r>
      <w:r>
        <w:rPr>
          <w:rFonts w:ascii="Calibri" w:eastAsia="Calibri" w:hAnsi="Calibri" w:cs="Calibri"/>
          <w:b w:val="0"/>
          <w:i w:val="0"/>
          <w:color w:val="000000"/>
          <w:sz w:val="20"/>
        </w:rPr>
        <w:t>. 13(7), 595-601.</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described earlier, the change in score across 1 quarter measured at three different quarters (Q1 to Q2; Q2 to Q3 and Q3 to Q4) were essentially the same size in magnitude for sample sizes greater than 30 but were much higher for sample sizes less than 30.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 tests of a clinically meaningful difference between providers or between observation periods were performed. AHCA has gathered clinical input from member providers in selecting improvement targets through multiple iterations of AHCA's quality initiative.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From 2011-Q4 to 2019-Q3 there has been a relatively steady decline in the national average rate. Specifically, there has been an 8% decrease in the average rate from 18.2% to 16.7% during this time period.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There has been substantial pressure on providers to reduce hospital readmissions through alternative payment models, public reporting, and value-based purchasing programs. Subsequently, there has been steady improvement in the average rate over time and there still appears to be an opportunity for further improvement.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determined the amount of missing data in the MDS 3.0 used to determine the numerator. If an MDS discharge assessment is not completed for individuals discharged a facility’s rates could be biased due to missing data. We specifically calculated the proportion of SNF admissions with missing discharge data.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This was accomplished as follows:</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Identified all entries, including new admissions and re-entries. The entry date was determined using 2 variables: A1600 (entry date) and A0310F=01. </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an entry was accompanied by an admission assessment within 14 days of the entry date it was considered a new entry.</w:t>
      </w:r>
    </w:p>
    <w:p w:rsidR="00A77B3E">
      <w:pPr>
        <w:numPr>
          <w:ilvl w:val="0"/>
          <w:numId w:val="8"/>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Determined whether an entry had a discharge record:</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yes, then the entry was </w:t>
      </w:r>
      <w:r>
        <w:rPr>
          <w:rFonts w:ascii="Calibri" w:eastAsia="Calibri" w:hAnsi="Calibri" w:cs="Calibri"/>
          <w:b/>
          <w:bCs/>
          <w:i w:val="0"/>
          <w:color w:val="000000"/>
          <w:sz w:val="20"/>
        </w:rPr>
        <w:t>complete</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not, then</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there was another entry record after the index entry, then the index entry is incomplete due to </w:t>
      </w:r>
      <w:r>
        <w:rPr>
          <w:rFonts w:ascii="Calibri" w:eastAsia="Calibri" w:hAnsi="Calibri" w:cs="Calibri"/>
          <w:b/>
          <w:bCs/>
          <w:i w:val="0"/>
          <w:color w:val="000000"/>
          <w:sz w:val="20"/>
        </w:rPr>
        <w:t>missing discharge date</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there was only one MDS entry record without any following MDS records:</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the entry date was within 14 days of 04/30/2012 (the latest date in the MDS 3.0 data received from AHCA), the reason for incompleteness could be due </w:t>
      </w:r>
      <w:r>
        <w:rPr>
          <w:rFonts w:ascii="Calibri" w:eastAsia="Calibri" w:hAnsi="Calibri" w:cs="Calibri"/>
          <w:b/>
          <w:bCs/>
          <w:i w:val="0"/>
          <w:color w:val="000000"/>
          <w:sz w:val="20"/>
        </w:rPr>
        <w:t>to data truncation;</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the entry date was a re-entry, and the date was within 120 days of 04/30/2012 (90 days would be the expected number, but an additional 30 days were added for increased tolerance), the reason of incompleteness could be due </w:t>
      </w:r>
      <w:r>
        <w:rPr>
          <w:rFonts w:ascii="Calibri" w:eastAsia="Calibri" w:hAnsi="Calibri" w:cs="Calibri"/>
          <w:b/>
          <w:bCs/>
          <w:i w:val="0"/>
          <w:color w:val="000000"/>
          <w:sz w:val="20"/>
        </w:rPr>
        <w:t>to data truncation</w:t>
      </w:r>
      <w:r>
        <w:rPr>
          <w:rFonts w:ascii="Calibri" w:eastAsia="Calibri" w:hAnsi="Calibri" w:cs="Calibri"/>
          <w:b w:val="0"/>
          <w:i w:val="0"/>
          <w:color w:val="000000"/>
          <w:sz w:val="20"/>
        </w:rPr>
        <w:t xml:space="preserve"> (re-entry does not necessarily need an admission assessment or Medicare assessment)</w:t>
      </w:r>
    </w:p>
    <w:p w:rsidR="00A77B3E">
      <w:pPr>
        <w:numPr>
          <w:ilvl w:val="2"/>
          <w:numId w:val="9"/>
        </w:numPr>
        <w:spacing w:before="0" w:after="80"/>
        <w:ind w:left="216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not above, the single entry record is problematic, and was assigned as “</w:t>
      </w:r>
      <w:r>
        <w:rPr>
          <w:rFonts w:ascii="Calibri" w:eastAsia="Calibri" w:hAnsi="Calibri" w:cs="Calibri"/>
          <w:b/>
          <w:bCs/>
          <w:i w:val="0"/>
          <w:color w:val="000000"/>
          <w:sz w:val="20"/>
        </w:rPr>
        <w:t>only one record for an entry</w:t>
      </w:r>
      <w:r>
        <w:rPr>
          <w:rFonts w:ascii="Calibri" w:eastAsia="Calibri" w:hAnsi="Calibri" w:cs="Calibri"/>
          <w:b w:val="0"/>
          <w:i w:val="0"/>
          <w:color w:val="000000"/>
          <w:sz w:val="20"/>
        </w:rPr>
        <w:t>”</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the last available MDS record was within 120 days of 04/30/2012, then the incompleteness could also be due to </w:t>
      </w:r>
      <w:r>
        <w:rPr>
          <w:rFonts w:ascii="Calibri" w:eastAsia="Calibri" w:hAnsi="Calibri" w:cs="Calibri"/>
          <w:b/>
          <w:bCs/>
          <w:i w:val="0"/>
          <w:color w:val="000000"/>
          <w:sz w:val="20"/>
        </w:rPr>
        <w:t>data truncation</w:t>
      </w:r>
    </w:p>
    <w:p w:rsidR="00A77B3E">
      <w:pPr>
        <w:numPr>
          <w:ilvl w:val="1"/>
          <w:numId w:val="9"/>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not the above type, it was assigned the reason of incompleteness as “</w:t>
      </w:r>
      <w:r>
        <w:rPr>
          <w:rFonts w:ascii="Calibri" w:eastAsia="Calibri" w:hAnsi="Calibri" w:cs="Calibri"/>
          <w:b/>
          <w:bCs/>
          <w:i w:val="0"/>
          <w:color w:val="000000"/>
          <w:sz w:val="20"/>
        </w:rPr>
        <w:t>all other incomplete</w:t>
      </w:r>
      <w:r>
        <w:rPr>
          <w:rFonts w:ascii="Calibri" w:eastAsia="Calibri" w:hAnsi="Calibri" w:cs="Calibri"/>
          <w:b w:val="0"/>
          <w:i w:val="0"/>
          <w:color w:val="000000"/>
          <w:sz w:val="20"/>
        </w:rPr>
        <w: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Results showed that the level of completeness is high, defined as over 95% of admissions having either a discharge assessment completed or another MDS data indicating that the person stayed in the facility, in most states as shown in the Table below. Based on these results, the decision was made to exclude facilities with greater than five percent missing data from the re-hospitalization rate analyses. In addition, facilities with between two and five percent missing data will be flagged in the reported re-hospitalization rates provided to the facility to allow them to improve their data completion rate. We also compared MDS data to claims data and did not discover large amount of new cases not detected by MDS again supporting that missing data is infrequent for the majority of providers.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Distribution of MDS 3.0 Admission and Discharge Records and the Levels and Possible Types of “Missingness” by State</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867"/>
        <w:gridCol w:w="1402"/>
        <w:gridCol w:w="1367"/>
        <w:gridCol w:w="1298"/>
        <w:gridCol w:w="1263"/>
        <w:gridCol w:w="935"/>
        <w:gridCol w:w="1400"/>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465"/>
          <w:tblHeader/>
        </w:trPr>
        <w:tc>
          <w:tcPr>
            <w:tcW w:w="908"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State</w:t>
            </w:r>
          </w:p>
        </w:tc>
        <w:tc>
          <w:tcPr>
            <w:tcW w:w="147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Number of</w:t>
            </w:r>
          </w:p>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Admissions</w:t>
            </w:r>
          </w:p>
        </w:tc>
        <w:tc>
          <w:tcPr>
            <w:tcW w:w="1434"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Completed</w:t>
            </w:r>
          </w:p>
        </w:tc>
        <w:tc>
          <w:tcPr>
            <w:tcW w:w="136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Data Truncated</w:t>
            </w:r>
          </w:p>
        </w:tc>
        <w:tc>
          <w:tcPr>
            <w:tcW w:w="132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Missing Discharge</w:t>
            </w:r>
          </w:p>
        </w:tc>
        <w:tc>
          <w:tcPr>
            <w:tcW w:w="98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Only One MDS</w:t>
            </w:r>
          </w:p>
        </w:tc>
        <w:tc>
          <w:tcPr>
            <w:tcW w:w="1468"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All Other Incomplete</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AK</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1131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78.16%</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19.89%</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AL</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81251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80.57%</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17.75%</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1.12%</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AR</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52104</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73.30%</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2.61%</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AZ</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83897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88.41%</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CA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476657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83.35%</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14.10%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0.46%</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1.40%</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CO</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65252</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83.32%</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15.23%</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0.46%</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CT</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97330</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82.84%</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15.49%</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0.28%</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0.44%</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0.95%</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DC</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6213</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74.51%</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22.71%</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0.66%</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1.56%</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16916</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83.18%</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15.80%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0.54%</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FL</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382468</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85.14%</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13.49%</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0.79%</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GA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106487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79.43%</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19.92%</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HI</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9552</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80.31%</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17.50%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1.73%</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IA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61458</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75.69%</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23.40%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ID</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19087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85.48%</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13.77%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0.36%</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IL</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294768</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82.15%</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16.26%</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0.25%</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0.38%</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0.96%</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IN</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140985</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81.18%</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KS</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54171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77.57%</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21.25%</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0.35%</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KY</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85170</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81.47%</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18.07%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LA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72386</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75.19%</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23.91%</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0.43%</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179603</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84.06%</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14.72%</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0.63%</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MD</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115055</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83.47%</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14.26%</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1.46%</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ME</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27241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84.68%</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14.78%</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MI</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181933</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83.83%</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14.38%</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MN</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108197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84.02%</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15.63%</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0.22%</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MO</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130969</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79.05%</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18.85%</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0.45%</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MS</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46460</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76.98%</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22.17%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MT</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12995</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79.57%</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19.48%</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0.47%</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NC</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144286</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82.56%</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16.97%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0.22%</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ND</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13377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74.37%</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25.04%</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NE</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40226</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79.88%</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19.43%</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NH</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22624</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81.10%</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18.29%</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0.07%</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0.36%</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NJ</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215444</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85.60%</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13.80%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0.31%</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NM</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21177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78.39%</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17.03%</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0.39%</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0.90%</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NV</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31546</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83.30%</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11.82%</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0.49%</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3.54%</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0.85%</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NY</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356794</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79.16%</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18.46%</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0.57%</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1.29%</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OH</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334314</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83.85%</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15.23%</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OK</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55868</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76.01%</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21.01%</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0.46%</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OR</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47006</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87.91%</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10.71%</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PA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327591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83.39%</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16.01%</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PR</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833</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97.84%</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0.72%</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RI</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29537</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81.38%</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16.47%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1.16%</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SC</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62031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80.89%</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17.38%</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0.26%</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0.99%</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SD</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13294</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73.34%</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26.40%</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TN</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113035</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80.36%</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18.14%</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0.43%</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TX</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310019</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73.74%</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20.58%</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0.89%</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0.80%</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3.98%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UT</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30841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84.53%</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12.28%</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0.74%</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2.18%</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VA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124513</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83.63%</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15.12%</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0.84%</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VI</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121</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80.17%</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6.61%</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0.83%</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3.31%</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9.09%</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VT</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10555</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81.74%</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17.38%</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0.36%</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0.41%</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WA</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90076</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86.70%</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13.07%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WI</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105003</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81.81%</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16.96%</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0.76%</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WV</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33335</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80.49%</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18.37%</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0.30%</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0.73%</w:t>
            </w:r>
          </w:p>
        </w:tc>
      </w:tr>
      <w:tr>
        <w:trPr>
          <w:cantSplit/>
          <w:trHeight w:val="315"/>
        </w:trPr>
        <w:tc>
          <w:tcPr>
            <w:tcW w:w="908"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WY</w:t>
            </w:r>
          </w:p>
        </w:tc>
        <w:tc>
          <w:tcPr>
            <w:tcW w:w="147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5168</w:t>
            </w:r>
          </w:p>
        </w:tc>
        <w:tc>
          <w:tcPr>
            <w:tcW w:w="1434"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74.46%</w:t>
            </w:r>
          </w:p>
        </w:tc>
        <w:tc>
          <w:tcPr>
            <w:tcW w:w="136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23.84%</w:t>
            </w:r>
          </w:p>
        </w:tc>
        <w:tc>
          <w:tcPr>
            <w:tcW w:w="132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w:t>
            </w:r>
          </w:p>
        </w:tc>
        <w:tc>
          <w:tcPr>
            <w:tcW w:w="980"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0.27%</w:t>
            </w:r>
          </w:p>
        </w:tc>
        <w:tc>
          <w:tcPr>
            <w:tcW w:w="1468"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1.32%</w:t>
            </w:r>
          </w:p>
        </w:tc>
      </w:tr>
    </w:tbl>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Overall, missing data is infrequent. The vast majority of providers had complete MDS data to calculate the measure, however, it is worthwhile to calculate the degree of missing data on the numerator and not report a facility's rate if they do not complete an MDS discharge assessment (the source for numerator information) at least 95% of the time.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included all Medicare/Medicaid certified SNFs in the nation that were present from January 2011 through September 2012, except 85 facilities which could not be stratified into our categories due to extreme changes in the number of admissions. The final sample included 15,546 SNFs.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Variation in the number of admissions from hospitals to a SNF from one time period to the next is expected to affect the SNF’s rehospitalization rates. The fewer the number of admissions, the more volatile these changes in rates will be. Due to this we have decided to exclude SNFs with fewer than 30 admissions from hospitals during any 12 month period from our rehospitalization rate reporting. (Note: while rates for the excluded facilities are not reported, admissions and rehospitalizations from these facilities are used to calculate the national rate used in the calculation of the adjusted rehospitalization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To test this decision we stratified SNFs based on their average number of admissions over four 12 month periods (Jan 11 to Dec 11, Apr 11 to Mar 12, July 11 to June 12 and Oct 11 to Sept 12). SNFs were stratified into four groups based on their average number of admissions: 1) those with fewer than 30 admissions, 2) 30-50 admissions, 3) 50-100 admissions, and 4) &gt;100 admissions from hospital each year. We then compared the average change in rehospitalization rates from 12 month period to 12 month period across the four groups.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 expected, the average change in rates decreased as the number of admissions increased. This is shown in the table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8. Change in Rates Quarter to Quarter Stratified by Number Admissions to a SNF</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775"/>
        <w:gridCol w:w="1132"/>
        <w:gridCol w:w="1453"/>
        <w:gridCol w:w="588"/>
        <w:gridCol w:w="588"/>
        <w:gridCol w:w="879"/>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blHeader/>
        </w:trPr>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Category</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Observations</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Mean</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Maximum</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Average &lt;30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1589</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0.1314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0.1632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2.7674</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Q2-Q1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0.0531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0.0887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1.0841</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Q3-Q2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0.0574</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0.1509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4.3926</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Q4-Q3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0.0567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0.1619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4.4453</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Average &gt;=30 &amp; &lt;50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1220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0.1533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0.0730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0.5444</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Q2-Q1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0.0325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0.0276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0.2076</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Q3-Q2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0.0309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0.0269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0.2359</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Q4-Q3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0.0298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0.0260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0.1691</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Average &gt;=50 &amp; &lt;100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2830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0.1717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0.0615</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0.4769</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Q2-Q1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0.0267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0.0216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0.1539</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Q3-Q2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0.0248</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0.0197</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0.1316</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Q4-Q3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0.0241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0.0202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0.1690</w:t>
            </w:r>
          </w:p>
        </w:tc>
      </w:tr>
      <w:tr>
        <w:trPr>
          <w:cantSplit/>
        </w:trPr>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Average &gt;=100</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9822</w:t>
            </w: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Adjusted Rate 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0.1862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0.0519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0.4528</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Q2-Q1</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0.0160</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0.0132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0.1132</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Q3-Q2</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0.0153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0.1133</w:t>
            </w:r>
          </w:p>
        </w:tc>
      </w:tr>
      <w:tr>
        <w:trPr>
          <w:cantSplit/>
        </w:trPr>
        <w:tc>
          <w:tcPr/>
          <w:p w:rsidR="00A77B3E">
            <w:pPr>
              <w:rPr>
                <w:rFonts w:ascii="Calibri" w:eastAsia="Calibri" w:hAnsi="Calibri" w:cs="Calibri"/>
                <w:b w:val="0"/>
                <w:i w:val="0"/>
                <w:color w:val="000000"/>
                <w:sz w:val="20"/>
              </w:rPr>
            </w:pPr>
          </w:p>
        </w:tc>
        <w:tc>
          <w:tcPr/>
          <w:p w:rsidR="00A77B3E">
            <w:pPr>
              <w:rPr>
                <w:rFonts w:ascii="Calibri" w:eastAsia="Calibri" w:hAnsi="Calibri" w:cs="Calibri"/>
                <w:b w:val="0"/>
                <w:i w:val="0"/>
                <w:color w:val="000000"/>
                <w:sz w:val="20"/>
              </w:rPr>
            </w:pPr>
          </w:p>
        </w:tc>
        <w:tc>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Change Q4-Q3</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0.0149</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0.0126</w:t>
            </w:r>
          </w:p>
        </w:tc>
        <w:tc>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0.1056</w:t>
            </w:r>
          </w:p>
        </w:tc>
      </w:tr>
    </w:tbl>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results show the average change decreased as the number of admissions increased mostly below 30 admissions per year compared to those &gt; than 30 admissions a year. This validates the decision to exclude SNFs with fewer than 30 admissions from hospitals during any 12 month period from our rehospitalization rate reporting.</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Statistical risk model with risk factors (specify number of risk factors)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[Statistical risk model with risk factors (specify number of risk factors)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33 risk factors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The formula for a facility’s adjusted rehospitalization rate is as follows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(Observed Rate of Rehospitalization within 30 days) / (Expected Rate of Rehospitalization within 30 days) * (National rate).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1. Observed Rate Calculation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The formula for a facility’s observed Rehospitalization rate is as follows: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(Observed count of discharges to hospitals within 30 days of admission) / (Observed count of admissions from hospitals)</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The denominator is the number of any admissions from a hospital during a 12 month measurement period. (This is a count of events, not of residents.)</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The numerator is the number of all admissions to the SNF during a 12 month measurement period who then went back to the hospital within 30 days of their admission date. (This is a count of events, not of residents.)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2. Expected Rate Calculation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2.1 First the expected rate for every single resident admission is calculated using the formula below.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The calculation must be performed at least 45 days after the end of the target 12-month measurement period. This is to allow 30 days to elapse to capture rehospitalizations that occur from admission to the SNF on the last day of the target period and another 14 days to allow facilities to submit data to CMS. We recommend waiting an additional 2 to 3 weeks to ensure maximum data availability for MDS assessments not submitted during the 14 day period.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VARIABLE CALCULATION USING MDS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Intercept: -2.8252</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Age Under 65: if age&lt;65 then Variable=1; else Variable=0; (If Date of Birth is missing, then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End Stage Prognosis:if J1400=1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Hospice Care: if O0100K2=1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Male: if A0800=1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Medicare: if A0310B = 01 or 06, then Variable=1;else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SNF Admission is Return to Same SNF Following Hospitalization: if A0310B=06 AND A1600 minus A2000 (on a previous MDS where A2100=3) &lt; 30 then Variable=1; else if A1700=2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A"/>
          <w:sz w:val="20"/>
        </w:rPr>
        <w:t xml:space="preserve">Diagnoses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Anemia: if I0200=1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Asthma: if I6200=1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Diabetes Mellitus: if I2900=1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Diabetic Foot Ulcer: if M1040B=1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Pressure Ulcer Stage 2: if M0300B2&gt;0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Pressure Ulcer Stage 3: if M0300C2&gt;0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Pressure Ulcer Stage 4: if M0300D2&gt;0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Pressure Ulcer Unstageable: if M0300E2&gt;0 or M0300F2&gt;0 or M0300G2&gt;0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Respiratory Failure: if I6300=1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Septicemia: if I2100=1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Vascular Ulcer: if M1030&gt;0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Viral Hepatitis: if I2400=1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Heart Failure: if I0600=1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Internal Bleeding:if J1550D=1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A"/>
          <w:sz w:val="20"/>
        </w:rPr>
        <w:t>Functional Status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Daily Pain: if J0400=1 or J0850=3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Eating Dependence- Total: if G0110H1 = 4,7, or 8,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Two Person assist Needed with One or More ADLs: if G0110A2=3 or G0110B2=3 or G0110C2=3 or G0110D2=3 or G0110E2=3 or G0110F2=3 or G0110G2=3 or G0110H2=3 or G0110I2=3 or G0110J2=3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Cognition not Completely Intact: if C0100=1 AND if C0500=15 then Variable=0; if C0100=1 AND if C0500 &lt;&gt;15 then Variable=1;if C0100=0 AND if C0700=0 AND C0800=0 AND C1000=0 AND C0900A=1 AND C0900B=1 AND C0900C=1 AND C0900D=1 then Variable=0; else Variable=1;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Total Bowel Incontinence: if H0400&gt;0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A"/>
          <w:sz w:val="20"/>
        </w:rPr>
        <w:t>Treatment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Cancer Chemotherapy: if O0100A1=1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Dialysis: if O0100J1=1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Insulin: if N0350A&gt;0 or N0350B&gt;0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IV Medications Continuing from Hospital: if O0100H1=1 and O0100H2=1 then Variable=1; else Variable=0;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Ostomy Care: if H0100C=1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Oxygen Continuing from Hospital: if O0100C1=1 and O0100C2=1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Radiation Therapy: if O0100B1=1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Tracheostomy Continuing from Hospital: if O0100E1=1 and O0100E2=1 then Variable=1; else Variable=0;</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A"/>
          <w:sz w:val="20"/>
        </w:rPr>
        <w:t xml:space="preserve">FORMULA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LogOdds = - 2.8252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- 0.7846 * End Stage Prognosis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- 1.5085 * Hospice_care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+ 0.0923 * Anemia</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+ 0.1033 * Asthma</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+ 0.0611 * Daily Pain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+ 0.0462 * Diabetes_Mellitus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+ 0.1459 * Diabetic Foot Ulcer</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+ 0.6038 * Dialysis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+ 0.1777 * Insulin</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+ 0.3263 * Ostomy Care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+ 0.167 * Pressure Ulcer Stage 2</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+ 0.1334 * Pressure Ulcer Stage 3</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+ 0.1569 * Pressure Ulcer Stage 4</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+ 0.181 * Pressure Ulcer Unstageable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+ 0.0891 * Septicemia</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+ 0.1848 * Total Bowel Incontinence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+ 0.1862 * Venous Arterial Ulcer</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+ 0.4017 * Viral Hepatitis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+ 0.177 * Age Under 65</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+ 0.6001 * Cancer Chemotherapy</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+ 0.188 * IV Medication Continued from Hospital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+ 0.3395 * Oxygen Continuing from Hospital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+ 0.1336 * Tracheostomy Continuing from Hospital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+ 0.4718 * Eating Dependency </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+ 0.2004 * Heart Failure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+ 0.892 * Internal Bleeding</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+ 0.1622 * Male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+ 0.14 * Return to Same SNF Following Hospitalizations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+ 0.5543 * Medicare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+ 0.2389 * Two Person Assist Required for One or More ADLs</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+ 0.6111 * Radiation Therapy</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+ 0.1159 * Respiratory Failure</w:t>
      </w:r>
    </w:p>
    <w:p w:rsidR="00A77B3E">
      <w:pPr>
        <w:spacing w:before="0" w:after="80"/>
        <w:ind w:left="720"/>
        <w:jc w:val="left"/>
        <w:rPr>
          <w:rFonts w:ascii="Calibri" w:eastAsia="Calibri" w:hAnsi="Calibri" w:cs="Calibri"/>
          <w:b w:val="0"/>
          <w:i w:val="0"/>
          <w:color w:val="000000"/>
          <w:sz w:val="20"/>
        </w:rPr>
      </w:pPr>
      <w:r>
        <w:rPr>
          <w:rFonts w:ascii="Calibri" w:eastAsia="Calibri" w:hAnsi="Calibri" w:cs="Calibri"/>
          <w:b w:val="0"/>
          <w:i w:val="0"/>
          <w:color w:val="00000A"/>
          <w:sz w:val="20"/>
        </w:rPr>
        <w:t>+ 0.3327 * Cognition Not Completely Intact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30-day Rehospitalization Probability= 1/(1+exp(-LogOdds))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2.2 Once the above calculation is performed for all admissions within the measurement period, the results are averaged to obtain the facility’s expected rate of rehospitalization. Hence, the expected rate for a facility is the average of the expected rehospitalization probabilities for each admission during the target time period.</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A"/>
          <w:sz w:val="20"/>
        </w:rPr>
        <w:t>Procedure for Calculating the Measure</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Establish the 12 month period and collect all assessments with entry dates that fall within the period. The count of these entries is the observed denominator.</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For each entry date, determine whether the resident was discharged to an acute hospital within 30 days of the entry date. The count of these discharges is the observed numerator.</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Divide the numerator by the denominator to obtain the observed rate for the SNF.</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Calculate the expected rate for the facility using the expected probability model for admissions during the sample period, then average them for the 12-month period.</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A"/>
          <w:sz w:val="20"/>
        </w:rPr>
        <w:t>Divide the observed rate by the expected rate and multiply by the national average rate to obtain the adjusted all cause rehospitalization rate for the facility.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Published literature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Internal data analysis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bootstrap analysis as well as a stability analysis on the variables was conducted.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performed a bootstrap analysis of the coefficients for PointRight Pro30 in the following way: We began with a sample of 585,572 admissions to SNFs from acute care hospitals with admission dates in CY2011. Data were used if the SNF involved had a discharge assessment completion rate of 95% or higher. We calculated the coefficients of the PointRight Pro30 logistic regression model on 1000 subsamples of 292,786 admissions. The distributions for each of the coefficients are displayed in the following table (Table 9) and compared with the coefficients used in the PointRight OnPoint-30 model, which was developed using a slightly different sample comprising 600,000 admissions to SNFs.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PointRight Pro30 model is based on the assumption that its independent variables rarely change between the day of admission and the assessment reference date of the first MDS assessment. While we cannot assess this directly we can look at the change from the first to the second PPS assessment of Medicare patients who remain in the facility long enough for two assessments. Typically this will be the change from day 7 to day 14 of a post-acute stay. This provides a rough estimate of variable stability. Table 10 shows the rates of change between assessments that were 7 days apart (N= 203,386). Note that only four variables show rates of change – usually in the direction of improvement – of greater than 10%. These variables are those for cognitive impairment, total bowel incontinence, two-person assist, and continued oxygen therapy. For these four variables the table shows the prevalence of 1s in the model building sample and the coefficient in the PointRight Pro30 model. Considering all of the facts, it appears that facility-level estimates of expected readmission rates are unlikely to be affected greatly by variable instability. When the PointRight Pro30 model is applied to data collected on the day of admission it will slightly overestimate the expected risk, because some patients with values of 1 on the least stable IVs will become zeroes by the day of the first MDS assessment.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Bootstrap:</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Table 9 shows the difference between the PointRight Pro30 coefficients and the mean coefficients from the bootstrap analysis, expressed as actual values, standard deviation (S.D.) and percentage. It is evident that only a few variables have more than 10% variation from the bootstrap mean; for those variables the absolute value and/or the number of standard deviations is clinically acceptable.</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9. Pointright Onpoint-30 Coefficients Compared with Mean from Bootstrap Sampling</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405"/>
        <w:gridCol w:w="1425"/>
        <w:gridCol w:w="1116"/>
        <w:gridCol w:w="1039"/>
        <w:gridCol w:w="672"/>
        <w:gridCol w:w="1082"/>
        <w:gridCol w:w="1082"/>
        <w:gridCol w:w="1082"/>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890"/>
          <w:tblHeader/>
        </w:trPr>
        <w:tc>
          <w:tcPr>
            <w:tcW w:w="1740"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 Type</w:t>
            </w:r>
          </w:p>
        </w:tc>
        <w:tc>
          <w:tcPr>
            <w:tcW w:w="177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Independent Variable</w:t>
            </w:r>
          </w:p>
        </w:tc>
        <w:tc>
          <w:tcPr>
            <w:tcW w:w="14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PointRight Pro30 Coefficient</w:t>
            </w:r>
          </w:p>
        </w:tc>
        <w:tc>
          <w:tcPr>
            <w:tcW w:w="1449"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Bootstrap Mean</w:t>
            </w:r>
          </w:p>
        </w:tc>
        <w:tc>
          <w:tcPr>
            <w:tcW w:w="941"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S.D.</w:t>
            </w:r>
          </w:p>
        </w:tc>
        <w:tc>
          <w:tcPr>
            <w:tcW w:w="138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w:t>
            </w:r>
          </w:p>
        </w:tc>
        <w:tc>
          <w:tcPr>
            <w:tcW w:w="138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 in S.D.</w:t>
            </w:r>
          </w:p>
        </w:tc>
        <w:tc>
          <w:tcPr>
            <w:tcW w:w="1385"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Difference in %</w:t>
            </w:r>
          </w:p>
        </w:tc>
      </w:tr>
      <w:tr>
        <w:trPr>
          <w:cantSplit/>
          <w:trHeight w:val="350"/>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Intercept</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Intercept</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-2.825</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-2.819</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r>
      <w:tr>
        <w:trPr>
          <w:cantSplit/>
          <w:trHeight w:val="620"/>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Type of Admission</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Medicare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0.554</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0.555</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0.015</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Re-entry</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0.140</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0.125</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0.015</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1.30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10.6%</w:t>
            </w:r>
          </w:p>
        </w:tc>
      </w:tr>
      <w:tr>
        <w:trPr>
          <w:cantSplit/>
          <w:trHeight w:val="323"/>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Demographics</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0.162</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0.158</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0.48</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2.9%</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 Under 65</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0.177</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0.177</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0.013</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r>
      <w:tr>
        <w:trPr>
          <w:cantSplit/>
          <w:trHeight w:val="314"/>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Diagnoses</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0.092</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0.092</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w:t>
            </w:r>
          </w:p>
        </w:tc>
      </w:tr>
      <w:tr>
        <w:trPr>
          <w:cantSplit/>
          <w:trHeight w:val="260"/>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0.103</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0.105</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Mellitus</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0.046</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0.062</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0.014</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-1.15</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-34.6%</w:t>
            </w:r>
          </w:p>
        </w:tc>
      </w:tr>
      <w:tr>
        <w:trPr>
          <w:cantSplit/>
          <w:trHeight w:val="565"/>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 xml:space="preserve">Diagnoses </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Diabetic Foot Ulcer</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0.146</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0.139</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0.044</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5.0%</w:t>
            </w:r>
          </w:p>
        </w:tc>
      </w:tr>
      <w:tr>
        <w:trPr>
          <w:cantSplit/>
          <w:trHeight w:val="359"/>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0.200</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0.206</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Internal Bleeding</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0.892</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0.912</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(Stage 2)</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0.167</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0.181</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-0.014</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-8.2%</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(Stage 3)</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0.133</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0.197</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-0.063</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-2.12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-47.5%</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(Stage 4)</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0.157</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0.146</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6.8%</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(Unstageable)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0.181</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0.163</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0.018</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10.2%</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Respiratory Failure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0.116</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0.163</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0.025</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-40.6%</w:t>
            </w:r>
          </w:p>
        </w:tc>
      </w:tr>
      <w:tr>
        <w:trPr>
          <w:cantSplit/>
          <w:trHeight w:val="323"/>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Septicemia</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0.089</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0.121</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-35.7%</w:t>
            </w:r>
          </w:p>
        </w:tc>
      </w:tr>
      <w:tr>
        <w:trPr>
          <w:cantSplit/>
          <w:trHeight w:val="260"/>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Vascular Ulcer</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0.186</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0.181</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3.0%</w:t>
            </w:r>
          </w:p>
        </w:tc>
      </w:tr>
      <w:tr>
        <w:trPr>
          <w:cantSplit/>
          <w:trHeight w:val="260"/>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Viral Hepatitis</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0.402</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0.310</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22.8%</w:t>
            </w:r>
          </w:p>
        </w:tc>
      </w:tr>
      <w:tr>
        <w:trPr>
          <w:cantSplit/>
          <w:trHeight w:val="341"/>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Symptom</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Daily Pain</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0.061</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0.054</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11.1%</w:t>
            </w:r>
          </w:p>
        </w:tc>
      </w:tr>
      <w:tr>
        <w:trPr>
          <w:cantSplit/>
          <w:trHeight w:val="800"/>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Functional Status</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Bowel Incontinence (Total)</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0.185</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0.176</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Cognition Not Intact</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0.333</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0.331</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0.14</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Eating Dependence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0.472</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0.430</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2.48</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8.9%</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Two-Person Assist for Any ADL</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0.239</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0.226</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0.013</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5.3%</w:t>
            </w:r>
          </w:p>
        </w:tc>
      </w:tr>
      <w:tr>
        <w:trPr>
          <w:cantSplit/>
          <w:trHeight w:val="809"/>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Treatments Continued from Hospital</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Cancer Chemotherapy</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0.600</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0.595</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0.005</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w:t>
            </w:r>
          </w:p>
        </w:tc>
      </w:tr>
      <w:tr>
        <w:trPr>
          <w:cantSplit/>
          <w:trHeight w:val="260"/>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Dialysis</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0.604</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0.606</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w:t>
            </w:r>
          </w:p>
        </w:tc>
      </w:tr>
      <w:tr>
        <w:trPr>
          <w:cantSplit/>
          <w:trHeight w:val="341"/>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Insulin</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0.178</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0.159</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0.015</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0.018</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1.21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10.3%</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Fluids or Meds</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0.188</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0.179</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4.7%</w:t>
            </w:r>
          </w:p>
        </w:tc>
      </w:tr>
      <w:tr>
        <w:trPr>
          <w:cantSplit/>
          <w:trHeight w:val="314"/>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Ostomy Care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0.326</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0.349</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-0.023</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-6.9%</w:t>
            </w:r>
          </w:p>
        </w:tc>
      </w:tr>
      <w:tr>
        <w:trPr>
          <w:cantSplit/>
          <w:trHeight w:val="350"/>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Oxygen</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0.340</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0.346</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0.012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-0.007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-0.56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-2.0%</w:t>
            </w:r>
          </w:p>
        </w:tc>
      </w:tr>
      <w:tr>
        <w:trPr>
          <w:cantSplit/>
          <w:trHeight w:val="565"/>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Radiation Therapy</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0.611</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0.489</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0.069</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0.122</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1.77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19.9%</w:t>
            </w:r>
          </w:p>
        </w:tc>
      </w:tr>
      <w:tr>
        <w:trPr>
          <w:cantSplit/>
          <w:trHeight w:val="565"/>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Treatments Continued from Hospital</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Tracheostomy Care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0.134</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0.170</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0.040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-0.037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-0.91</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-27.5%</w:t>
            </w:r>
          </w:p>
        </w:tc>
      </w:tr>
      <w:tr>
        <w:trPr>
          <w:cantSplit/>
          <w:trHeight w:val="565"/>
        </w:trPr>
        <w:tc>
          <w:tcPr>
            <w:tcW w:w="1740" w:type="dxa"/>
          </w:tcPr>
          <w:p w:rsidR="00A77B3E">
            <w:pPr>
              <w:spacing w:before="0" w:after="80"/>
              <w:jc w:val="center"/>
              <w:rPr>
                <w:rFonts w:ascii="Calibri" w:eastAsia="Calibri" w:hAnsi="Calibri" w:cs="Calibri"/>
                <w:b w:val="0"/>
                <w:i w:val="0"/>
                <w:color w:val="000000"/>
                <w:sz w:val="20"/>
              </w:rPr>
            </w:pPr>
            <w:r>
              <w:rPr>
                <w:rFonts w:ascii="Calibri" w:eastAsia="Calibri" w:hAnsi="Calibri" w:cs="Calibri"/>
                <w:b/>
                <w:bCs/>
                <w:i w:val="0"/>
                <w:color w:val="000000"/>
                <w:sz w:val="20"/>
              </w:rPr>
              <w:t>Mitigating Factors</w:t>
            </w: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End-Stage Prognosis</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-0.785</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-0.729</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-0.056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7.1%</w:t>
            </w:r>
          </w:p>
        </w:tc>
      </w:tr>
      <w:tr>
        <w:trPr>
          <w:cantSplit/>
          <w:trHeight w:val="341"/>
        </w:trPr>
        <w:tc>
          <w:tcPr/>
          <w:p w:rsidR="00A77B3E">
            <w:pPr>
              <w:rPr>
                <w:rFonts w:ascii="Calibri" w:eastAsia="Calibri" w:hAnsi="Calibri" w:cs="Calibri"/>
                <w:b w:val="0"/>
                <w:i w:val="0"/>
                <w:color w:val="000000"/>
                <w:sz w:val="20"/>
              </w:rPr>
            </w:pPr>
          </w:p>
        </w:tc>
        <w:tc>
          <w:tcPr>
            <w:tcW w:w="1775"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Care</w:t>
            </w:r>
          </w:p>
        </w:tc>
        <w:tc>
          <w:tcPr>
            <w:tcW w:w="14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-1.509</w:t>
            </w:r>
          </w:p>
        </w:tc>
        <w:tc>
          <w:tcPr>
            <w:tcW w:w="1449"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-1.423</w:t>
            </w:r>
          </w:p>
        </w:tc>
        <w:tc>
          <w:tcPr>
            <w:tcW w:w="941"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0.098</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-0.086</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-0.87</w:t>
            </w:r>
          </w:p>
        </w:tc>
        <w:tc>
          <w:tcPr>
            <w:tcW w:w="1385"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5.7%</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Variable Stability:</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TABLE 10: Variable Stability between Two Assessments Seven Days Apart</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03"/>
        <w:gridCol w:w="1238"/>
        <w:gridCol w:w="1275"/>
        <w:gridCol w:w="1405"/>
        <w:gridCol w:w="1382"/>
        <w:gridCol w:w="1344"/>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106"/>
          <w:tblHeader/>
        </w:trPr>
        <w:tc>
          <w:tcPr>
            <w:tcW w:w="24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Variable</w:t>
            </w:r>
          </w:p>
        </w:tc>
        <w:tc>
          <w:tcPr>
            <w:tcW w:w="145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Changing from 0 to 1</w:t>
            </w:r>
          </w:p>
        </w:tc>
        <w:tc>
          <w:tcPr>
            <w:tcW w:w="155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Changing from 1 to 0</w:t>
            </w:r>
          </w:p>
        </w:tc>
        <w:tc>
          <w:tcPr>
            <w:tcW w:w="161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 Unchanged</w:t>
            </w:r>
          </w:p>
        </w:tc>
        <w:tc>
          <w:tcPr>
            <w:tcW w:w="159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Prevalence of 1s in Validation Sample</w:t>
            </w:r>
          </w:p>
        </w:tc>
        <w:tc>
          <w:tcPr>
            <w:tcW w:w="1516" w:type="dxa"/>
          </w:tcPr>
          <w:p w:rsidR="00A77B3E">
            <w:pPr>
              <w:spacing w:before="0" w:after="80"/>
              <w:jc w:val="center"/>
              <w:rPr>
                <w:rFonts w:ascii="Calibri" w:eastAsia="Calibri" w:hAnsi="Calibri" w:cs="Calibri"/>
                <w:b/>
                <w:bCs/>
                <w:i w:val="0"/>
                <w:color w:val="000000"/>
                <w:sz w:val="20"/>
              </w:rPr>
            </w:pPr>
            <w:r>
              <w:rPr>
                <w:rFonts w:ascii="Calibri" w:eastAsia="Calibri" w:hAnsi="Calibri" w:cs="Calibri"/>
                <w:b/>
                <w:bCs/>
                <w:i w:val="0"/>
                <w:color w:val="000000"/>
                <w:sz w:val="20"/>
              </w:rPr>
              <w:t>Coefficient in Model</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Medicare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Re-entry</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Male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Age Under 65</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Anemia</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Asthma</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Diabetes Mellitus</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Diabetic Foot Ulcer</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Heart Failure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Internal Bleeding</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6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Stage 2</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6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Stage 3</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6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Stage 4</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6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Pressure Ulcer Unstageable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Respiratory Failure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Septicemia</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Vascular Ulcer</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Viral Hepatitis</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Daily Pain</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98%</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6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Bowel Incontinence (Total)</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7%</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93%</w:t>
            </w:r>
          </w:p>
        </w:tc>
        <w:tc>
          <w:tcPr>
            <w:tcW w:w="15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49%</w:t>
            </w:r>
          </w:p>
        </w:tc>
        <w:tc>
          <w:tcPr>
            <w:tcW w:w="15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0.185</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Cognition Not Intact</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8%</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15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66%</w:t>
            </w:r>
          </w:p>
        </w:tc>
        <w:tc>
          <w:tcPr>
            <w:tcW w:w="15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0.333</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Eating Dependence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Two-Person Assist</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4%</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14%</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96%</w:t>
            </w:r>
          </w:p>
        </w:tc>
        <w:tc>
          <w:tcPr>
            <w:tcW w:w="15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57%</w:t>
            </w:r>
          </w:p>
        </w:tc>
        <w:tc>
          <w:tcPr>
            <w:tcW w:w="15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0.239</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Chemotherapy</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Dialysis</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3%</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Insulin</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6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IV Fluids or Medications</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6%</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Ostomy Care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Oxygen</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22%</w:t>
            </w:r>
          </w:p>
        </w:tc>
        <w:tc>
          <w:tcPr>
            <w:tcW w:w="15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0.34</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Radiation Therapy</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Tracheostomy Care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6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End-Stage Prognosis</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r>
        <w:trPr>
          <w:cantSplit/>
          <w:trHeight w:val="315"/>
        </w:trPr>
        <w:tc>
          <w:tcPr>
            <w:tcW w:w="24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Hospice Care</w:t>
            </w:r>
          </w:p>
        </w:tc>
        <w:tc>
          <w:tcPr>
            <w:tcW w:w="14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55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616" w:type="dxa"/>
          </w:tcPr>
          <w:p w:rsidR="00A77B3E">
            <w:pPr>
              <w:spacing w:before="0" w:after="80"/>
              <w:jc w:val="right"/>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59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c>
          <w:tcPr>
            <w:tcW w:w="1516" w:type="dxa"/>
          </w:tcPr>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t>
            </w:r>
          </w:p>
        </w:tc>
      </w:tr>
    </w:tbl>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Note: * Cells intentionally left blank</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Our overall approach was to begin with reliable and rarely-missing patient-level SDS variables nominated by our clinical experts: Medicaid status (as a proxy for financial assets and income), black versus non-black, Hispanic/Latino versus non-Hispanic/Latino, and the interactions of Medicaid status and race. The significance of these variables in predicting rehospitalization rates was tested in fixed-effects logistic regression models. We reasoned that patient-level effects that were significant in models that included facility-specific constant terms probably reflected otherwise-unmeasured differences in baseline health status. Our final risk adjustment models were single-level logistic regression models in which the coefficients on the SDS variables were forced to be the same as in the fixed-effects model. Essentially this approach adjusts for the </w:t>
      </w:r>
      <w:r>
        <w:rPr>
          <w:rFonts w:ascii="Calibri" w:eastAsia="Calibri" w:hAnsi="Calibri" w:cs="Calibri"/>
          <w:b w:val="0"/>
          <w:i/>
          <w:iCs/>
          <w:color w:val="000000"/>
          <w:sz w:val="20"/>
        </w:rPr>
        <w:t xml:space="preserve">within-facility </w:t>
      </w:r>
      <w:r>
        <w:rPr>
          <w:rFonts w:ascii="Calibri" w:eastAsia="Calibri" w:hAnsi="Calibri" w:cs="Calibri"/>
          <w:b w:val="0"/>
          <w:i w:val="0"/>
          <w:color w:val="000000"/>
          <w:sz w:val="20"/>
        </w:rPr>
        <w:t xml:space="preserve">differences in rehospitalization rates associated with the SDS factor, but does not adjust for the </w:t>
      </w:r>
      <w:r>
        <w:rPr>
          <w:rFonts w:ascii="Calibri" w:eastAsia="Calibri" w:hAnsi="Calibri" w:cs="Calibri"/>
          <w:b w:val="0"/>
          <w:i/>
          <w:iCs/>
          <w:color w:val="000000"/>
          <w:sz w:val="20"/>
        </w:rPr>
        <w:t xml:space="preserve">between-facility </w:t>
      </w:r>
      <w:r>
        <w:rPr>
          <w:rFonts w:ascii="Calibri" w:eastAsia="Calibri" w:hAnsi="Calibri" w:cs="Calibri"/>
          <w:b w:val="0"/>
          <w:i w:val="0"/>
          <w:color w:val="000000"/>
          <w:sz w:val="20"/>
        </w:rPr>
        <w:t>differences in rehospitalization rates associated with the SDS factor. The within-facility effects are essentially those beyond those associated with facility quality differences. In all cases this made the effect of the SDS variables smaller than it would be in a single-level logistic regression that did not account for facility effects. We did not want to adjust away facility-level effects related to worse care at SNFs with large minority populations.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 clinical panel reviewed the entire MDS for skilled nursing facilities, identifying items that might be expected on clinical grounds to correlate with 30 day readmission risk, and that would be unlikely to change between the day of hospital discharge and the day of the first MDS assessment – which takes place by day 8 of the stay for all Medicare patients. Such items included demographics, chronic disease diagnoses, treatments begun in the hospital with orders to be continued in the SNF, and functional status items that change slowly when they change at all, such as the patient’s needing two-person assistance for transferring and/or bed mobility. These items were screened for significant univariate associations with the dependent variable (readmission to any acute care hospital directly from the SNF within 30 days of admission). This process yielded 39 candidate variables. A logistic regression formula was then estimated utilizing the 39 candidates; this was progressively refined into one that utilized 33 independent variables. The six remaining ones – PTSD, transfusions, tuberculosis, continuing radiation therapy, continuing ventilator status, and continuing suction did not add explained variance if added to a model that already included the 33 actually used. With the exception of ventilator status and suction, the variables all had relatively low prevalence in the model-building sample. Ventilator status and suction were strongly associated with tracheostomy care, so it was not surprising that only one of the three variables was significant in the multivariate model that we ultimately selected for risk adjustment of readmission rates.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c-statistic of the Pro30 model is 0.669 with a 95% confidence interval (0:6666-0:6851). This means that there is 67% probability that a case (i.e. a person who gets rehospitalized) has higher predicted risk (i.e. higher estimated logit) than a non-case.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p-value of the Hosmer-Lemeshow statistic for the Pro30 model at the facility level is 0.85, so we accept the hypothesis of no discrepancy between Observed-Expected proportions, concluding that the logistic model is a good fit (well calibrated)</w:t>
      </w:r>
      <w:r>
        <w:rPr>
          <w:rFonts w:ascii="Calibri" w:eastAsia="Calibri" w:hAnsi="Calibri" w:cs="Calibri"/>
          <w:b w:val="0"/>
          <w:i w:val="0"/>
          <w:color w:val="1F497D"/>
          <w:sz w:val="20"/>
        </w:rPr>
        <w: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We grouped each facility into risk deciles based on their risk adjusted expected rehospitalization rate and then calculated the actual rate for each decile group. The “box and whisker” plot is shown in the figure below. As expected, the average actual rehospitalization rate increases steadily for each decile increase in expected rehospitalization indicating good calibration.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00"/>
          <w:sz w:val="20"/>
        </w:rPr>
        <w:t>FIGURE 3. CALIBRATION CURVE OF EXPECTED TO OBSERVED RATE</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4457700"/>
            <wp:docPr id="100019" name="" descr="Calibration curve of expected to observed 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15"/>
                    <a:stretch>
                      <a:fillRect/>
                    </a:stretch>
                  </pic:blipFill>
                  <pic:spPr>
                    <a:xfrm>
                      <a:off x="0" y="0"/>
                      <a:ext cx="5943600" cy="4457700"/>
                    </a:xfrm>
                    <a:prstGeom prst="rect">
                      <a:avLst/>
                    </a:prstGeom>
                  </pic:spPr>
                </pic:pic>
              </a:graphicData>
            </a:graphic>
          </wp:inline>
        </w:drawing>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t>Calibration curve of expected to observed rate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Generated or collected by and used by healthcare personnel during the provision of care (e.g., blood pressure, lab value, diagnosis, depression score)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electronic clinical data (e.g., clinical registry, nursing home MDS, home health OASIS)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Using the MDS data has allowed us to provide more timely data back to individual providers than using claims, which we initially used. Also, collecting and calculating the measure on a quarterly basis that spans a 12 month period has helped assure fewer facilities with missing rates due to small sample size and has the effect of preventing large fluctuations from measurement period to measurement period due to small sample sizes. Providers have asked for rates that span only one quarter but the number of facilities with the inadequate denominator size of 30 increases and the measure stability is also affected when using only one quarter . However, even with a 12 month window (reported as rolling average each quarter) we still have a number of facilities that cannot have a reported rate or may have a measure one quarter but not another since their total number of admissions from a hospital (denominator size) is close to the minimum number required for reporting (which is 30).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 xml:space="preserve">Also, providing information to individuals providers on their data completeness about the use of the MDS discharge assessments (the source for numerator) has helped providers improve their completion of MDS discharge assessment. We have modified our feedback reports to facilities about their data completeness. We also have had to provide more explanation for how the measure is calculated, so that they can interpret their data. Understanding the risk adjustment method of [actual rate/expected rate] x national average is not self-evident to most providers. However, once explained with examples, they appreciate the method.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A"/>
          <w:sz w:val="20"/>
        </w:rPr>
        <w:t>We also have modified how long we wait until after the end of the quarter to increase data completeness. Some providers even several months after the close of a quarter have not submitted all of their MDS data to CMS. We have modified our calculations to update their prior quarter’s rates when additional MDS data is submitted to CMS. This affects less than 10% of providers and even then most rates do not change significantly. However, providers appreciate having the most accurate and complete data updated for their historical trend analysis.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Computation of the measure requires a license to use software for large-scale data management and calculation of risk estimates using logistic regression models. These are capabilities of all typical analytics software packages used by healthcare organizations (e.g., SAS, SPSS, Stata, and R). Healthcare organizations would thus not incur additional expense to implement the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Utilization of the measure specifications does not require a fee. However, there is a requirement that display, disclosure or publication of the measure include the measure’s trademark (viz., PointRight® Pro30 Rehospitalization Measure) and that it is indicated that the measure specifications are copyrighted by PointRight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1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1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1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1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12"/>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Payment Program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[Payment Program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Two state Medicaid programs utilize Pro30 as part of their value-based purchasing (VBP) or pay for performance (P4P) programs. More information about these two programs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California’s Quality and Accountability Supplemental Payment (QASP)</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 Incentivize quality improvement. Pro30 is one of the measures used in the program.</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 California nursing facilities</w:t>
      </w:r>
    </w:p>
    <w:p w:rsidR="00A77B3E">
      <w:pPr>
        <w:numPr>
          <w:ilvl w:val="0"/>
          <w:numId w:val="13"/>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Reference URL - </w:t>
      </w:r>
      <w:hyperlink r:id="rId16" w:tgtFrame="_blank" w:history="1">
        <w:r>
          <w:rPr>
            <w:rFonts w:ascii="Calibri" w:eastAsia="Calibri" w:hAnsi="Calibri" w:cs="Calibri"/>
            <w:b w:val="0"/>
            <w:i w:val="0"/>
            <w:color w:val="0000FF"/>
            <w:sz w:val="20"/>
            <w:u w:val="single" w:color="0000FF"/>
          </w:rPr>
          <w:t>https://www.cdph.ca.gov/Programs/CHCQ/LCP/Pages/QASP.aspx</w:t>
        </w:r>
      </w:hyperlink>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Hawaii Nursing Facility Pay for Performance </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 Incentivize quality improvement. Pro30 is one of six quality measures in the program. </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 Hawaii nursing facilities</w:t>
      </w:r>
    </w:p>
    <w:p w:rsidR="00A77B3E">
      <w:pPr>
        <w:numPr>
          <w:ilvl w:val="0"/>
          <w:numId w:val="1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Reference URL - </w:t>
      </w:r>
      <w:hyperlink r:id="rId17" w:tgtFrame="_blank" w:history="1">
        <w:r>
          <w:rPr>
            <w:rFonts w:ascii="Calibri" w:eastAsia="Calibri" w:hAnsi="Calibri" w:cs="Calibri"/>
            <w:b w:val="0"/>
            <w:i w:val="0"/>
            <w:color w:val="0000FF"/>
            <w:sz w:val="20"/>
            <w:u w:val="single" w:color="0000FF"/>
          </w:rPr>
          <w:t>https://www.ahcancal.org/Data-and-Research/Center-for-HPE/Documents/CHPE-Report-A%20Review%20of%20NH%20Medicaid%20VBP%20Programs%2002.23.2022.pdf</w:t>
        </w:r>
      </w:hyperlink>
      <w:r>
        <w:rPr>
          <w:rFonts w:ascii="Calibri" w:eastAsia="Calibri" w:hAnsi="Calibri" w:cs="Calibri"/>
          <w:b w:val="0"/>
          <w:i w:val="0"/>
          <w:color w:val="000000"/>
          <w:sz w:val="20"/>
        </w:rPr>
        <w:t>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Separate from state Medicaid VBP and P4P programs, individual providers and provider networks utilize Pro30 in negotiating reimbursement rates and incentive payments with Medicare Advantage plans, managed care organizations, and other referral partners. Pro30 is utilized in these situations because it is an all-payer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with Benchmarking (external benchmarking to multiple organizations)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the largest trade association for nursing homes with over 9,000 nursing home members, the American Health Care Association (AHCA) launched a multi-year quality initiative to improve nursing home quality. In the latest iteration of this quality initiative, which was launched in 2018, there was a goal for every facility to reduce short-stay rehospitalizations by 10 percent, or maintain a high performance rate of 10 percent or less, by March 2021 as measured by Pro30. AHCA Quality Initiative Issue Brief - </w:t>
      </w:r>
      <w:hyperlink r:id="rId18" w:anchor="search=quality%20initiative" w:tgtFrame="_blank" w:history="1">
        <w:r>
          <w:rPr>
            <w:rFonts w:ascii="Calibri" w:eastAsia="Calibri" w:hAnsi="Calibri" w:cs="Calibri"/>
            <w:b w:val="0"/>
            <w:i w:val="0"/>
            <w:color w:val="0000FF"/>
            <w:sz w:val="20"/>
            <w:u w:val="single" w:color="0000FF"/>
          </w:rPr>
          <w:t>https://www.ahcancal.org/Advocacy/IssueBriefs/Issue%20Brief%20AHCA%20QI%202018-2021.pdf#search=quality%20initiative</w:t>
        </w:r>
      </w:hyperlink>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    [Quality Improvement (Internal to the specific organization) Please Explain]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On a quarterly basis, Pro30 rates are updated on AHCA’s LTC Trend Tracker tool for members. Independently owned members, as well as corporate multi-facility members, can track and benchmark their organization’s Pro30 performance via LTC Trend Tracker.</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Additionally, non-members and the public can download facility-level rates on a quarterly basis from AHCA’s website - </w:t>
      </w:r>
      <w:hyperlink r:id="rId19" w:tgtFrame="_blank" w:history="1">
        <w:r>
          <w:rPr>
            <w:rFonts w:ascii="Calibri" w:eastAsia="Calibri" w:hAnsi="Calibri" w:cs="Calibri"/>
            <w:b w:val="0"/>
            <w:i w:val="0"/>
            <w:color w:val="0000FF"/>
            <w:sz w:val="20"/>
            <w:u w:val="single" w:color="0000FF"/>
          </w:rPr>
          <w:t>https://www.ahcancal.org/Data-and-Research/Pages/PointRight-Downloads.aspx</w:t>
        </w:r>
      </w:hyperlink>
      <w:r>
        <w:rPr>
          <w:rFonts w:ascii="Calibri" w:eastAsia="Calibri" w:hAnsi="Calibri" w:cs="Calibri"/>
          <w:b w:val="0"/>
          <w:i w:val="0"/>
          <w:color w:val="000000"/>
          <w:sz w:val="20"/>
        </w:rPr>
        <w:t>   </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Payment Program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with Benchmarking (external benchmarking to multiple organizations)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Quality Improvement (internal to the specific organization)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is available in three Net Health PointRight solutions, PointRight® Pro 30® Rehospitalization, ScoreCard, and QASP. These solutions are available to all Net Health customers who subscribe to them as part of the PointRight product that is delivered as a web-based software application. The measure is provided as part of a comprehensive rehospitalization feature set at the Skilled Nursing Facility (SNF) level, with comparisons to other facilities in the customer’s organization, benchmarks (national average of all Net Health customer facilities), trending, and drill-down capabilities to patient-level rehospitalization information.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Over 2,100 Skilled Nursing Facilities aubmit MDS data to Net Health for results in the PointRight® Pro 30® Rehospitalization and PointRight QASP solutions. Results for all facilities in the nation are presented in the PointRight ScoreCard solution.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measure is used in the State of California’s Quality and Accountability Supplemental Payment (QASP) Program, a value-based payment program that incentivizes SNFs to implement quality improvement programs focused on a core set of performance metrics. Over 1,000 California SNFs that qualify for the program use the measure.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Within the Net Health PointRight® Pro 30® Rehospitalization and PointRight QASP solutions, results are updated on an ongoing basis, daily in near real-time and based on the most recent MDS data submitted to Net Health by the Skilled Nursing Facility. In the PointRight ScoreCard solution, where information is available for all the facilities in the nation, results are updated on a monthly basis (rehospitalization data for all facilities in the nation are provided by the American Healthcare Association).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Educational materials are available on-demand for users of the PointRight® Pro 30® Rehospitalization and PointRight QASP solutions. These resources include short video tutorials explaining the PointRight® Pro 30® and how it is used in the applications, and Frequently Asked Questions related to the measure calculation, its population, and data elements. In addition, clinical help desk consultation is available for clients who have specific questions.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The California Department of Public Health/Department of Health Care Services calculates PointRight® Pro 30® rates for Quality and Accountability Supplemental Payment (QASP) Program participant facilities on a quarterly basis to establish program benchmarks and following the conclusion of each program year to determine incentive payments.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Net Health customers share feedback about the measure in direct conversations with Analytics, Product Management, Sales, and Client Services team members. They also submit feedback through in-application messaging, via email, and in conjunction with their responses to Net Promoter Score (NPS) customer satisfaction surveys.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Net Health PointRight customers use PointRight® Pro 30® to monitor and manage their rehospitalization outcomes. By evaluating their performance on rehospitalization, they are able to conduct data-driven quality assessment and performance improvement. By sharing their performance with healthcare partners, they position their facilities for success in competitive markets with key referral sources and payers.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Skilled Nursing Facilities have shared with Net Health that using the measure has enabled them to:</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Secure a competitive position as a preferred partner for post-acute care.</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Achieve and sustain excellence in reducing their rehospitalization rate.</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Leverage the benefits of communicating their rehospitalization performance with stakeholders using a standard, risk-adjusted, NQF-endorsed measure.</w:t>
      </w:r>
    </w:p>
    <w:p w:rsidR="00A77B3E">
      <w:pPr>
        <w:numPr>
          <w:ilvl w:val="0"/>
          <w:numId w:val="1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Prepare for and best position their organizations for value-based incentives and penalties.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following are provided as representative examples of feedback and outcomes from users of the measure.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Samantha Broussard, RN, Director of Clinical Operations, Plantation Management, stated, “With PointRight analytics, I’m able to get up-to-date and accurate information when it’s needed. With rapid healthcare changes, we need to have access to our data so we can present it to the organizations that may request it. One example is rehospitalization. We use PointRight to help decrease readmissions by identifying residents at high risk.”</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ArchCare, the Continuing Care Community of the Archdiocese of New York, integrated PointRight® Pro 30® into clinical practice, resulting in reduced rehospitalizations. By monitoring the measure and performing root cause analysis, along with ensuring that patients at risk receive the monitoring, assessment, and intervention needed to prevent hospitalization, ArchCare was able to improve rehospitalization outcomes to a point of excellence.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As stated by Mitch Marsh, SVP residential Services, ArchCare “…improved health outcomes, reduced hospitalizations, improved resident/family experience. In addition, we ensured that an already strong referral pipeline remained robust even through COVID.” The full case study can be accessed here: </w:t>
      </w:r>
      <w:hyperlink r:id="rId20" w:tgtFrame="_blank" w:history="1">
        <w:r>
          <w:rPr>
            <w:rFonts w:ascii="Calibri" w:eastAsia="Calibri" w:hAnsi="Calibri" w:cs="Calibri"/>
            <w:b w:val="0"/>
            <w:i w:val="0"/>
            <w:color w:val="0000FF"/>
            <w:sz w:val="20"/>
            <w:u w:val="single" w:color="0000FF"/>
          </w:rPr>
          <w:t>https://leadingage.org/sites/default/files/Improving%20Health%20Outcomes%20through%20Data%20Analytics.pdf</w:t>
        </w:r>
      </w:hyperlink>
      <w:r>
        <w:rPr>
          <w:rFonts w:ascii="Calibri" w:eastAsia="Calibri" w:hAnsi="Calibri" w:cs="Calibri"/>
          <w:b w:val="0"/>
          <w:i w:val="0"/>
          <w:color w:val="000000"/>
          <w:sz w:val="20"/>
        </w:rPr>
        <w:t xml:space="preserve">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Cambridge Health Alliance, a Boston-based health system with a high-performing SNF network, was able to demonstrate a 25% reduction in 30-day rehospitalizations by 25% from January 2020 to January 2021 by using PointRight® Pro 30®. The full case study can be accessed here: </w:t>
      </w:r>
      <w:hyperlink r:id="rId21" w:tgtFrame="_blank" w:history="1">
        <w:r>
          <w:rPr>
            <w:rFonts w:ascii="Calibri" w:eastAsia="Calibri" w:hAnsi="Calibri" w:cs="Calibri"/>
            <w:b w:val="0"/>
            <w:i w:val="0"/>
            <w:color w:val="0000FF"/>
            <w:sz w:val="20"/>
            <w:u w:val="single" w:color="0000FF"/>
          </w:rPr>
          <w:t>https://content.nethealth.com/cambridge-health-alliance</w:t>
        </w:r>
      </w:hyperlink>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August 2015, AHCA and PointRight submitted an analysis plan for our participation in NQF’s Socio-Demographic Status (SDS) Trial Period project. AHCA and PointRight proposed to analyze a wide array of sociodemographic factors targeting seven domains: age, sex, race, marital status, language, race and poverty. Upon recommendation by NQF we limited the list of patient-level sociodemographic variables that were analyzed to marital status, race, and Medicaid enrollment. Based on our analyses (included in the appendix), a model including the factors did not explain more variance in outcome that the model without such factors; and incorporating sociodemographic factors in risk adjustment did not change the overall appraisal of clinical performance for providers. It was therefore decided to not modify the PointRight ® Pro 30 ® measure.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Skilled Nursing Facilities and organizations comprised of multiple Skilled Nursing Facilities have demonstrated improvement in their rehospitalization rates. Two representative examples of improvement from ArchCare, the Continuing Care Community of the Archdiocese of New York (Figure 1), and Nexus in Maryland (Figure 2) appear below.</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Figure 1: Median PointRight® Pro30® adjusted rate and return to community LOS for all-payer residents</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358571"/>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
                    <pic:cNvPicPr>
                      <a:picLocks noChangeAspect="1"/>
                    </pic:cNvPicPr>
                  </pic:nvPicPr>
                  <pic:blipFill>
                    <a:blip xmlns:r="http://schemas.openxmlformats.org/officeDocument/2006/relationships" r:embed="rId22"/>
                    <a:stretch>
                      <a:fillRect/>
                    </a:stretch>
                  </pic:blipFill>
                  <pic:spPr>
                    <a:xfrm>
                      <a:off x="0" y="0"/>
                      <a:ext cx="5943600" cy="2358571"/>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Figure 2: Median PointRight ® Pro 30 ® adjusted rate and return to community LOS for all-payer residents of major MD collaborative (Nexus)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24550" cy="2428875"/>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
                    <pic:cNvPicPr>
                      <a:picLocks noChangeAspect="1"/>
                    </pic:cNvPicPr>
                  </pic:nvPicPr>
                  <pic:blipFill>
                    <a:blip xmlns:r="http://schemas.openxmlformats.org/officeDocument/2006/relationships" r:embed="rId23"/>
                    <a:stretch>
                      <a:fillRect/>
                    </a:stretch>
                  </pic:blipFill>
                  <pic:spPr>
                    <a:xfrm>
                      <a:off x="0" y="0"/>
                      <a:ext cx="5924550" cy="2428875"/>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Data for rehospitalizations for all SNFs nationally through the fourth quarter of 2020 are shown in Section 1b.2.</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None identified.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None identified.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2510: Skilled Nursing Facility 30-Day All-Cause Readmission Measure (SNFRM)</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2827: PointRight® Pro Long Stay(TM) Hospitalization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2510: Skilled Nursing Facility 30-Day All-Cause Readmission Measure (SNFRM)</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Percentage of Short-Stay Residents Who Were Re-Hospitalized After a Nursing Home Admission by CMS and Abt Associates (Reference - </w:t>
      </w:r>
      <w:hyperlink r:id="rId24" w:tgtFrame="_blank" w:history="1">
        <w:r>
          <w:rPr>
            <w:rFonts w:ascii="Calibri" w:eastAsia="Calibri" w:hAnsi="Calibri" w:cs="Calibri"/>
            <w:b w:val="0"/>
            <w:i w:val="0"/>
            <w:color w:val="000000"/>
            <w:sz w:val="20"/>
            <w:u w:val="single" w:color="0000FF"/>
          </w:rPr>
          <w:t>https://www.cms.gov/Medicare/Provider-Enrollment-and-Certification/CertificationandComplianc/Downloads/Nursing-Home-Compare-Claims-based-Measures-Technical-Specifications-April-2019.pdf</w:t>
        </w:r>
      </w:hyperlink>
      <w:r>
        <w:rPr>
          <w:rFonts w:ascii="Calibri" w:eastAsia="Calibri" w:hAnsi="Calibri" w:cs="Calibri"/>
          <w:b w:val="0"/>
          <w:i w:val="0"/>
          <w:color w:val="000000"/>
          <w:sz w:val="20"/>
        </w:rPr>
        <w:t>)</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Currently, there is one NQF-endorsed (SNFRM) and one non-NQF-endorsed (Abt Associates) measure for short-stay rehospitalizations of nursing home residents in the public domain. Both of these measures are Medicare claims-based. Thus, they cannot capture all of the rehospitalizations that occur during a SNF stay that Pro30 can through all-payer MDS data. Though both claims measures can capture rehospitalizations that occur post SNF stay and are still within 30 days of SNF admission. Because MDS and claims are required for reimbursement and federal regulatory compliance, these measures add no additional data collection burden to providers.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PointRight Pro30 should be considered a valuable complementary measure to the two Medicare claims-based measures in the public domain. As a MDS-based measure, Pro30 can capture rehospitalizations that Medicare claims will miss and thus provide a wider perspective of a facility's ability to avoid rehospitalizations. Additionally, as an MDS-based measure, providers can calculate and track their performance closer to real-time than with claims.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pStyle w:val="BlueGray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Available in attached file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2375_PointRight(R) Pro 30(TM) SDS Empirical Testing 04272016.pdf</w:t>
      </w:r>
    </w:p>
    <w:p w:rsidR="00A77B3E">
      <w:pPr>
        <w:spacing w:before="0" w:after="80"/>
        <w:jc w:val="left"/>
        <w:rPr>
          <w:rFonts w:ascii="Calibri" w:eastAsia="Calibri" w:hAnsi="Calibri" w:cs="Calibri"/>
          <w:b w:val="0"/>
          <w:i w:val="0"/>
          <w:color w:val="000000"/>
          <w:sz w:val="20"/>
        </w:rPr>
      </w:pPr>
    </w:p>
    <w:p w:rsidR="00A77B3E">
      <w:pPr>
        <w:pStyle w:val="BlueGray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American Health Care Association</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Domi, Marsida, mdomi@ahca.org</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Sreenivas, Kiran, ksreenivas@ahca.org</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r>
        <w:rPr>
          <w:rFonts w:ascii="Calibri" w:eastAsia="Calibri" w:hAnsi="Calibri" w:cs="Calibri"/>
          <w:b w:val="0"/>
          <w:i w:val="0"/>
          <w:color w:val="000000"/>
          <w:sz w:val="20"/>
        </w:rPr>
        <w:t>PointRight Inc.</w:t>
      </w:r>
    </w:p>
    <w:p w:rsidR="00A77B3E">
      <w:pPr>
        <w:spacing w:before="0" w:after="8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r>
        <w:rPr>
          <w:rFonts w:ascii="Calibri" w:eastAsia="Calibri" w:hAnsi="Calibri" w:cs="Calibri"/>
          <w:b w:val="0"/>
          <w:i w:val="0"/>
          <w:color w:val="000000"/>
          <w:sz w:val="20"/>
        </w:rPr>
        <w:t>Savage, Janine, Janine.Savage@nethealth.com</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Angelidou, Konstantia, nadia.angelidou@nethealth.com</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Sreenivas, Kiran, ksreenivas@ahca.org</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in attached file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Attachment: 2375_PointRight(R) Pro 30(TM) SDS Empirical Testing 04272016.pdf</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Barry Fogel, MD: Measure design, selection of independent variables. Clinical Professor, Harvard Medical School, Executive Vice President, PointRight Inc.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John Gao, PhD: Data management and statistical analysis. Senior Statistician, PointRight Inc.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Steven Littlehale MS, GCNS: Advanced Practice Clinician Advisory Group. BC Executive Vice President &amp; Chief Clinical Officer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Cheryl Field MSN, RN, CRRN: Advanced Practice Clinician Advisory Group. VP Healthcare and Privacy Officer, PointRight Inc.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Sue LaBelle, MSN, RAC-CT: Advanced Practice Clinician Advisory Group. Senior Healthcare Specialist, PointRight Inc.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Jane M. Niemi, MSN, RN, NHA: Advanced Practice Clinician Advisory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2014</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October 2021</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Annual</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October 2022</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Copyright applied for.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PointRight Pro30 is a Trademark of PointRight Inc.</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sectPr>
      <w:headerReference w:type="default" r:id="rId25"/>
      <w:footerReference w:type="default" r:id="rId26"/>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#2375 PointRight ® Pro 30™,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multilevel"/>
    <w:tmpl w:val="0000000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hybridMultilevel"/>
    <w:tmpl w:val="00000005"/>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multilevel"/>
    <w:tmpl w:val="0000000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multilevel"/>
    <w:tmpl w:val="0000000B"/>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hybridMultilevel"/>
    <w:tmpl w:val="0000000C"/>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qualityforum.org/Measuring_Performance/Submitting_Standards.aspx" TargetMode="External" /><Relationship Id="rId11" Type="http://schemas.openxmlformats.org/officeDocument/2006/relationships/hyperlink" Target="https://www.qualityforum.org/WorkArea/linkit.aspx?LinkIdentifier=id&amp;ItemID=88439" TargetMode="External" /><Relationship Id="rId12" Type="http://schemas.openxmlformats.org/officeDocument/2006/relationships/image" Target="media/image4.png" /><Relationship Id="rId13" Type="http://schemas.openxmlformats.org/officeDocument/2006/relationships/image" Target="media/image5.png" /><Relationship Id="rId14" Type="http://schemas.openxmlformats.org/officeDocument/2006/relationships/image" Target="media/image6.png" /><Relationship Id="rId15" Type="http://schemas.openxmlformats.org/officeDocument/2006/relationships/image" Target="media/image7.png" /><Relationship Id="rId16" Type="http://schemas.openxmlformats.org/officeDocument/2006/relationships/hyperlink" Target="https://www.cdph.ca.gov/Programs/CHCQ/LCP/Pages/QASP.aspx" TargetMode="External" /><Relationship Id="rId17" Type="http://schemas.openxmlformats.org/officeDocument/2006/relationships/hyperlink" Target="https://www.ahcancal.org/Data-and-Research/Center-for-HPE/Documents/CHPE-Report-A%20Review%20of%20NH%20Medicaid%20VBP%20Programs%2002.23.2022.pdf" TargetMode="External" /><Relationship Id="rId18" Type="http://schemas.openxmlformats.org/officeDocument/2006/relationships/hyperlink" Target="https://www.ahcancal.org/Advocacy/IssueBriefs/Issue%20Brief%20AHCA%20QI%202018-2021.pdf" TargetMode="External" /><Relationship Id="rId19" Type="http://schemas.openxmlformats.org/officeDocument/2006/relationships/hyperlink" Target="https://www.ahcancal.org/Data-and-Research/Pages/PointRight-Downloads.aspx" TargetMode="External" /><Relationship Id="rId2" Type="http://schemas.openxmlformats.org/officeDocument/2006/relationships/webSettings" Target="webSettings.xml" /><Relationship Id="rId20" Type="http://schemas.openxmlformats.org/officeDocument/2006/relationships/hyperlink" Target="https://leadingage.org/sites/default/files/Improving%20Health%20Outcomes%20through%20Data%20Analytics.pdf" TargetMode="External" /><Relationship Id="rId21" Type="http://schemas.openxmlformats.org/officeDocument/2006/relationships/hyperlink" Target="https://content.nethealth.com/cambridge-health-alliance" TargetMode="External" /><Relationship Id="rId22" Type="http://schemas.openxmlformats.org/officeDocument/2006/relationships/image" Target="media/image8.png" /><Relationship Id="rId23" Type="http://schemas.openxmlformats.org/officeDocument/2006/relationships/image" Target="media/image9.png" /><Relationship Id="rId24" Type="http://schemas.openxmlformats.org/officeDocument/2006/relationships/hyperlink" Target="https://www.cms.gov/Medicare/Provider-Enrollment-and-Certification/CertificationandComplianc/Downloads/Nursing-Home-Compare-Claims-based-Measures-Technical-Specifications-April-2019.pdf" TargetMode="External" /><Relationship Id="rId25" Type="http://schemas.openxmlformats.org/officeDocument/2006/relationships/header" Target="header1.xml" /><Relationship Id="rId26" Type="http://schemas.openxmlformats.org/officeDocument/2006/relationships/footer" Target="footer1.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image" Target="media/image2.png" /><Relationship Id="rId6" Type="http://schemas.openxmlformats.org/officeDocument/2006/relationships/hyperlink" Target="http://medpac.gov/documents/mar12_entirereport.pdf" TargetMode="External" /><Relationship Id="rId7" Type="http://schemas.openxmlformats.org/officeDocument/2006/relationships/image" Target="media/image3.png" /><Relationship Id="rId8" Type="http://schemas.openxmlformats.org/officeDocument/2006/relationships/hyperlink" Target="http://www.qualityforum.org/WorkArea/linkit.aspx?LinkIdentifier=id&amp;ItemID=73367" TargetMode="External" /><Relationship Id="rId9" Type="http://schemas.openxmlformats.org/officeDocument/2006/relationships/hyperlink" Target="mailto:measuremaintenance@qualityforum.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#2375 PointRight ® Pro 30™</dc:title>
  <dc:creator>CMS</dc:creator>
  <cp:keywords>NQF Measure #2375 MIF</cp:keywords>
  <cp:revision>1</cp:revision>
</cp:coreProperties>
</file>