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3C66ED4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7D668C">
            <w:rPr>
              <w:rStyle w:val="Style1"/>
            </w:rPr>
            <w:t>2496</w:t>
          </w:r>
        </w:sdtContent>
      </w:sdt>
    </w:p>
    <w:p w14:paraId="0CABCF56" w14:textId="1690D402" w:rsidR="00105D8B" w:rsidRPr="00A25024" w:rsidRDefault="00105D8B" w:rsidP="007D668C">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7D668C">
            <w:rPr>
              <w:rStyle w:val="Style1"/>
              <w:rFonts w:cstheme="minorHAnsi"/>
            </w:rPr>
            <w:t xml:space="preserve"> </w:t>
          </w:r>
          <w:r w:rsidR="007D668C">
            <w:t xml:space="preserve"> </w:t>
          </w:r>
          <w:r w:rsidR="007D668C">
            <w:rPr>
              <w:color w:val="0000FF"/>
            </w:rPr>
            <w:t>Standardized Readmission Ratio for dialysis facilities</w:t>
          </w:r>
        </w:sdtContent>
      </w:sdt>
    </w:p>
    <w:p w14:paraId="0CABCF57" w14:textId="620E54DC"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20-01-05T00:00:00Z">
            <w:dateFormat w:val="M/d/yyyy"/>
            <w:lid w:val="en-US"/>
            <w:storeMappedDataAs w:val="dateTime"/>
            <w:calendar w:val="gregorian"/>
          </w:date>
        </w:sdtPr>
        <w:sdtEndPr>
          <w:rPr>
            <w:rStyle w:val="DefaultParagraphFont"/>
            <w:noProof/>
            <w:color w:val="auto"/>
            <w:u w:val="none"/>
          </w:rPr>
        </w:sdtEndPr>
        <w:sdtContent>
          <w:r w:rsidR="00DF4102">
            <w:rPr>
              <w:rStyle w:val="Style2"/>
              <w:rFonts w:cstheme="minorHAnsi"/>
            </w:rPr>
            <w:t>1/5/2020</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Description w:val="Measure type"/>
      </w:tblPr>
      <w:tblGrid>
        <w:gridCol w:w="3909"/>
        <w:gridCol w:w="3868"/>
      </w:tblGrid>
      <w:tr w:rsidR="000B7D57" w:rsidRPr="00450C58" w14:paraId="0CABCF5B" w14:textId="77777777" w:rsidTr="00E444C0">
        <w:trPr>
          <w:tblHeader/>
          <w:jc w:val="center"/>
        </w:trPr>
        <w:tc>
          <w:tcPr>
            <w:tcW w:w="2513" w:type="pct"/>
          </w:tcPr>
          <w:p w14:paraId="0CABCF59" w14:textId="22BACF5A" w:rsidR="000B7D57" w:rsidRPr="00C775CE" w:rsidRDefault="00DE485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DE485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E444C0">
        <w:trPr>
          <w:tblHeader/>
          <w:jc w:val="center"/>
        </w:trPr>
        <w:tc>
          <w:tcPr>
            <w:tcW w:w="2513" w:type="pct"/>
          </w:tcPr>
          <w:p w14:paraId="0CABCF5C" w14:textId="77777777" w:rsidR="000B7D57" w:rsidRPr="00C775CE" w:rsidRDefault="00DE485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DE485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E444C0">
        <w:trPr>
          <w:tblHeader/>
          <w:jc w:val="center"/>
        </w:trPr>
        <w:tc>
          <w:tcPr>
            <w:tcW w:w="2513" w:type="pct"/>
          </w:tcPr>
          <w:p w14:paraId="0CABCF5F" w14:textId="55B36514" w:rsidR="000B7D57" w:rsidRPr="00C775CE" w:rsidRDefault="00DE485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DE485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E444C0">
        <w:trPr>
          <w:tblHeader/>
          <w:jc w:val="center"/>
        </w:trPr>
        <w:tc>
          <w:tcPr>
            <w:tcW w:w="2513" w:type="pct"/>
          </w:tcPr>
          <w:p w14:paraId="0CABCF62" w14:textId="77777777" w:rsidR="000B7D57" w:rsidRPr="00C775CE" w:rsidRDefault="00DE485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Description w:val="Instructions"/>
      </w:tblPr>
      <w:tblGrid>
        <w:gridCol w:w="10285"/>
      </w:tblGrid>
      <w:tr w:rsidR="00702C73" w14:paraId="0CABCF70" w14:textId="77777777" w:rsidTr="00E444C0">
        <w:trPr>
          <w:tblHeade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Description w:val="Note: "/>
      </w:tblPr>
      <w:tblGrid>
        <w:gridCol w:w="10285"/>
      </w:tblGrid>
      <w:tr w:rsidR="00BC0D25" w:rsidRPr="00A831B4" w14:paraId="0CABCF90" w14:textId="77777777" w:rsidTr="00E444C0">
        <w:trPr>
          <w:tblHeader/>
          <w:jc w:val="center"/>
        </w:trPr>
        <w:tc>
          <w:tcPr>
            <w:tcW w:w="9576" w:type="dxa"/>
          </w:tcPr>
          <w:p w14:paraId="0CABCF72" w14:textId="7EAF47D5" w:rsidR="00B53E8B" w:rsidRPr="000F034A" w:rsidRDefault="00B53E8B" w:rsidP="00702C73">
            <w:pPr>
              <w:rPr>
                <w:rFonts w:cstheme="minorHAnsi"/>
                <w:b/>
                <w:bCs/>
              </w:rPr>
            </w:pPr>
            <w:r w:rsidRPr="000F034A">
              <w:rPr>
                <w:b/>
                <w:bCs/>
                <w:u w:val="single"/>
              </w:rPr>
              <w:lastRenderedPageBreak/>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Description w:val="What type of data was used for testing"/>
      </w:tblPr>
      <w:tblGrid>
        <w:gridCol w:w="5084"/>
        <w:gridCol w:w="4734"/>
      </w:tblGrid>
      <w:tr w:rsidR="00A01494" w:rsidRPr="00A01494" w14:paraId="0CABCF9A" w14:textId="77777777" w:rsidTr="00E444C0">
        <w:trPr>
          <w:tblHeade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DE485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DE485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337206C5" w:rsidR="00A01494" w:rsidRPr="000F1B7A" w:rsidRDefault="00DE4858"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3E7CF291" w:rsidR="00A01494" w:rsidRPr="000F1B7A" w:rsidRDefault="00DE4858"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7B94DACF" w:rsidR="00A01494" w:rsidRPr="000F1B7A" w:rsidRDefault="00DE4858"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08FD21A" w:rsidR="00A01494" w:rsidRPr="000F1B7A" w:rsidRDefault="00DE4858"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DE485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DE485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DE485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DE485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DE4858"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DE4858"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F06A4D8"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CEEFD29" w14:textId="479775B7" w:rsidR="007D668C" w:rsidRDefault="007D668C" w:rsidP="00DB3627">
      <w:pPr>
        <w:autoSpaceDE w:val="0"/>
        <w:autoSpaceDN w:val="0"/>
        <w:adjustRightInd w:val="0"/>
        <w:spacing w:after="0" w:line="240" w:lineRule="auto"/>
        <w:rPr>
          <w:rFonts w:cstheme="minorHAnsi"/>
          <w:bCs/>
        </w:rPr>
      </w:pPr>
    </w:p>
    <w:p w14:paraId="188BB723" w14:textId="742D1810" w:rsidR="007D668C" w:rsidRDefault="007D668C" w:rsidP="00DB3627">
      <w:pPr>
        <w:autoSpaceDE w:val="0"/>
        <w:autoSpaceDN w:val="0"/>
        <w:adjustRightInd w:val="0"/>
        <w:spacing w:after="0" w:line="240" w:lineRule="auto"/>
        <w:rPr>
          <w:sz w:val="21"/>
          <w:szCs w:val="21"/>
        </w:rPr>
      </w:pPr>
      <w:r>
        <w:rPr>
          <w:sz w:val="21"/>
          <w:szCs w:val="21"/>
        </w:rPr>
        <w:t>These data are part of an extensive and comprehensive national ESRD patient database, derived from Program Medical Management and Information System (PMMIS/REMIS), Medicare claims, the Standard Information Management System (SIMS) database maintained by the 18 ESRD Networks, the CMS Annual Facility Survey (CMS Form 2744), the CMS Medical Evidence Form (CMS Form 2728), the Death Notification Form (CMS Form 2746), and the Social Security Death Master File.</w:t>
      </w:r>
    </w:p>
    <w:p w14:paraId="0101091D" w14:textId="1FC75536" w:rsidR="000C4611" w:rsidRDefault="000C4611" w:rsidP="00DB3627">
      <w:pPr>
        <w:autoSpaceDE w:val="0"/>
        <w:autoSpaceDN w:val="0"/>
        <w:adjustRightInd w:val="0"/>
        <w:spacing w:after="0" w:line="240" w:lineRule="auto"/>
        <w:rPr>
          <w:sz w:val="21"/>
          <w:szCs w:val="21"/>
        </w:rPr>
      </w:pPr>
    </w:p>
    <w:p w14:paraId="2E962C22" w14:textId="77777777" w:rsidR="000C4611" w:rsidRPr="00313E2E" w:rsidRDefault="000C4611" w:rsidP="000C4611">
      <w:pPr>
        <w:rPr>
          <w:b/>
          <w:color w:val="C00000"/>
          <w:u w:val="single"/>
        </w:rPr>
      </w:pPr>
      <w:r w:rsidRPr="00313E2E">
        <w:rPr>
          <w:b/>
          <w:color w:val="C00000"/>
          <w:u w:val="single"/>
        </w:rPr>
        <w:t>2019 Submission</w:t>
      </w:r>
    </w:p>
    <w:p w14:paraId="38B1E817" w14:textId="77777777" w:rsidR="00013662" w:rsidRPr="00013662" w:rsidRDefault="00013662" w:rsidP="00013662">
      <w:pPr>
        <w:rPr>
          <w:rFonts w:cstheme="minorHAnsi"/>
          <w:bCs/>
          <w:color w:val="C00000"/>
        </w:rPr>
      </w:pPr>
      <w:r w:rsidRPr="00013662">
        <w:rPr>
          <w:rFonts w:cstheme="minorHAnsi"/>
          <w:bCs/>
          <w:color w:val="C00000"/>
        </w:rPr>
        <w:t xml:space="preserve">Data are derived from an extensive national ESRD patient database, which is primarily based on the Renal Management Information System (REMIS), </w:t>
      </w:r>
      <w:proofErr w:type="spellStart"/>
      <w:r w:rsidRPr="00013662">
        <w:rPr>
          <w:rFonts w:cstheme="minorHAnsi"/>
          <w:bCs/>
          <w:color w:val="C00000"/>
        </w:rPr>
        <w:t>CROWNWeb</w:t>
      </w:r>
      <w:proofErr w:type="spellEnd"/>
      <w:r w:rsidRPr="00013662">
        <w:rPr>
          <w:rFonts w:cstheme="minorHAnsi"/>
          <w:bCs/>
          <w:color w:val="C00000"/>
        </w:rPr>
        <w:t xml:space="preserve"> facility-reported clinical and administrative data (including CMS-2728 Medical Evidence Form, CMS-2746 Death Notification Form, and CMS-2744 Annual Facility Survey Form and patient tracking data), the Medicare Enrollment Database (EDB), and Medicare claims data.  In addition the database includes transplant data from the Scientific Registry of Transplant Recipients (SRTR), and data from the Nursing Home Minimum Dataset, the Quality Improvement Evaluation System (QIES) Business Intelligence Center (QBIC) (which includes Provider and Survey and Certification data from Automated Survey Processing Environment (ASPEN)), and the Dialysis Facility Compare (DFC).</w:t>
      </w:r>
    </w:p>
    <w:p w14:paraId="1CEB0BD0" w14:textId="77777777" w:rsidR="00013662" w:rsidRDefault="00013662" w:rsidP="00DB3627">
      <w:pPr>
        <w:autoSpaceDE w:val="0"/>
        <w:autoSpaceDN w:val="0"/>
        <w:adjustRightInd w:val="0"/>
        <w:spacing w:after="0" w:line="240" w:lineRule="auto"/>
        <w:rPr>
          <w:rFonts w:cstheme="minorHAnsi"/>
          <w:bCs/>
          <w:color w:val="C00000"/>
        </w:rPr>
      </w:pPr>
      <w:r w:rsidRPr="00013662">
        <w:rPr>
          <w:rFonts w:cstheme="minorHAnsi"/>
          <w:bCs/>
          <w:color w:val="C00000"/>
        </w:rPr>
        <w:t>The database is comprehensive for Medicare patients not enrolled in Medicare Advantage. Medicare Advantage patients are included in all sources but their Medicare payment records are limited to inpatient claims. Non-Medicare patients are included in all sources except for the Medicare payment records. Tracking by dialysis provider and treatment modality is available for all patients including those with only partial or no Medicare coverage.</w:t>
      </w:r>
    </w:p>
    <w:p w14:paraId="1D34DBF0" w14:textId="77777777" w:rsidR="00013662" w:rsidRDefault="00013662" w:rsidP="00DB3627">
      <w:pPr>
        <w:autoSpaceDE w:val="0"/>
        <w:autoSpaceDN w:val="0"/>
        <w:adjustRightInd w:val="0"/>
        <w:spacing w:after="0" w:line="240" w:lineRule="auto"/>
        <w:rPr>
          <w:rFonts w:cstheme="minorHAnsi"/>
          <w:bCs/>
          <w:color w:val="C00000"/>
        </w:rPr>
      </w:pPr>
    </w:p>
    <w:p w14:paraId="3D1CAA85" w14:textId="5B3AA49A" w:rsidR="000C4611" w:rsidRPr="00B12D41" w:rsidRDefault="00013662" w:rsidP="00DB3627">
      <w:pPr>
        <w:autoSpaceDE w:val="0"/>
        <w:autoSpaceDN w:val="0"/>
        <w:adjustRightInd w:val="0"/>
        <w:spacing w:after="0" w:line="240" w:lineRule="auto"/>
        <w:rPr>
          <w:rFonts w:cstheme="minorHAnsi"/>
          <w:bCs/>
          <w:color w:val="C00000"/>
        </w:rPr>
      </w:pPr>
      <w:r w:rsidRPr="00013662">
        <w:rPr>
          <w:rFonts w:cstheme="minorHAnsi"/>
          <w:bCs/>
          <w:color w:val="C00000"/>
        </w:rPr>
        <w:t xml:space="preserve">Information on hospitalizations is obtained from Part </w:t>
      </w:r>
      <w:proofErr w:type="gramStart"/>
      <w:r w:rsidRPr="00013662">
        <w:rPr>
          <w:rFonts w:cstheme="minorHAnsi"/>
          <w:bCs/>
          <w:color w:val="C00000"/>
        </w:rPr>
        <w:t>A</w:t>
      </w:r>
      <w:proofErr w:type="gramEnd"/>
      <w:r w:rsidRPr="00013662">
        <w:rPr>
          <w:rFonts w:cstheme="minorHAnsi"/>
          <w:bCs/>
          <w:color w:val="C00000"/>
        </w:rPr>
        <w:t xml:space="preserve"> Medicare Inpatient Claims Standard Analysis Files (SAFs</w:t>
      </w:r>
      <w:r>
        <w:rPr>
          <w:rFonts w:cstheme="minorHAnsi"/>
          <w:bCs/>
          <w:color w:val="C00000"/>
        </w:rPr>
        <w:t>).</w:t>
      </w:r>
      <w:r w:rsidRPr="00013662">
        <w:rPr>
          <w:rFonts w:cstheme="minorHAnsi"/>
          <w:bCs/>
          <w:color w:val="C00000"/>
        </w:rPr>
        <w:t xml:space="preserve">  </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63E6174" w:rsidR="0004593A"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p>
    <w:p w14:paraId="422D6DAA" w14:textId="3CC1AC70" w:rsidR="000026A4" w:rsidRPr="000B4989" w:rsidRDefault="00DE4858" w:rsidP="00DB3627">
      <w:pPr>
        <w:autoSpaceDE w:val="0"/>
        <w:autoSpaceDN w:val="0"/>
        <w:adjustRightInd w:val="0"/>
        <w:spacing w:after="0" w:line="240" w:lineRule="auto"/>
        <w:rPr>
          <w:rFonts w:cstheme="minorHAnsi"/>
          <w:bCs/>
        </w:rPr>
      </w:pPr>
      <w:sdt>
        <w:sdtPr>
          <w:rPr>
            <w:rFonts w:ascii="Calibri" w:hAnsi="Calibri" w:cs="Calibri"/>
          </w:rPr>
          <w:id w:val="950514773"/>
          <w:text/>
        </w:sdtPr>
        <w:sdtEndPr/>
        <w:sdtContent>
          <w:r w:rsidR="000026A4" w:rsidRPr="00B12D41">
            <w:rPr>
              <w:rFonts w:ascii="Calibri" w:hAnsi="Calibri" w:cs="Calibri"/>
            </w:rPr>
            <w:t>1/1/2009-12/31/2009 for index discharges and 1/1/2009-1/30/2010 for readmissions</w:t>
          </w:r>
        </w:sdtContent>
      </w:sdt>
    </w:p>
    <w:p w14:paraId="7655B916" w14:textId="7208E555" w:rsidR="000C4611" w:rsidRDefault="000C4611" w:rsidP="00DB3627">
      <w:pPr>
        <w:autoSpaceDE w:val="0"/>
        <w:autoSpaceDN w:val="0"/>
        <w:adjustRightInd w:val="0"/>
        <w:spacing w:after="0" w:line="240" w:lineRule="auto"/>
        <w:rPr>
          <w:rFonts w:cstheme="minorHAnsi"/>
          <w:bCs/>
        </w:rPr>
      </w:pPr>
    </w:p>
    <w:p w14:paraId="5A52DBCC" w14:textId="37C70CEF" w:rsidR="000C4611" w:rsidRDefault="000C4611" w:rsidP="00DB3627">
      <w:pPr>
        <w:autoSpaceDE w:val="0"/>
        <w:autoSpaceDN w:val="0"/>
        <w:adjustRightInd w:val="0"/>
        <w:spacing w:after="0" w:line="240" w:lineRule="auto"/>
        <w:rPr>
          <w:rFonts w:cstheme="minorHAnsi"/>
          <w:bCs/>
        </w:rPr>
      </w:pPr>
    </w:p>
    <w:p w14:paraId="64A5426D" w14:textId="77777777" w:rsidR="000C4611" w:rsidRPr="00EB32C4" w:rsidRDefault="000C4611" w:rsidP="000C4611">
      <w:pPr>
        <w:rPr>
          <w:b/>
          <w:color w:val="C00000"/>
          <w:u w:val="single"/>
        </w:rPr>
      </w:pPr>
      <w:r w:rsidRPr="00EB32C4">
        <w:rPr>
          <w:b/>
          <w:color w:val="C00000"/>
          <w:u w:val="single"/>
        </w:rPr>
        <w:t>2019 Submission</w:t>
      </w:r>
    </w:p>
    <w:p w14:paraId="5879F86B" w14:textId="47FE1763" w:rsidR="000026A4" w:rsidRDefault="000026A4" w:rsidP="000026A4">
      <w:pPr>
        <w:autoSpaceDE w:val="0"/>
        <w:autoSpaceDN w:val="0"/>
        <w:adjustRightInd w:val="0"/>
        <w:spacing w:after="0" w:line="240" w:lineRule="auto"/>
        <w:rPr>
          <w:rFonts w:cstheme="minorHAnsi"/>
          <w:bCs/>
        </w:rPr>
      </w:pPr>
      <w:r w:rsidRPr="002816C8">
        <w:rPr>
          <w:rFonts w:cstheme="minorHAnsi"/>
          <w:bCs/>
          <w:color w:val="C00000"/>
        </w:rPr>
        <w:t>1/1/2018 – 12/31/2018 for index discharges and 1/1/2018 – 1/30/201</w:t>
      </w:r>
      <w:r w:rsidR="00EF59F3">
        <w:rPr>
          <w:rFonts w:cstheme="minorHAnsi"/>
          <w:bCs/>
          <w:color w:val="C00000"/>
        </w:rPr>
        <w:t>9</w:t>
      </w:r>
      <w:r w:rsidRPr="002816C8">
        <w:rPr>
          <w:rFonts w:cstheme="minorHAnsi"/>
          <w:bCs/>
          <w:color w:val="C00000"/>
        </w:rPr>
        <w:t xml:space="preserve"> for readmissions</w:t>
      </w:r>
    </w:p>
    <w:p w14:paraId="6A47EEE9" w14:textId="77777777" w:rsidR="000C4611" w:rsidRDefault="000C4611" w:rsidP="00DB3627">
      <w:pPr>
        <w:autoSpaceDE w:val="0"/>
        <w:autoSpaceDN w:val="0"/>
        <w:adjustRightInd w:val="0"/>
        <w:spacing w:after="0" w:line="240" w:lineRule="auto"/>
        <w:rPr>
          <w:rFonts w:cstheme="minorHAnsi"/>
          <w:bCs/>
        </w:rPr>
      </w:pPr>
    </w:p>
    <w:p w14:paraId="24F78BC8" w14:textId="77777777" w:rsidR="00332C67" w:rsidRDefault="00332C67" w:rsidP="00DB3627">
      <w:pPr>
        <w:autoSpaceDE w:val="0"/>
        <w:autoSpaceDN w:val="0"/>
        <w:adjustRightInd w:val="0"/>
        <w:spacing w:after="0" w:line="240" w:lineRule="auto"/>
        <w:rPr>
          <w:rFonts w:cstheme="minorHAnsi"/>
          <w:b/>
          <w:bCs/>
        </w:rPr>
      </w:pPr>
    </w:p>
    <w:p w14:paraId="0CABCFB2" w14:textId="0D843BD1"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Description w:val="What levels of analysis were tested? "/>
      </w:tblPr>
      <w:tblGrid>
        <w:gridCol w:w="4909"/>
        <w:gridCol w:w="4909"/>
      </w:tblGrid>
      <w:tr w:rsidR="000414E8" w:rsidRPr="00A01494" w14:paraId="0CABCFB6" w14:textId="77777777" w:rsidTr="00E444C0">
        <w:trPr>
          <w:tblHeade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047DDDC" w:rsidR="000414E8" w:rsidRPr="00A01494" w:rsidRDefault="00DE4858"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165A26E" w:rsidR="000414E8" w:rsidRPr="00A01494" w:rsidRDefault="00DE4858"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DE485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0CABCFC8" w14:textId="56C51533" w:rsidR="002B5016" w:rsidRDefault="002B5016" w:rsidP="00DB3627">
      <w:pPr>
        <w:autoSpaceDE w:val="0"/>
        <w:autoSpaceDN w:val="0"/>
        <w:adjustRightInd w:val="0"/>
        <w:spacing w:after="0" w:line="240" w:lineRule="auto"/>
        <w:rPr>
          <w:rFonts w:cstheme="minorHAnsi"/>
          <w:bCs/>
        </w:rPr>
      </w:pPr>
    </w:p>
    <w:p w14:paraId="545ABFD0" w14:textId="6BE47A92" w:rsidR="000C4611" w:rsidRDefault="007D668C" w:rsidP="00DB3627">
      <w:pPr>
        <w:autoSpaceDE w:val="0"/>
        <w:autoSpaceDN w:val="0"/>
        <w:adjustRightInd w:val="0"/>
        <w:spacing w:after="0" w:line="240" w:lineRule="auto"/>
      </w:pPr>
      <w:r>
        <w:t>We included all Medicare-certified facilities treating Medicare dialysis patients (</w:t>
      </w:r>
      <w:r>
        <w:rPr>
          <w:i/>
          <w:iCs/>
        </w:rPr>
        <w:t xml:space="preserve">n </w:t>
      </w:r>
      <w:r>
        <w:t xml:space="preserve">= </w:t>
      </w:r>
      <w:r>
        <w:rPr>
          <w:sz w:val="21"/>
          <w:szCs w:val="21"/>
        </w:rPr>
        <w:t>6,127</w:t>
      </w:r>
      <w:r>
        <w:t>) in 2009.</w:t>
      </w:r>
      <w:r w:rsidRPr="007D668C">
        <w:t xml:space="preserve"> </w:t>
      </w:r>
      <w:r>
        <w:t>Median facility size was 83 patients. Most facilities were free-standing (80.4%) and located in non-rural areas (79.4%).</w:t>
      </w:r>
    </w:p>
    <w:p w14:paraId="50851E0C" w14:textId="77777777" w:rsidR="00013662" w:rsidRDefault="00013662" w:rsidP="000C4611">
      <w:pPr>
        <w:rPr>
          <w:b/>
          <w:color w:val="C00000"/>
          <w:u w:val="single"/>
        </w:rPr>
      </w:pPr>
    </w:p>
    <w:p w14:paraId="76A2F698" w14:textId="77777777" w:rsidR="00423A4F" w:rsidRDefault="00423A4F" w:rsidP="000C4611">
      <w:pPr>
        <w:rPr>
          <w:b/>
          <w:color w:val="C00000"/>
          <w:u w:val="single"/>
        </w:rPr>
      </w:pPr>
    </w:p>
    <w:p w14:paraId="3B7264B1" w14:textId="77777777" w:rsidR="00423A4F" w:rsidRDefault="00423A4F" w:rsidP="000C4611">
      <w:pPr>
        <w:rPr>
          <w:b/>
          <w:color w:val="C00000"/>
          <w:u w:val="single"/>
        </w:rPr>
      </w:pPr>
    </w:p>
    <w:p w14:paraId="2C374B23" w14:textId="53A3514A" w:rsidR="000C4611" w:rsidRPr="00EB32C4" w:rsidRDefault="000C4611" w:rsidP="000C4611">
      <w:pPr>
        <w:rPr>
          <w:b/>
          <w:color w:val="C00000"/>
          <w:u w:val="single"/>
        </w:rPr>
      </w:pPr>
      <w:r w:rsidRPr="00EB32C4">
        <w:rPr>
          <w:b/>
          <w:color w:val="C00000"/>
          <w:u w:val="single"/>
        </w:rPr>
        <w:t>2019 Submission</w:t>
      </w:r>
    </w:p>
    <w:p w14:paraId="1D21B9D7" w14:textId="23F380ED" w:rsidR="00B8115E" w:rsidRPr="002816C8" w:rsidRDefault="00D03429" w:rsidP="00DB3627">
      <w:pPr>
        <w:autoSpaceDE w:val="0"/>
        <w:autoSpaceDN w:val="0"/>
        <w:adjustRightInd w:val="0"/>
        <w:spacing w:after="0" w:line="240" w:lineRule="auto"/>
        <w:rPr>
          <w:color w:val="C00000"/>
        </w:rPr>
      </w:pPr>
      <w:r w:rsidRPr="002816C8">
        <w:rPr>
          <w:color w:val="C00000"/>
        </w:rPr>
        <w:t>There were n=6,937 (with an average of 55.1 patient-years-at-risk) Medicare-certified dialysis facilities with at least 11 eligible index discharges in 2018 included in the testing and analysis</w:t>
      </w:r>
      <w:r w:rsidR="00B8115E" w:rsidRPr="002816C8">
        <w:rPr>
          <w:color w:val="C00000"/>
        </w:rPr>
        <w:t>*</w:t>
      </w:r>
      <w:r w:rsidRPr="002816C8">
        <w:rPr>
          <w:color w:val="C00000"/>
        </w:rPr>
        <w:t>.</w:t>
      </w:r>
    </w:p>
    <w:p w14:paraId="4FA5C0DD" w14:textId="77777777" w:rsidR="002816C8" w:rsidRPr="002816C8" w:rsidRDefault="002816C8" w:rsidP="00DB3627">
      <w:pPr>
        <w:autoSpaceDE w:val="0"/>
        <w:autoSpaceDN w:val="0"/>
        <w:adjustRightInd w:val="0"/>
        <w:spacing w:after="0" w:line="240" w:lineRule="auto"/>
        <w:rPr>
          <w:color w:val="C00000"/>
        </w:rPr>
      </w:pPr>
    </w:p>
    <w:p w14:paraId="5DDE4F6C" w14:textId="5F8D4FBD" w:rsidR="007D668C" w:rsidRPr="002816C8" w:rsidRDefault="00B8115E" w:rsidP="00DB3627">
      <w:pPr>
        <w:autoSpaceDE w:val="0"/>
        <w:autoSpaceDN w:val="0"/>
        <w:adjustRightInd w:val="0"/>
        <w:spacing w:after="0" w:line="240" w:lineRule="auto"/>
        <w:rPr>
          <w:rFonts w:cstheme="minorHAnsi"/>
          <w:bCs/>
          <w:color w:val="C00000"/>
        </w:rPr>
      </w:pPr>
      <w:r w:rsidRPr="002816C8">
        <w:rPr>
          <w:color w:val="C00000"/>
        </w:rPr>
        <w:t xml:space="preserve">* In previous submission, facility size was measured by the number of </w:t>
      </w:r>
      <w:r w:rsidR="00EF59F3">
        <w:rPr>
          <w:color w:val="C00000"/>
        </w:rPr>
        <w:t xml:space="preserve">distinct patients treated by the facility during </w:t>
      </w:r>
      <w:r w:rsidRPr="002816C8">
        <w:rPr>
          <w:color w:val="C00000"/>
        </w:rPr>
        <w:t xml:space="preserve">the year of interest. </w:t>
      </w:r>
      <w:r w:rsidR="002816C8" w:rsidRPr="002816C8">
        <w:rPr>
          <w:color w:val="C00000"/>
        </w:rPr>
        <w:t>For the 2019 submission</w:t>
      </w:r>
      <w:r w:rsidRPr="002816C8">
        <w:rPr>
          <w:color w:val="C00000"/>
        </w:rPr>
        <w:t>, facility size is measured by patient-years-at-risk in 2018.</w:t>
      </w:r>
      <w:r w:rsidR="00D03429" w:rsidRPr="002816C8">
        <w:rPr>
          <w:color w:val="C00000"/>
        </w:rPr>
        <w:t xml:space="preserve"> </w:t>
      </w:r>
    </w:p>
    <w:p w14:paraId="611DB5AF" w14:textId="77777777" w:rsidR="002816C8" w:rsidRDefault="002816C8" w:rsidP="00DB3627">
      <w:pPr>
        <w:autoSpaceDE w:val="0"/>
        <w:autoSpaceDN w:val="0"/>
        <w:adjustRightInd w:val="0"/>
        <w:spacing w:after="0" w:line="240" w:lineRule="auto"/>
        <w:rPr>
          <w:rFonts w:cstheme="minorHAnsi"/>
          <w:b/>
          <w:bCs/>
        </w:rPr>
      </w:pPr>
    </w:p>
    <w:p w14:paraId="4C7FC447" w14:textId="5AF416DB" w:rsidR="007D668C"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3FC2F30D" w14:textId="77777777" w:rsidR="007D668C" w:rsidRDefault="007D668C" w:rsidP="00DB3627">
      <w:pPr>
        <w:autoSpaceDE w:val="0"/>
        <w:autoSpaceDN w:val="0"/>
        <w:adjustRightInd w:val="0"/>
        <w:spacing w:after="0" w:line="240" w:lineRule="auto"/>
        <w:rPr>
          <w:rFonts w:cstheme="minorHAnsi"/>
          <w:bCs/>
        </w:rPr>
      </w:pPr>
    </w:p>
    <w:p w14:paraId="0CABCFC9" w14:textId="06C8B1AA" w:rsidR="007422FD" w:rsidRDefault="007D668C" w:rsidP="00DB3627">
      <w:pPr>
        <w:autoSpaceDE w:val="0"/>
        <w:autoSpaceDN w:val="0"/>
        <w:adjustRightInd w:val="0"/>
        <w:spacing w:after="0" w:line="240" w:lineRule="auto"/>
        <w:rPr>
          <w:sz w:val="21"/>
          <w:szCs w:val="21"/>
        </w:rPr>
      </w:pPr>
      <w:r>
        <w:rPr>
          <w:sz w:val="21"/>
          <w:szCs w:val="21"/>
        </w:rPr>
        <w:t>After applying the exclusion criteria, these data represent all Medicare-paid hospital discharges for Medicare dialysis patients (</w:t>
      </w:r>
      <w:r>
        <w:rPr>
          <w:i/>
          <w:iCs/>
          <w:sz w:val="21"/>
          <w:szCs w:val="21"/>
        </w:rPr>
        <w:t xml:space="preserve">n </w:t>
      </w:r>
      <w:r>
        <w:rPr>
          <w:sz w:val="21"/>
          <w:szCs w:val="21"/>
        </w:rPr>
        <w:t xml:space="preserve">= 234,717) during 2009. Patients were mostly white (59.4%) and male (52.9%); the most common types of diagnoses were Complications of Device, Implant or Graft (CCS 237); Congestive Heart Failure, </w:t>
      </w:r>
      <w:proofErr w:type="spellStart"/>
      <w:r>
        <w:rPr>
          <w:sz w:val="21"/>
          <w:szCs w:val="21"/>
        </w:rPr>
        <w:t>Nonhypertensive</w:t>
      </w:r>
      <w:proofErr w:type="spellEnd"/>
      <w:r>
        <w:rPr>
          <w:sz w:val="21"/>
          <w:szCs w:val="21"/>
        </w:rPr>
        <w:t xml:space="preserve"> (CCS 108); and </w:t>
      </w:r>
      <w:r>
        <w:t xml:space="preserve">Hypertension with Complications and Secondary Hypertension </w:t>
      </w:r>
      <w:r>
        <w:rPr>
          <w:sz w:val="21"/>
          <w:szCs w:val="21"/>
        </w:rPr>
        <w:t>(CCS 99).</w:t>
      </w:r>
      <w:r w:rsidR="007422FD" w:rsidRPr="00A25024">
        <w:rPr>
          <w:rFonts w:cstheme="minorHAnsi"/>
          <w:bCs/>
        </w:rPr>
        <w:br/>
      </w:r>
    </w:p>
    <w:p w14:paraId="2F5267F0" w14:textId="77777777" w:rsidR="000C4611" w:rsidRPr="002816C8" w:rsidRDefault="000C4611" w:rsidP="000C4611">
      <w:pPr>
        <w:rPr>
          <w:b/>
          <w:color w:val="C00000"/>
          <w:u w:val="single"/>
        </w:rPr>
      </w:pPr>
      <w:r w:rsidRPr="002816C8">
        <w:rPr>
          <w:b/>
          <w:color w:val="C00000"/>
          <w:u w:val="single"/>
        </w:rPr>
        <w:t>2019 Submission</w:t>
      </w:r>
    </w:p>
    <w:p w14:paraId="5C54767C" w14:textId="6659C329" w:rsidR="000C4611" w:rsidRPr="00313E2E" w:rsidRDefault="00572DFB" w:rsidP="00DB3627">
      <w:pPr>
        <w:autoSpaceDE w:val="0"/>
        <w:autoSpaceDN w:val="0"/>
        <w:adjustRightInd w:val="0"/>
        <w:spacing w:after="0" w:line="240" w:lineRule="auto"/>
        <w:rPr>
          <w:color w:val="C00000"/>
          <w:szCs w:val="21"/>
        </w:rPr>
      </w:pPr>
      <w:r w:rsidRPr="00313E2E">
        <w:rPr>
          <w:color w:val="C00000"/>
          <w:szCs w:val="21"/>
        </w:rPr>
        <w:t xml:space="preserve">After applying exclusion criteria, these data represent all Medicare hospital discharges </w:t>
      </w:r>
      <w:r w:rsidR="000216BC" w:rsidRPr="00313E2E">
        <w:rPr>
          <w:color w:val="C00000"/>
          <w:szCs w:val="21"/>
        </w:rPr>
        <w:t xml:space="preserve">(n=541, </w:t>
      </w:r>
      <w:r w:rsidR="00177A91">
        <w:rPr>
          <w:color w:val="C00000"/>
          <w:szCs w:val="21"/>
        </w:rPr>
        <w:t>769</w:t>
      </w:r>
      <w:r w:rsidR="000216BC" w:rsidRPr="00313E2E">
        <w:rPr>
          <w:color w:val="C00000"/>
          <w:szCs w:val="21"/>
        </w:rPr>
        <w:t xml:space="preserve">) </w:t>
      </w:r>
      <w:r w:rsidRPr="00313E2E">
        <w:rPr>
          <w:color w:val="C00000"/>
          <w:szCs w:val="21"/>
        </w:rPr>
        <w:t xml:space="preserve">for Medicare dialysis patients (n = </w:t>
      </w:r>
      <w:r w:rsidR="000216BC" w:rsidRPr="00313E2E">
        <w:rPr>
          <w:color w:val="C00000"/>
          <w:szCs w:val="21"/>
        </w:rPr>
        <w:t>257,8</w:t>
      </w:r>
      <w:r w:rsidR="0082531C" w:rsidRPr="00313E2E">
        <w:rPr>
          <w:color w:val="C00000"/>
          <w:szCs w:val="21"/>
        </w:rPr>
        <w:t>60</w:t>
      </w:r>
      <w:r w:rsidRPr="00313E2E">
        <w:rPr>
          <w:color w:val="C00000"/>
          <w:szCs w:val="21"/>
        </w:rPr>
        <w:t xml:space="preserve">) during 2018. Patients were </w:t>
      </w:r>
      <w:r w:rsidR="000216BC" w:rsidRPr="00313E2E">
        <w:rPr>
          <w:color w:val="C00000"/>
          <w:szCs w:val="21"/>
        </w:rPr>
        <w:t>mostly white (</w:t>
      </w:r>
      <w:r w:rsidR="00D73EE4" w:rsidRPr="00313E2E">
        <w:rPr>
          <w:color w:val="C00000"/>
          <w:szCs w:val="21"/>
        </w:rPr>
        <w:t>61.</w:t>
      </w:r>
      <w:r w:rsidR="000E305F" w:rsidRPr="00313E2E">
        <w:rPr>
          <w:color w:val="C00000"/>
          <w:szCs w:val="21"/>
        </w:rPr>
        <w:t>1</w:t>
      </w:r>
      <w:r w:rsidR="00D73EE4" w:rsidRPr="00313E2E">
        <w:rPr>
          <w:color w:val="C00000"/>
          <w:szCs w:val="21"/>
        </w:rPr>
        <w:t>%) and male (54.5%); the most common types of AHRQ CCS diagnosis categories related to the index discharge primary diagnosis were: Hypertension with complications and secondary hypertension (CCS 99), Complications of device; implant or graft (CCS 237), and Septicemia (CCS 2).</w:t>
      </w:r>
    </w:p>
    <w:p w14:paraId="0AD96DC8" w14:textId="77777777" w:rsidR="00216A2E" w:rsidRDefault="00216A2E" w:rsidP="00DB3627">
      <w:pPr>
        <w:autoSpaceDE w:val="0"/>
        <w:autoSpaceDN w:val="0"/>
        <w:adjustRightInd w:val="0"/>
        <w:spacing w:after="0" w:line="240" w:lineRule="auto"/>
        <w:rPr>
          <w:rFonts w:cstheme="minorHAnsi"/>
          <w:bCs/>
        </w:rPr>
      </w:pPr>
    </w:p>
    <w:p w14:paraId="0CABCFCA" w14:textId="6A594F36"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7F40ABF2" w14:textId="1E0AAF80" w:rsidR="007D668C" w:rsidRDefault="007D668C" w:rsidP="00E37E1B">
      <w:pPr>
        <w:autoSpaceDE w:val="0"/>
        <w:autoSpaceDN w:val="0"/>
        <w:adjustRightInd w:val="0"/>
        <w:spacing w:after="0" w:line="240" w:lineRule="auto"/>
        <w:rPr>
          <w:rFonts w:cstheme="minorHAnsi"/>
          <w:bCs/>
        </w:rPr>
      </w:pPr>
    </w:p>
    <w:p w14:paraId="1AFB7115" w14:textId="0EED982B" w:rsidR="007D668C" w:rsidRDefault="007D668C" w:rsidP="00E37E1B">
      <w:pPr>
        <w:autoSpaceDE w:val="0"/>
        <w:autoSpaceDN w:val="0"/>
        <w:adjustRightInd w:val="0"/>
        <w:spacing w:after="0" w:line="240" w:lineRule="auto"/>
        <w:rPr>
          <w:rFonts w:cstheme="minorHAnsi"/>
          <w:bCs/>
        </w:rPr>
      </w:pPr>
      <w:r>
        <w:t>Not applicable.</w:t>
      </w:r>
    </w:p>
    <w:p w14:paraId="0CABCFCB" w14:textId="77777777" w:rsidR="00E37E1B" w:rsidRDefault="00E37E1B" w:rsidP="00E37E1B">
      <w:pPr>
        <w:autoSpaceDE w:val="0"/>
        <w:autoSpaceDN w:val="0"/>
        <w:adjustRightInd w:val="0"/>
        <w:spacing w:after="0" w:line="240" w:lineRule="auto"/>
        <w:rPr>
          <w:rFonts w:cstheme="minorHAnsi"/>
          <w:bCs/>
        </w:rPr>
      </w:pPr>
    </w:p>
    <w:p w14:paraId="0CABCFCC" w14:textId="0AF25858"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0E33E51D" w14:textId="7439C411" w:rsidR="007D64C7" w:rsidRPr="002816C8" w:rsidRDefault="007D64C7" w:rsidP="00E37E1B">
      <w:pPr>
        <w:autoSpaceDE w:val="0"/>
        <w:autoSpaceDN w:val="0"/>
        <w:adjustRightInd w:val="0"/>
        <w:spacing w:after="0" w:line="240" w:lineRule="auto"/>
        <w:rPr>
          <w:rFonts w:cstheme="minorHAnsi"/>
          <w:bCs/>
          <w:color w:val="C00000"/>
        </w:rPr>
      </w:pPr>
    </w:p>
    <w:p w14:paraId="6723ADDE" w14:textId="40F2074A" w:rsidR="007D64C7" w:rsidRPr="002816C8" w:rsidRDefault="007D64C7" w:rsidP="00E37E1B">
      <w:pPr>
        <w:autoSpaceDE w:val="0"/>
        <w:autoSpaceDN w:val="0"/>
        <w:adjustRightInd w:val="0"/>
        <w:spacing w:after="0" w:line="240" w:lineRule="auto"/>
        <w:rPr>
          <w:rFonts w:cstheme="minorHAnsi"/>
          <w:b/>
          <w:bCs/>
          <w:color w:val="C00000"/>
          <w:u w:val="single"/>
        </w:rPr>
      </w:pPr>
      <w:r w:rsidRPr="002816C8">
        <w:rPr>
          <w:rFonts w:cstheme="minorHAnsi"/>
          <w:b/>
          <w:bCs/>
          <w:color w:val="C00000"/>
          <w:u w:val="single"/>
        </w:rPr>
        <w:t>2019 Submission</w:t>
      </w:r>
    </w:p>
    <w:p w14:paraId="7B47FE0F" w14:textId="77777777" w:rsidR="007D64C7" w:rsidRPr="002816C8" w:rsidRDefault="007D64C7" w:rsidP="007D64C7">
      <w:pPr>
        <w:pStyle w:val="Heading2"/>
        <w:rPr>
          <w:rFonts w:asciiTheme="minorHAnsi" w:eastAsiaTheme="minorEastAsia" w:hAnsiTheme="minorHAnsi" w:cstheme="minorBidi"/>
          <w:bCs/>
          <w:color w:val="C00000"/>
          <w:sz w:val="22"/>
          <w:szCs w:val="22"/>
        </w:rPr>
      </w:pPr>
      <w:r w:rsidRPr="002816C8">
        <w:rPr>
          <w:rFonts w:asciiTheme="minorHAnsi" w:eastAsiaTheme="minorEastAsia" w:hAnsiTheme="minorHAnsi" w:cstheme="minorBidi"/>
          <w:bCs/>
          <w:color w:val="C00000"/>
          <w:sz w:val="22"/>
          <w:szCs w:val="22"/>
        </w:rPr>
        <w:t xml:space="preserve">Patient level: </w:t>
      </w:r>
    </w:p>
    <w:p w14:paraId="13EA76BE" w14:textId="77777777" w:rsidR="007D64C7" w:rsidRPr="002816C8" w:rsidRDefault="007D64C7" w:rsidP="007D64C7">
      <w:pPr>
        <w:pStyle w:val="ListParagraph"/>
        <w:numPr>
          <w:ilvl w:val="0"/>
          <w:numId w:val="38"/>
        </w:numPr>
        <w:rPr>
          <w:color w:val="C00000"/>
        </w:rPr>
      </w:pPr>
      <w:r w:rsidRPr="002816C8">
        <w:rPr>
          <w:color w:val="C00000"/>
        </w:rPr>
        <w:t>Employment status 6 months prior to ESRD</w:t>
      </w:r>
    </w:p>
    <w:p w14:paraId="24DA2314" w14:textId="066C4D2C" w:rsidR="007D64C7" w:rsidRPr="002816C8" w:rsidRDefault="007D64C7" w:rsidP="007D64C7">
      <w:pPr>
        <w:pStyle w:val="ListParagraph"/>
        <w:numPr>
          <w:ilvl w:val="0"/>
          <w:numId w:val="38"/>
        </w:numPr>
        <w:rPr>
          <w:color w:val="C00000"/>
        </w:rPr>
      </w:pPr>
      <w:r w:rsidRPr="002816C8">
        <w:rPr>
          <w:color w:val="C00000"/>
        </w:rPr>
        <w:t>Sex</w:t>
      </w:r>
      <w:r w:rsidR="00121404" w:rsidRPr="002816C8">
        <w:rPr>
          <w:color w:val="C00000"/>
        </w:rPr>
        <w:t xml:space="preserve"> (add note already in the model)</w:t>
      </w:r>
    </w:p>
    <w:p w14:paraId="5F8077C0" w14:textId="77777777" w:rsidR="007D64C7" w:rsidRPr="002816C8" w:rsidRDefault="007D64C7" w:rsidP="007D64C7">
      <w:pPr>
        <w:pStyle w:val="ListParagraph"/>
        <w:numPr>
          <w:ilvl w:val="0"/>
          <w:numId w:val="38"/>
        </w:numPr>
        <w:rPr>
          <w:color w:val="C00000"/>
        </w:rPr>
      </w:pPr>
      <w:r w:rsidRPr="002816C8">
        <w:rPr>
          <w:color w:val="C00000"/>
        </w:rPr>
        <w:t>Race</w:t>
      </w:r>
    </w:p>
    <w:p w14:paraId="5E7EF783" w14:textId="77777777" w:rsidR="007D64C7" w:rsidRPr="002816C8" w:rsidRDefault="007D64C7" w:rsidP="007D64C7">
      <w:pPr>
        <w:pStyle w:val="ListParagraph"/>
        <w:numPr>
          <w:ilvl w:val="0"/>
          <w:numId w:val="38"/>
        </w:numPr>
        <w:rPr>
          <w:color w:val="C00000"/>
        </w:rPr>
      </w:pPr>
      <w:r w:rsidRPr="002816C8">
        <w:rPr>
          <w:color w:val="C00000"/>
        </w:rPr>
        <w:t>Ethnicity</w:t>
      </w:r>
    </w:p>
    <w:p w14:paraId="10015DFE" w14:textId="77777777" w:rsidR="00CB24BB" w:rsidRPr="002816C8" w:rsidRDefault="008C3225" w:rsidP="007D64C7">
      <w:pPr>
        <w:pStyle w:val="ListParagraph"/>
        <w:numPr>
          <w:ilvl w:val="0"/>
          <w:numId w:val="38"/>
        </w:numPr>
        <w:rPr>
          <w:color w:val="C00000"/>
        </w:rPr>
      </w:pPr>
      <w:r w:rsidRPr="002816C8">
        <w:rPr>
          <w:color w:val="C00000"/>
        </w:rPr>
        <w:t xml:space="preserve">Medicare Dual Eligible </w:t>
      </w:r>
    </w:p>
    <w:p w14:paraId="4BB85F92" w14:textId="49B840F4" w:rsidR="00CB24BB" w:rsidRPr="002816C8" w:rsidRDefault="00CB24BB" w:rsidP="002816C8">
      <w:pPr>
        <w:pStyle w:val="ListParagraph"/>
        <w:numPr>
          <w:ilvl w:val="0"/>
          <w:numId w:val="38"/>
        </w:numPr>
        <w:rPr>
          <w:rFonts w:cstheme="minorHAnsi"/>
          <w:color w:val="C00000"/>
        </w:rPr>
      </w:pPr>
      <w:r w:rsidRPr="002816C8">
        <w:rPr>
          <w:color w:val="C00000"/>
        </w:rPr>
        <w:t>ZIP code level – Area Deprivation Index (ADI) from Census data (</w:t>
      </w:r>
      <w:r w:rsidR="00AA68D6">
        <w:rPr>
          <w:color w:val="C00000"/>
        </w:rPr>
        <w:t>2009-</w:t>
      </w:r>
      <w:r w:rsidR="00AA68D6" w:rsidRPr="002816C8">
        <w:rPr>
          <w:color w:val="C00000"/>
        </w:rPr>
        <w:t>201</w:t>
      </w:r>
      <w:r w:rsidR="00AA68D6">
        <w:rPr>
          <w:color w:val="C00000"/>
        </w:rPr>
        <w:t>3</w:t>
      </w:r>
      <w:r w:rsidRPr="002816C8">
        <w:rPr>
          <w:color w:val="C00000"/>
        </w:rPr>
        <w:t xml:space="preserve">). Based on patient zip-code. </w:t>
      </w:r>
    </w:p>
    <w:p w14:paraId="2F6C069A" w14:textId="77777777" w:rsidR="00CB24BB" w:rsidRDefault="00CB24BB" w:rsidP="00FC6074">
      <w:pPr>
        <w:pStyle w:val="ListParagraph"/>
        <w:rPr>
          <w:color w:val="C00000"/>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302CE6CC"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459EFA06" w14:textId="08D6CEF4" w:rsidR="007D668C" w:rsidRDefault="007D668C" w:rsidP="008C54A9">
      <w:pPr>
        <w:autoSpaceDE w:val="0"/>
        <w:autoSpaceDN w:val="0"/>
        <w:adjustRightInd w:val="0"/>
        <w:spacing w:after="0" w:line="240" w:lineRule="auto"/>
        <w:rPr>
          <w:rFonts w:cstheme="minorHAnsi"/>
          <w:bCs/>
        </w:rPr>
      </w:pPr>
    </w:p>
    <w:p w14:paraId="33CE2B93" w14:textId="0240E447" w:rsidR="007D668C" w:rsidRDefault="007D668C" w:rsidP="000C4611">
      <w:pPr>
        <w:pStyle w:val="Default"/>
        <w:rPr>
          <w:sz w:val="22"/>
          <w:szCs w:val="22"/>
        </w:rPr>
      </w:pPr>
      <w:r>
        <w:rPr>
          <w:sz w:val="22"/>
          <w:szCs w:val="22"/>
        </w:rPr>
        <w:t xml:space="preserve">If the measure were a simple average across individuals in the facility, the NQF-recommended approach for determining measure reliability would be a one-way analysis of variance (ANOVA), in which the between and within facility variation in the measure is determined.1 The inter-unit reliability (IUR) measures the proportion of the measure variability that is attributable to the between-facility variance. The SRR, however, is not a simple average and we instead estimate the IUR using a bootstrap approach, which uses a resampling scheme to estimate the within facility variation that cannot be directly estimated by ANOVA. </w:t>
      </w:r>
    </w:p>
    <w:p w14:paraId="0E8220EF" w14:textId="31361997" w:rsidR="000C4611" w:rsidRDefault="000C4611" w:rsidP="000C4611">
      <w:pPr>
        <w:pStyle w:val="Default"/>
        <w:rPr>
          <w:sz w:val="22"/>
          <w:szCs w:val="22"/>
        </w:rPr>
      </w:pPr>
    </w:p>
    <w:p w14:paraId="72B43843" w14:textId="0FFA0E41" w:rsidR="000C4611" w:rsidRPr="00B6223F" w:rsidRDefault="000C4611" w:rsidP="000C4611">
      <w:pPr>
        <w:rPr>
          <w:rFonts w:cstheme="minorHAnsi"/>
          <w:bCs/>
        </w:rPr>
      </w:pPr>
      <w:r w:rsidRPr="00B6223F">
        <w:rPr>
          <w:rFonts w:cstheme="minorHAnsi"/>
          <w:bCs/>
        </w:rPr>
        <w:t xml:space="preserve">Suppose that there are </w:t>
      </w:r>
      <w:r w:rsidRPr="00B6223F">
        <w:rPr>
          <w:rFonts w:cstheme="minorHAnsi"/>
          <w:bCs/>
          <w:i/>
        </w:rPr>
        <w:t>N</w:t>
      </w:r>
      <w:r w:rsidRPr="00B6223F">
        <w:rPr>
          <w:rFonts w:cstheme="minorHAnsi"/>
          <w:bCs/>
        </w:rPr>
        <w:t xml:space="preserve"> facilities with at least 11 discharges in the year. Let </w:t>
      </w:r>
      <w:r w:rsidRPr="00B6223F">
        <w:rPr>
          <w:rFonts w:cstheme="minorHAnsi"/>
          <w:bCs/>
          <w:i/>
        </w:rPr>
        <w:t>T</w:t>
      </w:r>
      <w:r w:rsidRPr="00B6223F">
        <w:rPr>
          <w:rFonts w:cstheme="minorHAnsi"/>
          <w:bCs/>
          <w:vertAlign w:val="subscript"/>
        </w:rPr>
        <w:t>1</w:t>
      </w:r>
      <w:r w:rsidRPr="00B6223F">
        <w:rPr>
          <w:rFonts w:cstheme="minorHAnsi"/>
          <w:bCs/>
        </w:rPr>
        <w:t>,…</w:t>
      </w:r>
      <w:proofErr w:type="gramStart"/>
      <w:r w:rsidRPr="00B6223F">
        <w:rPr>
          <w:rFonts w:cstheme="minorHAnsi"/>
          <w:bCs/>
        </w:rPr>
        <w:t>,</w:t>
      </w:r>
      <w:r w:rsidRPr="00B6223F">
        <w:rPr>
          <w:rFonts w:cstheme="minorHAnsi"/>
          <w:bCs/>
          <w:i/>
        </w:rPr>
        <w:t>T</w:t>
      </w:r>
      <w:r w:rsidRPr="00B6223F">
        <w:rPr>
          <w:rFonts w:cstheme="minorHAnsi"/>
          <w:bCs/>
          <w:i/>
          <w:vertAlign w:val="subscript"/>
        </w:rPr>
        <w:t>N</w:t>
      </w:r>
      <w:proofErr w:type="gramEnd"/>
      <w:r w:rsidRPr="00B6223F">
        <w:rPr>
          <w:rFonts w:cstheme="minorHAnsi"/>
          <w:bCs/>
        </w:rPr>
        <w:t xml:space="preserve"> be the SRR for these facilities. Within each facility, select at random and with replacement </w:t>
      </w:r>
      <w:r w:rsidRPr="00B6223F">
        <w:rPr>
          <w:rFonts w:cstheme="minorHAnsi"/>
          <w:bCs/>
          <w:i/>
        </w:rPr>
        <w:t>B</w:t>
      </w:r>
      <w:r w:rsidRPr="00B6223F">
        <w:rPr>
          <w:rFonts w:cstheme="minorHAnsi"/>
          <w:bCs/>
        </w:rPr>
        <w:t xml:space="preserve"> = </w:t>
      </w:r>
      <w:r>
        <w:rPr>
          <w:rFonts w:cstheme="minorHAnsi"/>
          <w:bCs/>
        </w:rPr>
        <w:t>100</w:t>
      </w:r>
      <w:r w:rsidRPr="00B6223F">
        <w:rPr>
          <w:rFonts w:cstheme="minorHAnsi"/>
          <w:bCs/>
        </w:rPr>
        <w:t xml:space="preserve"> bootstrap samples. That is, if the </w:t>
      </w:r>
      <w:proofErr w:type="spellStart"/>
      <w:r w:rsidRPr="00B6223F">
        <w:rPr>
          <w:rFonts w:cstheme="minorHAnsi"/>
          <w:bCs/>
          <w:i/>
        </w:rPr>
        <w:t>i</w:t>
      </w:r>
      <w:r w:rsidRPr="00B6223F">
        <w:rPr>
          <w:rFonts w:cstheme="minorHAnsi"/>
          <w:bCs/>
        </w:rPr>
        <w:t>th</w:t>
      </w:r>
      <w:proofErr w:type="spellEnd"/>
      <w:r w:rsidRPr="00B6223F">
        <w:rPr>
          <w:rFonts w:cstheme="minorHAnsi"/>
          <w:bCs/>
        </w:rPr>
        <w:t xml:space="preserve"> facility has </w:t>
      </w:r>
      <w:proofErr w:type="spellStart"/>
      <w:proofErr w:type="gramStart"/>
      <w:r w:rsidRPr="00B6223F">
        <w:rPr>
          <w:rFonts w:cstheme="minorHAnsi"/>
          <w:bCs/>
          <w:i/>
        </w:rPr>
        <w:t>n</w:t>
      </w:r>
      <w:r w:rsidRPr="00B6223F">
        <w:rPr>
          <w:rFonts w:cstheme="minorHAnsi"/>
          <w:bCs/>
          <w:i/>
          <w:vertAlign w:val="subscript"/>
        </w:rPr>
        <w:t>i</w:t>
      </w:r>
      <w:proofErr w:type="spellEnd"/>
      <w:proofErr w:type="gramEnd"/>
      <w:r w:rsidRPr="00B6223F">
        <w:rPr>
          <w:rFonts w:cstheme="minorHAnsi"/>
          <w:bCs/>
        </w:rPr>
        <w:t xml:space="preserve"> subjects, randomly draw with replacement </w:t>
      </w:r>
      <w:proofErr w:type="spellStart"/>
      <w:r w:rsidRPr="00B6223F">
        <w:rPr>
          <w:rFonts w:cstheme="minorHAnsi"/>
          <w:bCs/>
          <w:i/>
        </w:rPr>
        <w:t>n</w:t>
      </w:r>
      <w:r w:rsidRPr="00B6223F">
        <w:rPr>
          <w:rFonts w:cstheme="minorHAnsi"/>
          <w:bCs/>
          <w:i/>
          <w:vertAlign w:val="subscript"/>
        </w:rPr>
        <w:t>i</w:t>
      </w:r>
      <w:proofErr w:type="spellEnd"/>
      <w:r w:rsidRPr="00B6223F">
        <w:rPr>
          <w:rFonts w:cstheme="minorHAnsi"/>
          <w:bCs/>
        </w:rPr>
        <w:t xml:space="preserve"> subjects from those in the same facility, find their corresponding </w:t>
      </w:r>
      <w:proofErr w:type="spellStart"/>
      <w:r w:rsidRPr="00B6223F">
        <w:rPr>
          <w:rFonts w:cstheme="minorHAnsi"/>
          <w:bCs/>
        </w:rPr>
        <w:t>SRR</w:t>
      </w:r>
      <w:r w:rsidRPr="00B6223F">
        <w:rPr>
          <w:rFonts w:cstheme="minorHAnsi"/>
          <w:bCs/>
          <w:i/>
          <w:vertAlign w:val="subscript"/>
        </w:rPr>
        <w:t>i</w:t>
      </w:r>
      <w:proofErr w:type="spellEnd"/>
      <w:r w:rsidRPr="00B6223F">
        <w:rPr>
          <w:rFonts w:cstheme="minorHAnsi"/>
          <w:bCs/>
        </w:rPr>
        <w:t xml:space="preserve"> and repeat the proce</w:t>
      </w:r>
      <w:bookmarkStart w:id="11" w:name="_GoBack"/>
      <w:bookmarkEnd w:id="11"/>
      <w:r w:rsidRPr="00B6223F">
        <w:rPr>
          <w:rFonts w:cstheme="minorHAnsi"/>
          <w:bCs/>
        </w:rPr>
        <w:t xml:space="preserve">ss </w:t>
      </w:r>
      <w:r>
        <w:rPr>
          <w:rFonts w:cstheme="minorHAnsi"/>
          <w:bCs/>
        </w:rPr>
        <w:t>100</w:t>
      </w:r>
      <w:r w:rsidRPr="00B6223F">
        <w:rPr>
          <w:rFonts w:cstheme="minorHAnsi"/>
          <w:bCs/>
        </w:rPr>
        <w:t xml:space="preserve"> times. Thus, for the </w:t>
      </w:r>
      <w:proofErr w:type="spellStart"/>
      <w:r w:rsidRPr="00B6223F">
        <w:rPr>
          <w:rFonts w:cstheme="minorHAnsi"/>
          <w:bCs/>
          <w:i/>
        </w:rPr>
        <w:t>i</w:t>
      </w:r>
      <w:r w:rsidRPr="00B6223F">
        <w:rPr>
          <w:rFonts w:cstheme="minorHAnsi"/>
          <w:bCs/>
        </w:rPr>
        <w:t>th</w:t>
      </w:r>
      <w:proofErr w:type="spellEnd"/>
      <w:r w:rsidRPr="00B6223F">
        <w:rPr>
          <w:rFonts w:cstheme="minorHAnsi"/>
          <w:bCs/>
        </w:rPr>
        <w:t xml:space="preserve"> facility, we have bootstrapped SRRs of</w:t>
      </w:r>
      <w:r>
        <w:rPr>
          <w:rFonts w:cstheme="minorHAnsi"/>
          <w:bCs/>
        </w:rPr>
        <w:t xml:space="preserve"> </w:t>
      </w:r>
      <w:r w:rsidR="00144462" w:rsidRPr="004C5689">
        <w:rPr>
          <w:rFonts w:ascii="Calibri" w:eastAsia="Arial Unicode MS" w:hAnsi="Calibri" w:cs="Arial Unicode MS"/>
          <w:bCs/>
          <w:i/>
        </w:rPr>
        <w:t>T</w:t>
      </w:r>
      <w:r w:rsidR="00DE4858">
        <w:rPr>
          <w:rFonts w:ascii="Calibri" w:eastAsia="Arial Unicode MS" w:hAnsi="Calibri" w:cs="Arial Unicode MS"/>
          <w:bCs/>
          <w:i/>
        </w:rPr>
        <w:t>*</w:t>
      </w:r>
      <w:r w:rsidR="00144462" w:rsidRPr="004C5689">
        <w:rPr>
          <w:rFonts w:ascii="Calibri" w:eastAsia="Arial Unicode MS" w:hAnsi="Calibri" w:cs="Arial Unicode MS"/>
          <w:bCs/>
          <w:vertAlign w:val="subscript"/>
        </w:rPr>
        <w:t>1</w:t>
      </w:r>
      <w:r w:rsidR="00144462" w:rsidRPr="004C5689">
        <w:rPr>
          <w:rFonts w:ascii="Calibri" w:eastAsia="Arial Unicode MS" w:hAnsi="Calibri" w:cs="Arial Unicode MS"/>
          <w:bCs/>
        </w:rPr>
        <w:t>,…</w:t>
      </w:r>
      <w:proofErr w:type="gramStart"/>
      <w:r w:rsidR="00144462" w:rsidRPr="004C5689">
        <w:rPr>
          <w:rFonts w:ascii="Calibri" w:eastAsia="Arial Unicode MS" w:hAnsi="Calibri" w:cs="Arial Unicode MS"/>
          <w:bCs/>
        </w:rPr>
        <w:t>,</w:t>
      </w:r>
      <w:r w:rsidR="00144462" w:rsidRPr="004C5689">
        <w:rPr>
          <w:rFonts w:ascii="Calibri" w:eastAsia="Arial Unicode MS" w:hAnsi="Calibri" w:cs="Arial Unicode MS"/>
          <w:bCs/>
          <w:i/>
        </w:rPr>
        <w:t>T</w:t>
      </w:r>
      <w:proofErr w:type="gramEnd"/>
      <w:r w:rsidR="00DE4858">
        <w:rPr>
          <w:rFonts w:ascii="Calibri" w:eastAsia="Arial Unicode MS" w:hAnsi="Calibri" w:cs="Arial Unicode MS"/>
          <w:bCs/>
          <w:i/>
        </w:rPr>
        <w:t>*</w:t>
      </w:r>
      <w:r w:rsidR="00144462" w:rsidRPr="00144462">
        <w:rPr>
          <w:rFonts w:ascii="Calibri" w:eastAsia="Arial Unicode MS" w:hAnsi="Calibri" w:cs="Arial Unicode MS"/>
          <w:bCs/>
          <w:i/>
          <w:vertAlign w:val="subscript"/>
        </w:rPr>
        <w:t>100</w:t>
      </w:r>
      <w:r w:rsidR="00144462" w:rsidRPr="004C5689">
        <w:rPr>
          <w:rFonts w:ascii="Calibri" w:eastAsia="Arial Unicode MS" w:hAnsi="Calibri" w:cs="Arial Unicode MS"/>
          <w:bCs/>
        </w:rPr>
        <w:t xml:space="preserve">  </w:t>
      </w:r>
      <w:r w:rsidRPr="00B6223F">
        <w:rPr>
          <w:rFonts w:cstheme="minorHAnsi"/>
          <w:bCs/>
        </w:rPr>
        <w:t>…,</w:t>
      </w:r>
      <w:r w:rsidRPr="00B6223F">
        <w:rPr>
          <w:rFonts w:cstheme="minorHAnsi"/>
          <w:bCs/>
          <w:i/>
        </w:rPr>
        <w:t xml:space="preserve"> </w:t>
      </w:r>
      <m:oMath>
        <m:r>
          <w:rPr>
            <w:rFonts w:ascii="Cambria Math" w:hAnsi="Cambria Math" w:cs="Cambria Math"/>
          </w:rPr>
          <m:t>.</m:t>
        </m:r>
      </m:oMath>
      <w:r w:rsidRPr="00B6223F">
        <w:rPr>
          <w:rFonts w:cstheme="minorHAnsi"/>
          <w:bCs/>
        </w:rPr>
        <w:t xml:space="preserve"> Let </w:t>
      </w:r>
      <w:r w:rsidR="00144462">
        <w:rPr>
          <w:rFonts w:cstheme="minorHAnsi"/>
          <w:bCs/>
          <w:i/>
        </w:rPr>
        <w:t>S</w:t>
      </w:r>
      <w:r w:rsidR="00144462" w:rsidRPr="00B6223F">
        <w:rPr>
          <w:rFonts w:cstheme="minorHAnsi"/>
          <w:bCs/>
          <w:i/>
          <w:vertAlign w:val="subscript"/>
        </w:rPr>
        <w:t>i</w:t>
      </w:r>
      <w:r w:rsidRPr="00B6223F">
        <w:rPr>
          <w:rFonts w:cstheme="minorHAnsi"/>
          <w:bCs/>
        </w:rPr>
        <w:t xml:space="preserve"> be the sample variance of this bootstrap sample.  From this it can be seen that </w:t>
      </w:r>
    </w:p>
    <w:p w14:paraId="65C2A825" w14:textId="77B97DFD" w:rsidR="00144462" w:rsidRPr="004C5689" w:rsidRDefault="000C4611" w:rsidP="00144462">
      <w:pPr>
        <w:rPr>
          <w:rFonts w:ascii="Calibri" w:eastAsia="Calibri" w:hAnsi="Calibri" w:cs="Calibri"/>
          <w:bCs/>
        </w:rPr>
      </w:pPr>
      <w:r>
        <w:rPr>
          <w:rFonts w:cstheme="minorHAnsi"/>
          <w:bCs/>
        </w:rPr>
        <w:t xml:space="preserve">                                                              </w:t>
      </w:r>
      <m:oMath>
        <m:r>
          <m:rPr>
            <m:sty m:val="p"/>
          </m:rPr>
          <w:rPr>
            <w:rFonts w:ascii="Cambria Math" w:eastAsia="Calibri" w:hAnsi="Cambria Math" w:cs="Cambria Math"/>
          </w:rPr>
          <w:br/>
        </m:r>
      </m:oMath>
      <m:oMathPara>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 w</m:t>
              </m:r>
            </m:sub>
            <m:sup>
              <m:r>
                <w:rPr>
                  <w:rFonts w:ascii="Cambria Math" w:eastAsia="Calibri" w:hAnsi="Cambria Math" w:cs="Cambria Math"/>
                </w:rPr>
                <m:t>2</m:t>
              </m:r>
            </m:sup>
          </m:sSubSup>
          <m:r>
            <m:rPr>
              <m:sty m:val="p"/>
            </m:rPr>
            <w:rPr>
              <w:rFonts w:ascii="Cambria Math" w:eastAsia="Calibri" w:hAnsi="Cambria Math" w:cs="Cambria Math"/>
            </w:rPr>
            <m:t>=</m:t>
          </m:r>
          <m:f>
            <m:fPr>
              <m:ctrlPr>
                <w:rPr>
                  <w:rFonts w:ascii="Cambria Math" w:eastAsia="Calibri" w:hAnsi="Cambria Math" w:cs="Calibri"/>
                  <w:bCs/>
                </w:rPr>
              </m:ctrlPr>
            </m:fPr>
            <m:num>
              <m:nary>
                <m:naryPr>
                  <m:chr m:val="∑"/>
                  <m:limLoc m:val="subSup"/>
                  <m:ctrlPr>
                    <w:rPr>
                      <w:rFonts w:ascii="Cambria Math" w:eastAsia="Calibri" w:hAnsi="Cambria Math" w:cs="Calibri"/>
                      <w:bCs/>
                      <w:i/>
                    </w:rPr>
                  </m:ctrlPr>
                </m:naryPr>
                <m:sub>
                  <m:r>
                    <w:rPr>
                      <w:rFonts w:ascii="Cambria Math" w:eastAsia="Calibri" w:hAnsi="Cambria Math" w:cs="Calibri"/>
                    </w:rPr>
                    <m:t>i</m:t>
                  </m:r>
                  <m:r>
                    <m:rPr>
                      <m:sty m:val="p"/>
                    </m:rPr>
                    <w:rPr>
                      <w:rFonts w:ascii="Cambria Math" w:eastAsia="Calibri" w:hAnsi="Cambria Math" w:cs="Calibri"/>
                    </w:rPr>
                    <m:t>=1</m:t>
                  </m:r>
                </m:sub>
                <m:sup>
                  <m:r>
                    <w:rPr>
                      <w:rFonts w:ascii="Cambria Math" w:eastAsia="Calibri" w:hAnsi="Cambria Math" w:cs="Calibri"/>
                    </w:rPr>
                    <m:t>N</m:t>
                  </m:r>
                </m:sup>
                <m:e>
                  <m:d>
                    <m:dPr>
                      <m:begChr m:val="["/>
                      <m:endChr m:val="]"/>
                      <m:ctrlPr>
                        <w:rPr>
                          <w:rFonts w:ascii="Cambria Math" w:eastAsia="Calibri" w:hAnsi="Cambria Math" w:cs="Calibri"/>
                          <w:i/>
                        </w:rPr>
                      </m:ctrlPr>
                    </m:dPr>
                    <m:e>
                      <m:d>
                        <m:dPr>
                          <m:ctrlPr>
                            <w:rPr>
                              <w:rFonts w:ascii="Cambria Math" w:eastAsia="Calibri" w:hAnsi="Cambria Math" w:cs="Calibri"/>
                              <w:bCs/>
                              <w:i/>
                            </w:rPr>
                          </m:ctrlPr>
                        </m:dPr>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r>
                            <w:rPr>
                              <w:rFonts w:ascii="Cambria Math" w:eastAsia="Calibri" w:hAnsi="Cambria Math" w:cs="Calibri"/>
                            </w:rPr>
                            <m:t>-1</m:t>
                          </m:r>
                        </m:e>
                      </m:d>
                      <m:sSubSup>
                        <m:sSubSupPr>
                          <m:ctrlPr>
                            <w:rPr>
                              <w:rFonts w:ascii="Cambria Math" w:eastAsia="Calibri" w:hAnsi="Cambria Math" w:cs="Calibri"/>
                              <w:bCs/>
                              <w:i/>
                            </w:rPr>
                          </m:ctrlPr>
                        </m:sSubSupPr>
                        <m:e>
                          <m:r>
                            <w:rPr>
                              <w:rFonts w:ascii="Cambria Math" w:eastAsia="Calibri" w:hAnsi="Cambria Math" w:cs="Calibri"/>
                            </w:rPr>
                            <m:t>S</m:t>
                          </m:r>
                        </m:e>
                        <m:sub>
                          <m:r>
                            <w:rPr>
                              <w:rFonts w:ascii="Cambria Math" w:eastAsia="Calibri" w:hAnsi="Cambria Math" w:cs="Calibri"/>
                            </w:rPr>
                            <m:t>i</m:t>
                          </m:r>
                        </m:sub>
                        <m:sup>
                          <m:r>
                            <w:rPr>
                              <w:rFonts w:ascii="Cambria Math" w:eastAsia="Calibri" w:hAnsi="Cambria Math" w:cs="Calibri"/>
                            </w:rPr>
                            <m:t>2</m:t>
                          </m:r>
                        </m:sup>
                      </m:sSubSup>
                    </m:e>
                  </m:d>
                </m:e>
              </m:nary>
            </m:num>
            <m:den>
              <m:nary>
                <m:naryPr>
                  <m:chr m:val="∑"/>
                  <m:limLoc m:val="subSup"/>
                  <m:ctrlPr>
                    <w:rPr>
                      <w:rFonts w:ascii="Cambria Math" w:eastAsia="Calibri" w:hAnsi="Cambria Math" w:cs="Calibri"/>
                      <w:bCs/>
                      <w:i/>
                    </w:rPr>
                  </m:ctrlPr>
                </m:naryPr>
                <m:sub>
                  <m:r>
                    <w:rPr>
                      <w:rFonts w:ascii="Cambria Math" w:eastAsia="Calibri" w:hAnsi="Cambria Math" w:cs="Calibri"/>
                    </w:rPr>
                    <m:t>i</m:t>
                  </m:r>
                  <m:r>
                    <m:rPr>
                      <m:sty m:val="p"/>
                    </m:rPr>
                    <w:rPr>
                      <w:rFonts w:ascii="Cambria Math" w:eastAsia="Calibri" w:hAnsi="Cambria Math" w:cs="Calibri"/>
                    </w:rPr>
                    <m:t>=1</m:t>
                  </m:r>
                </m:sub>
                <m:sup>
                  <m:r>
                    <w:rPr>
                      <w:rFonts w:ascii="Cambria Math" w:eastAsia="Calibri" w:hAnsi="Cambria Math" w:cs="Calibri"/>
                    </w:rPr>
                    <m:t>N</m:t>
                  </m:r>
                </m:sup>
                <m:e>
                  <m:d>
                    <m:dPr>
                      <m:ctrlPr>
                        <w:rPr>
                          <w:rFonts w:ascii="Cambria Math" w:eastAsia="Calibri" w:hAnsi="Cambria Math" w:cs="Calibri"/>
                          <w:i/>
                        </w:rPr>
                      </m:ctrlPr>
                    </m:dPr>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r>
                        <w:rPr>
                          <w:rFonts w:ascii="Cambria Math" w:eastAsia="Calibri" w:hAnsi="Cambria Math" w:cs="Calibri"/>
                        </w:rPr>
                        <m:t>-1</m:t>
                      </m:r>
                    </m:e>
                  </m:d>
                </m:e>
              </m:nary>
            </m:den>
          </m:f>
          <m:r>
            <w:rPr>
              <w:rFonts w:ascii="Cambria Math" w:eastAsia="Calibri" w:hAnsi="Cambria Math" w:cs="Calibri"/>
            </w:rPr>
            <m:t>,</m:t>
          </m:r>
        </m:oMath>
      </m:oMathPara>
    </w:p>
    <w:p w14:paraId="3EEECD0B" w14:textId="15E05F47" w:rsidR="000C4611" w:rsidRPr="00B6223F" w:rsidRDefault="000C4611" w:rsidP="000C4611">
      <w:pPr>
        <w:rPr>
          <w:rFonts w:cstheme="minorHAnsi"/>
          <w:bCs/>
        </w:rPr>
      </w:pPr>
    </w:p>
    <w:p w14:paraId="6A3D02F3" w14:textId="77777777" w:rsidR="000C4611" w:rsidRPr="00B6223F" w:rsidRDefault="000C4611" w:rsidP="000C4611">
      <w:pPr>
        <w:ind w:left="1080"/>
        <w:rPr>
          <w:rFonts w:cstheme="minorHAnsi"/>
          <w:bCs/>
        </w:rPr>
      </w:pPr>
    </w:p>
    <w:p w14:paraId="41A709F5" w14:textId="52C7E1BF" w:rsidR="000C4611" w:rsidRPr="00B6223F" w:rsidRDefault="000C4611" w:rsidP="000C4611">
      <w:pPr>
        <w:rPr>
          <w:rFonts w:cstheme="minorHAnsi"/>
          <w:bCs/>
        </w:rPr>
      </w:pPr>
      <w:proofErr w:type="gramStart"/>
      <w:r w:rsidRPr="00B6223F">
        <w:rPr>
          <w:rFonts w:cstheme="minorHAnsi"/>
          <w:bCs/>
        </w:rPr>
        <w:t>is</w:t>
      </w:r>
      <w:proofErr w:type="gramEnd"/>
      <w:r w:rsidRPr="00B6223F">
        <w:rPr>
          <w:rFonts w:cstheme="minorHAnsi"/>
          <w:bCs/>
        </w:rPr>
        <w:t xml:space="preserve"> a bootstrap estimate of the within-facility variance in the SRR, namely</w:t>
      </w:r>
      <m:oMath>
        <m:r>
          <w:rPr>
            <w:rFonts w:ascii="Cambria Math" w:hAnsi="Cambria Math" w:cstheme="minorHAnsi"/>
          </w:rPr>
          <m:t xml:space="preserve"> </m:t>
        </m:r>
      </m:oMath>
      <w:r w:rsidRPr="00B21753">
        <w:rPr>
          <w:noProof/>
        </w:rPr>
        <w:t xml:space="preserve">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oMath>
      <w:r w:rsidRPr="00B6223F">
        <w:rPr>
          <w:rFonts w:cstheme="minorHAnsi"/>
          <w:bCs/>
        </w:rPr>
        <w:t xml:space="preserve"> </w:t>
      </w:r>
      <w:r>
        <w:rPr>
          <w:rFonts w:cstheme="minorHAnsi"/>
          <w:bCs/>
        </w:rPr>
        <w:t>.</w:t>
      </w:r>
      <w:r w:rsidR="00144462">
        <w:rPr>
          <w:rFonts w:cstheme="minorHAnsi"/>
          <w:bCs/>
        </w:rPr>
        <w:t xml:space="preserve"> </w:t>
      </w:r>
      <w:r w:rsidRPr="00B6223F">
        <w:rPr>
          <w:rFonts w:cstheme="minorHAnsi"/>
          <w:bCs/>
        </w:rPr>
        <w:t xml:space="preserve">Calling on formulas from the one way analysis of variance, an estimate of the overall variance of </w:t>
      </w:r>
      <w:proofErr w:type="spellStart"/>
      <w:r w:rsidRPr="00B6223F">
        <w:rPr>
          <w:rFonts w:cstheme="minorHAnsi"/>
          <w:bCs/>
          <w:i/>
        </w:rPr>
        <w:t>T</w:t>
      </w:r>
      <w:r w:rsidRPr="00B6223F">
        <w:rPr>
          <w:rFonts w:cstheme="minorHAnsi"/>
          <w:bCs/>
          <w:vertAlign w:val="subscript"/>
        </w:rPr>
        <w:t>i</w:t>
      </w:r>
      <w:proofErr w:type="spellEnd"/>
      <w:r w:rsidRPr="00B6223F">
        <w:rPr>
          <w:rFonts w:cstheme="minorHAnsi"/>
          <w:bCs/>
          <w:vertAlign w:val="subscript"/>
        </w:rPr>
        <w:t xml:space="preserve"> </w:t>
      </w:r>
      <w:r w:rsidRPr="00B6223F">
        <w:rPr>
          <w:rFonts w:cstheme="minorHAnsi"/>
          <w:bCs/>
        </w:rPr>
        <w:t>is</w:t>
      </w:r>
    </w:p>
    <w:p w14:paraId="6936DC64" w14:textId="77777777" w:rsidR="00144462" w:rsidRPr="004C5689" w:rsidRDefault="00DE4858" w:rsidP="00144462">
      <w:pPr>
        <w:rPr>
          <w:rFonts w:ascii="Calibri" w:eastAsia="Calibri" w:hAnsi="Calibri" w:cs="Calibri"/>
          <w:bCs/>
        </w:rPr>
      </w:pPr>
      <m:oMathPara>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r>
            <m:rPr>
              <m:sty m:val="p"/>
            </m:rPr>
            <w:rPr>
              <w:rFonts w:ascii="Cambria Math" w:eastAsia="Calibri" w:hAnsi="Cambria Math" w:cs="Cambria Math"/>
            </w:rPr>
            <m:t>=</m:t>
          </m:r>
          <m:f>
            <m:fPr>
              <m:ctrlPr>
                <w:rPr>
                  <w:rFonts w:ascii="Cambria Math" w:eastAsia="Calibri" w:hAnsi="Cambria Math" w:cs="Cambria Math"/>
                  <w:bCs/>
                </w:rPr>
              </m:ctrlPr>
            </m:fPr>
            <m:num>
              <m:r>
                <w:rPr>
                  <w:rFonts w:ascii="Cambria Math" w:eastAsia="Calibri" w:hAnsi="Cambria Math" w:cs="Cambria Math"/>
                </w:rPr>
                <m:t>1</m:t>
              </m:r>
            </m:num>
            <m:den>
              <m:r>
                <w:rPr>
                  <w:rFonts w:ascii="Cambria Math" w:eastAsia="Calibri" w:hAnsi="Cambria Math" w:cs="Times New Roman"/>
                </w:rPr>
                <m:t>n'(N-1)</m:t>
              </m:r>
            </m:den>
          </m:f>
          <m:r>
            <w:rPr>
              <w:rFonts w:ascii="Cambria Math" w:eastAsia="Calibri" w:hAnsi="Cambria Math" w:cs="Cambria Math"/>
            </w:rPr>
            <m:t xml:space="preserve"> </m:t>
          </m:r>
          <m:nary>
            <m:naryPr>
              <m:chr m:val="∑"/>
              <m:limLoc m:val="undOvr"/>
              <m:ctrlPr>
                <w:rPr>
                  <w:rFonts w:ascii="Cambria Math" w:eastAsia="Calibri" w:hAnsi="Cambria Math" w:cs="Cambria Math"/>
                  <w:bCs/>
                  <w:i/>
                </w:rPr>
              </m:ctrlPr>
            </m:naryPr>
            <m:sub>
              <m:r>
                <w:rPr>
                  <w:rFonts w:ascii="Cambria Math" w:eastAsia="Calibri" w:hAnsi="Cambria Math" w:cs="Cambria Math"/>
                </w:rPr>
                <m:t>i</m:t>
              </m:r>
              <m:r>
                <m:rPr>
                  <m:sty m:val="p"/>
                </m:rPr>
                <w:rPr>
                  <w:rFonts w:ascii="Cambria Math" w:eastAsia="Calibri" w:hAnsi="Cambria Math" w:cs="Cambria Math"/>
                </w:rPr>
                <m:t>=1</m:t>
              </m:r>
            </m:sub>
            <m:sup>
              <m:r>
                <w:rPr>
                  <w:rFonts w:ascii="Cambria Math" w:eastAsia="Calibri" w:hAnsi="Cambria Math" w:cs="Cambria Math"/>
                </w:rPr>
                <m:t>N</m:t>
              </m:r>
            </m:sup>
            <m:e>
              <m:sSup>
                <m:sSupPr>
                  <m:ctrlPr>
                    <w:rPr>
                      <w:rFonts w:ascii="Cambria Math" w:eastAsia="Calibri" w:hAnsi="Cambria Math" w:cs="Cambria Math"/>
                      <w:bCs/>
                      <w:i/>
                    </w:rPr>
                  </m:ctrlPr>
                </m:sSupPr>
                <m:e>
                  <m:sSub>
                    <m:sSubPr>
                      <m:ctrlPr>
                        <w:rPr>
                          <w:rFonts w:ascii="Cambria Math" w:eastAsia="Calibri" w:hAnsi="Cambria Math" w:cs="Cambria Math"/>
                          <w:bCs/>
                          <w:i/>
                        </w:rPr>
                      </m:ctrlPr>
                    </m:sSubPr>
                    <m:e>
                      <m:r>
                        <w:rPr>
                          <w:rFonts w:ascii="Cambria Math" w:eastAsia="Calibri" w:hAnsi="Cambria Math" w:cs="Cambria Math"/>
                        </w:rPr>
                        <m:t>n</m:t>
                      </m:r>
                    </m:e>
                    <m:sub>
                      <m:r>
                        <w:rPr>
                          <w:rFonts w:ascii="Cambria Math" w:eastAsia="Calibri" w:hAnsi="Cambria Math" w:cs="Cambria Math"/>
                        </w:rPr>
                        <m:t>i</m:t>
                      </m:r>
                    </m:sub>
                  </m:sSub>
                  <m:r>
                    <w:rPr>
                      <w:rFonts w:ascii="Cambria Math" w:eastAsia="Calibri" w:hAnsi="Cambria Math" w:cs="Cambria Math"/>
                    </w:rPr>
                    <m:t>(</m:t>
                  </m:r>
                  <m:sSub>
                    <m:sSubPr>
                      <m:ctrlPr>
                        <w:rPr>
                          <w:rFonts w:ascii="Cambria Math" w:eastAsia="Calibri" w:hAnsi="Cambria Math" w:cs="Cambria Math"/>
                          <w:bCs/>
                          <w:i/>
                        </w:rPr>
                      </m:ctrlPr>
                    </m:sSubPr>
                    <m:e>
                      <m:r>
                        <w:rPr>
                          <w:rFonts w:ascii="Cambria Math" w:eastAsia="Calibri" w:hAnsi="Cambria Math" w:cs="Cambria Math"/>
                        </w:rPr>
                        <m:t>T</m:t>
                      </m:r>
                    </m:e>
                    <m:sub>
                      <m:r>
                        <w:rPr>
                          <w:rFonts w:ascii="Cambria Math" w:eastAsia="Calibri" w:hAnsi="Cambria Math" w:cs="Cambria Math"/>
                        </w:rPr>
                        <m:t>i</m:t>
                      </m:r>
                    </m:sub>
                  </m:sSub>
                  <m:r>
                    <w:rPr>
                      <w:rFonts w:ascii="Cambria Math" w:eastAsia="Calibri" w:hAnsi="Cambria Math" w:cs="Cambria Math"/>
                    </w:rPr>
                    <m:t>-</m:t>
                  </m:r>
                  <m:acc>
                    <m:accPr>
                      <m:chr m:val="̅"/>
                      <m:ctrlPr>
                        <w:rPr>
                          <w:rFonts w:ascii="Cambria Math" w:eastAsia="Calibri" w:hAnsi="Cambria Math" w:cs="Cambria Math"/>
                          <w:bCs/>
                          <w:i/>
                        </w:rPr>
                      </m:ctrlPr>
                    </m:accPr>
                    <m:e>
                      <m:r>
                        <w:rPr>
                          <w:rFonts w:ascii="Cambria Math" w:eastAsia="Calibri" w:hAnsi="Cambria Math" w:cs="Cambria Math"/>
                        </w:rPr>
                        <m:t>T</m:t>
                      </m:r>
                    </m:e>
                  </m:acc>
                  <m:r>
                    <w:rPr>
                      <w:rFonts w:ascii="Cambria Math" w:eastAsia="Calibri" w:hAnsi="Cambria Math" w:cs="Cambria Math"/>
                    </w:rPr>
                    <m:t>)</m:t>
                  </m:r>
                </m:e>
                <m:sup>
                  <m:r>
                    <w:rPr>
                      <w:rFonts w:ascii="Cambria Math" w:eastAsia="Calibri" w:hAnsi="Cambria Math" w:cs="Cambria Math"/>
                    </w:rPr>
                    <m:t>2</m:t>
                  </m:r>
                </m:sup>
              </m:sSup>
            </m:e>
          </m:nary>
          <m:r>
            <w:rPr>
              <w:rFonts w:ascii="Cambria Math" w:eastAsia="Calibri" w:hAnsi="Cambria Math" w:cs="Cambria Math"/>
            </w:rPr>
            <m:t>,</m:t>
          </m:r>
        </m:oMath>
      </m:oMathPara>
    </w:p>
    <w:p w14:paraId="78CB2238" w14:textId="527AF354" w:rsidR="000C4611" w:rsidRPr="00B6223F" w:rsidRDefault="000C4611" w:rsidP="000C4611">
      <w:pPr>
        <w:ind w:left="1080"/>
        <w:jc w:val="center"/>
        <w:rPr>
          <w:rFonts w:cstheme="minorHAnsi"/>
          <w:bCs/>
        </w:rPr>
      </w:pPr>
    </w:p>
    <w:p w14:paraId="4D148A12" w14:textId="36A6FFF7" w:rsidR="000C4611" w:rsidRDefault="000C4611" w:rsidP="000C4611">
      <w:pPr>
        <w:rPr>
          <w:rFonts w:cstheme="minorHAnsi"/>
          <w:bCs/>
        </w:rPr>
      </w:pPr>
      <w:proofErr w:type="gramStart"/>
      <w:r w:rsidRPr="00B6223F">
        <w:rPr>
          <w:rFonts w:cstheme="minorHAnsi"/>
          <w:bCs/>
        </w:rPr>
        <w:t>where</w:t>
      </w:r>
      <w:proofErr w:type="gramEnd"/>
      <w:r w:rsidRPr="00B6223F">
        <w:rPr>
          <w:rFonts w:cstheme="minorHAnsi"/>
          <w:bCs/>
        </w:rPr>
        <w:t xml:space="preserve"> </w:t>
      </w:r>
    </w:p>
    <w:p w14:paraId="2801B174" w14:textId="4E1E4961" w:rsidR="000C4611" w:rsidRPr="00B6223F" w:rsidRDefault="000C4611" w:rsidP="000C4611">
      <w:pPr>
        <w:jc w:val="center"/>
        <w:rPr>
          <w:rFonts w:cstheme="minorHAnsi"/>
          <w:bCs/>
        </w:rPr>
      </w:pPr>
      <w:r>
        <w:rPr>
          <w:rFonts w:cstheme="minorHAnsi"/>
          <w:bCs/>
        </w:rPr>
        <w:t xml:space="preserve">     </w:t>
      </w:r>
      <w:r w:rsidR="00144462" w:rsidRPr="004C5689">
        <w:rPr>
          <w:rFonts w:ascii="Calibri" w:eastAsia="Calibri" w:hAnsi="Calibri" w:cs="Calibri"/>
          <w:bCs/>
        </w:rPr>
        <w:t xml:space="preserve"> </w:t>
      </w:r>
      <m:oMath>
        <m:acc>
          <m:accPr>
            <m:chr m:val="̅"/>
            <m:ctrlPr>
              <w:rPr>
                <w:rFonts w:ascii="Cambria Math" w:eastAsia="Calibri" w:hAnsi="Cambria Math" w:cs="Calibri"/>
                <w:bCs/>
                <w:i/>
              </w:rPr>
            </m:ctrlPr>
          </m:accPr>
          <m:e>
            <m:r>
              <w:rPr>
                <w:rFonts w:ascii="Cambria Math" w:eastAsia="Calibri" w:hAnsi="Cambria Math" w:cs="Calibri"/>
              </w:rPr>
              <m:t>T</m:t>
            </m:r>
          </m:e>
        </m:acc>
      </m:oMath>
      <w:r w:rsidR="00144462" w:rsidRPr="004C5689">
        <w:rPr>
          <w:rFonts w:ascii="Calibri" w:eastAsia="MS Mincho" w:hAnsi="Calibri" w:cs="Calibri"/>
          <w:bCs/>
        </w:rPr>
        <w:t xml:space="preserve"> = </w:t>
      </w:r>
      <w:r w:rsidR="00144462" w:rsidRPr="004C5689">
        <w:rPr>
          <w:rFonts w:ascii="Calibri" w:eastAsia="MS Mincho" w:hAnsi="Calibri" w:cs="Calibri"/>
          <w:bCs/>
        </w:rPr>
        <w:sym w:font="Symbol" w:char="F053"/>
      </w:r>
      <w:r w:rsidR="00144462" w:rsidRPr="004C5689">
        <w:rPr>
          <w:rFonts w:ascii="Calibri" w:eastAsia="MS Mincho" w:hAnsi="Calibri" w:cs="Calibri"/>
          <w:bCs/>
        </w:rPr>
        <w:t xml:space="preserve"> </w:t>
      </w:r>
      <w:proofErr w:type="spellStart"/>
      <w:proofErr w:type="gramStart"/>
      <w:r w:rsidR="00144462" w:rsidRPr="004C5689">
        <w:rPr>
          <w:rFonts w:ascii="Calibri" w:eastAsia="Calibri" w:hAnsi="Calibri" w:cs="Calibri"/>
          <w:bCs/>
          <w:i/>
        </w:rPr>
        <w:t>n</w:t>
      </w:r>
      <w:r w:rsidR="00144462" w:rsidRPr="004C5689">
        <w:rPr>
          <w:rFonts w:ascii="Calibri" w:eastAsia="Calibri" w:hAnsi="Calibri" w:cs="Calibri"/>
          <w:bCs/>
          <w:vertAlign w:val="subscript"/>
        </w:rPr>
        <w:t>i</w:t>
      </w:r>
      <w:proofErr w:type="spellEnd"/>
      <w:proofErr w:type="gramEnd"/>
      <w:r w:rsidR="00144462" w:rsidRPr="004C5689">
        <w:rPr>
          <w:rFonts w:ascii="Calibri" w:eastAsia="Calibri" w:hAnsi="Calibri" w:cs="Calibri"/>
          <w:bCs/>
          <w:vertAlign w:val="subscript"/>
        </w:rPr>
        <w:t xml:space="preserve"> </w:t>
      </w:r>
      <w:proofErr w:type="spellStart"/>
      <w:r w:rsidR="00144462" w:rsidRPr="004C5689">
        <w:rPr>
          <w:rFonts w:ascii="Calibri" w:eastAsia="Arial Unicode MS" w:hAnsi="Calibri" w:cs="Arial Unicode MS"/>
          <w:bCs/>
          <w:i/>
        </w:rPr>
        <w:t>T</w:t>
      </w:r>
      <w:r w:rsidR="00144462" w:rsidRPr="004C5689">
        <w:rPr>
          <w:rFonts w:ascii="Calibri" w:eastAsia="Arial Unicode MS" w:hAnsi="Calibri" w:cs="Arial Unicode MS"/>
          <w:bCs/>
          <w:vertAlign w:val="subscript"/>
        </w:rPr>
        <w:t>i</w:t>
      </w:r>
      <w:proofErr w:type="spellEnd"/>
      <w:r w:rsidR="00144462" w:rsidRPr="004C5689">
        <w:rPr>
          <w:rFonts w:ascii="Calibri" w:eastAsia="Arial Unicode MS" w:hAnsi="Calibri" w:cs="Arial Unicode MS"/>
          <w:bCs/>
          <w:vertAlign w:val="subscript"/>
        </w:rPr>
        <w:t xml:space="preserve"> / </w:t>
      </w:r>
      <w:r w:rsidR="00144462" w:rsidRPr="004C5689">
        <w:rPr>
          <w:rFonts w:ascii="Calibri" w:eastAsia="MS Mincho" w:hAnsi="Calibri" w:cs="Calibri"/>
          <w:bCs/>
        </w:rPr>
        <w:sym w:font="Symbol" w:char="F053"/>
      </w:r>
      <w:r w:rsidR="00144462" w:rsidRPr="004C5689">
        <w:rPr>
          <w:rFonts w:ascii="Calibri" w:eastAsia="MS Mincho" w:hAnsi="Calibri" w:cs="Calibri"/>
          <w:bCs/>
        </w:rPr>
        <w:t xml:space="preserve"> </w:t>
      </w:r>
      <w:proofErr w:type="spellStart"/>
      <w:r w:rsidR="00144462" w:rsidRPr="004C5689">
        <w:rPr>
          <w:rFonts w:ascii="Calibri" w:eastAsia="Calibri" w:hAnsi="Calibri" w:cs="Calibri"/>
          <w:bCs/>
          <w:i/>
        </w:rPr>
        <w:t>n</w:t>
      </w:r>
      <w:r w:rsidR="00144462" w:rsidRPr="004C5689">
        <w:rPr>
          <w:rFonts w:ascii="Calibri" w:eastAsia="Calibri" w:hAnsi="Calibri" w:cs="Calibri"/>
          <w:bCs/>
          <w:vertAlign w:val="subscript"/>
        </w:rPr>
        <w:t>i</w:t>
      </w:r>
      <w:proofErr w:type="spellEnd"/>
    </w:p>
    <w:p w14:paraId="64016B9B" w14:textId="77777777" w:rsidR="000C4611" w:rsidRPr="00B6223F" w:rsidRDefault="000C4611" w:rsidP="000C4611">
      <w:pPr>
        <w:ind w:left="1080"/>
        <w:rPr>
          <w:rFonts w:cstheme="minorHAnsi"/>
          <w:bCs/>
        </w:rPr>
      </w:pPr>
    </w:p>
    <w:p w14:paraId="258A098E" w14:textId="77777777" w:rsidR="000C4611" w:rsidRPr="00B6223F" w:rsidRDefault="000C4611" w:rsidP="000C4611">
      <w:pPr>
        <w:rPr>
          <w:rFonts w:cstheme="minorHAnsi"/>
          <w:bCs/>
        </w:rPr>
      </w:pPr>
      <w:proofErr w:type="gramStart"/>
      <w:r w:rsidRPr="00B6223F">
        <w:rPr>
          <w:rFonts w:cstheme="minorHAnsi"/>
          <w:bCs/>
        </w:rPr>
        <w:t>is</w:t>
      </w:r>
      <w:proofErr w:type="gramEnd"/>
      <w:r w:rsidRPr="00B6223F">
        <w:rPr>
          <w:rFonts w:cstheme="minorHAnsi"/>
          <w:bCs/>
        </w:rPr>
        <w:t xml:space="preserve"> the weighted mean of the observed SRR and</w:t>
      </w:r>
    </w:p>
    <w:p w14:paraId="64E7C61B" w14:textId="77777777" w:rsidR="00144462" w:rsidRPr="004C5689" w:rsidRDefault="00144462" w:rsidP="00144462">
      <w:pPr>
        <w:rPr>
          <w:rFonts w:ascii="Calibri" w:eastAsia="Calibri" w:hAnsi="Calibri" w:cs="Calibri"/>
          <w:bCs/>
        </w:rPr>
      </w:pPr>
      <m:oMathPara>
        <m:oMath>
          <m:r>
            <w:rPr>
              <w:rFonts w:ascii="Cambria Math" w:eastAsia="Calibri" w:hAnsi="Cambria Math" w:cs="Calibri"/>
            </w:rPr>
            <m:t>n'=</m:t>
          </m:r>
          <m:f>
            <m:fPr>
              <m:type m:val="lin"/>
              <m:ctrlPr>
                <w:rPr>
                  <w:rFonts w:ascii="Cambria Math" w:eastAsia="Calibri" w:hAnsi="Cambria Math" w:cs="Calibri"/>
                  <w:bCs/>
                  <w:i/>
                </w:rPr>
              </m:ctrlPr>
            </m:fPr>
            <m:num>
              <m:f>
                <m:fPr>
                  <m:ctrlPr>
                    <w:rPr>
                      <w:rFonts w:ascii="Cambria Math" w:eastAsia="Calibri" w:hAnsi="Cambria Math" w:cs="Cambria Math"/>
                      <w:bCs/>
                    </w:rPr>
                  </m:ctrlPr>
                </m:fPr>
                <m:num>
                  <m:r>
                    <w:rPr>
                      <w:rFonts w:ascii="Cambria Math" w:eastAsia="Calibri" w:hAnsi="Cambria Math" w:cs="Cambria Math"/>
                    </w:rPr>
                    <m:t>1</m:t>
                  </m:r>
                </m:num>
                <m:den>
                  <m:r>
                    <w:rPr>
                      <w:rFonts w:ascii="Cambria Math" w:eastAsia="Calibri" w:hAnsi="Cambria Math" w:cs="Times New Roman"/>
                    </w:rPr>
                    <m:t>N-1</m:t>
                  </m:r>
                </m:den>
              </m:f>
              <m:r>
                <w:rPr>
                  <w:rFonts w:ascii="Cambria Math" w:eastAsia="Calibri" w:hAnsi="Cambria Math" w:cs="Cambria Math"/>
                </w:rPr>
                <m:t xml:space="preserve"> </m:t>
              </m:r>
              <m:r>
                <m:rPr>
                  <m:sty m:val="p"/>
                </m:rPr>
                <w:rPr>
                  <w:rFonts w:ascii="Cambria Math" w:eastAsia="Calibri" w:hAnsi="Cambria Math" w:cs="Cambria Math"/>
                </w:rPr>
                <m:t>(</m:t>
              </m:r>
              <m:nary>
                <m:naryPr>
                  <m:chr m:val="∑"/>
                  <m:limLoc m:val="undOvr"/>
                  <m:subHide m:val="1"/>
                  <m:supHide m:val="1"/>
                  <m:ctrlPr>
                    <w:rPr>
                      <w:rFonts w:ascii="Cambria Math" w:eastAsia="Calibri" w:hAnsi="Cambria Math" w:cs="Calibri"/>
                      <w:bCs/>
                      <w:i/>
                    </w:rPr>
                  </m:ctrlPr>
                </m:naryPr>
                <m:sub/>
                <m:sup/>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e>
              </m:nary>
              <m:r>
                <w:rPr>
                  <w:rFonts w:ascii="Cambria Math" w:eastAsia="Calibri" w:hAnsi="Cambria Math" w:cs="Calibri"/>
                </w:rPr>
                <m:t>-</m:t>
              </m:r>
              <m:nary>
                <m:naryPr>
                  <m:chr m:val="∑"/>
                  <m:limLoc m:val="undOvr"/>
                  <m:subHide m:val="1"/>
                  <m:supHide m:val="1"/>
                  <m:ctrlPr>
                    <w:rPr>
                      <w:rFonts w:ascii="Cambria Math" w:eastAsia="Calibri" w:hAnsi="Cambria Math" w:cs="Calibri"/>
                      <w:bCs/>
                      <w:i/>
                    </w:rPr>
                  </m:ctrlPr>
                </m:naryPr>
                <m:sub/>
                <m:sup/>
                <m:e>
                  <m:sSubSup>
                    <m:sSubSupPr>
                      <m:ctrlPr>
                        <w:rPr>
                          <w:rFonts w:ascii="Cambria Math" w:eastAsia="Calibri" w:hAnsi="Cambria Math" w:cs="Cambria Math"/>
                          <w:bCs/>
                          <w:i/>
                        </w:rPr>
                      </m:ctrlPr>
                    </m:sSubSupPr>
                    <m:e>
                      <m:r>
                        <w:rPr>
                          <w:rFonts w:ascii="Cambria Math" w:eastAsia="Calibri" w:hAnsi="Cambria Math" w:cs="Cambria Math"/>
                        </w:rPr>
                        <m:t>n</m:t>
                      </m:r>
                    </m:e>
                    <m:sub>
                      <m:r>
                        <w:rPr>
                          <w:rFonts w:ascii="Cambria Math" w:eastAsia="Calibri" w:hAnsi="Cambria Math" w:cs="Cambria Math"/>
                        </w:rPr>
                        <m:t>i</m:t>
                      </m:r>
                    </m:sub>
                    <m:sup>
                      <m:r>
                        <w:rPr>
                          <w:rFonts w:ascii="Cambria Math" w:eastAsia="Calibri" w:hAnsi="Cambria Math" w:cs="Cambria Math"/>
                        </w:rPr>
                        <m:t>2</m:t>
                      </m:r>
                    </m:sup>
                  </m:sSubSup>
                </m:e>
              </m:nary>
            </m:num>
            <m:den>
              <m:nary>
                <m:naryPr>
                  <m:chr m:val="∑"/>
                  <m:limLoc m:val="undOvr"/>
                  <m:subHide m:val="1"/>
                  <m:supHide m:val="1"/>
                  <m:ctrlPr>
                    <w:rPr>
                      <w:rFonts w:ascii="Cambria Math" w:eastAsia="Calibri" w:hAnsi="Cambria Math" w:cs="Calibri"/>
                      <w:bCs/>
                      <w:i/>
                    </w:rPr>
                  </m:ctrlPr>
                </m:naryPr>
                <m:sub/>
                <m:sup/>
                <m:e>
                  <m:sSub>
                    <m:sSubPr>
                      <m:ctrlPr>
                        <w:rPr>
                          <w:rFonts w:ascii="Cambria Math" w:eastAsia="Calibri" w:hAnsi="Cambria Math" w:cs="Calibri"/>
                          <w:bCs/>
                          <w:i/>
                        </w:rPr>
                      </m:ctrlPr>
                    </m:sSubPr>
                    <m:e>
                      <m:r>
                        <w:rPr>
                          <w:rFonts w:ascii="Cambria Math" w:eastAsia="Calibri" w:hAnsi="Cambria Math" w:cs="Calibri"/>
                        </w:rPr>
                        <m:t>n</m:t>
                      </m:r>
                    </m:e>
                    <m:sub>
                      <m:r>
                        <w:rPr>
                          <w:rFonts w:ascii="Cambria Math" w:eastAsia="Calibri" w:hAnsi="Cambria Math" w:cs="Calibri"/>
                        </w:rPr>
                        <m:t>i</m:t>
                      </m:r>
                    </m:sub>
                  </m:sSub>
                </m:e>
              </m:nary>
            </m:den>
          </m:f>
          <m:r>
            <m:rPr>
              <m:sty m:val="p"/>
            </m:rPr>
            <w:rPr>
              <w:rFonts w:ascii="Cambria Math" w:eastAsia="Calibri" w:hAnsi="Cambria Math" w:cs="Cambria Math"/>
            </w:rPr>
            <m:t>)</m:t>
          </m:r>
        </m:oMath>
      </m:oMathPara>
    </w:p>
    <w:p w14:paraId="624857F8" w14:textId="77777777" w:rsidR="000C4611" w:rsidRPr="00B6223F" w:rsidRDefault="000C4611" w:rsidP="000C4611">
      <w:pPr>
        <w:ind w:left="1080"/>
        <w:rPr>
          <w:rFonts w:cstheme="minorHAnsi"/>
          <w:bCs/>
        </w:rPr>
      </w:pPr>
    </w:p>
    <w:p w14:paraId="16154803" w14:textId="77777777" w:rsidR="00144462" w:rsidRPr="004C5689" w:rsidRDefault="000C4611" w:rsidP="00144462">
      <w:pPr>
        <w:rPr>
          <w:rFonts w:ascii="Calibri" w:eastAsia="Calibri" w:hAnsi="Calibri" w:cs="Calibri"/>
          <w:bCs/>
        </w:rPr>
      </w:pPr>
      <w:proofErr w:type="gramStart"/>
      <w:r w:rsidRPr="00B6223F">
        <w:rPr>
          <w:rFonts w:cstheme="minorHAnsi"/>
          <w:bCs/>
        </w:rPr>
        <w:t>is</w:t>
      </w:r>
      <w:proofErr w:type="gramEnd"/>
      <w:r w:rsidRPr="00B6223F">
        <w:rPr>
          <w:rFonts w:cstheme="minorHAnsi"/>
          <w:bCs/>
        </w:rPr>
        <w:t xml:space="preserve"> approximately the average facility size (number of patients per facility). Note that</w:t>
      </w:r>
      <m:oMath>
        <m:r>
          <w:rPr>
            <w:rFonts w:ascii="Cambria Math" w:hAnsi="Cambria Math" w:cs="Cambria Math"/>
          </w:rPr>
          <m:t xml:space="preserve"> </m:t>
        </m:r>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oMath>
      <w:r w:rsidRPr="00B6223F">
        <w:rPr>
          <w:rFonts w:cstheme="minorHAnsi"/>
          <w:bCs/>
        </w:rPr>
        <w:t xml:space="preserve"> is an estimate of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oMath>
      <w:r w:rsidRPr="00B6223F">
        <w:rPr>
          <w:rFonts w:cstheme="minorHAnsi"/>
          <w:bCs/>
        </w:rPr>
        <w:t>wher</w:t>
      </w:r>
      <w:r>
        <w:rPr>
          <w:rFonts w:cstheme="minorHAnsi"/>
          <w:bCs/>
        </w:rPr>
        <w:t xml:space="preserve">e </w:t>
      </w:r>
      <w:r w:rsidR="00144462" w:rsidRPr="004C5689">
        <w:rPr>
          <w:rFonts w:ascii="Calibri" w:eastAsia="Calibri" w:hAnsi="Calibri" w:cs="Calibri"/>
          <w:bCs/>
        </w:rPr>
        <w:t xml:space="preserve">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oMath>
      <w:r w:rsidRPr="00B6223F">
        <w:rPr>
          <w:rFonts w:cstheme="minorHAnsi"/>
          <w:bCs/>
        </w:rPr>
        <w:t xml:space="preserve"> is the between-facility variance, the true signal reflecting the differences across facilities. </w:t>
      </w:r>
      <w:r w:rsidR="00144462" w:rsidRPr="004C5689">
        <w:rPr>
          <w:rFonts w:ascii="Calibri" w:eastAsia="Calibri" w:hAnsi="Calibri" w:cs="Calibri"/>
          <w:bCs/>
        </w:rPr>
        <w:t xml:space="preserve">Thus, the IUR =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oMath>
      <w:r w:rsidR="00144462" w:rsidRPr="004C5689">
        <w:rPr>
          <w:rFonts w:ascii="Calibri" w:eastAsia="Calibri" w:hAnsi="Calibri" w:cs="Calibri"/>
          <w:bCs/>
        </w:rPr>
        <w:t>/ (</w:t>
      </w:r>
      <m:oMath>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b</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σ</m:t>
            </m:r>
          </m:e>
          <m:sub>
            <m:r>
              <w:rPr>
                <w:rFonts w:ascii="Cambria Math" w:eastAsia="Calibri" w:hAnsi="Cambria Math" w:cs="Cambria Math"/>
              </w:rPr>
              <m:t>t, w</m:t>
            </m:r>
          </m:sub>
          <m:sup>
            <m:r>
              <w:rPr>
                <w:rFonts w:ascii="Cambria Math" w:eastAsia="Calibri" w:hAnsi="Cambria Math" w:cs="Cambria Math"/>
              </w:rPr>
              <m:t>2</m:t>
            </m:r>
          </m:sup>
        </m:sSubSup>
      </m:oMath>
      <w:r w:rsidR="00144462" w:rsidRPr="004C5689">
        <w:rPr>
          <w:rFonts w:ascii="Calibri" w:eastAsia="Calibri" w:hAnsi="Calibri" w:cs="Calibri"/>
          <w:bCs/>
        </w:rPr>
        <w:t xml:space="preserve">) can be estimated </w:t>
      </w:r>
      <w:proofErr w:type="gramStart"/>
      <w:r w:rsidR="00144462" w:rsidRPr="004C5689">
        <w:rPr>
          <w:rFonts w:ascii="Calibri" w:eastAsia="Calibri" w:hAnsi="Calibri" w:cs="Calibri"/>
          <w:bCs/>
        </w:rPr>
        <w:t xml:space="preserve">by </w:t>
      </w:r>
      <w:proofErr w:type="gramEnd"/>
      <m:oMath>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 w</m:t>
            </m:r>
          </m:sub>
          <m:sup>
            <m:r>
              <w:rPr>
                <w:rFonts w:ascii="Cambria Math" w:eastAsia="Calibri" w:hAnsi="Cambria Math" w:cs="Cambria Math"/>
              </w:rPr>
              <m:t>2</m:t>
            </m:r>
          </m:sup>
        </m:sSubSup>
        <m:r>
          <w:rPr>
            <w:rFonts w:ascii="Cambria Math" w:eastAsia="Calibri" w:hAnsi="Cambria Math" w:cs="Cambria Math"/>
          </w:rPr>
          <m:t>)/</m:t>
        </m:r>
        <m:sSubSup>
          <m:sSubSupPr>
            <m:ctrlPr>
              <w:rPr>
                <w:rFonts w:ascii="Cambria Math" w:eastAsia="Calibri" w:hAnsi="Cambria Math" w:cs="Cambria Math"/>
                <w:bCs/>
                <w:i/>
              </w:rPr>
            </m:ctrlPr>
          </m:sSubSupPr>
          <m:e>
            <m:r>
              <w:rPr>
                <w:rFonts w:ascii="Cambria Math" w:eastAsia="Calibri" w:hAnsi="Cambria Math" w:cs="Cambria Math"/>
              </w:rPr>
              <m:t>s</m:t>
            </m:r>
          </m:e>
          <m:sub>
            <m:r>
              <w:rPr>
                <w:rFonts w:ascii="Cambria Math" w:eastAsia="Calibri" w:hAnsi="Cambria Math" w:cs="Cambria Math"/>
              </w:rPr>
              <m:t>t</m:t>
            </m:r>
          </m:sub>
          <m:sup>
            <m:r>
              <w:rPr>
                <w:rFonts w:ascii="Cambria Math" w:eastAsia="Calibri" w:hAnsi="Cambria Math" w:cs="Cambria Math"/>
              </w:rPr>
              <m:t>2</m:t>
            </m:r>
          </m:sup>
        </m:sSubSup>
      </m:oMath>
      <w:r w:rsidR="00144462" w:rsidRPr="004C5689">
        <w:rPr>
          <w:rFonts w:ascii="Calibri" w:eastAsia="Calibri" w:hAnsi="Calibri" w:cs="Calibri"/>
          <w:bCs/>
        </w:rPr>
        <w:t>.</w:t>
      </w:r>
    </w:p>
    <w:p w14:paraId="0C63A60E" w14:textId="4985337E" w:rsidR="000C4611" w:rsidRDefault="000C4611" w:rsidP="000C4611">
      <w:pPr>
        <w:rPr>
          <w:rFonts w:cstheme="minorHAnsi"/>
          <w:bCs/>
        </w:rPr>
      </w:pPr>
    </w:p>
    <w:p w14:paraId="03807925" w14:textId="77777777" w:rsidR="000C4611" w:rsidRDefault="000C4611" w:rsidP="000C4611">
      <w:pPr>
        <w:pStyle w:val="Default"/>
      </w:pPr>
    </w:p>
    <w:p w14:paraId="1E9E5F23" w14:textId="3CB47C9C" w:rsidR="000C4611" w:rsidRDefault="000C4611" w:rsidP="007D668C">
      <w:pPr>
        <w:autoSpaceDE w:val="0"/>
        <w:autoSpaceDN w:val="0"/>
        <w:adjustRightInd w:val="0"/>
        <w:spacing w:after="0" w:line="240" w:lineRule="auto"/>
      </w:pPr>
    </w:p>
    <w:p w14:paraId="124440BE" w14:textId="77777777" w:rsidR="005A2217" w:rsidRDefault="000C4611" w:rsidP="005A2217">
      <w:pPr>
        <w:rPr>
          <w:b/>
          <w:color w:val="C00000"/>
          <w:u w:val="single"/>
        </w:rPr>
      </w:pPr>
      <w:r w:rsidRPr="00EB32C4">
        <w:rPr>
          <w:b/>
          <w:color w:val="C00000"/>
          <w:u w:val="single"/>
        </w:rPr>
        <w:t>2019 Submission</w:t>
      </w:r>
    </w:p>
    <w:p w14:paraId="5A443FF2" w14:textId="614EC729" w:rsidR="00356D01" w:rsidRPr="007931FC" w:rsidRDefault="00356D01" w:rsidP="00356D01">
      <w:pPr>
        <w:rPr>
          <w:color w:val="C00000"/>
        </w:rPr>
      </w:pPr>
      <w:r w:rsidRPr="002F69F4">
        <w:rPr>
          <w:rFonts w:eastAsia="SimSun"/>
          <w:color w:val="C00000"/>
        </w:rPr>
        <w:t xml:space="preserve">The methodology described </w:t>
      </w:r>
      <w:r>
        <w:rPr>
          <w:rFonts w:eastAsia="SimSun"/>
          <w:color w:val="C00000"/>
        </w:rPr>
        <w:t>above</w:t>
      </w:r>
      <w:r w:rsidR="00E05A80">
        <w:rPr>
          <w:rFonts w:eastAsia="SimSun"/>
          <w:color w:val="C00000"/>
        </w:rPr>
        <w:t xml:space="preserve"> [3]</w:t>
      </w:r>
      <w:r w:rsidR="00536464">
        <w:rPr>
          <w:rFonts w:eastAsia="SimSun"/>
          <w:color w:val="C00000"/>
        </w:rPr>
        <w:t xml:space="preserve"> </w:t>
      </w:r>
      <w:r>
        <w:rPr>
          <w:rFonts w:eastAsia="SimSun"/>
          <w:color w:val="C00000"/>
        </w:rPr>
        <w:t xml:space="preserve">has been applied to the IUR calculation </w:t>
      </w:r>
      <w:r w:rsidRPr="002F69F4">
        <w:rPr>
          <w:rFonts w:eastAsia="SimSun"/>
          <w:color w:val="C00000"/>
        </w:rPr>
        <w:t>for this submission</w:t>
      </w:r>
      <w:r w:rsidRPr="003B445D">
        <w:rPr>
          <w:color w:val="C00000"/>
        </w:rPr>
        <w:t xml:space="preserve">. </w:t>
      </w:r>
      <w:r w:rsidRPr="007931FC">
        <w:rPr>
          <w:color w:val="C00000"/>
        </w:rPr>
        <w:t>To assess more directly the value of S</w:t>
      </w:r>
      <w:r>
        <w:rPr>
          <w:color w:val="C00000"/>
        </w:rPr>
        <w:t>RR</w:t>
      </w:r>
      <w:r w:rsidRPr="007931FC">
        <w:rPr>
          <w:color w:val="C00000"/>
        </w:rPr>
        <w:t xml:space="preserve"> in identifying facilities with extreme outcomes, we also computed an additional metric of reliability</w:t>
      </w:r>
      <w:r>
        <w:rPr>
          <w:color w:val="C00000"/>
        </w:rPr>
        <w:t xml:space="preserve">, </w:t>
      </w:r>
      <w:r w:rsidRPr="007931FC">
        <w:rPr>
          <w:color w:val="C00000"/>
        </w:rPr>
        <w:t>termed the profile IUR (PIUR)</w:t>
      </w:r>
      <w:r w:rsidR="00E05A80">
        <w:rPr>
          <w:color w:val="C00000"/>
        </w:rPr>
        <w:t xml:space="preserve"> [1].</w:t>
      </w:r>
      <w:r w:rsidRPr="007931FC">
        <w:rPr>
          <w:color w:val="C00000"/>
        </w:rPr>
        <w:t xml:space="preserve"> </w:t>
      </w:r>
      <w:r>
        <w:rPr>
          <w:color w:val="C00000"/>
        </w:rPr>
        <w:t>The PIUR was developed since the IUR can be quite small if there are many facilities which have outcomes similar to the national norm, even though the measure is still very useful to identify facilities with extreme outcomes</w:t>
      </w:r>
      <w:r w:rsidR="00E05A80">
        <w:rPr>
          <w:color w:val="C00000"/>
        </w:rPr>
        <w:t xml:space="preserve"> [2]. </w:t>
      </w:r>
      <w:r>
        <w:rPr>
          <w:color w:val="C00000"/>
        </w:rPr>
        <w:t xml:space="preserve">The PIUR is </w:t>
      </w:r>
      <w:proofErr w:type="gramStart"/>
      <w:r w:rsidR="00131F17">
        <w:rPr>
          <w:color w:val="C00000"/>
        </w:rPr>
        <w:t>based  on</w:t>
      </w:r>
      <w:proofErr w:type="gramEnd"/>
      <w:r w:rsidR="00131F17">
        <w:rPr>
          <w:color w:val="C00000"/>
        </w:rPr>
        <w:t xml:space="preserve"> the measure’s ability to consistently flag the same facilities</w:t>
      </w:r>
      <w:r>
        <w:rPr>
          <w:color w:val="C00000"/>
        </w:rPr>
        <w:t xml:space="preserve">. </w:t>
      </w:r>
      <w:r w:rsidRPr="007931FC">
        <w:rPr>
          <w:color w:val="C00000"/>
        </w:rPr>
        <w:t xml:space="preserve">We proceed in two steps: first, we evaluate the ability of a measure to consistently profile facilities with extreme outcomes; second, we use the IUR to calibrate PIUR. Specifically, we consider a sample-splitting approach: </w:t>
      </w:r>
      <w:r>
        <w:rPr>
          <w:color w:val="C00000"/>
        </w:rPr>
        <w:t>within each facility r</w:t>
      </w:r>
      <w:r w:rsidRPr="007931FC">
        <w:rPr>
          <w:color w:val="C00000"/>
        </w:rPr>
        <w:t xml:space="preserve">andomly </w:t>
      </w:r>
      <w:r>
        <w:rPr>
          <w:color w:val="C00000"/>
        </w:rPr>
        <w:t>split</w:t>
      </w:r>
      <w:r w:rsidRPr="007931FC">
        <w:rPr>
          <w:color w:val="C00000"/>
        </w:rPr>
        <w:t xml:space="preserve"> patients into two equal-sized subgroups. For a given threshold</w:t>
      </w:r>
      <w:r>
        <w:rPr>
          <w:color w:val="C00000"/>
        </w:rPr>
        <w:t xml:space="preserve"> (e.g. p-value or</w:t>
      </w:r>
      <w:r w:rsidR="00131F17">
        <w:rPr>
          <w:color w:val="C00000"/>
        </w:rPr>
        <w:t xml:space="preserve"> z-score in a hypothesis testing procedure</w:t>
      </w:r>
      <w:r>
        <w:rPr>
          <w:color w:val="C00000"/>
        </w:rPr>
        <w:t>)</w:t>
      </w:r>
      <w:r w:rsidRPr="007931FC">
        <w:rPr>
          <w:color w:val="C00000"/>
        </w:rPr>
        <w:t xml:space="preserve">, determine whether </w:t>
      </w:r>
      <w:r w:rsidR="00131F17">
        <w:rPr>
          <w:color w:val="C00000"/>
        </w:rPr>
        <w:t>each</w:t>
      </w:r>
      <w:r w:rsidR="00131F17" w:rsidRPr="007931FC">
        <w:rPr>
          <w:color w:val="C00000"/>
        </w:rPr>
        <w:t xml:space="preserve"> </w:t>
      </w:r>
      <w:r w:rsidRPr="007931FC">
        <w:rPr>
          <w:color w:val="C00000"/>
        </w:rPr>
        <w:t xml:space="preserve">facility is identified as extreme </w:t>
      </w:r>
      <w:r>
        <w:rPr>
          <w:color w:val="C00000"/>
        </w:rPr>
        <w:t>based on</w:t>
      </w:r>
      <w:r w:rsidRPr="007931FC">
        <w:rPr>
          <w:color w:val="C00000"/>
        </w:rPr>
        <w:t xml:space="preserve"> the first and the second subgroups.  Repeat this process 100 times to estimate the probability that</w:t>
      </w:r>
      <w:r>
        <w:rPr>
          <w:color w:val="C00000"/>
        </w:rPr>
        <w:t>,</w:t>
      </w:r>
      <w:r w:rsidRPr="007931FC">
        <w:rPr>
          <w:color w:val="C00000"/>
        </w:rPr>
        <w:t xml:space="preserve"> </w:t>
      </w:r>
      <w:r>
        <w:rPr>
          <w:color w:val="C00000"/>
        </w:rPr>
        <w:t xml:space="preserve">given </w:t>
      </w:r>
      <w:r w:rsidRPr="007931FC">
        <w:rPr>
          <w:color w:val="C00000"/>
        </w:rPr>
        <w:t>a facility</w:t>
      </w:r>
      <w:r>
        <w:rPr>
          <w:color w:val="C00000"/>
        </w:rPr>
        <w:t xml:space="preserve"> </w:t>
      </w:r>
      <w:r w:rsidRPr="00C846B1">
        <w:rPr>
          <w:color w:val="C00000"/>
        </w:rPr>
        <w:t xml:space="preserve">is </w:t>
      </w:r>
      <w:r w:rsidRPr="00471643">
        <w:rPr>
          <w:color w:val="C00000"/>
        </w:rPr>
        <w:t>classified as extreme based on the first subgroup, it is also classified as extreme based on the second subgroup</w:t>
      </w:r>
      <w:r w:rsidRPr="00C846B1">
        <w:rPr>
          <w:color w:val="C00000"/>
        </w:rPr>
        <w:t>.</w:t>
      </w:r>
      <w:r w:rsidRPr="007931FC">
        <w:rPr>
          <w:color w:val="C00000"/>
        </w:rPr>
        <w:t xml:space="preserve"> This empirical reflagging rate is </w:t>
      </w:r>
      <w:r w:rsidR="0064547A">
        <w:rPr>
          <w:color w:val="C00000"/>
        </w:rPr>
        <w:t>calibrated to give the PIUR</w:t>
      </w:r>
      <w:r w:rsidRPr="007931FC">
        <w:rPr>
          <w:color w:val="C00000"/>
        </w:rPr>
        <w:t xml:space="preserve"> b</w:t>
      </w:r>
      <w:r>
        <w:rPr>
          <w:color w:val="C00000"/>
        </w:rPr>
        <w:t>y</w:t>
      </w:r>
      <w:r w:rsidRPr="007931FC">
        <w:rPr>
          <w:color w:val="C00000"/>
        </w:rPr>
        <w:t xml:space="preserve"> determining the IUR</w:t>
      </w:r>
      <w:r>
        <w:rPr>
          <w:color w:val="C00000"/>
        </w:rPr>
        <w:t xml:space="preserve"> value</w:t>
      </w:r>
      <w:r w:rsidRPr="007931FC">
        <w:rPr>
          <w:color w:val="C00000"/>
        </w:rPr>
        <w:t xml:space="preserve"> that would yield this reflagging rate in the absence of outliers</w:t>
      </w:r>
      <w:r>
        <w:rPr>
          <w:color w:val="C00000"/>
        </w:rPr>
        <w:t>.</w:t>
      </w:r>
      <w:r w:rsidRPr="00771971">
        <w:rPr>
          <w:color w:val="C00000"/>
        </w:rPr>
        <w:t xml:space="preserve"> </w:t>
      </w:r>
      <w:r>
        <w:rPr>
          <w:color w:val="C00000"/>
        </w:rPr>
        <w:t xml:space="preserve">The PIUR measures reliability in terms of the probability of reflagging </w:t>
      </w:r>
      <w:r w:rsidR="0064547A">
        <w:rPr>
          <w:color w:val="C00000"/>
        </w:rPr>
        <w:t>rates</w:t>
      </w:r>
      <w:r>
        <w:rPr>
          <w:color w:val="C00000"/>
        </w:rPr>
        <w:t xml:space="preserve"> but is on the same scale as IUR.  </w:t>
      </w:r>
      <w:r w:rsidRPr="007931FC">
        <w:rPr>
          <w:color w:val="C00000"/>
        </w:rPr>
        <w:t xml:space="preserve"> The </w:t>
      </w:r>
      <w:r>
        <w:rPr>
          <w:color w:val="C00000"/>
        </w:rPr>
        <w:t xml:space="preserve">PIUR is substantially larger than </w:t>
      </w:r>
      <w:r w:rsidRPr="007931FC">
        <w:rPr>
          <w:color w:val="C00000"/>
        </w:rPr>
        <w:t xml:space="preserve">the IUR </w:t>
      </w:r>
      <w:r>
        <w:rPr>
          <w:color w:val="C00000"/>
        </w:rPr>
        <w:t>when the data include many outliers or extreme</w:t>
      </w:r>
      <w:r w:rsidR="0064547A">
        <w:rPr>
          <w:color w:val="C00000"/>
        </w:rPr>
        <w:t xml:space="preserve"> values that are</w:t>
      </w:r>
      <w:r w:rsidRPr="00F726A4">
        <w:rPr>
          <w:color w:val="C00000"/>
        </w:rPr>
        <w:t xml:space="preserve"> not captured in the IUR itself.</w:t>
      </w:r>
    </w:p>
    <w:p w14:paraId="07560780" w14:textId="77777777" w:rsidR="00356D01" w:rsidRDefault="00356D01" w:rsidP="00356D01">
      <w:pPr>
        <w:pStyle w:val="ListParagraph"/>
        <w:numPr>
          <w:ilvl w:val="0"/>
          <w:numId w:val="45"/>
        </w:numPr>
        <w:autoSpaceDE w:val="0"/>
        <w:autoSpaceDN w:val="0"/>
        <w:adjustRightInd w:val="0"/>
        <w:spacing w:after="0" w:line="240" w:lineRule="auto"/>
        <w:rPr>
          <w:rFonts w:cstheme="minorHAnsi"/>
          <w:bCs/>
          <w:color w:val="C00000"/>
        </w:rPr>
      </w:pPr>
      <w:r>
        <w:rPr>
          <w:rFonts w:cstheme="minorHAnsi"/>
          <w:bCs/>
          <w:color w:val="C00000"/>
        </w:rPr>
        <w:t xml:space="preserve">He K, </w:t>
      </w:r>
      <w:proofErr w:type="spellStart"/>
      <w:r>
        <w:rPr>
          <w:rFonts w:cstheme="minorHAnsi"/>
          <w:bCs/>
          <w:color w:val="C00000"/>
        </w:rPr>
        <w:t>Dahlerus</w:t>
      </w:r>
      <w:proofErr w:type="spellEnd"/>
      <w:r>
        <w:rPr>
          <w:rFonts w:cstheme="minorHAnsi"/>
          <w:bCs/>
          <w:color w:val="C00000"/>
        </w:rPr>
        <w:t xml:space="preserve"> C, Xia L, Li Y, </w:t>
      </w:r>
      <w:proofErr w:type="spellStart"/>
      <w:r>
        <w:rPr>
          <w:rFonts w:cstheme="minorHAnsi"/>
          <w:bCs/>
          <w:color w:val="C00000"/>
        </w:rPr>
        <w:t>Kalbfleisch</w:t>
      </w:r>
      <w:proofErr w:type="spellEnd"/>
      <w:r>
        <w:rPr>
          <w:rFonts w:cstheme="minorHAnsi"/>
          <w:bCs/>
          <w:color w:val="C00000"/>
        </w:rPr>
        <w:t xml:space="preserve"> JD. The profile inter-unit reliability. Biometrics. 2019 Oct 23. </w:t>
      </w:r>
      <w:proofErr w:type="spellStart"/>
      <w:proofErr w:type="gramStart"/>
      <w:r>
        <w:rPr>
          <w:rFonts w:cstheme="minorHAnsi"/>
          <w:bCs/>
          <w:color w:val="C00000"/>
        </w:rPr>
        <w:t>doi</w:t>
      </w:r>
      <w:proofErr w:type="spellEnd"/>
      <w:proofErr w:type="gramEnd"/>
      <w:r>
        <w:rPr>
          <w:rFonts w:cstheme="minorHAnsi"/>
          <w:bCs/>
          <w:color w:val="C00000"/>
        </w:rPr>
        <w:t>: 10.1111/biom.13167. [</w:t>
      </w:r>
      <w:proofErr w:type="spellStart"/>
      <w:r>
        <w:rPr>
          <w:rFonts w:cstheme="minorHAnsi"/>
          <w:bCs/>
          <w:color w:val="C00000"/>
        </w:rPr>
        <w:t>Epub</w:t>
      </w:r>
      <w:proofErr w:type="spellEnd"/>
      <w:r>
        <w:rPr>
          <w:rFonts w:cstheme="minorHAnsi"/>
          <w:bCs/>
          <w:color w:val="C00000"/>
        </w:rPr>
        <w:t xml:space="preserve"> ahead of print]</w:t>
      </w:r>
    </w:p>
    <w:p w14:paraId="0A6A7226" w14:textId="77777777" w:rsidR="00356D01" w:rsidRDefault="00356D01" w:rsidP="00356D01">
      <w:pPr>
        <w:pStyle w:val="ListParagraph"/>
        <w:autoSpaceDE w:val="0"/>
        <w:autoSpaceDN w:val="0"/>
        <w:adjustRightInd w:val="0"/>
        <w:spacing w:after="0" w:line="240" w:lineRule="auto"/>
        <w:rPr>
          <w:rFonts w:cstheme="minorHAnsi"/>
          <w:bCs/>
          <w:color w:val="C00000"/>
        </w:rPr>
      </w:pPr>
    </w:p>
    <w:p w14:paraId="30A9DB92" w14:textId="77777777" w:rsidR="00356D01" w:rsidRPr="005E75B4" w:rsidRDefault="00356D01" w:rsidP="00356D01">
      <w:pPr>
        <w:pStyle w:val="ListParagraph"/>
        <w:numPr>
          <w:ilvl w:val="0"/>
          <w:numId w:val="45"/>
        </w:numPr>
        <w:autoSpaceDE w:val="0"/>
        <w:autoSpaceDN w:val="0"/>
        <w:adjustRightInd w:val="0"/>
        <w:spacing w:after="0" w:line="240" w:lineRule="auto"/>
        <w:rPr>
          <w:rFonts w:cstheme="minorHAnsi"/>
          <w:bCs/>
          <w:color w:val="C00000"/>
        </w:rPr>
      </w:pPr>
      <w:proofErr w:type="spellStart"/>
      <w:r w:rsidRPr="005E75B4">
        <w:rPr>
          <w:rFonts w:cstheme="minorHAnsi"/>
          <w:bCs/>
          <w:color w:val="C00000"/>
        </w:rPr>
        <w:t>Kalbfleisch</w:t>
      </w:r>
      <w:proofErr w:type="spellEnd"/>
      <w:r w:rsidRPr="005E75B4">
        <w:rPr>
          <w:rFonts w:cstheme="minorHAnsi"/>
          <w:bCs/>
          <w:color w:val="C00000"/>
        </w:rPr>
        <w:t xml:space="preserve"> JD, He K, Xia L, Li Y. Does the inter-unit reliability (IUR) measure reliability</w:t>
      </w:r>
      <w:proofErr w:type="gramStart"/>
      <w:r w:rsidRPr="005E75B4">
        <w:rPr>
          <w:rFonts w:cstheme="minorHAnsi"/>
          <w:bCs/>
          <w:color w:val="C00000"/>
        </w:rPr>
        <w:t>?,</w:t>
      </w:r>
      <w:proofErr w:type="gramEnd"/>
      <w:r w:rsidRPr="005E75B4">
        <w:rPr>
          <w:rFonts w:cstheme="minorHAnsi"/>
          <w:bCs/>
          <w:color w:val="C00000"/>
        </w:rPr>
        <w:t xml:space="preserve"> Health Services and Outcomes Research Methodology, 2018 Sept. 18(3), 215-225.  </w:t>
      </w:r>
      <w:proofErr w:type="spellStart"/>
      <w:r w:rsidRPr="005E75B4">
        <w:rPr>
          <w:rFonts w:cstheme="minorHAnsi"/>
          <w:bCs/>
          <w:color w:val="C00000"/>
        </w:rPr>
        <w:t>Doi</w:t>
      </w:r>
      <w:proofErr w:type="spellEnd"/>
      <w:r w:rsidRPr="005E75B4">
        <w:rPr>
          <w:rFonts w:cstheme="minorHAnsi"/>
          <w:bCs/>
          <w:color w:val="C00000"/>
        </w:rPr>
        <w:t>: 10.1007/s10742-018-0185-4.</w:t>
      </w:r>
    </w:p>
    <w:p w14:paraId="7F59399D" w14:textId="77777777" w:rsidR="00356D01" w:rsidRDefault="00356D01" w:rsidP="00356D01">
      <w:pPr>
        <w:autoSpaceDE w:val="0"/>
        <w:autoSpaceDN w:val="0"/>
        <w:adjustRightInd w:val="0"/>
        <w:spacing w:after="0" w:line="240" w:lineRule="auto"/>
        <w:rPr>
          <w:rFonts w:cstheme="minorHAnsi"/>
          <w:bCs/>
          <w:color w:val="C00000"/>
        </w:rPr>
      </w:pPr>
    </w:p>
    <w:p w14:paraId="1D044A7A" w14:textId="77777777" w:rsidR="00356D01" w:rsidRDefault="00356D01" w:rsidP="00356D01">
      <w:pPr>
        <w:pStyle w:val="ListParagraph"/>
        <w:numPr>
          <w:ilvl w:val="0"/>
          <w:numId w:val="45"/>
        </w:numPr>
        <w:autoSpaceDE w:val="0"/>
        <w:autoSpaceDN w:val="0"/>
        <w:adjustRightInd w:val="0"/>
        <w:spacing w:after="0" w:line="240" w:lineRule="auto"/>
        <w:rPr>
          <w:rFonts w:cstheme="minorHAnsi"/>
          <w:bCs/>
          <w:color w:val="C00000"/>
        </w:rPr>
      </w:pPr>
      <w:r>
        <w:rPr>
          <w:rFonts w:cstheme="minorHAnsi"/>
          <w:bCs/>
          <w:color w:val="C00000"/>
        </w:rPr>
        <w:t xml:space="preserve">He K, </w:t>
      </w:r>
      <w:proofErr w:type="spellStart"/>
      <w:r>
        <w:rPr>
          <w:rFonts w:cstheme="minorHAnsi"/>
          <w:bCs/>
          <w:color w:val="C00000"/>
        </w:rPr>
        <w:t>Kalbfleisch</w:t>
      </w:r>
      <w:proofErr w:type="spellEnd"/>
      <w:r>
        <w:rPr>
          <w:rFonts w:cstheme="minorHAnsi"/>
          <w:bCs/>
          <w:color w:val="C00000"/>
        </w:rPr>
        <w:t xml:space="preserve"> JD, Yang Y, </w:t>
      </w:r>
      <w:proofErr w:type="spellStart"/>
      <w:r>
        <w:rPr>
          <w:rFonts w:cstheme="minorHAnsi"/>
          <w:bCs/>
          <w:color w:val="C00000"/>
        </w:rPr>
        <w:t>Fei</w:t>
      </w:r>
      <w:proofErr w:type="spellEnd"/>
      <w:r>
        <w:rPr>
          <w:rFonts w:cstheme="minorHAnsi"/>
          <w:bCs/>
          <w:color w:val="C00000"/>
        </w:rPr>
        <w:t xml:space="preserve"> Z. Inter-unit reliability for nonlinear models. Stat Med. 2019 Feb 28</w:t>
      </w:r>
      <w:proofErr w:type="gramStart"/>
      <w:r>
        <w:rPr>
          <w:rFonts w:cstheme="minorHAnsi"/>
          <w:bCs/>
          <w:color w:val="C00000"/>
        </w:rPr>
        <w:t>;38</w:t>
      </w:r>
      <w:proofErr w:type="gramEnd"/>
      <w:r>
        <w:rPr>
          <w:rFonts w:cstheme="minorHAnsi"/>
          <w:bCs/>
          <w:color w:val="C00000"/>
        </w:rPr>
        <w:t xml:space="preserve">(5):844-854. </w:t>
      </w:r>
      <w:proofErr w:type="spellStart"/>
      <w:proofErr w:type="gramStart"/>
      <w:r>
        <w:rPr>
          <w:rFonts w:cstheme="minorHAnsi"/>
          <w:bCs/>
          <w:color w:val="C00000"/>
        </w:rPr>
        <w:t>doi</w:t>
      </w:r>
      <w:proofErr w:type="spellEnd"/>
      <w:proofErr w:type="gramEnd"/>
      <w:r>
        <w:rPr>
          <w:rFonts w:cstheme="minorHAnsi"/>
          <w:bCs/>
          <w:color w:val="C00000"/>
        </w:rPr>
        <w:t xml:space="preserve">: 10.1002/sim.8005. </w:t>
      </w:r>
      <w:proofErr w:type="spellStart"/>
      <w:r>
        <w:rPr>
          <w:rFonts w:cstheme="minorHAnsi"/>
          <w:bCs/>
          <w:color w:val="C00000"/>
        </w:rPr>
        <w:t>Epub</w:t>
      </w:r>
      <w:proofErr w:type="spellEnd"/>
      <w:r>
        <w:rPr>
          <w:rFonts w:cstheme="minorHAnsi"/>
          <w:bCs/>
          <w:color w:val="C00000"/>
        </w:rPr>
        <w:t xml:space="preserve"> 2018 Oct 18.</w:t>
      </w:r>
    </w:p>
    <w:p w14:paraId="618B4BB7" w14:textId="77777777" w:rsidR="00356D01" w:rsidRPr="002816C8" w:rsidRDefault="00356D01" w:rsidP="00F31C70">
      <w:pPr>
        <w:rPr>
          <w:color w:val="C00000"/>
          <w:u w:val="single"/>
        </w:rPr>
      </w:pPr>
    </w:p>
    <w:p w14:paraId="0BE2C0AA" w14:textId="1634FE65" w:rsidR="007D668C"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p>
    <w:p w14:paraId="0FC24C55" w14:textId="77777777" w:rsidR="007D668C" w:rsidRDefault="007D668C" w:rsidP="008C54A9">
      <w:pPr>
        <w:autoSpaceDE w:val="0"/>
        <w:autoSpaceDN w:val="0"/>
        <w:adjustRightInd w:val="0"/>
        <w:spacing w:after="0" w:line="240" w:lineRule="auto"/>
        <w:rPr>
          <w:rFonts w:cstheme="minorHAnsi"/>
          <w:bCs/>
        </w:rPr>
      </w:pPr>
    </w:p>
    <w:p w14:paraId="6BAAB631" w14:textId="57084745" w:rsidR="007D668C" w:rsidRDefault="007D668C" w:rsidP="008C54A9">
      <w:pPr>
        <w:autoSpaceDE w:val="0"/>
        <w:autoSpaceDN w:val="0"/>
        <w:adjustRightInd w:val="0"/>
        <w:spacing w:after="0" w:line="240" w:lineRule="auto"/>
      </w:pPr>
      <w:r>
        <w:t>Overall, we found that IUR = .55 (F statistic = 2.24), which indicates that about one half of the variation in the SRR can be attributed to the between-facility differences and about half to within-facility variation.</w:t>
      </w:r>
    </w:p>
    <w:p w14:paraId="73A2F48F" w14:textId="4D8D11A0" w:rsidR="000C4611" w:rsidRDefault="000C4611" w:rsidP="008C54A9">
      <w:pPr>
        <w:autoSpaceDE w:val="0"/>
        <w:autoSpaceDN w:val="0"/>
        <w:adjustRightInd w:val="0"/>
        <w:spacing w:after="0" w:line="240" w:lineRule="auto"/>
      </w:pPr>
    </w:p>
    <w:p w14:paraId="37EA14BF" w14:textId="77777777" w:rsidR="000C4611" w:rsidRDefault="000C4611" w:rsidP="008C54A9">
      <w:pPr>
        <w:autoSpaceDE w:val="0"/>
        <w:autoSpaceDN w:val="0"/>
        <w:adjustRightInd w:val="0"/>
        <w:spacing w:after="0" w:line="240" w:lineRule="auto"/>
      </w:pPr>
    </w:p>
    <w:p w14:paraId="51BCEE55" w14:textId="77777777" w:rsidR="007D668C" w:rsidRDefault="007D668C" w:rsidP="008C54A9">
      <w:pPr>
        <w:autoSpaceDE w:val="0"/>
        <w:autoSpaceDN w:val="0"/>
        <w:adjustRightInd w:val="0"/>
        <w:spacing w:after="0" w:line="240" w:lineRule="auto"/>
      </w:pPr>
    </w:p>
    <w:p w14:paraId="2E24C8FA" w14:textId="2B7FC3FE" w:rsidR="007D668C" w:rsidRPr="00A25024" w:rsidRDefault="007D668C" w:rsidP="008C54A9">
      <w:pPr>
        <w:autoSpaceDE w:val="0"/>
        <w:autoSpaceDN w:val="0"/>
        <w:adjustRightInd w:val="0"/>
        <w:spacing w:after="0" w:line="240" w:lineRule="auto"/>
        <w:rPr>
          <w:rFonts w:cstheme="minorHAnsi"/>
          <w:bCs/>
        </w:rPr>
      </w:pPr>
      <w:r>
        <w:rPr>
          <w:b/>
          <w:bCs/>
        </w:rPr>
        <w:t>Table 1. Inter-unit Reliability Measure of SRR, by Facility Size (2009)</w:t>
      </w:r>
      <w:r w:rsidR="0048008A" w:rsidRPr="00A25024">
        <w:rPr>
          <w:rFonts w:cstheme="minorHAnsi"/>
          <w:bCs/>
        </w:rPr>
        <w:br/>
      </w:r>
    </w:p>
    <w:tbl>
      <w:tblPr>
        <w:tblStyle w:val="TableGrid"/>
        <w:tblW w:w="0" w:type="auto"/>
        <w:tblLook w:val="04A0" w:firstRow="1" w:lastRow="0" w:firstColumn="1" w:lastColumn="0" w:noHBand="0" w:noVBand="1"/>
        <w:tblDescription w:val="Table 1. Inter-unit Reliability Measure of SRR, by Facility Size (2009)"/>
      </w:tblPr>
      <w:tblGrid>
        <w:gridCol w:w="2337"/>
        <w:gridCol w:w="2337"/>
        <w:gridCol w:w="2338"/>
        <w:gridCol w:w="2338"/>
      </w:tblGrid>
      <w:tr w:rsidR="007D668C" w14:paraId="08C99B67" w14:textId="77777777" w:rsidTr="004B55F2">
        <w:trPr>
          <w:tblHeader/>
        </w:trPr>
        <w:tc>
          <w:tcPr>
            <w:tcW w:w="2337" w:type="dxa"/>
          </w:tcPr>
          <w:p w14:paraId="687139C0" w14:textId="410C31CB" w:rsidR="007D668C" w:rsidRDefault="007D668C" w:rsidP="007D668C">
            <w:pPr>
              <w:autoSpaceDE w:val="0"/>
              <w:autoSpaceDN w:val="0"/>
              <w:adjustRightInd w:val="0"/>
              <w:rPr>
                <w:rFonts w:cstheme="minorHAnsi"/>
                <w:bCs/>
              </w:rPr>
            </w:pPr>
            <w:r>
              <w:rPr>
                <w:b/>
                <w:bCs/>
              </w:rPr>
              <w:t xml:space="preserve">Facility Size (No. of Patients) </w:t>
            </w:r>
          </w:p>
        </w:tc>
        <w:tc>
          <w:tcPr>
            <w:tcW w:w="2337" w:type="dxa"/>
          </w:tcPr>
          <w:p w14:paraId="5AC160BA" w14:textId="0BDF14FD" w:rsidR="007D668C" w:rsidRDefault="007D668C" w:rsidP="007D668C">
            <w:pPr>
              <w:autoSpaceDE w:val="0"/>
              <w:autoSpaceDN w:val="0"/>
              <w:adjustRightInd w:val="0"/>
              <w:rPr>
                <w:rFonts w:cstheme="minorHAnsi"/>
                <w:bCs/>
              </w:rPr>
            </w:pPr>
            <w:r>
              <w:rPr>
                <w:b/>
                <w:bCs/>
              </w:rPr>
              <w:t xml:space="preserve">No. of Facilities </w:t>
            </w:r>
          </w:p>
        </w:tc>
        <w:tc>
          <w:tcPr>
            <w:tcW w:w="2338" w:type="dxa"/>
          </w:tcPr>
          <w:p w14:paraId="47A8A194" w14:textId="0834D208" w:rsidR="007D668C" w:rsidRDefault="007D668C" w:rsidP="007D668C">
            <w:pPr>
              <w:autoSpaceDE w:val="0"/>
              <w:autoSpaceDN w:val="0"/>
              <w:adjustRightInd w:val="0"/>
              <w:rPr>
                <w:rFonts w:cstheme="minorHAnsi"/>
                <w:bCs/>
              </w:rPr>
            </w:pPr>
            <w:r>
              <w:rPr>
                <w:b/>
                <w:bCs/>
              </w:rPr>
              <w:t xml:space="preserve">IUR </w:t>
            </w:r>
          </w:p>
        </w:tc>
        <w:tc>
          <w:tcPr>
            <w:tcW w:w="2338" w:type="dxa"/>
          </w:tcPr>
          <w:p w14:paraId="2B4B74B9" w14:textId="6D6A1F25" w:rsidR="007D668C" w:rsidRDefault="007D668C" w:rsidP="007D668C">
            <w:pPr>
              <w:autoSpaceDE w:val="0"/>
              <w:autoSpaceDN w:val="0"/>
              <w:adjustRightInd w:val="0"/>
              <w:rPr>
                <w:rFonts w:cstheme="minorHAnsi"/>
                <w:bCs/>
              </w:rPr>
            </w:pPr>
            <w:r>
              <w:rPr>
                <w:b/>
                <w:bCs/>
              </w:rPr>
              <w:t xml:space="preserve">F-statistic </w:t>
            </w:r>
          </w:p>
        </w:tc>
      </w:tr>
      <w:tr w:rsidR="007D668C" w14:paraId="3D48E1A4" w14:textId="77777777" w:rsidTr="007D668C">
        <w:tc>
          <w:tcPr>
            <w:tcW w:w="2337" w:type="dxa"/>
          </w:tcPr>
          <w:p w14:paraId="395B68C1" w14:textId="1B39CF05" w:rsidR="007D668C" w:rsidRDefault="007D668C" w:rsidP="007D668C">
            <w:pPr>
              <w:autoSpaceDE w:val="0"/>
              <w:autoSpaceDN w:val="0"/>
              <w:adjustRightInd w:val="0"/>
              <w:rPr>
                <w:rFonts w:cstheme="minorHAnsi"/>
                <w:bCs/>
              </w:rPr>
            </w:pPr>
            <w:r>
              <w:t xml:space="preserve">Small (&lt;=70) </w:t>
            </w:r>
          </w:p>
        </w:tc>
        <w:tc>
          <w:tcPr>
            <w:tcW w:w="2337" w:type="dxa"/>
          </w:tcPr>
          <w:p w14:paraId="02CE7FA5" w14:textId="13C7C0F8" w:rsidR="007D668C" w:rsidRDefault="007D668C" w:rsidP="007D668C">
            <w:pPr>
              <w:autoSpaceDE w:val="0"/>
              <w:autoSpaceDN w:val="0"/>
              <w:adjustRightInd w:val="0"/>
              <w:rPr>
                <w:rFonts w:cstheme="minorHAnsi"/>
                <w:bCs/>
              </w:rPr>
            </w:pPr>
            <w:r>
              <w:t xml:space="preserve">1732 </w:t>
            </w:r>
          </w:p>
        </w:tc>
        <w:tc>
          <w:tcPr>
            <w:tcW w:w="2338" w:type="dxa"/>
          </w:tcPr>
          <w:p w14:paraId="47039403" w14:textId="7142AEE0" w:rsidR="007D668C" w:rsidRDefault="007D668C" w:rsidP="007D668C">
            <w:pPr>
              <w:autoSpaceDE w:val="0"/>
              <w:autoSpaceDN w:val="0"/>
              <w:adjustRightInd w:val="0"/>
              <w:rPr>
                <w:rFonts w:cstheme="minorHAnsi"/>
                <w:bCs/>
              </w:rPr>
            </w:pPr>
            <w:r>
              <w:t xml:space="preserve">.46 </w:t>
            </w:r>
          </w:p>
        </w:tc>
        <w:tc>
          <w:tcPr>
            <w:tcW w:w="2338" w:type="dxa"/>
          </w:tcPr>
          <w:p w14:paraId="6F522456" w14:textId="263BBDD7" w:rsidR="007D668C" w:rsidRDefault="007D668C" w:rsidP="007D668C">
            <w:pPr>
              <w:autoSpaceDE w:val="0"/>
              <w:autoSpaceDN w:val="0"/>
              <w:adjustRightInd w:val="0"/>
              <w:rPr>
                <w:rFonts w:cstheme="minorHAnsi"/>
                <w:bCs/>
              </w:rPr>
            </w:pPr>
            <w:r>
              <w:t xml:space="preserve">1.85 </w:t>
            </w:r>
          </w:p>
        </w:tc>
      </w:tr>
      <w:tr w:rsidR="007D668C" w14:paraId="04DEB3C6" w14:textId="77777777" w:rsidTr="007D668C">
        <w:tc>
          <w:tcPr>
            <w:tcW w:w="2337" w:type="dxa"/>
          </w:tcPr>
          <w:p w14:paraId="300527B9" w14:textId="5CEE9B53" w:rsidR="007D668C" w:rsidRDefault="007D668C" w:rsidP="007D668C">
            <w:pPr>
              <w:autoSpaceDE w:val="0"/>
              <w:autoSpaceDN w:val="0"/>
              <w:adjustRightInd w:val="0"/>
              <w:rPr>
                <w:rFonts w:cstheme="minorHAnsi"/>
                <w:bCs/>
              </w:rPr>
            </w:pPr>
            <w:r>
              <w:t xml:space="preserve">Medium (71–121) </w:t>
            </w:r>
          </w:p>
        </w:tc>
        <w:tc>
          <w:tcPr>
            <w:tcW w:w="2337" w:type="dxa"/>
          </w:tcPr>
          <w:p w14:paraId="50D1A133" w14:textId="48C99E29" w:rsidR="007D668C" w:rsidRDefault="007D668C" w:rsidP="007D668C">
            <w:pPr>
              <w:autoSpaceDE w:val="0"/>
              <w:autoSpaceDN w:val="0"/>
              <w:adjustRightInd w:val="0"/>
              <w:rPr>
                <w:rFonts w:cstheme="minorHAnsi"/>
                <w:bCs/>
              </w:rPr>
            </w:pPr>
            <w:r>
              <w:t xml:space="preserve">1784 </w:t>
            </w:r>
          </w:p>
        </w:tc>
        <w:tc>
          <w:tcPr>
            <w:tcW w:w="2338" w:type="dxa"/>
          </w:tcPr>
          <w:p w14:paraId="1521F5D3" w14:textId="79C57105" w:rsidR="007D668C" w:rsidRDefault="007D668C" w:rsidP="007D668C">
            <w:pPr>
              <w:autoSpaceDE w:val="0"/>
              <w:autoSpaceDN w:val="0"/>
              <w:adjustRightInd w:val="0"/>
              <w:rPr>
                <w:rFonts w:cstheme="minorHAnsi"/>
                <w:bCs/>
              </w:rPr>
            </w:pPr>
            <w:r>
              <w:t xml:space="preserve">.54 </w:t>
            </w:r>
          </w:p>
        </w:tc>
        <w:tc>
          <w:tcPr>
            <w:tcW w:w="2338" w:type="dxa"/>
          </w:tcPr>
          <w:p w14:paraId="52E06064" w14:textId="268DBCC3" w:rsidR="007D668C" w:rsidRDefault="007D668C" w:rsidP="007D668C">
            <w:pPr>
              <w:autoSpaceDE w:val="0"/>
              <w:autoSpaceDN w:val="0"/>
              <w:adjustRightInd w:val="0"/>
              <w:rPr>
                <w:rFonts w:cstheme="minorHAnsi"/>
                <w:bCs/>
              </w:rPr>
            </w:pPr>
            <w:r>
              <w:t xml:space="preserve">2.18 </w:t>
            </w:r>
          </w:p>
        </w:tc>
      </w:tr>
      <w:tr w:rsidR="007D668C" w14:paraId="0B0A3BB4" w14:textId="77777777" w:rsidTr="007D668C">
        <w:tc>
          <w:tcPr>
            <w:tcW w:w="2337" w:type="dxa"/>
          </w:tcPr>
          <w:p w14:paraId="6EA3656E" w14:textId="268F46B4" w:rsidR="007D668C" w:rsidRDefault="007D668C" w:rsidP="007D668C">
            <w:pPr>
              <w:autoSpaceDE w:val="0"/>
              <w:autoSpaceDN w:val="0"/>
              <w:adjustRightInd w:val="0"/>
              <w:rPr>
                <w:rFonts w:cstheme="minorHAnsi"/>
                <w:bCs/>
              </w:rPr>
            </w:pPr>
            <w:r>
              <w:t xml:space="preserve">Large (&gt;121) </w:t>
            </w:r>
          </w:p>
        </w:tc>
        <w:tc>
          <w:tcPr>
            <w:tcW w:w="2337" w:type="dxa"/>
          </w:tcPr>
          <w:p w14:paraId="0D771723" w14:textId="61983444" w:rsidR="007D668C" w:rsidRDefault="007D668C" w:rsidP="007D668C">
            <w:pPr>
              <w:autoSpaceDE w:val="0"/>
              <w:autoSpaceDN w:val="0"/>
              <w:adjustRightInd w:val="0"/>
              <w:rPr>
                <w:rFonts w:cstheme="minorHAnsi"/>
                <w:bCs/>
              </w:rPr>
            </w:pPr>
            <w:r>
              <w:t xml:space="preserve">1757 </w:t>
            </w:r>
          </w:p>
        </w:tc>
        <w:tc>
          <w:tcPr>
            <w:tcW w:w="2338" w:type="dxa"/>
          </w:tcPr>
          <w:p w14:paraId="2CBF5C07" w14:textId="2719FC7B" w:rsidR="007D668C" w:rsidRDefault="007D668C" w:rsidP="007D668C">
            <w:pPr>
              <w:autoSpaceDE w:val="0"/>
              <w:autoSpaceDN w:val="0"/>
              <w:adjustRightInd w:val="0"/>
              <w:rPr>
                <w:rFonts w:cstheme="minorHAnsi"/>
                <w:bCs/>
              </w:rPr>
            </w:pPr>
            <w:r>
              <w:t xml:space="preserve">.61 </w:t>
            </w:r>
          </w:p>
        </w:tc>
        <w:tc>
          <w:tcPr>
            <w:tcW w:w="2338" w:type="dxa"/>
          </w:tcPr>
          <w:p w14:paraId="443A48DE" w14:textId="2AF7C41D" w:rsidR="007D668C" w:rsidRDefault="007D668C" w:rsidP="007D668C">
            <w:pPr>
              <w:autoSpaceDE w:val="0"/>
              <w:autoSpaceDN w:val="0"/>
              <w:adjustRightInd w:val="0"/>
              <w:rPr>
                <w:rFonts w:cstheme="minorHAnsi"/>
                <w:bCs/>
              </w:rPr>
            </w:pPr>
            <w:r>
              <w:t xml:space="preserve">2.53 </w:t>
            </w:r>
          </w:p>
        </w:tc>
      </w:tr>
    </w:tbl>
    <w:p w14:paraId="0CABCFD3" w14:textId="40F5BB72" w:rsidR="007422FD" w:rsidRPr="00A25024" w:rsidRDefault="007422FD" w:rsidP="008C54A9">
      <w:pPr>
        <w:autoSpaceDE w:val="0"/>
        <w:autoSpaceDN w:val="0"/>
        <w:adjustRightInd w:val="0"/>
        <w:spacing w:after="0" w:line="240" w:lineRule="auto"/>
        <w:rPr>
          <w:rFonts w:cstheme="minorHAnsi"/>
          <w:bCs/>
        </w:rPr>
      </w:pPr>
    </w:p>
    <w:p w14:paraId="0DBDB87A" w14:textId="77777777" w:rsidR="000C4611" w:rsidRDefault="000C4611" w:rsidP="00DB3627">
      <w:pPr>
        <w:autoSpaceDE w:val="0"/>
        <w:autoSpaceDN w:val="0"/>
        <w:adjustRightInd w:val="0"/>
        <w:spacing w:after="0" w:line="240" w:lineRule="auto"/>
        <w:rPr>
          <w:rFonts w:cstheme="minorHAnsi"/>
          <w:b/>
          <w:bCs/>
        </w:rPr>
      </w:pPr>
    </w:p>
    <w:p w14:paraId="467A1B00" w14:textId="77777777" w:rsidR="000C4611" w:rsidRPr="00EB32C4" w:rsidRDefault="000C4611" w:rsidP="000C4611">
      <w:pPr>
        <w:rPr>
          <w:b/>
          <w:color w:val="C00000"/>
          <w:u w:val="single"/>
        </w:rPr>
      </w:pPr>
      <w:r w:rsidRPr="00EB32C4">
        <w:rPr>
          <w:b/>
          <w:color w:val="C00000"/>
          <w:u w:val="single"/>
        </w:rPr>
        <w:t>2019 Submission</w:t>
      </w:r>
    </w:p>
    <w:p w14:paraId="48DE3C57" w14:textId="505F4B4F" w:rsidR="00661075" w:rsidRPr="002816C8" w:rsidRDefault="00E44BCE" w:rsidP="00661075">
      <w:pPr>
        <w:autoSpaceDE w:val="0"/>
        <w:autoSpaceDN w:val="0"/>
        <w:adjustRightInd w:val="0"/>
        <w:spacing w:after="0" w:line="240" w:lineRule="auto"/>
        <w:rPr>
          <w:rFonts w:cstheme="minorHAnsi"/>
          <w:bCs/>
          <w:color w:val="C00000"/>
        </w:rPr>
      </w:pPr>
      <w:r w:rsidRPr="002816C8">
        <w:rPr>
          <w:color w:val="C00000"/>
        </w:rPr>
        <w:t xml:space="preserve">Overall, we found that IUR = </w:t>
      </w:r>
      <w:r w:rsidR="00C74F48" w:rsidRPr="002816C8">
        <w:rPr>
          <w:color w:val="C00000"/>
        </w:rPr>
        <w:t>0</w:t>
      </w:r>
      <w:r w:rsidRPr="002816C8">
        <w:rPr>
          <w:color w:val="C00000"/>
        </w:rPr>
        <w:t>.</w:t>
      </w:r>
      <w:r w:rsidR="002A623C" w:rsidRPr="002816C8">
        <w:rPr>
          <w:color w:val="C00000"/>
        </w:rPr>
        <w:t>3</w:t>
      </w:r>
      <w:r w:rsidR="002A623C">
        <w:rPr>
          <w:color w:val="C00000"/>
        </w:rPr>
        <w:t>5</w:t>
      </w:r>
      <w:r w:rsidR="002A623C" w:rsidRPr="002816C8">
        <w:rPr>
          <w:color w:val="C00000"/>
        </w:rPr>
        <w:t xml:space="preserve"> </w:t>
      </w:r>
      <w:r w:rsidR="00805457" w:rsidRPr="002816C8">
        <w:rPr>
          <w:color w:val="C00000"/>
        </w:rPr>
        <w:t>The PIUR is 0.61.</w:t>
      </w:r>
      <w:r w:rsidR="00661075" w:rsidRPr="002816C8">
        <w:rPr>
          <w:color w:val="C00000"/>
        </w:rPr>
        <w:t xml:space="preserve"> </w:t>
      </w:r>
      <w:r w:rsidR="00356D01">
        <w:rPr>
          <w:color w:val="C00000"/>
        </w:rPr>
        <w:t xml:space="preserve">As noted above, the PIUR measures reliability in terms of </w:t>
      </w:r>
      <w:r w:rsidR="00F321CD">
        <w:rPr>
          <w:color w:val="C00000"/>
        </w:rPr>
        <w:t xml:space="preserve">reflagging rates </w:t>
      </w:r>
      <w:r w:rsidR="00356D01">
        <w:rPr>
          <w:color w:val="C00000"/>
        </w:rPr>
        <w:t>but is placed on the same scale as IUR. The</w:t>
      </w:r>
      <w:r w:rsidR="00356D01" w:rsidRPr="00FA6C50">
        <w:rPr>
          <w:rFonts w:cstheme="minorHAnsi"/>
          <w:bCs/>
          <w:color w:val="C00000"/>
        </w:rPr>
        <w:t xml:space="preserve"> higher PIUR compared to the IUR indicates the presence of outlier</w:t>
      </w:r>
      <w:r w:rsidR="00F321CD">
        <w:rPr>
          <w:rFonts w:cstheme="minorHAnsi"/>
          <w:bCs/>
          <w:color w:val="C00000"/>
        </w:rPr>
        <w:t>s or heavier tails among the</w:t>
      </w:r>
      <w:r w:rsidR="00356D01" w:rsidRPr="00FA6C50">
        <w:rPr>
          <w:rFonts w:cstheme="minorHAnsi"/>
          <w:bCs/>
          <w:color w:val="C00000"/>
        </w:rPr>
        <w:t xml:space="preserve"> providers, which is not captured in the IUR itself. </w:t>
      </w:r>
      <w:r w:rsidR="00356D01">
        <w:rPr>
          <w:rFonts w:cstheme="minorHAnsi"/>
          <w:bCs/>
          <w:color w:val="C00000"/>
        </w:rPr>
        <w:t>I</w:t>
      </w:r>
      <w:r w:rsidR="00356D01" w:rsidRPr="00FA6C50">
        <w:rPr>
          <w:rFonts w:cstheme="minorHAnsi"/>
          <w:bCs/>
          <w:color w:val="C00000"/>
        </w:rPr>
        <w:t xml:space="preserve">f there are no outliers, one should expect the PIUR to be </w:t>
      </w:r>
      <w:r w:rsidR="00356D01">
        <w:rPr>
          <w:rFonts w:cstheme="minorHAnsi"/>
          <w:bCs/>
          <w:color w:val="C00000"/>
        </w:rPr>
        <w:t>similar to</w:t>
      </w:r>
      <w:r w:rsidR="00356D01" w:rsidRPr="00FA6C50">
        <w:rPr>
          <w:rFonts w:cstheme="minorHAnsi"/>
          <w:bCs/>
          <w:color w:val="C00000"/>
        </w:rPr>
        <w:t xml:space="preserve"> the IUR</w:t>
      </w:r>
      <w:r w:rsidR="00356D01">
        <w:rPr>
          <w:rFonts w:cstheme="minorHAnsi"/>
          <w:bCs/>
          <w:color w:val="C00000"/>
        </w:rPr>
        <w:t>; but i</w:t>
      </w:r>
      <w:r w:rsidR="00356D01" w:rsidRPr="00FA6C50">
        <w:rPr>
          <w:rFonts w:cstheme="minorHAnsi"/>
          <w:bCs/>
          <w:color w:val="C00000"/>
        </w:rPr>
        <w:t xml:space="preserve">n cases where there are outlier providers, even measures with a low IUR can have relatively high PIUR and can be very useful for identifying extreme providers. </w:t>
      </w:r>
    </w:p>
    <w:p w14:paraId="560A1D2B" w14:textId="5ACAD4DE" w:rsidR="00E44BCE" w:rsidRDefault="00E44BCE" w:rsidP="00E44BCE">
      <w:pPr>
        <w:autoSpaceDE w:val="0"/>
        <w:autoSpaceDN w:val="0"/>
        <w:adjustRightInd w:val="0"/>
        <w:spacing w:after="0" w:line="240" w:lineRule="auto"/>
      </w:pPr>
    </w:p>
    <w:p w14:paraId="0153476D" w14:textId="60F73841" w:rsidR="00E44BCE" w:rsidRDefault="00E44BCE" w:rsidP="00DB3627">
      <w:pPr>
        <w:autoSpaceDE w:val="0"/>
        <w:autoSpaceDN w:val="0"/>
        <w:adjustRightInd w:val="0"/>
        <w:spacing w:after="0" w:line="240" w:lineRule="auto"/>
        <w:rPr>
          <w:rFonts w:cstheme="minorHAnsi"/>
          <w:b/>
          <w:bCs/>
        </w:rPr>
      </w:pPr>
    </w:p>
    <w:p w14:paraId="43F8875D" w14:textId="425AC928" w:rsidR="007D668C" w:rsidRDefault="00092566" w:rsidP="00DB3627">
      <w:pPr>
        <w:autoSpaceDE w:val="0"/>
        <w:autoSpaceDN w:val="0"/>
        <w:adjustRightInd w:val="0"/>
        <w:spacing w:after="0" w:line="240" w:lineRule="auto"/>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0CABCFD4" w14:textId="17A92ACB" w:rsidR="007422FD" w:rsidRDefault="007D668C" w:rsidP="00DB3627">
      <w:pPr>
        <w:autoSpaceDE w:val="0"/>
        <w:autoSpaceDN w:val="0"/>
        <w:adjustRightInd w:val="0"/>
        <w:spacing w:after="0" w:line="240" w:lineRule="auto"/>
      </w:pPr>
      <w:r>
        <w:t>This value of IUR indicates a moderate degree of reliability. When stratified by facility size, we find that, as expected, larger facilities have greater IUR.</w:t>
      </w:r>
    </w:p>
    <w:p w14:paraId="4FDB6963" w14:textId="2F66EB49" w:rsidR="000C4611" w:rsidRDefault="000C4611" w:rsidP="00DB3627">
      <w:pPr>
        <w:autoSpaceDE w:val="0"/>
        <w:autoSpaceDN w:val="0"/>
        <w:adjustRightInd w:val="0"/>
        <w:spacing w:after="0" w:line="240" w:lineRule="auto"/>
      </w:pPr>
    </w:p>
    <w:p w14:paraId="7EE3CFD0" w14:textId="77777777" w:rsidR="000C4611" w:rsidRPr="002816C8" w:rsidRDefault="000C4611" w:rsidP="000C4611">
      <w:pPr>
        <w:rPr>
          <w:b/>
          <w:color w:val="C00000"/>
          <w:u w:val="single"/>
        </w:rPr>
      </w:pPr>
      <w:r w:rsidRPr="002816C8">
        <w:rPr>
          <w:b/>
          <w:color w:val="C00000"/>
          <w:u w:val="single"/>
        </w:rPr>
        <w:t>2019 Submission</w:t>
      </w:r>
    </w:p>
    <w:p w14:paraId="7960037C" w14:textId="19597AD6" w:rsidR="00356D01" w:rsidRPr="003358BD" w:rsidRDefault="00356D01" w:rsidP="00356D01">
      <w:pPr>
        <w:autoSpaceDE w:val="0"/>
        <w:autoSpaceDN w:val="0"/>
        <w:adjustRightInd w:val="0"/>
        <w:spacing w:after="0" w:line="240" w:lineRule="auto"/>
        <w:rPr>
          <w:rFonts w:cstheme="minorHAnsi"/>
          <w:bCs/>
          <w:color w:val="C00000"/>
        </w:rPr>
      </w:pPr>
      <w:r w:rsidRPr="002816C8">
        <w:rPr>
          <w:color w:val="C00000"/>
        </w:rPr>
        <w:t>Th</w:t>
      </w:r>
      <w:r>
        <w:rPr>
          <w:color w:val="C00000"/>
        </w:rPr>
        <w:t>e</w:t>
      </w:r>
      <w:r w:rsidRPr="002816C8">
        <w:rPr>
          <w:color w:val="C00000"/>
        </w:rPr>
        <w:t xml:space="preserve"> value </w:t>
      </w:r>
      <w:r>
        <w:rPr>
          <w:color w:val="C00000"/>
        </w:rPr>
        <w:t>obtained for the</w:t>
      </w:r>
      <w:r w:rsidRPr="002816C8">
        <w:rPr>
          <w:color w:val="C00000"/>
        </w:rPr>
        <w:t xml:space="preserve"> IUR </w:t>
      </w:r>
      <w:r>
        <w:rPr>
          <w:color w:val="C00000"/>
        </w:rPr>
        <w:t>is low to moderate in size</w:t>
      </w:r>
      <w:r w:rsidRPr="002816C8">
        <w:rPr>
          <w:color w:val="C00000"/>
        </w:rPr>
        <w:t>.</w:t>
      </w:r>
      <w:r>
        <w:rPr>
          <w:color w:val="C00000"/>
        </w:rPr>
        <w:t xml:space="preserve"> </w:t>
      </w:r>
      <w:r w:rsidRPr="002816C8">
        <w:rPr>
          <w:rFonts w:cstheme="minorHAnsi"/>
          <w:bCs/>
          <w:color w:val="C00000"/>
        </w:rPr>
        <w:t xml:space="preserve">The </w:t>
      </w:r>
      <w:r>
        <w:rPr>
          <w:rFonts w:cstheme="minorHAnsi"/>
          <w:bCs/>
          <w:color w:val="C00000"/>
        </w:rPr>
        <w:t xml:space="preserve">PIUR is larger and </w:t>
      </w:r>
      <w:r w:rsidR="008452CC">
        <w:rPr>
          <w:rFonts w:cstheme="minorHAnsi"/>
          <w:bCs/>
          <w:color w:val="C00000"/>
        </w:rPr>
        <w:t>demonstrates that the SR</w:t>
      </w:r>
      <w:r>
        <w:rPr>
          <w:rFonts w:cstheme="minorHAnsi"/>
          <w:bCs/>
          <w:color w:val="C00000"/>
        </w:rPr>
        <w:t>R</w:t>
      </w:r>
      <w:r w:rsidRPr="002816C8">
        <w:rPr>
          <w:rFonts w:cstheme="minorHAnsi"/>
          <w:bCs/>
          <w:color w:val="C00000"/>
        </w:rPr>
        <w:t xml:space="preserve"> is effective at detecting outlier facilities and statistically meaningful differences in performance scores across </w:t>
      </w:r>
      <w:r>
        <w:rPr>
          <w:rFonts w:cstheme="minorHAnsi"/>
          <w:bCs/>
          <w:color w:val="C00000"/>
        </w:rPr>
        <w:t>dialysis facilities</w:t>
      </w:r>
      <w:r w:rsidRPr="002816C8">
        <w:rPr>
          <w:rFonts w:cstheme="minorHAnsi"/>
          <w:bCs/>
          <w:color w:val="C00000"/>
        </w:rPr>
        <w:t>.</w:t>
      </w:r>
      <w:r>
        <w:rPr>
          <w:rFonts w:cstheme="minorHAnsi"/>
          <w:bCs/>
          <w:color w:val="C00000"/>
        </w:rPr>
        <w:t xml:space="preserve"> </w:t>
      </w:r>
    </w:p>
    <w:p w14:paraId="1A5D0DB6" w14:textId="3C82A362" w:rsidR="000C4611" w:rsidRDefault="000C4611" w:rsidP="00DB3627">
      <w:pPr>
        <w:autoSpaceDE w:val="0"/>
        <w:autoSpaceDN w:val="0"/>
        <w:adjustRightInd w:val="0"/>
        <w:spacing w:after="0" w:line="240" w:lineRule="auto"/>
        <w:rPr>
          <w:rFonts w:cstheme="minorHAnsi"/>
          <w:bCs/>
        </w:rPr>
      </w:pPr>
    </w:p>
    <w:p w14:paraId="7AC2A8C3" w14:textId="4576A4E4" w:rsidR="00423A4F" w:rsidRDefault="00423A4F" w:rsidP="00DB3627">
      <w:pPr>
        <w:autoSpaceDE w:val="0"/>
        <w:autoSpaceDN w:val="0"/>
        <w:adjustRightInd w:val="0"/>
        <w:spacing w:after="0" w:line="240" w:lineRule="auto"/>
        <w:rPr>
          <w:rFonts w:cstheme="minorHAnsi"/>
          <w:bCs/>
        </w:rPr>
      </w:pPr>
    </w:p>
    <w:p w14:paraId="73A0A45A" w14:textId="2097A164" w:rsidR="00423A4F" w:rsidRDefault="00423A4F" w:rsidP="00DB3627">
      <w:pPr>
        <w:autoSpaceDE w:val="0"/>
        <w:autoSpaceDN w:val="0"/>
        <w:adjustRightInd w:val="0"/>
        <w:spacing w:after="0" w:line="240" w:lineRule="auto"/>
        <w:rPr>
          <w:rFonts w:cstheme="minorHAnsi"/>
          <w:bCs/>
        </w:rPr>
      </w:pPr>
    </w:p>
    <w:p w14:paraId="74173531" w14:textId="50AD240B" w:rsidR="00423A4F" w:rsidRDefault="00423A4F" w:rsidP="00DB3627">
      <w:pPr>
        <w:autoSpaceDE w:val="0"/>
        <w:autoSpaceDN w:val="0"/>
        <w:adjustRightInd w:val="0"/>
        <w:spacing w:after="0" w:line="240" w:lineRule="auto"/>
        <w:rPr>
          <w:rFonts w:cstheme="minorHAnsi"/>
          <w:bCs/>
        </w:rPr>
      </w:pPr>
    </w:p>
    <w:p w14:paraId="1D4CA958" w14:textId="77777777" w:rsidR="00423A4F" w:rsidRPr="00A25024" w:rsidRDefault="00423A4F" w:rsidP="00DB3627">
      <w:pPr>
        <w:autoSpaceDE w:val="0"/>
        <w:autoSpaceDN w:val="0"/>
        <w:adjustRightInd w:val="0"/>
        <w:spacing w:after="0" w:line="240" w:lineRule="auto"/>
        <w:rPr>
          <w:rFonts w:cstheme="minorHAnsi"/>
          <w:bCs/>
        </w:rPr>
      </w:pPr>
    </w:p>
    <w:p w14:paraId="0CABCFD5" w14:textId="7C8C208C"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5B7B96C3"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572565BC" w:rsidR="00696262" w:rsidRPr="00A25024" w:rsidRDefault="00DE485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3F5FBF38" w:rsidR="000574AB" w:rsidRPr="00A25024" w:rsidRDefault="00DE4858"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D668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09EFB5EE" w14:textId="77777777" w:rsidR="007D668C" w:rsidRDefault="007D668C" w:rsidP="007D668C">
      <w:pPr>
        <w:pStyle w:val="Default"/>
        <w:rPr>
          <w:sz w:val="22"/>
          <w:szCs w:val="22"/>
        </w:rPr>
      </w:pPr>
      <w:r>
        <w:rPr>
          <w:b/>
          <w:bCs/>
          <w:sz w:val="22"/>
          <w:szCs w:val="22"/>
        </w:rPr>
        <w:t xml:space="preserve">Validation of critical data elements: </w:t>
      </w:r>
      <w:r>
        <w:rPr>
          <w:sz w:val="22"/>
          <w:szCs w:val="22"/>
        </w:rPr>
        <w:t xml:space="preserve">The critical data elements for this measure (hospital admission and discharge dates for Medicare dialysis patients) come from Medicare claims data. The validity of these data is ensured by the oversight of the Medicare program in the payment process. </w:t>
      </w:r>
    </w:p>
    <w:p w14:paraId="0CABCFDD" w14:textId="59B42DDE" w:rsidR="00833325" w:rsidRDefault="007D668C" w:rsidP="007D668C">
      <w:pPr>
        <w:autoSpaceDE w:val="0"/>
        <w:autoSpaceDN w:val="0"/>
        <w:adjustRightInd w:val="0"/>
        <w:spacing w:after="0" w:line="240" w:lineRule="auto"/>
      </w:pPr>
      <w:r>
        <w:rPr>
          <w:b/>
          <w:bCs/>
        </w:rPr>
        <w:t xml:space="preserve">Validation of performance measure score: </w:t>
      </w:r>
      <w:r>
        <w:t>We assessed the validity of the measure through various comparisons of this measure with other quality measures in use, and in May 2012, presented a preliminary version of the SRR to a CMS Technical Expert Panel (TEP) for clinical validity. As hospitalization is a major cost factor in the management of ESRD patients, there is a strong case for face validity of the SRR measure. We used Pearson correlation coefficients to examine the relationship between the SRR and other facility-level practice patterns.</w:t>
      </w:r>
    </w:p>
    <w:p w14:paraId="7050723D" w14:textId="587E2275" w:rsidR="007D668C" w:rsidRDefault="007D668C" w:rsidP="007D668C">
      <w:pPr>
        <w:autoSpaceDE w:val="0"/>
        <w:autoSpaceDN w:val="0"/>
        <w:adjustRightInd w:val="0"/>
        <w:spacing w:after="0" w:line="240" w:lineRule="auto"/>
      </w:pPr>
    </w:p>
    <w:p w14:paraId="7950C7DE" w14:textId="77777777" w:rsidR="004351AF" w:rsidRPr="00436343" w:rsidRDefault="004351AF" w:rsidP="00436343">
      <w:pPr>
        <w:spacing w:after="0"/>
        <w:rPr>
          <w:color w:val="C00000"/>
          <w:u w:val="single"/>
        </w:rPr>
      </w:pPr>
      <w:r w:rsidRPr="00436343">
        <w:rPr>
          <w:color w:val="C00000"/>
          <w:u w:val="single"/>
        </w:rPr>
        <w:t>2019 Submission</w:t>
      </w:r>
    </w:p>
    <w:p w14:paraId="194F9D37" w14:textId="45C616CE" w:rsidR="005161C3" w:rsidRDefault="00C74F48" w:rsidP="00C74F48">
      <w:pPr>
        <w:autoSpaceDE w:val="0"/>
        <w:autoSpaceDN w:val="0"/>
        <w:adjustRightInd w:val="0"/>
        <w:spacing w:after="0" w:line="240" w:lineRule="auto"/>
        <w:rPr>
          <w:color w:val="C00000"/>
        </w:rPr>
      </w:pPr>
      <w:r w:rsidRPr="00436343">
        <w:rPr>
          <w:b/>
          <w:bCs/>
          <w:color w:val="C00000"/>
        </w:rPr>
        <w:t>Validation of performance measure score:</w:t>
      </w:r>
      <w:r w:rsidRPr="00436343">
        <w:rPr>
          <w:bCs/>
          <w:color w:val="C00000"/>
        </w:rPr>
        <w:t xml:space="preserve"> </w:t>
      </w:r>
      <w:r w:rsidRPr="00436343">
        <w:rPr>
          <w:color w:val="C00000"/>
        </w:rPr>
        <w:t>We assessed the validity of the measure through comparisons of this measure with other quality measures in use</w:t>
      </w:r>
      <w:r w:rsidR="00491DC2">
        <w:rPr>
          <w:color w:val="C00000"/>
        </w:rPr>
        <w:t>, using</w:t>
      </w:r>
      <w:r w:rsidR="00491DC2" w:rsidRPr="00436343">
        <w:rPr>
          <w:color w:val="C00000"/>
        </w:rPr>
        <w:t xml:space="preserve"> Pearson correlation coefficients to examine the relationship between the SRR and other facility-level </w:t>
      </w:r>
      <w:r w:rsidR="00491DC2">
        <w:rPr>
          <w:color w:val="C00000"/>
        </w:rPr>
        <w:t>quality measures.</w:t>
      </w:r>
    </w:p>
    <w:p w14:paraId="07F398CB" w14:textId="77777777" w:rsidR="005161C3" w:rsidRDefault="005161C3" w:rsidP="00C74F48">
      <w:pPr>
        <w:autoSpaceDE w:val="0"/>
        <w:autoSpaceDN w:val="0"/>
        <w:adjustRightInd w:val="0"/>
        <w:spacing w:after="0" w:line="240" w:lineRule="auto"/>
        <w:rPr>
          <w:rFonts w:cstheme="minorHAnsi"/>
          <w:bCs/>
          <w:color w:val="C00000"/>
        </w:rPr>
      </w:pPr>
    </w:p>
    <w:p w14:paraId="3CB0D6EE" w14:textId="6B3A4867" w:rsidR="005161C3" w:rsidRPr="00423A4F" w:rsidRDefault="005161C3" w:rsidP="00423A4F">
      <w:pPr>
        <w:pStyle w:val="ListParagraph"/>
        <w:numPr>
          <w:ilvl w:val="0"/>
          <w:numId w:val="48"/>
        </w:numPr>
        <w:autoSpaceDE w:val="0"/>
        <w:autoSpaceDN w:val="0"/>
        <w:adjustRightInd w:val="0"/>
        <w:spacing w:after="0" w:line="240" w:lineRule="auto"/>
        <w:rPr>
          <w:rFonts w:cstheme="minorHAnsi"/>
          <w:bCs/>
          <w:color w:val="C00000"/>
        </w:rPr>
      </w:pPr>
      <w:r w:rsidRPr="00423A4F">
        <w:rPr>
          <w:rFonts w:cstheme="minorHAnsi"/>
          <w:bCs/>
          <w:color w:val="C00000"/>
        </w:rPr>
        <w:t>Standardized Hospitalization Ratio (SHR</w:t>
      </w:r>
      <w:proofErr w:type="gramStart"/>
      <w:r w:rsidRPr="00423A4F">
        <w:rPr>
          <w:rFonts w:cstheme="minorHAnsi"/>
          <w:bCs/>
          <w:color w:val="C00000"/>
        </w:rPr>
        <w:t>)-</w:t>
      </w:r>
      <w:proofErr w:type="gramEnd"/>
      <w:r w:rsidRPr="00423A4F">
        <w:rPr>
          <w:rFonts w:cstheme="minorHAnsi"/>
          <w:bCs/>
          <w:color w:val="C00000"/>
        </w:rPr>
        <w:t xml:space="preserve"> We expect a </w:t>
      </w:r>
      <w:r w:rsidR="00F321CD">
        <w:rPr>
          <w:rFonts w:cstheme="minorHAnsi"/>
          <w:bCs/>
          <w:color w:val="C00000"/>
        </w:rPr>
        <w:t xml:space="preserve">fairly strong </w:t>
      </w:r>
      <w:r w:rsidRPr="00423A4F">
        <w:rPr>
          <w:rFonts w:cstheme="minorHAnsi"/>
          <w:bCs/>
          <w:color w:val="C00000"/>
        </w:rPr>
        <w:t>positive association with SHR</w:t>
      </w:r>
      <w:r w:rsidR="00F321CD">
        <w:rPr>
          <w:rFonts w:cstheme="minorHAnsi"/>
          <w:bCs/>
          <w:color w:val="C00000"/>
        </w:rPr>
        <w:t xml:space="preserve"> since readmissions are also hospital admissions</w:t>
      </w:r>
      <w:r w:rsidRPr="00423A4F">
        <w:rPr>
          <w:rFonts w:cstheme="minorHAnsi"/>
          <w:bCs/>
          <w:color w:val="C00000"/>
        </w:rPr>
        <w:t xml:space="preserve">. </w:t>
      </w:r>
      <w:r w:rsidR="00F321CD">
        <w:rPr>
          <w:rFonts w:cstheme="minorHAnsi"/>
          <w:bCs/>
          <w:color w:val="C00000"/>
        </w:rPr>
        <w:t>Additionally, b</w:t>
      </w:r>
      <w:r w:rsidRPr="00423A4F">
        <w:rPr>
          <w:rFonts w:cstheme="minorHAnsi"/>
          <w:bCs/>
          <w:color w:val="C00000"/>
        </w:rPr>
        <w:t xml:space="preserve">oth hospitalization and readmission are a reflection of hospital utilization and increased comorbidity burden. </w:t>
      </w:r>
    </w:p>
    <w:p w14:paraId="0B090862" w14:textId="77777777" w:rsidR="005161C3" w:rsidRDefault="005161C3" w:rsidP="00C74F48">
      <w:pPr>
        <w:autoSpaceDE w:val="0"/>
        <w:autoSpaceDN w:val="0"/>
        <w:adjustRightInd w:val="0"/>
        <w:spacing w:after="0" w:line="240" w:lineRule="auto"/>
        <w:rPr>
          <w:rFonts w:cstheme="minorHAnsi"/>
          <w:bCs/>
          <w:color w:val="C00000"/>
        </w:rPr>
      </w:pPr>
    </w:p>
    <w:p w14:paraId="2E94E256" w14:textId="5F610877" w:rsidR="005161C3" w:rsidRPr="00423A4F" w:rsidRDefault="005161C3" w:rsidP="00423A4F">
      <w:pPr>
        <w:pStyle w:val="ListParagraph"/>
        <w:numPr>
          <w:ilvl w:val="0"/>
          <w:numId w:val="48"/>
        </w:numPr>
        <w:autoSpaceDE w:val="0"/>
        <w:autoSpaceDN w:val="0"/>
        <w:adjustRightInd w:val="0"/>
        <w:spacing w:after="0" w:line="240" w:lineRule="auto"/>
        <w:rPr>
          <w:color w:val="C00000"/>
        </w:rPr>
      </w:pPr>
      <w:r w:rsidRPr="00423A4F">
        <w:rPr>
          <w:rFonts w:cstheme="minorHAnsi"/>
          <w:bCs/>
          <w:color w:val="C00000"/>
        </w:rPr>
        <w:t>Standardized Mortality Ratio (SMR</w:t>
      </w:r>
      <w:proofErr w:type="gramStart"/>
      <w:r w:rsidRPr="00423A4F">
        <w:rPr>
          <w:rFonts w:cstheme="minorHAnsi"/>
          <w:bCs/>
          <w:color w:val="C00000"/>
        </w:rPr>
        <w:t>)-</w:t>
      </w:r>
      <w:proofErr w:type="gramEnd"/>
      <w:r w:rsidRPr="00423A4F">
        <w:rPr>
          <w:rFonts w:cstheme="minorHAnsi"/>
          <w:bCs/>
          <w:color w:val="C00000"/>
        </w:rPr>
        <w:t xml:space="preserve">  We expect a positive association with SMR. Patients who require acute inpatient medical care represent an at-risk population for mortality since they likely have greater acute medical needs or complications from chronic comorbid conditions that put them at higher risk for death.  Higher SMR will be positively associated with SRR.</w:t>
      </w:r>
    </w:p>
    <w:p w14:paraId="1CBD1905" w14:textId="23F2F256" w:rsidR="005161C3" w:rsidRDefault="005161C3" w:rsidP="00C74F48">
      <w:pPr>
        <w:autoSpaceDE w:val="0"/>
        <w:autoSpaceDN w:val="0"/>
        <w:adjustRightInd w:val="0"/>
        <w:spacing w:after="0" w:line="240" w:lineRule="auto"/>
        <w:rPr>
          <w:color w:val="C00000"/>
        </w:rPr>
      </w:pPr>
    </w:p>
    <w:p w14:paraId="1302AEE0" w14:textId="1F4F0DF4" w:rsidR="005161C3" w:rsidRPr="00423A4F" w:rsidRDefault="005161C3" w:rsidP="00423A4F">
      <w:pPr>
        <w:pStyle w:val="ListParagraph"/>
        <w:numPr>
          <w:ilvl w:val="0"/>
          <w:numId w:val="48"/>
        </w:numPr>
        <w:autoSpaceDE w:val="0"/>
        <w:autoSpaceDN w:val="0"/>
        <w:adjustRightInd w:val="0"/>
        <w:spacing w:after="0" w:line="240" w:lineRule="auto"/>
        <w:rPr>
          <w:rFonts w:cstheme="minorHAnsi"/>
          <w:bCs/>
          <w:color w:val="C00000"/>
        </w:rPr>
      </w:pPr>
      <w:r w:rsidRPr="00423A4F">
        <w:rPr>
          <w:rFonts w:cstheme="minorHAnsi"/>
          <w:bCs/>
          <w:color w:val="C00000"/>
        </w:rPr>
        <w:t>Vascular Access: Long-term catheter rate (catheter in use &gt;=3 continuous months) – We expect a positive association between long-term catheter rate and SRR. Long-term catheters put patients at increased risk for infection and other complications. Additionally, a high long-term catheter rate also indicates a higher patient comorbidity burden at the facility level such that sicker patients who have a long-term catheter may also be more likely to be hospitalized and re-admitted after initial hospitalization. Higher long-term catheter rates will be positively associated with SRR.</w:t>
      </w:r>
    </w:p>
    <w:p w14:paraId="29DD40C9" w14:textId="3B322426" w:rsidR="005161C3" w:rsidRDefault="005161C3" w:rsidP="00C74F48">
      <w:pPr>
        <w:autoSpaceDE w:val="0"/>
        <w:autoSpaceDN w:val="0"/>
        <w:adjustRightInd w:val="0"/>
        <w:spacing w:after="0" w:line="240" w:lineRule="auto"/>
        <w:rPr>
          <w:color w:val="C00000"/>
        </w:rPr>
      </w:pPr>
    </w:p>
    <w:p w14:paraId="799497C8" w14:textId="19B67297" w:rsidR="005161C3" w:rsidRPr="00423A4F" w:rsidRDefault="005161C3" w:rsidP="00423A4F">
      <w:pPr>
        <w:pStyle w:val="ListParagraph"/>
        <w:numPr>
          <w:ilvl w:val="0"/>
          <w:numId w:val="48"/>
        </w:numPr>
        <w:rPr>
          <w:rFonts w:cstheme="minorHAnsi"/>
          <w:bCs/>
          <w:color w:val="C00000"/>
        </w:rPr>
      </w:pPr>
      <w:r w:rsidRPr="00423A4F">
        <w:rPr>
          <w:rFonts w:cstheme="minorHAnsi"/>
          <w:bCs/>
          <w:color w:val="C00000"/>
        </w:rPr>
        <w:t>Vascular Access: Standardized Fistula Rate (SFR</w:t>
      </w:r>
      <w:proofErr w:type="gramStart"/>
      <w:r w:rsidRPr="00423A4F">
        <w:rPr>
          <w:rFonts w:cstheme="minorHAnsi"/>
          <w:bCs/>
          <w:color w:val="C00000"/>
        </w:rPr>
        <w:t>)–</w:t>
      </w:r>
      <w:proofErr w:type="gramEnd"/>
      <w:r w:rsidRPr="00423A4F">
        <w:rPr>
          <w:rFonts w:cstheme="minorHAnsi"/>
          <w:bCs/>
          <w:color w:val="C00000"/>
        </w:rPr>
        <w:t xml:space="preserve"> We expect a negative association between SFR and SRR. Successfully creating an AVF is generally seen as representing a robust process to coordinate care outside of the dialysis facility, and potentially reduces the likelihood of adverse events, like infection that can increase the risk of patient hospitalization and hospital readmission.  Higher rates of the facility level SFR will be negatively associated with re-hospitalization as measured by SRR.</w:t>
      </w:r>
    </w:p>
    <w:p w14:paraId="1437BFBB" w14:textId="0AF859B9" w:rsidR="005161C3" w:rsidRDefault="005161C3" w:rsidP="00C74F48">
      <w:pPr>
        <w:autoSpaceDE w:val="0"/>
        <w:autoSpaceDN w:val="0"/>
        <w:adjustRightInd w:val="0"/>
        <w:spacing w:after="0" w:line="240" w:lineRule="auto"/>
        <w:rPr>
          <w:color w:val="C00000"/>
        </w:rPr>
      </w:pPr>
    </w:p>
    <w:p w14:paraId="0DB8C85A" w14:textId="5933FA8E" w:rsidR="00C74F48" w:rsidRPr="00436343" w:rsidRDefault="00DE696E" w:rsidP="00C74F48">
      <w:pPr>
        <w:autoSpaceDE w:val="0"/>
        <w:autoSpaceDN w:val="0"/>
        <w:adjustRightInd w:val="0"/>
        <w:spacing w:after="0" w:line="240" w:lineRule="auto"/>
        <w:rPr>
          <w:color w:val="C00000"/>
        </w:rPr>
      </w:pPr>
      <w:r>
        <w:rPr>
          <w:color w:val="C00000"/>
        </w:rPr>
        <w:t>In addition</w:t>
      </w:r>
      <w:r w:rsidR="002C0899">
        <w:rPr>
          <w:color w:val="C00000"/>
        </w:rPr>
        <w:t xml:space="preserve">, </w:t>
      </w:r>
      <w:r w:rsidR="002C0899" w:rsidRPr="00436343">
        <w:rPr>
          <w:color w:val="C00000"/>
        </w:rPr>
        <w:t>in</w:t>
      </w:r>
      <w:r w:rsidR="00C74F48" w:rsidRPr="00436343">
        <w:rPr>
          <w:color w:val="C00000"/>
        </w:rPr>
        <w:t xml:space="preserve"> May 2012, </w:t>
      </w:r>
      <w:r>
        <w:rPr>
          <w:color w:val="C00000"/>
        </w:rPr>
        <w:t xml:space="preserve">we </w:t>
      </w:r>
      <w:r w:rsidR="00C74F48" w:rsidRPr="00436343">
        <w:rPr>
          <w:color w:val="C00000"/>
        </w:rPr>
        <w:t>presented a preliminary version of the SRR to a CMS Technical Expert Panel (TEP) for clinical validity. As hospitalization is a major cost factor in the management of ESRD patients, there is a strong case for face validity of the SRR measure.</w:t>
      </w:r>
    </w:p>
    <w:p w14:paraId="79FCD6A4" w14:textId="77777777" w:rsidR="004351AF" w:rsidRDefault="004351AF" w:rsidP="007D668C">
      <w:pPr>
        <w:autoSpaceDE w:val="0"/>
        <w:autoSpaceDN w:val="0"/>
        <w:adjustRightInd w:val="0"/>
        <w:spacing w:after="0" w:line="240" w:lineRule="auto"/>
      </w:pPr>
    </w:p>
    <w:p w14:paraId="79858C30" w14:textId="77777777" w:rsidR="007D668C" w:rsidRPr="00A25024" w:rsidRDefault="007D668C" w:rsidP="007D668C">
      <w:pPr>
        <w:autoSpaceDE w:val="0"/>
        <w:autoSpaceDN w:val="0"/>
        <w:adjustRightInd w:val="0"/>
        <w:spacing w:after="0" w:line="240" w:lineRule="auto"/>
        <w:rPr>
          <w:rFonts w:cstheme="minorHAnsi"/>
          <w:bCs/>
        </w:rPr>
      </w:pPr>
    </w:p>
    <w:p w14:paraId="0CABCFDE" w14:textId="0D3CC00C" w:rsidR="007422FD" w:rsidRDefault="009C7513" w:rsidP="00092566">
      <w:pPr>
        <w:autoSpaceDE w:val="0"/>
        <w:autoSpaceDN w:val="0"/>
        <w:adjustRightInd w:val="0"/>
        <w:spacing w:after="0" w:line="240" w:lineRule="auto"/>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7D668C">
        <w:t xml:space="preserve">The measure is positively correlated with the one-year Standardized Hospitalization Ratio for Admissions (r = .53, </w:t>
      </w:r>
      <w:r w:rsidR="007D668C">
        <w:rPr>
          <w:i/>
          <w:iCs/>
        </w:rPr>
        <w:t xml:space="preserve">p </w:t>
      </w:r>
      <w:r w:rsidR="007D668C">
        <w:t xml:space="preserve">&lt; .0001), the one-year Standardized Mortality Ratio (r = .19, </w:t>
      </w:r>
      <w:r w:rsidR="007D668C">
        <w:rPr>
          <w:i/>
          <w:iCs/>
        </w:rPr>
        <w:t xml:space="preserve">p </w:t>
      </w:r>
      <w:r w:rsidR="007D668C">
        <w:t xml:space="preserve">&lt; .0001), and catheter use (r = .11, </w:t>
      </w:r>
      <w:r w:rsidR="007D668C">
        <w:rPr>
          <w:i/>
          <w:iCs/>
        </w:rPr>
        <w:t xml:space="preserve">p </w:t>
      </w:r>
      <w:r w:rsidR="007D668C">
        <w:t xml:space="preserve">&lt; .0001). The SRR is negatively correlated with the percentage of patients having a Urea Reduction Ratio (URR) of at least 65% (r = -.05, </w:t>
      </w:r>
      <w:r w:rsidR="007D668C">
        <w:rPr>
          <w:i/>
          <w:iCs/>
        </w:rPr>
        <w:t xml:space="preserve">p </w:t>
      </w:r>
      <w:r w:rsidR="007D668C">
        <w:t xml:space="preserve">= .001) and using a fistula (r = -.09, </w:t>
      </w:r>
      <w:r w:rsidR="007D668C">
        <w:rPr>
          <w:i/>
          <w:iCs/>
        </w:rPr>
        <w:t xml:space="preserve">p </w:t>
      </w:r>
      <w:r w:rsidR="007D668C">
        <w:t>&lt; .0001).</w:t>
      </w:r>
    </w:p>
    <w:p w14:paraId="6EA041EE" w14:textId="584BE39E" w:rsidR="007D668C" w:rsidRDefault="007D668C" w:rsidP="00092566">
      <w:pPr>
        <w:autoSpaceDE w:val="0"/>
        <w:autoSpaceDN w:val="0"/>
        <w:adjustRightInd w:val="0"/>
        <w:spacing w:after="0" w:line="240" w:lineRule="auto"/>
      </w:pPr>
    </w:p>
    <w:p w14:paraId="7279071B" w14:textId="77777777" w:rsidR="004351AF" w:rsidRPr="00436343" w:rsidRDefault="004351AF" w:rsidP="00436343">
      <w:pPr>
        <w:spacing w:after="0"/>
        <w:rPr>
          <w:b/>
          <w:color w:val="C00000"/>
          <w:u w:val="single"/>
        </w:rPr>
      </w:pPr>
      <w:r w:rsidRPr="00436343">
        <w:rPr>
          <w:b/>
          <w:color w:val="C00000"/>
          <w:u w:val="single"/>
        </w:rPr>
        <w:t>2019 Submission</w:t>
      </w:r>
    </w:p>
    <w:p w14:paraId="72681CA8" w14:textId="54A37FDB" w:rsidR="007D668C" w:rsidRPr="00436343" w:rsidRDefault="00C74F48" w:rsidP="00092566">
      <w:pPr>
        <w:autoSpaceDE w:val="0"/>
        <w:autoSpaceDN w:val="0"/>
        <w:adjustRightInd w:val="0"/>
        <w:spacing w:after="0" w:line="240" w:lineRule="auto"/>
        <w:rPr>
          <w:color w:val="C00000"/>
        </w:rPr>
      </w:pPr>
      <w:r w:rsidRPr="00436343">
        <w:rPr>
          <w:color w:val="C00000"/>
        </w:rPr>
        <w:t xml:space="preserve">The measure is positively correlated with the one-year Standardized Hospitalization Ratio for Admissions (r = </w:t>
      </w:r>
      <w:r w:rsidR="008628DC" w:rsidRPr="00436343">
        <w:rPr>
          <w:color w:val="C00000"/>
        </w:rPr>
        <w:t>0</w:t>
      </w:r>
      <w:r w:rsidRPr="00436343">
        <w:rPr>
          <w:color w:val="C00000"/>
        </w:rPr>
        <w:t>.</w:t>
      </w:r>
      <w:r w:rsidR="00CB194E" w:rsidRPr="00436343">
        <w:rPr>
          <w:color w:val="C00000"/>
        </w:rPr>
        <w:t>39</w:t>
      </w:r>
      <w:r w:rsidRPr="00436343">
        <w:rPr>
          <w:color w:val="C00000"/>
        </w:rPr>
        <w:t xml:space="preserve">, </w:t>
      </w:r>
      <w:r w:rsidRPr="00436343">
        <w:rPr>
          <w:i/>
          <w:iCs/>
          <w:color w:val="C00000"/>
        </w:rPr>
        <w:t xml:space="preserve">p </w:t>
      </w:r>
      <w:r w:rsidRPr="00436343">
        <w:rPr>
          <w:color w:val="C00000"/>
        </w:rPr>
        <w:t xml:space="preserve">&lt; </w:t>
      </w:r>
      <w:r w:rsidR="008628DC" w:rsidRPr="00436343">
        <w:rPr>
          <w:color w:val="C00000"/>
        </w:rPr>
        <w:t>0</w:t>
      </w:r>
      <w:r w:rsidRPr="00436343">
        <w:rPr>
          <w:color w:val="C00000"/>
        </w:rPr>
        <w:t>.</w:t>
      </w:r>
      <w:r w:rsidR="00CB194E" w:rsidRPr="00436343">
        <w:rPr>
          <w:color w:val="C00000"/>
        </w:rPr>
        <w:t>0001</w:t>
      </w:r>
      <w:r w:rsidRPr="00436343">
        <w:rPr>
          <w:color w:val="C00000"/>
        </w:rPr>
        <w:t xml:space="preserve">), the Standardized Mortality Ratio (r = </w:t>
      </w:r>
      <w:r w:rsidR="008628DC" w:rsidRPr="00436343">
        <w:rPr>
          <w:color w:val="C00000"/>
        </w:rPr>
        <w:t>0</w:t>
      </w:r>
      <w:r w:rsidRPr="00436343">
        <w:rPr>
          <w:color w:val="C00000"/>
        </w:rPr>
        <w:t>.</w:t>
      </w:r>
      <w:r w:rsidR="00CB194E" w:rsidRPr="00436343">
        <w:rPr>
          <w:color w:val="C00000"/>
        </w:rPr>
        <w:t>10</w:t>
      </w:r>
      <w:r w:rsidRPr="00436343">
        <w:rPr>
          <w:color w:val="C00000"/>
        </w:rPr>
        <w:t xml:space="preserve">, </w:t>
      </w:r>
      <w:r w:rsidRPr="00436343">
        <w:rPr>
          <w:i/>
          <w:iCs/>
          <w:color w:val="C00000"/>
        </w:rPr>
        <w:t xml:space="preserve">p </w:t>
      </w:r>
      <w:r w:rsidRPr="00436343">
        <w:rPr>
          <w:color w:val="C00000"/>
        </w:rPr>
        <w:t xml:space="preserve">&lt; </w:t>
      </w:r>
      <w:r w:rsidR="008628DC" w:rsidRPr="00436343">
        <w:rPr>
          <w:color w:val="C00000"/>
        </w:rPr>
        <w:t>0</w:t>
      </w:r>
      <w:r w:rsidRPr="00436343">
        <w:rPr>
          <w:color w:val="C00000"/>
        </w:rPr>
        <w:t>.</w:t>
      </w:r>
      <w:r w:rsidR="00CB194E" w:rsidRPr="00436343">
        <w:rPr>
          <w:color w:val="C00000"/>
        </w:rPr>
        <w:t>0001</w:t>
      </w:r>
      <w:r w:rsidRPr="00436343">
        <w:rPr>
          <w:color w:val="C00000"/>
        </w:rPr>
        <w:t xml:space="preserve">), and </w:t>
      </w:r>
      <w:r w:rsidR="00CB194E" w:rsidRPr="00436343">
        <w:rPr>
          <w:color w:val="C00000"/>
        </w:rPr>
        <w:t xml:space="preserve">long term </w:t>
      </w:r>
      <w:r w:rsidRPr="00436343">
        <w:rPr>
          <w:color w:val="C00000"/>
        </w:rPr>
        <w:t xml:space="preserve">catheter use (r = </w:t>
      </w:r>
      <w:r w:rsidR="008628DC" w:rsidRPr="00436343">
        <w:rPr>
          <w:color w:val="C00000"/>
        </w:rPr>
        <w:t>0</w:t>
      </w:r>
      <w:r w:rsidRPr="00436343">
        <w:rPr>
          <w:color w:val="C00000"/>
        </w:rPr>
        <w:t>.</w:t>
      </w:r>
      <w:r w:rsidR="00CB194E" w:rsidRPr="00436343">
        <w:rPr>
          <w:color w:val="C00000"/>
        </w:rPr>
        <w:t>04</w:t>
      </w:r>
      <w:r w:rsidRPr="00436343">
        <w:rPr>
          <w:color w:val="C00000"/>
        </w:rPr>
        <w:t xml:space="preserve">, </w:t>
      </w:r>
      <w:r w:rsidRPr="00436343">
        <w:rPr>
          <w:i/>
          <w:iCs/>
          <w:color w:val="C00000"/>
        </w:rPr>
        <w:t xml:space="preserve">p </w:t>
      </w:r>
      <w:r w:rsidR="00CB194E" w:rsidRPr="00436343">
        <w:rPr>
          <w:color w:val="C00000"/>
        </w:rPr>
        <w:t>=</w:t>
      </w:r>
      <w:r w:rsidRPr="00436343">
        <w:rPr>
          <w:color w:val="C00000"/>
        </w:rPr>
        <w:t xml:space="preserve"> </w:t>
      </w:r>
      <w:r w:rsidR="008628DC" w:rsidRPr="00436343">
        <w:rPr>
          <w:color w:val="C00000"/>
        </w:rPr>
        <w:t>0</w:t>
      </w:r>
      <w:r w:rsidRPr="00436343">
        <w:rPr>
          <w:color w:val="C00000"/>
        </w:rPr>
        <w:t>.</w:t>
      </w:r>
      <w:r w:rsidR="00CB194E" w:rsidRPr="00436343">
        <w:rPr>
          <w:color w:val="C00000"/>
        </w:rPr>
        <w:t>0006</w:t>
      </w:r>
      <w:r w:rsidRPr="00436343">
        <w:rPr>
          <w:color w:val="C00000"/>
        </w:rPr>
        <w:t xml:space="preserve">). The SRR is negatively correlated with the </w:t>
      </w:r>
      <w:r w:rsidR="008628DC" w:rsidRPr="00436343">
        <w:rPr>
          <w:color w:val="C00000"/>
        </w:rPr>
        <w:t>rate</w:t>
      </w:r>
      <w:r w:rsidRPr="00436343">
        <w:rPr>
          <w:color w:val="C00000"/>
        </w:rPr>
        <w:t xml:space="preserve"> of patients using a fistula (r = -</w:t>
      </w:r>
      <w:r w:rsidR="008628DC" w:rsidRPr="00436343">
        <w:rPr>
          <w:color w:val="C00000"/>
        </w:rPr>
        <w:t>0</w:t>
      </w:r>
      <w:r w:rsidRPr="00436343">
        <w:rPr>
          <w:color w:val="C00000"/>
        </w:rPr>
        <w:t>.</w:t>
      </w:r>
      <w:r w:rsidR="00CB194E" w:rsidRPr="00436343">
        <w:rPr>
          <w:color w:val="C00000"/>
        </w:rPr>
        <w:t>06</w:t>
      </w:r>
      <w:r w:rsidRPr="00436343">
        <w:rPr>
          <w:color w:val="C00000"/>
        </w:rPr>
        <w:t xml:space="preserve">, </w:t>
      </w:r>
      <w:r w:rsidRPr="00436343">
        <w:rPr>
          <w:i/>
          <w:iCs/>
          <w:color w:val="C00000"/>
        </w:rPr>
        <w:t xml:space="preserve">p </w:t>
      </w:r>
      <w:r w:rsidRPr="00436343">
        <w:rPr>
          <w:color w:val="C00000"/>
        </w:rPr>
        <w:t xml:space="preserve">&lt; </w:t>
      </w:r>
      <w:r w:rsidR="008628DC" w:rsidRPr="00436343">
        <w:rPr>
          <w:color w:val="C00000"/>
        </w:rPr>
        <w:t>0</w:t>
      </w:r>
      <w:r w:rsidRPr="00436343">
        <w:rPr>
          <w:color w:val="C00000"/>
        </w:rPr>
        <w:t>.</w:t>
      </w:r>
      <w:r w:rsidR="00CB194E" w:rsidRPr="00436343">
        <w:rPr>
          <w:color w:val="C00000"/>
        </w:rPr>
        <w:t>0001</w:t>
      </w:r>
      <w:r w:rsidRPr="00436343">
        <w:rPr>
          <w:color w:val="C00000"/>
        </w:rPr>
        <w:t>).</w:t>
      </w:r>
      <w:r w:rsidR="006C182E">
        <w:rPr>
          <w:color w:val="C00000"/>
        </w:rPr>
        <w:t xml:space="preserve"> </w:t>
      </w:r>
    </w:p>
    <w:p w14:paraId="26FDAF98" w14:textId="77777777" w:rsidR="00C74F48" w:rsidRPr="00092566" w:rsidRDefault="00C74F48" w:rsidP="00092566">
      <w:pPr>
        <w:autoSpaceDE w:val="0"/>
        <w:autoSpaceDN w:val="0"/>
        <w:adjustRightInd w:val="0"/>
        <w:spacing w:after="0" w:line="240" w:lineRule="auto"/>
        <w:rPr>
          <w:rFonts w:cstheme="minorHAnsi"/>
          <w:bCs/>
        </w:rPr>
      </w:pPr>
    </w:p>
    <w:p w14:paraId="0E10891D" w14:textId="77777777" w:rsidR="007D668C" w:rsidRDefault="009C7513" w:rsidP="007D668C">
      <w:pPr>
        <w:pStyle w:val="Default"/>
        <w:rPr>
          <w:sz w:val="22"/>
          <w:szCs w:val="22"/>
        </w:rPr>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334ED0DD" w14:textId="288D6E35" w:rsidR="007D668C" w:rsidRDefault="007D668C" w:rsidP="007D668C">
      <w:pPr>
        <w:pStyle w:val="Default"/>
        <w:rPr>
          <w:sz w:val="22"/>
          <w:szCs w:val="22"/>
        </w:rPr>
      </w:pPr>
      <w:r>
        <w:rPr>
          <w:sz w:val="22"/>
          <w:szCs w:val="22"/>
        </w:rPr>
        <w:t>The SRR is a measure of hospital use, comprising many causes of hospitalization. The TEP considered</w:t>
      </w:r>
      <w:r>
        <w:t xml:space="preserve"> </w:t>
      </w:r>
      <w:r>
        <w:rPr>
          <w:sz w:val="22"/>
          <w:szCs w:val="22"/>
        </w:rPr>
        <w:t xml:space="preserve">devising cause-specific SRRs but recommended the use of overall SRR measures due to various reasons, including the lack of clear consensus on which causes are modifiable by the dialysis facility and concerns about gaming the system if certain conditions are identified. </w:t>
      </w:r>
    </w:p>
    <w:p w14:paraId="54C9BC5F" w14:textId="77777777" w:rsidR="007D668C" w:rsidRDefault="007D668C" w:rsidP="007D668C">
      <w:pPr>
        <w:pStyle w:val="Default"/>
        <w:rPr>
          <w:sz w:val="22"/>
          <w:szCs w:val="22"/>
        </w:rPr>
      </w:pPr>
    </w:p>
    <w:p w14:paraId="71AF8892" w14:textId="1DE0DBE2" w:rsidR="007D668C" w:rsidRDefault="007D668C" w:rsidP="007D668C">
      <w:pPr>
        <w:pStyle w:val="Default"/>
        <w:rPr>
          <w:sz w:val="22"/>
          <w:szCs w:val="22"/>
        </w:rPr>
      </w:pPr>
      <w:r>
        <w:rPr>
          <w:sz w:val="22"/>
          <w:szCs w:val="22"/>
        </w:rPr>
        <w:t xml:space="preserve">The face validity of the SRR measure is also supported by its association with other known quality measures, which include both dialysis facility outcomes and practices. Higher values of SRR are associated with higher rates of hospitalization and mortality. The SRR is also correlated with other quality measures (listed above), although the correlations are small. </w:t>
      </w:r>
    </w:p>
    <w:p w14:paraId="566024FF" w14:textId="77777777" w:rsidR="007D668C" w:rsidRDefault="007D668C" w:rsidP="007D668C">
      <w:pPr>
        <w:pStyle w:val="Default"/>
        <w:rPr>
          <w:sz w:val="22"/>
          <w:szCs w:val="22"/>
        </w:rPr>
      </w:pPr>
    </w:p>
    <w:p w14:paraId="76174485" w14:textId="77777777" w:rsidR="007D668C" w:rsidRDefault="007D668C" w:rsidP="007D668C">
      <w:pPr>
        <w:pStyle w:val="Default"/>
        <w:rPr>
          <w:sz w:val="22"/>
          <w:szCs w:val="22"/>
        </w:rPr>
      </w:pPr>
      <w:r>
        <w:rPr>
          <w:sz w:val="22"/>
          <w:szCs w:val="22"/>
        </w:rPr>
        <w:t xml:space="preserve">In general terms, many TEP members agreed with the rationale for pursuing a readmission measure in the context of dialysis facilities, and that such a measure could help to promote shared accountability and continuity of care as dialysis patients are discharged from acute care hospitals. There were, however, two general points regarding validity that were raised and emphasized by TEP members in discussion, both at the in-person meeting and subsequently. First, several TEP members felt that it was important that the measure be adjusted for physician(s) also providing care for the patient. Second, some TEP members felt that the denominator based on the number of discharges was inappropriate and that the measure should make reference to the total number of patients under care at the facility. For the former point, </w:t>
      </w:r>
      <w:r>
        <w:rPr>
          <w:sz w:val="20"/>
          <w:szCs w:val="20"/>
        </w:rPr>
        <w:t>it is CMS’ view that dialysis facilities should be encouraged to coordinate with the nephrologists and other physicians with whom they work to reduce readmissions. W</w:t>
      </w:r>
      <w:r>
        <w:rPr>
          <w:sz w:val="22"/>
          <w:szCs w:val="22"/>
        </w:rPr>
        <w:t xml:space="preserve">e note that it is difficult to determine a unique physician associated with a discharge that could be used for adjustment, and in many cases, patients are being attended to by several physicians. It was also noted that adjustment for physician, even if possible, would mean that this measure did not harmonize in an important way with other ESRD (and general health care) measures approved by NQF and in use. It was therefore decided not to attempt any adjustment of this sort at the present time. The latter concern recognizes difficulties that arise with a random denominator. For example, a facility with a very low overall hospital utilization may, nonetheless have a high rate of readmissions. The interpretation and use of the readmission measure on its own could therefore be misleading. This issue is also discussed in the material on pairing of measures (see De.4 in the Readmission Measure Specifications), where it is noted that the Standardized Hospitalization Ratio (SHR) and the SRR should be considered together. The SHR measure appropriately reflects the level of hospital usage among patients treated by the facility with the number of patients at the facility as the reference. The SRR, on the other hand, is looking specifically at the readmission process and provides additional insight into facility outcomes, an insight that might often help to promote shared accountability between hospitals and dialysis facilities. Furthermore the empirical correlation between SHR and SRR is about 0.5, reflecting that both measures are somewhat related but not to the extent of redundancy. </w:t>
      </w:r>
    </w:p>
    <w:p w14:paraId="693E0386" w14:textId="77777777" w:rsidR="007D668C" w:rsidRDefault="007D668C" w:rsidP="00DB3627">
      <w:pPr>
        <w:autoSpaceDE w:val="0"/>
        <w:autoSpaceDN w:val="0"/>
        <w:adjustRightInd w:val="0"/>
        <w:spacing w:after="0" w:line="240" w:lineRule="auto"/>
        <w:rPr>
          <w:rFonts w:cstheme="minorHAnsi"/>
          <w:bCs/>
        </w:rPr>
      </w:pPr>
    </w:p>
    <w:p w14:paraId="0E59B2AF" w14:textId="77777777" w:rsidR="007D668C" w:rsidRDefault="007D668C" w:rsidP="00DB3627">
      <w:pPr>
        <w:autoSpaceDE w:val="0"/>
        <w:autoSpaceDN w:val="0"/>
        <w:adjustRightInd w:val="0"/>
        <w:spacing w:after="0" w:line="240" w:lineRule="auto"/>
        <w:rPr>
          <w:rFonts w:cstheme="minorHAnsi"/>
          <w:bCs/>
        </w:rPr>
      </w:pPr>
    </w:p>
    <w:p w14:paraId="07DBD025" w14:textId="77777777" w:rsidR="004351AF" w:rsidRPr="00436343" w:rsidRDefault="004351AF" w:rsidP="004351AF">
      <w:pPr>
        <w:rPr>
          <w:b/>
          <w:color w:val="C00000"/>
          <w:u w:val="single"/>
        </w:rPr>
      </w:pPr>
      <w:r w:rsidRPr="00436343">
        <w:rPr>
          <w:b/>
          <w:color w:val="C00000"/>
          <w:u w:val="single"/>
        </w:rPr>
        <w:t>2019 Submission</w:t>
      </w:r>
    </w:p>
    <w:p w14:paraId="06D6B9F9" w14:textId="77777777" w:rsidR="00D20E6F" w:rsidRPr="00436343" w:rsidRDefault="00D20E6F" w:rsidP="00D20E6F">
      <w:pPr>
        <w:pStyle w:val="Default"/>
        <w:rPr>
          <w:color w:val="C00000"/>
          <w:sz w:val="22"/>
          <w:szCs w:val="22"/>
        </w:rPr>
      </w:pPr>
      <w:r w:rsidRPr="00436343">
        <w:rPr>
          <w:color w:val="C00000"/>
          <w:sz w:val="22"/>
          <w:szCs w:val="22"/>
        </w:rPr>
        <w:t>The SRR is a measure of hospital use, comprising many causes of hospitalization. The TEP considered</w:t>
      </w:r>
      <w:r w:rsidRPr="00436343">
        <w:rPr>
          <w:color w:val="C00000"/>
        </w:rPr>
        <w:t xml:space="preserve"> </w:t>
      </w:r>
      <w:r w:rsidRPr="00436343">
        <w:rPr>
          <w:color w:val="C00000"/>
          <w:sz w:val="22"/>
          <w:szCs w:val="22"/>
        </w:rPr>
        <w:t xml:space="preserve">devising cause-specific SRRs but recommended the use of overall SRR measures due to various reasons, including the lack of clear consensus on which causes are modifiable by the dialysis facility and concerns about gaming the system if certain conditions are identified. </w:t>
      </w:r>
    </w:p>
    <w:p w14:paraId="76A9302A" w14:textId="77777777" w:rsidR="00D20E6F" w:rsidRPr="00436343" w:rsidRDefault="00D20E6F" w:rsidP="00D20E6F">
      <w:pPr>
        <w:pStyle w:val="Default"/>
        <w:rPr>
          <w:color w:val="C00000"/>
          <w:sz w:val="22"/>
          <w:szCs w:val="22"/>
        </w:rPr>
      </w:pPr>
    </w:p>
    <w:p w14:paraId="53A9A9A0" w14:textId="102AF351" w:rsidR="00D20E6F" w:rsidRPr="00436343" w:rsidRDefault="00D20E6F" w:rsidP="00D20E6F">
      <w:pPr>
        <w:pStyle w:val="Default"/>
        <w:rPr>
          <w:color w:val="C00000"/>
          <w:sz w:val="22"/>
          <w:szCs w:val="22"/>
        </w:rPr>
      </w:pPr>
      <w:r w:rsidRPr="00436343">
        <w:rPr>
          <w:color w:val="C00000"/>
          <w:sz w:val="22"/>
          <w:szCs w:val="22"/>
        </w:rPr>
        <w:t xml:space="preserve">The validity of the SRR measure is also supported by its association with other known quality measures, which include both dialysis facility outcomes and practices. Higher values of SRR are associated with higher rates of hospitalization and mortality. The SRR is also correlated with other quality measures (listed above), although the correlations are small. </w:t>
      </w:r>
      <w:r w:rsidR="00665D55">
        <w:rPr>
          <w:color w:val="C00000"/>
          <w:sz w:val="22"/>
          <w:szCs w:val="22"/>
        </w:rPr>
        <w:t xml:space="preserve">The interpretation of the face validity garnered from the 2012 TEP described in the previous submission (above) carries forward to this submission. </w:t>
      </w:r>
    </w:p>
    <w:p w14:paraId="2EDD4E65" w14:textId="77777777" w:rsidR="00D20E6F" w:rsidRPr="00436343" w:rsidRDefault="00D20E6F" w:rsidP="00D20E6F">
      <w:pPr>
        <w:pStyle w:val="Default"/>
        <w:rPr>
          <w:color w:val="C00000"/>
          <w:sz w:val="22"/>
          <w:szCs w:val="22"/>
        </w:rPr>
      </w:pPr>
    </w:p>
    <w:p w14:paraId="0CABCFE0" w14:textId="4C1BD3F5"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r w:rsidR="007D668C">
        <w:rPr>
          <w:rFonts w:cstheme="minorHAnsi"/>
          <w:bCs/>
        </w:rPr>
        <w:t xml:space="preserve"> </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EFBE42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57DB5B9D" w14:textId="77777777" w:rsidR="000D2E60" w:rsidRDefault="000D2E60" w:rsidP="000D2E60">
      <w:pPr>
        <w:pStyle w:val="Default"/>
        <w:rPr>
          <w:sz w:val="22"/>
          <w:szCs w:val="22"/>
        </w:rPr>
      </w:pPr>
      <w:r>
        <w:rPr>
          <w:sz w:val="22"/>
          <w:szCs w:val="22"/>
        </w:rPr>
        <w:t>In the process of developing the measure of 30-day unplanned readmissions in dialysis facilities, we exclude planned readmissions from the numerator (</w:t>
      </w:r>
      <w:r>
        <w:rPr>
          <w:i/>
          <w:iCs/>
          <w:sz w:val="22"/>
          <w:szCs w:val="22"/>
        </w:rPr>
        <w:t xml:space="preserve">n </w:t>
      </w:r>
      <w:r>
        <w:rPr>
          <w:sz w:val="22"/>
          <w:szCs w:val="22"/>
        </w:rPr>
        <w:t xml:space="preserve">= 49,639). For details on how we determined a readmission’s status as planned, please see the Appendix. </w:t>
      </w:r>
    </w:p>
    <w:p w14:paraId="15568695" w14:textId="77777777" w:rsidR="000D2E60" w:rsidRDefault="000D2E60" w:rsidP="000D2E60">
      <w:pPr>
        <w:pStyle w:val="Default"/>
        <w:rPr>
          <w:sz w:val="22"/>
          <w:szCs w:val="22"/>
        </w:rPr>
      </w:pPr>
      <w:r>
        <w:rPr>
          <w:sz w:val="22"/>
          <w:szCs w:val="22"/>
        </w:rPr>
        <w:t xml:space="preserve">We further exclude the following hospital discharges from the denominator: </w:t>
      </w:r>
    </w:p>
    <w:p w14:paraId="0CABCFE5" w14:textId="3524CA45" w:rsidR="00833325" w:rsidRDefault="000D2E60" w:rsidP="000D2E60">
      <w:pPr>
        <w:pStyle w:val="ListParagraph"/>
        <w:numPr>
          <w:ilvl w:val="0"/>
          <w:numId w:val="32"/>
        </w:numPr>
        <w:autoSpaceDE w:val="0"/>
        <w:autoSpaceDN w:val="0"/>
        <w:adjustRightInd w:val="0"/>
        <w:spacing w:after="0" w:line="240" w:lineRule="auto"/>
      </w:pPr>
      <w:r>
        <w:t>Not a live discharge</w:t>
      </w:r>
    </w:p>
    <w:p w14:paraId="2C00D4AD" w14:textId="079697FE" w:rsidR="000D2E60" w:rsidRDefault="000D2E60" w:rsidP="000D2E60">
      <w:pPr>
        <w:pStyle w:val="Default"/>
        <w:numPr>
          <w:ilvl w:val="0"/>
          <w:numId w:val="32"/>
        </w:numPr>
        <w:rPr>
          <w:sz w:val="22"/>
          <w:szCs w:val="22"/>
        </w:rPr>
      </w:pPr>
      <w:r>
        <w:rPr>
          <w:sz w:val="22"/>
          <w:szCs w:val="22"/>
        </w:rPr>
        <w:t xml:space="preserve">Result in a patient dying within 30 days with no readmission </w:t>
      </w:r>
    </w:p>
    <w:p w14:paraId="36EBC73E" w14:textId="37519130" w:rsidR="000D2E60" w:rsidRDefault="000D2E60" w:rsidP="000D2E60">
      <w:pPr>
        <w:pStyle w:val="Default"/>
        <w:numPr>
          <w:ilvl w:val="0"/>
          <w:numId w:val="32"/>
        </w:numPr>
        <w:rPr>
          <w:sz w:val="22"/>
          <w:szCs w:val="22"/>
        </w:rPr>
      </w:pPr>
      <w:r>
        <w:rPr>
          <w:sz w:val="22"/>
          <w:szCs w:val="22"/>
        </w:rPr>
        <w:t xml:space="preserve">Are against medical advice </w:t>
      </w:r>
    </w:p>
    <w:p w14:paraId="0E475990" w14:textId="4F3BB4D4" w:rsidR="000D2E60" w:rsidRDefault="000D2E60" w:rsidP="000D2E60">
      <w:pPr>
        <w:pStyle w:val="Default"/>
        <w:numPr>
          <w:ilvl w:val="0"/>
          <w:numId w:val="32"/>
        </w:numPr>
        <w:rPr>
          <w:sz w:val="22"/>
          <w:szCs w:val="22"/>
        </w:rPr>
      </w:pPr>
      <w:r>
        <w:rPr>
          <w:sz w:val="22"/>
          <w:szCs w:val="22"/>
        </w:rPr>
        <w:t xml:space="preserve">Include a primary diagnosis for cancer, mental health or rehabilitation </w:t>
      </w:r>
    </w:p>
    <w:p w14:paraId="62439A17" w14:textId="4095136A" w:rsidR="000D2E60" w:rsidRDefault="000D2E60" w:rsidP="000D2E60">
      <w:pPr>
        <w:pStyle w:val="Default"/>
        <w:numPr>
          <w:ilvl w:val="0"/>
          <w:numId w:val="32"/>
        </w:numPr>
        <w:rPr>
          <w:sz w:val="22"/>
          <w:szCs w:val="22"/>
        </w:rPr>
      </w:pPr>
      <w:r>
        <w:rPr>
          <w:sz w:val="22"/>
          <w:szCs w:val="22"/>
        </w:rPr>
        <w:t xml:space="preserve">Are from a PPS-exempt cancer hospital </w:t>
      </w:r>
    </w:p>
    <w:p w14:paraId="567B47B6" w14:textId="3216A0A7" w:rsidR="000D2E60" w:rsidRDefault="000D2E60" w:rsidP="000D2E60">
      <w:pPr>
        <w:pStyle w:val="Default"/>
        <w:numPr>
          <w:ilvl w:val="0"/>
          <w:numId w:val="32"/>
        </w:numPr>
        <w:rPr>
          <w:sz w:val="22"/>
          <w:szCs w:val="22"/>
        </w:rPr>
      </w:pPr>
      <w:r>
        <w:rPr>
          <w:sz w:val="22"/>
          <w:szCs w:val="22"/>
        </w:rPr>
        <w:t xml:space="preserve">Result in a transfer to another hospital on the same day </w:t>
      </w:r>
    </w:p>
    <w:p w14:paraId="1A185521" w14:textId="3354B678" w:rsidR="000D2E60" w:rsidRPr="000D2E60" w:rsidRDefault="000D2E60" w:rsidP="000D2E60">
      <w:pPr>
        <w:pStyle w:val="ListParagraph"/>
        <w:numPr>
          <w:ilvl w:val="0"/>
          <w:numId w:val="32"/>
        </w:numPr>
        <w:autoSpaceDE w:val="0"/>
        <w:autoSpaceDN w:val="0"/>
        <w:adjustRightInd w:val="0"/>
        <w:spacing w:after="0" w:line="240" w:lineRule="auto"/>
        <w:rPr>
          <w:rFonts w:cstheme="minorHAnsi"/>
          <w:bCs/>
        </w:rPr>
      </w:pPr>
      <w:r>
        <w:t>Occur after a patient’s 12th admission in the calendar year</w:t>
      </w:r>
    </w:p>
    <w:p w14:paraId="53E8E725" w14:textId="3DFC0E33" w:rsidR="000D2E60" w:rsidRDefault="000D2E60" w:rsidP="000D2E60">
      <w:pPr>
        <w:autoSpaceDE w:val="0"/>
        <w:autoSpaceDN w:val="0"/>
        <w:adjustRightInd w:val="0"/>
        <w:spacing w:after="0" w:line="240" w:lineRule="auto"/>
        <w:rPr>
          <w:rFonts w:cstheme="minorHAnsi"/>
          <w:bCs/>
        </w:rPr>
      </w:pPr>
    </w:p>
    <w:p w14:paraId="51F936FA" w14:textId="77777777" w:rsidR="000D2E60" w:rsidRDefault="000D2E60" w:rsidP="000D2E60">
      <w:pPr>
        <w:pStyle w:val="Default"/>
        <w:rPr>
          <w:sz w:val="22"/>
          <w:szCs w:val="22"/>
        </w:rPr>
      </w:pPr>
      <w:r>
        <w:rPr>
          <w:sz w:val="22"/>
          <w:szCs w:val="22"/>
        </w:rPr>
        <w:t xml:space="preserve">The numerator exclusion and first six denominator exclusions are aligned with CMS’ Hospital-Wide All-Cause readmission measure. We additionally excluded discharge records following a patient’s 12th admission in response to concerns from some members of the TEP held in May 2012 for this measure. Specifically, it was felt that frequently hospitalized patients would unfairly penalize smaller facilities by inflating their facility’s SRR. This concern is relevant in the context of the measure’s potential applications, which are to identify poor-performing facilities for quality improvement purposes. In the context of dialysis facilities, 2.8% of discharges were followed by a death within 30 days with no readmission (corresponding to exclusion #2 above). This measure concentrates on readmissions, but a complementary measure reflecting mortality within 30 days of discharge might be considered. </w:t>
      </w:r>
    </w:p>
    <w:p w14:paraId="60BF05BC" w14:textId="77777777" w:rsidR="000D2E60" w:rsidRDefault="000D2E60" w:rsidP="000D2E60">
      <w:pPr>
        <w:pStyle w:val="Default"/>
        <w:rPr>
          <w:sz w:val="22"/>
          <w:szCs w:val="22"/>
        </w:rPr>
      </w:pPr>
      <w:r>
        <w:rPr>
          <w:sz w:val="22"/>
          <w:szCs w:val="22"/>
        </w:rPr>
        <w:t xml:space="preserve">In addition, the first and sixth exclusion criteria cannot result in a readmission and so are not relevant to a readmission statistic. </w:t>
      </w:r>
    </w:p>
    <w:p w14:paraId="09B99605" w14:textId="2A4C6C30" w:rsidR="000D2E60" w:rsidRDefault="000D2E60" w:rsidP="000D2E60">
      <w:pPr>
        <w:autoSpaceDE w:val="0"/>
        <w:autoSpaceDN w:val="0"/>
        <w:adjustRightInd w:val="0"/>
        <w:spacing w:after="0" w:line="240" w:lineRule="auto"/>
      </w:pPr>
      <w:r>
        <w:t>We determined the cut point (cap) for admissions by examining the distribution of the number of readmissions per patient. We compared SRRs with and without the admission cap to determine the extent to which the measure changed with the exclusion.</w:t>
      </w:r>
    </w:p>
    <w:p w14:paraId="50DF3C43" w14:textId="03ADE8E8" w:rsidR="000D2E60" w:rsidRDefault="000D2E60" w:rsidP="000D2E60">
      <w:pPr>
        <w:autoSpaceDE w:val="0"/>
        <w:autoSpaceDN w:val="0"/>
        <w:adjustRightInd w:val="0"/>
        <w:spacing w:after="0" w:line="240" w:lineRule="auto"/>
      </w:pPr>
    </w:p>
    <w:p w14:paraId="1A4E2711" w14:textId="77777777" w:rsidR="004351AF" w:rsidRPr="00436343" w:rsidRDefault="004351AF" w:rsidP="004351AF">
      <w:pPr>
        <w:rPr>
          <w:b/>
          <w:color w:val="C00000"/>
          <w:u w:val="single"/>
        </w:rPr>
      </w:pPr>
      <w:r w:rsidRPr="00436343">
        <w:rPr>
          <w:b/>
          <w:color w:val="C00000"/>
          <w:u w:val="single"/>
        </w:rPr>
        <w:t>2019 Submission</w:t>
      </w:r>
    </w:p>
    <w:p w14:paraId="491258E6" w14:textId="6268A3A1" w:rsidR="001362D0" w:rsidRPr="00436343" w:rsidRDefault="001362D0" w:rsidP="001362D0">
      <w:pPr>
        <w:pStyle w:val="Default"/>
        <w:rPr>
          <w:color w:val="C00000"/>
          <w:sz w:val="22"/>
          <w:szCs w:val="22"/>
        </w:rPr>
      </w:pPr>
      <w:r w:rsidRPr="00436343">
        <w:rPr>
          <w:color w:val="C00000"/>
          <w:sz w:val="22"/>
          <w:szCs w:val="22"/>
        </w:rPr>
        <w:t>In the process of developing the measure of 30-day unplanned readmissions in dialysis facilities, we exclude planned readmissions from the numerator (</w:t>
      </w:r>
      <w:r w:rsidRPr="00436343">
        <w:rPr>
          <w:i/>
          <w:iCs/>
          <w:color w:val="C00000"/>
          <w:sz w:val="22"/>
          <w:szCs w:val="22"/>
        </w:rPr>
        <w:t xml:space="preserve">n </w:t>
      </w:r>
      <w:r w:rsidRPr="00436343">
        <w:rPr>
          <w:color w:val="C00000"/>
          <w:sz w:val="22"/>
          <w:szCs w:val="22"/>
        </w:rPr>
        <w:t xml:space="preserve">= </w:t>
      </w:r>
      <w:r w:rsidR="00E26A04" w:rsidRPr="00436343">
        <w:rPr>
          <w:color w:val="C00000"/>
          <w:sz w:val="22"/>
          <w:szCs w:val="22"/>
        </w:rPr>
        <w:t>12,523</w:t>
      </w:r>
      <w:r w:rsidRPr="00436343">
        <w:rPr>
          <w:color w:val="C00000"/>
          <w:sz w:val="22"/>
          <w:szCs w:val="22"/>
        </w:rPr>
        <w:t xml:space="preserve">). For details on how we determined a readmission’s status as planned, please see the Appendix. </w:t>
      </w:r>
    </w:p>
    <w:p w14:paraId="5FE95E72" w14:textId="5A05854B" w:rsidR="001362D0" w:rsidRPr="00436343" w:rsidRDefault="001362D0" w:rsidP="001362D0">
      <w:pPr>
        <w:pStyle w:val="Default"/>
        <w:rPr>
          <w:color w:val="C00000"/>
          <w:sz w:val="22"/>
          <w:szCs w:val="22"/>
        </w:rPr>
      </w:pPr>
      <w:r w:rsidRPr="00436343">
        <w:rPr>
          <w:color w:val="C00000"/>
          <w:sz w:val="22"/>
          <w:szCs w:val="22"/>
        </w:rPr>
        <w:t>We further exclude the following hospital discharges from the denominator</w:t>
      </w:r>
      <w:r w:rsidR="00D11EE6" w:rsidRPr="00436343">
        <w:rPr>
          <w:color w:val="C00000"/>
          <w:sz w:val="22"/>
          <w:szCs w:val="22"/>
        </w:rPr>
        <w:t xml:space="preserve"> using the below criteria</w:t>
      </w:r>
      <w:r w:rsidRPr="00436343">
        <w:rPr>
          <w:color w:val="C00000"/>
          <w:sz w:val="22"/>
          <w:szCs w:val="22"/>
        </w:rPr>
        <w:t xml:space="preserve">: </w:t>
      </w:r>
    </w:p>
    <w:p w14:paraId="54D0C0E7" w14:textId="7A9894D1" w:rsidR="001362D0" w:rsidRPr="00436343" w:rsidRDefault="001362D0" w:rsidP="001362D0">
      <w:pPr>
        <w:pStyle w:val="ListParagraph"/>
        <w:numPr>
          <w:ilvl w:val="0"/>
          <w:numId w:val="39"/>
        </w:numPr>
        <w:autoSpaceDE w:val="0"/>
        <w:autoSpaceDN w:val="0"/>
        <w:adjustRightInd w:val="0"/>
        <w:spacing w:after="0" w:line="240" w:lineRule="auto"/>
        <w:rPr>
          <w:color w:val="C00000"/>
        </w:rPr>
      </w:pPr>
      <w:r w:rsidRPr="00436343">
        <w:rPr>
          <w:color w:val="C00000"/>
        </w:rPr>
        <w:t>Associated with a stay of 365 days or longer</w:t>
      </w:r>
    </w:p>
    <w:p w14:paraId="50159B8D" w14:textId="3D285895" w:rsidR="001362D0" w:rsidRPr="00436343" w:rsidRDefault="00FC0999" w:rsidP="001362D0">
      <w:pPr>
        <w:pStyle w:val="Default"/>
        <w:numPr>
          <w:ilvl w:val="0"/>
          <w:numId w:val="39"/>
        </w:numPr>
        <w:rPr>
          <w:color w:val="C00000"/>
          <w:sz w:val="22"/>
          <w:szCs w:val="22"/>
        </w:rPr>
      </w:pPr>
      <w:r>
        <w:rPr>
          <w:color w:val="C00000"/>
          <w:sz w:val="22"/>
          <w:szCs w:val="22"/>
        </w:rPr>
        <w:t>Are a</w:t>
      </w:r>
      <w:r w:rsidR="001362D0" w:rsidRPr="00436343">
        <w:rPr>
          <w:color w:val="C00000"/>
          <w:sz w:val="22"/>
          <w:szCs w:val="22"/>
        </w:rPr>
        <w:t xml:space="preserve">gainst medical advice </w:t>
      </w:r>
    </w:p>
    <w:p w14:paraId="67FD43D7" w14:textId="6E880F4B" w:rsidR="001362D0" w:rsidRDefault="001362D0" w:rsidP="001362D0">
      <w:pPr>
        <w:pStyle w:val="Default"/>
        <w:numPr>
          <w:ilvl w:val="0"/>
          <w:numId w:val="39"/>
        </w:numPr>
        <w:rPr>
          <w:color w:val="C00000"/>
          <w:sz w:val="22"/>
          <w:szCs w:val="22"/>
        </w:rPr>
      </w:pPr>
      <w:r w:rsidRPr="00436343">
        <w:rPr>
          <w:color w:val="C00000"/>
          <w:sz w:val="22"/>
          <w:szCs w:val="22"/>
        </w:rPr>
        <w:t xml:space="preserve">Include a primary diagnosis </w:t>
      </w:r>
      <w:r w:rsidR="00FC0999">
        <w:rPr>
          <w:color w:val="C00000"/>
          <w:sz w:val="22"/>
          <w:szCs w:val="22"/>
        </w:rPr>
        <w:t>of</w:t>
      </w:r>
      <w:r w:rsidRPr="00436343">
        <w:rPr>
          <w:color w:val="C00000"/>
          <w:sz w:val="22"/>
          <w:szCs w:val="22"/>
        </w:rPr>
        <w:t xml:space="preserve"> cancer, mental health or rehabilitation </w:t>
      </w:r>
    </w:p>
    <w:p w14:paraId="74BF9D44" w14:textId="7DBAEEE6" w:rsidR="00FC0999" w:rsidRPr="00436343" w:rsidRDefault="00FC0999" w:rsidP="001362D0">
      <w:pPr>
        <w:pStyle w:val="Default"/>
        <w:numPr>
          <w:ilvl w:val="0"/>
          <w:numId w:val="39"/>
        </w:numPr>
        <w:rPr>
          <w:color w:val="C00000"/>
          <w:sz w:val="22"/>
          <w:szCs w:val="22"/>
        </w:rPr>
      </w:pPr>
      <w:r>
        <w:rPr>
          <w:color w:val="C00000"/>
          <w:sz w:val="22"/>
          <w:szCs w:val="22"/>
        </w:rPr>
        <w:t>Include revenue center codes indicating rehabilitation</w:t>
      </w:r>
    </w:p>
    <w:p w14:paraId="796E2D3B" w14:textId="46FE4DA6" w:rsidR="001362D0" w:rsidRPr="00FC0999" w:rsidRDefault="001362D0" w:rsidP="001362D0">
      <w:pPr>
        <w:pStyle w:val="ListParagraph"/>
        <w:numPr>
          <w:ilvl w:val="0"/>
          <w:numId w:val="39"/>
        </w:numPr>
        <w:autoSpaceDE w:val="0"/>
        <w:autoSpaceDN w:val="0"/>
        <w:adjustRightInd w:val="0"/>
        <w:spacing w:after="0" w:line="240" w:lineRule="auto"/>
        <w:rPr>
          <w:rFonts w:cstheme="minorHAnsi"/>
          <w:bCs/>
          <w:color w:val="C00000"/>
        </w:rPr>
      </w:pPr>
      <w:r w:rsidRPr="00436343">
        <w:rPr>
          <w:color w:val="C00000"/>
        </w:rPr>
        <w:t xml:space="preserve">Occur after a patient’s 12th </w:t>
      </w:r>
      <w:r w:rsidR="00FC0999">
        <w:rPr>
          <w:color w:val="C00000"/>
        </w:rPr>
        <w:t xml:space="preserve">hospital </w:t>
      </w:r>
      <w:r w:rsidR="001A5600" w:rsidRPr="00436343">
        <w:rPr>
          <w:color w:val="C00000"/>
        </w:rPr>
        <w:t>discharge</w:t>
      </w:r>
      <w:r w:rsidRPr="00436343">
        <w:rPr>
          <w:color w:val="C00000"/>
        </w:rPr>
        <w:t xml:space="preserve"> in the calendar year</w:t>
      </w:r>
    </w:p>
    <w:p w14:paraId="04883DBD" w14:textId="6C5FD83D" w:rsidR="00FC0999" w:rsidRPr="00FC0999" w:rsidRDefault="00FC0999" w:rsidP="00FC0999">
      <w:pPr>
        <w:pStyle w:val="Default"/>
        <w:numPr>
          <w:ilvl w:val="0"/>
          <w:numId w:val="39"/>
        </w:numPr>
        <w:rPr>
          <w:color w:val="C00000"/>
          <w:sz w:val="22"/>
          <w:szCs w:val="22"/>
        </w:rPr>
      </w:pPr>
      <w:r w:rsidRPr="00436343">
        <w:rPr>
          <w:color w:val="C00000"/>
          <w:sz w:val="22"/>
          <w:szCs w:val="22"/>
        </w:rPr>
        <w:t xml:space="preserve">Are from a PPS-exempt cancer hospital </w:t>
      </w:r>
    </w:p>
    <w:p w14:paraId="48218B12" w14:textId="185B0F2F" w:rsidR="00FC0999" w:rsidRPr="00FC0999" w:rsidRDefault="009F370C" w:rsidP="00074AAC">
      <w:pPr>
        <w:pStyle w:val="ListParagraph"/>
        <w:numPr>
          <w:ilvl w:val="0"/>
          <w:numId w:val="39"/>
        </w:numPr>
        <w:autoSpaceDE w:val="0"/>
        <w:autoSpaceDN w:val="0"/>
        <w:adjustRightInd w:val="0"/>
        <w:spacing w:after="0" w:line="240" w:lineRule="auto"/>
        <w:rPr>
          <w:rFonts w:cstheme="minorHAnsi"/>
          <w:bCs/>
          <w:color w:val="C00000"/>
        </w:rPr>
      </w:pPr>
      <w:r w:rsidRPr="00436343">
        <w:rPr>
          <w:color w:val="C00000"/>
        </w:rPr>
        <w:t>A</w:t>
      </w:r>
      <w:r w:rsidR="00074AAC" w:rsidRPr="00436343">
        <w:rPr>
          <w:color w:val="C00000"/>
        </w:rPr>
        <w:t>re followed within 3 days by any hospitalization (at acute care, long-term care, rehabilitation, or psychiatric hospital or unit),</w:t>
      </w:r>
      <w:r w:rsidR="00FC0999">
        <w:rPr>
          <w:color w:val="C00000"/>
        </w:rPr>
        <w:t xml:space="preserve"> or any other competing event*</w:t>
      </w:r>
      <w:r w:rsidR="00074AAC" w:rsidRPr="00436343">
        <w:rPr>
          <w:color w:val="C00000"/>
        </w:rPr>
        <w:t xml:space="preserve"> </w:t>
      </w:r>
    </w:p>
    <w:p w14:paraId="211084E5" w14:textId="77777777" w:rsidR="00FC0999" w:rsidRDefault="00FC0999" w:rsidP="00FC0999">
      <w:pPr>
        <w:autoSpaceDE w:val="0"/>
        <w:autoSpaceDN w:val="0"/>
        <w:adjustRightInd w:val="0"/>
        <w:spacing w:after="0" w:line="240" w:lineRule="auto"/>
        <w:ind w:left="360"/>
        <w:rPr>
          <w:color w:val="C00000"/>
        </w:rPr>
      </w:pPr>
    </w:p>
    <w:p w14:paraId="6BC4D4A5" w14:textId="1B6A9249" w:rsidR="001362D0" w:rsidRPr="00FC0999" w:rsidRDefault="00FC0999" w:rsidP="00FC0999">
      <w:pPr>
        <w:autoSpaceDE w:val="0"/>
        <w:autoSpaceDN w:val="0"/>
        <w:adjustRightInd w:val="0"/>
        <w:spacing w:after="0" w:line="240" w:lineRule="auto"/>
        <w:rPr>
          <w:rFonts w:cstheme="minorHAnsi"/>
          <w:bCs/>
          <w:color w:val="C00000"/>
        </w:rPr>
      </w:pPr>
      <w:r w:rsidRPr="00FC0999">
        <w:rPr>
          <w:color w:val="C00000"/>
        </w:rPr>
        <w:t>*</w:t>
      </w:r>
      <w:r>
        <w:rPr>
          <w:color w:val="C00000"/>
        </w:rPr>
        <w:t xml:space="preserve"> </w:t>
      </w:r>
      <w:r w:rsidRPr="00FC0999">
        <w:rPr>
          <w:color w:val="C00000"/>
        </w:rPr>
        <w:t xml:space="preserve">Other competing events include admissions to rehabilitation or psychiatric hospitals, death, </w:t>
      </w:r>
      <w:r>
        <w:rPr>
          <w:color w:val="C00000"/>
        </w:rPr>
        <w:t xml:space="preserve">transplant, </w:t>
      </w:r>
      <w:r w:rsidRPr="00FC0999">
        <w:rPr>
          <w:color w:val="C00000"/>
        </w:rPr>
        <w:t xml:space="preserve">loss to follow </w:t>
      </w:r>
      <w:r w:rsidR="002C0899" w:rsidRPr="00FC0999">
        <w:rPr>
          <w:color w:val="C00000"/>
        </w:rPr>
        <w:t>up,</w:t>
      </w:r>
      <w:r w:rsidRPr="00FC0999">
        <w:rPr>
          <w:color w:val="C00000"/>
        </w:rPr>
        <w:t xml:space="preserve"> withdrawal or recovery</w:t>
      </w:r>
    </w:p>
    <w:p w14:paraId="6F7CC995" w14:textId="77777777" w:rsidR="008A545E" w:rsidRPr="00436343" w:rsidRDefault="008A545E" w:rsidP="00C32DB8">
      <w:pPr>
        <w:pStyle w:val="ListParagraph"/>
        <w:autoSpaceDE w:val="0"/>
        <w:autoSpaceDN w:val="0"/>
        <w:adjustRightInd w:val="0"/>
        <w:spacing w:after="0" w:line="240" w:lineRule="auto"/>
        <w:rPr>
          <w:rFonts w:cstheme="minorHAnsi"/>
          <w:bCs/>
          <w:color w:val="C00000"/>
        </w:rPr>
      </w:pPr>
    </w:p>
    <w:p w14:paraId="12CA21E1" w14:textId="77777777" w:rsidR="001362D0" w:rsidRPr="00436343" w:rsidRDefault="001362D0" w:rsidP="001362D0">
      <w:pPr>
        <w:autoSpaceDE w:val="0"/>
        <w:autoSpaceDN w:val="0"/>
        <w:adjustRightInd w:val="0"/>
        <w:spacing w:after="0" w:line="240" w:lineRule="auto"/>
        <w:rPr>
          <w:rFonts w:cstheme="minorHAnsi"/>
          <w:bCs/>
          <w:color w:val="C00000"/>
        </w:rPr>
      </w:pPr>
    </w:p>
    <w:p w14:paraId="374BA2C5" w14:textId="68738A6B" w:rsidR="001362D0" w:rsidRPr="00436343" w:rsidRDefault="001362D0" w:rsidP="00436343">
      <w:pPr>
        <w:pStyle w:val="Default"/>
        <w:rPr>
          <w:color w:val="C00000"/>
        </w:rPr>
      </w:pPr>
      <w:r w:rsidRPr="00436343">
        <w:rPr>
          <w:color w:val="C00000"/>
          <w:sz w:val="22"/>
          <w:szCs w:val="22"/>
        </w:rPr>
        <w:t xml:space="preserve">The numerator exclusion and first </w:t>
      </w:r>
      <w:r w:rsidR="00F3552C" w:rsidRPr="00436343">
        <w:rPr>
          <w:color w:val="C00000"/>
          <w:sz w:val="22"/>
          <w:szCs w:val="22"/>
        </w:rPr>
        <w:t>five</w:t>
      </w:r>
      <w:r w:rsidRPr="00436343">
        <w:rPr>
          <w:color w:val="C00000"/>
          <w:sz w:val="22"/>
          <w:szCs w:val="22"/>
        </w:rPr>
        <w:t xml:space="preserve"> denominator exclusions are aligned with CMS’ Hospital-Wide All-Cause readmission measure. We additionally excluded discharge records following a patient’s 12th </w:t>
      </w:r>
      <w:r w:rsidR="000E602F" w:rsidRPr="00436343">
        <w:rPr>
          <w:color w:val="C00000"/>
          <w:sz w:val="22"/>
          <w:szCs w:val="22"/>
        </w:rPr>
        <w:t>discharge</w:t>
      </w:r>
      <w:r w:rsidRPr="00436343">
        <w:rPr>
          <w:color w:val="C00000"/>
          <w:sz w:val="22"/>
          <w:szCs w:val="22"/>
        </w:rPr>
        <w:t xml:space="preserve"> in response to concerns from some members of the TEP held in May 2012 for this measure. Specifically, it was felt that frequently hospitalized patients would unfairly penalize smaller facilities by inflating their facility’s SRR. This concern is relevant in the context of the measure’s potential applications, which are to identify poor-performing facilities for quality improvement purposes. </w:t>
      </w:r>
      <w:r w:rsidR="00B62CE4" w:rsidRPr="00436343">
        <w:rPr>
          <w:color w:val="C00000"/>
        </w:rPr>
        <w:t xml:space="preserve"> </w:t>
      </w:r>
      <w:r w:rsidR="00A77764" w:rsidRPr="00436343">
        <w:rPr>
          <w:color w:val="C00000"/>
          <w:sz w:val="22"/>
          <w:szCs w:val="22"/>
        </w:rPr>
        <w:t>Including exclusion 7</w:t>
      </w:r>
      <w:r w:rsidR="00B62CE4" w:rsidRPr="00436343">
        <w:rPr>
          <w:color w:val="C00000"/>
          <w:sz w:val="22"/>
          <w:szCs w:val="22"/>
        </w:rPr>
        <w:t xml:space="preserve"> improves the SRR’s measurement of the quality of transitional care 4 to 30 days after an inpatient visit by removing those cases where the transitional care route was impeded by an event</w:t>
      </w:r>
      <w:r w:rsidR="00580462" w:rsidRPr="00436343">
        <w:rPr>
          <w:color w:val="C00000"/>
          <w:sz w:val="22"/>
          <w:szCs w:val="22"/>
        </w:rPr>
        <w:t>.</w:t>
      </w:r>
      <w:r w:rsidR="00B62CE4" w:rsidRPr="00436343">
        <w:rPr>
          <w:color w:val="C00000"/>
          <w:sz w:val="22"/>
          <w:szCs w:val="22"/>
        </w:rPr>
        <w:t xml:space="preserve"> </w:t>
      </w:r>
      <w:r w:rsidRPr="00436343">
        <w:rPr>
          <w:color w:val="C00000"/>
          <w:sz w:val="22"/>
          <w:szCs w:val="22"/>
        </w:rPr>
        <w:t xml:space="preserve">We compared SRRs with and without </w:t>
      </w:r>
      <w:r w:rsidR="00F64DC0" w:rsidRPr="00436343">
        <w:rPr>
          <w:color w:val="C00000"/>
          <w:sz w:val="22"/>
          <w:szCs w:val="22"/>
        </w:rPr>
        <w:t>exclusion 7</w:t>
      </w:r>
      <w:r w:rsidRPr="00436343">
        <w:rPr>
          <w:color w:val="C00000"/>
          <w:sz w:val="22"/>
          <w:szCs w:val="22"/>
        </w:rPr>
        <w:t xml:space="preserve"> to determine the extent to which the measure changed with the exclusion.</w:t>
      </w:r>
    </w:p>
    <w:p w14:paraId="41CCAE13" w14:textId="77777777" w:rsidR="000D2E60" w:rsidRPr="000D2E60" w:rsidRDefault="000D2E60" w:rsidP="000D2E60">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636445F1" w14:textId="77777777" w:rsidR="000D2E60" w:rsidRDefault="000D2E60" w:rsidP="000D2E60">
      <w:pPr>
        <w:pStyle w:val="Default"/>
        <w:rPr>
          <w:sz w:val="22"/>
          <w:szCs w:val="22"/>
        </w:rPr>
      </w:pPr>
      <w:r>
        <w:rPr>
          <w:sz w:val="22"/>
          <w:szCs w:val="22"/>
        </w:rPr>
        <w:t xml:space="preserve">The number and percentage of excluded discharges are as follows: </w:t>
      </w:r>
    </w:p>
    <w:p w14:paraId="18DC2743" w14:textId="61AD6591" w:rsidR="000D2E60" w:rsidRDefault="000D2E60" w:rsidP="000D2E60">
      <w:pPr>
        <w:pStyle w:val="Default"/>
        <w:numPr>
          <w:ilvl w:val="0"/>
          <w:numId w:val="34"/>
        </w:numPr>
        <w:rPr>
          <w:sz w:val="22"/>
          <w:szCs w:val="22"/>
        </w:rPr>
      </w:pPr>
      <w:r>
        <w:rPr>
          <w:sz w:val="22"/>
          <w:szCs w:val="22"/>
        </w:rPr>
        <w:t>Not a live discharge (</w:t>
      </w:r>
      <w:r>
        <w:rPr>
          <w:i/>
          <w:iCs/>
          <w:sz w:val="22"/>
          <w:szCs w:val="22"/>
        </w:rPr>
        <w:t xml:space="preserve">n </w:t>
      </w:r>
      <w:r>
        <w:rPr>
          <w:sz w:val="22"/>
          <w:szCs w:val="22"/>
        </w:rPr>
        <w:t xml:space="preserve">= 31,593; 4.4%) </w:t>
      </w:r>
    </w:p>
    <w:p w14:paraId="50DB00B8" w14:textId="0124945A" w:rsidR="000D2E60" w:rsidRDefault="000D2E60" w:rsidP="000D2E60">
      <w:pPr>
        <w:pStyle w:val="Default"/>
        <w:numPr>
          <w:ilvl w:val="0"/>
          <w:numId w:val="34"/>
        </w:numPr>
        <w:rPr>
          <w:sz w:val="22"/>
          <w:szCs w:val="22"/>
        </w:rPr>
      </w:pPr>
      <w:r>
        <w:rPr>
          <w:sz w:val="22"/>
          <w:szCs w:val="22"/>
        </w:rPr>
        <w:t>Result in a patient dying within 30 days with no readmission (</w:t>
      </w:r>
      <w:r>
        <w:rPr>
          <w:i/>
          <w:iCs/>
          <w:sz w:val="22"/>
          <w:szCs w:val="22"/>
        </w:rPr>
        <w:t xml:space="preserve">n </w:t>
      </w:r>
      <w:r>
        <w:rPr>
          <w:sz w:val="22"/>
          <w:szCs w:val="22"/>
        </w:rPr>
        <w:t xml:space="preserve">= 20,499; 2.8%) </w:t>
      </w:r>
    </w:p>
    <w:p w14:paraId="7CB76257" w14:textId="735BF943" w:rsidR="000D2E60" w:rsidRDefault="000D2E60" w:rsidP="000D2E60">
      <w:pPr>
        <w:pStyle w:val="Default"/>
        <w:numPr>
          <w:ilvl w:val="0"/>
          <w:numId w:val="34"/>
        </w:numPr>
        <w:rPr>
          <w:sz w:val="22"/>
          <w:szCs w:val="22"/>
        </w:rPr>
      </w:pPr>
      <w:r>
        <w:rPr>
          <w:sz w:val="22"/>
          <w:szCs w:val="22"/>
        </w:rPr>
        <w:t>Are against medical advice (</w:t>
      </w:r>
      <w:r>
        <w:rPr>
          <w:i/>
          <w:iCs/>
          <w:sz w:val="22"/>
          <w:szCs w:val="22"/>
        </w:rPr>
        <w:t xml:space="preserve">n </w:t>
      </w:r>
      <w:r>
        <w:rPr>
          <w:sz w:val="22"/>
          <w:szCs w:val="22"/>
        </w:rPr>
        <w:t xml:space="preserve">= 9,728; 1.3%) </w:t>
      </w:r>
    </w:p>
    <w:p w14:paraId="22449918" w14:textId="2A7684DD" w:rsidR="000D2E60" w:rsidRDefault="000D2E60" w:rsidP="000D2E60">
      <w:pPr>
        <w:pStyle w:val="Default"/>
        <w:numPr>
          <w:ilvl w:val="0"/>
          <w:numId w:val="34"/>
        </w:numPr>
        <w:rPr>
          <w:sz w:val="22"/>
          <w:szCs w:val="22"/>
        </w:rPr>
      </w:pPr>
      <w:r>
        <w:rPr>
          <w:sz w:val="22"/>
          <w:szCs w:val="22"/>
        </w:rPr>
        <w:t>Include a primary diagnosis for cancer, mental health or rehabilitation (</w:t>
      </w:r>
      <w:r>
        <w:rPr>
          <w:i/>
          <w:iCs/>
          <w:sz w:val="22"/>
          <w:szCs w:val="22"/>
        </w:rPr>
        <w:t xml:space="preserve">n </w:t>
      </w:r>
      <w:r>
        <w:rPr>
          <w:sz w:val="22"/>
          <w:szCs w:val="22"/>
        </w:rPr>
        <w:t xml:space="preserve">= 21,413; 3.0%) </w:t>
      </w:r>
    </w:p>
    <w:p w14:paraId="3CB2005D" w14:textId="1FD3EB87" w:rsidR="000D2E60" w:rsidRDefault="000D2E60" w:rsidP="000D2E60">
      <w:pPr>
        <w:pStyle w:val="Default"/>
        <w:numPr>
          <w:ilvl w:val="0"/>
          <w:numId w:val="34"/>
        </w:numPr>
        <w:rPr>
          <w:sz w:val="22"/>
          <w:szCs w:val="22"/>
        </w:rPr>
      </w:pPr>
      <w:r>
        <w:rPr>
          <w:sz w:val="22"/>
          <w:szCs w:val="22"/>
        </w:rPr>
        <w:t>Are from a PPS-exempt cancer hospital (</w:t>
      </w:r>
      <w:r>
        <w:rPr>
          <w:i/>
          <w:iCs/>
          <w:sz w:val="22"/>
          <w:szCs w:val="22"/>
        </w:rPr>
        <w:t xml:space="preserve">n </w:t>
      </w:r>
      <w:r>
        <w:rPr>
          <w:sz w:val="22"/>
          <w:szCs w:val="22"/>
        </w:rPr>
        <w:t xml:space="preserve">= 229; 0.03%) </w:t>
      </w:r>
    </w:p>
    <w:p w14:paraId="13C4D70A" w14:textId="1FFF5A55" w:rsidR="000D2E60" w:rsidRDefault="000D2E60" w:rsidP="000D2E60">
      <w:pPr>
        <w:pStyle w:val="Default"/>
        <w:numPr>
          <w:ilvl w:val="0"/>
          <w:numId w:val="34"/>
        </w:numPr>
        <w:rPr>
          <w:sz w:val="22"/>
          <w:szCs w:val="22"/>
        </w:rPr>
      </w:pPr>
      <w:r>
        <w:rPr>
          <w:sz w:val="22"/>
          <w:szCs w:val="22"/>
        </w:rPr>
        <w:t>Result in a transfer to another hospital on the same day (</w:t>
      </w:r>
      <w:r>
        <w:rPr>
          <w:i/>
          <w:iCs/>
          <w:sz w:val="22"/>
          <w:szCs w:val="22"/>
        </w:rPr>
        <w:t xml:space="preserve">n </w:t>
      </w:r>
      <w:r>
        <w:rPr>
          <w:sz w:val="22"/>
          <w:szCs w:val="22"/>
        </w:rPr>
        <w:t xml:space="preserve">= 21,818; 3.0%) </w:t>
      </w:r>
    </w:p>
    <w:p w14:paraId="017A59A7" w14:textId="223942E0" w:rsidR="000D2E60" w:rsidRDefault="000D2E60" w:rsidP="000D2E60">
      <w:pPr>
        <w:pStyle w:val="Default"/>
        <w:numPr>
          <w:ilvl w:val="0"/>
          <w:numId w:val="34"/>
        </w:numPr>
        <w:rPr>
          <w:sz w:val="22"/>
          <w:szCs w:val="22"/>
        </w:rPr>
      </w:pPr>
      <w:r>
        <w:rPr>
          <w:sz w:val="22"/>
          <w:szCs w:val="22"/>
        </w:rPr>
        <w:t>Occur after a patient’s 12th admission in the calendar year (</w:t>
      </w:r>
      <w:r>
        <w:rPr>
          <w:i/>
          <w:iCs/>
          <w:sz w:val="22"/>
          <w:szCs w:val="22"/>
        </w:rPr>
        <w:t xml:space="preserve">n </w:t>
      </w:r>
      <w:r>
        <w:rPr>
          <w:sz w:val="22"/>
          <w:szCs w:val="22"/>
        </w:rPr>
        <w:t xml:space="preserve">= 5,155; 0.7%) </w:t>
      </w:r>
    </w:p>
    <w:p w14:paraId="0CABCFE7" w14:textId="655D41E3" w:rsidR="00092566" w:rsidRDefault="000D2E60" w:rsidP="000D2E60">
      <w:pPr>
        <w:autoSpaceDE w:val="0"/>
        <w:autoSpaceDN w:val="0"/>
        <w:adjustRightInd w:val="0"/>
        <w:spacing w:after="0" w:line="240" w:lineRule="auto"/>
      </w:pPr>
      <w:r>
        <w:t xml:space="preserve">The Hospital-Wide All-Cause Readmission measure was a starting point for this measure and specified the first six exclusions. Regarding the admission-cap exclusion, we found that </w:t>
      </w:r>
      <w:r w:rsidR="00211599">
        <w:t xml:space="preserve">less </w:t>
      </w:r>
      <w:r>
        <w:t>than 1% of discharges were excluded based on this cap (0.5% of patients had more than 12 admissions in the year). As shown in Figure 1, we compared each facility’s SRR with and without discharges following a patient’s 12</w:t>
      </w:r>
      <w:proofErr w:type="spellStart"/>
      <w:r>
        <w:rPr>
          <w:position w:val="8"/>
          <w:sz w:val="14"/>
          <w:szCs w:val="14"/>
          <w:vertAlign w:val="superscript"/>
        </w:rPr>
        <w:t>th</w:t>
      </w:r>
      <w:proofErr w:type="spellEnd"/>
      <w:r>
        <w:rPr>
          <w:position w:val="8"/>
          <w:sz w:val="14"/>
          <w:szCs w:val="14"/>
          <w:vertAlign w:val="superscript"/>
        </w:rPr>
        <w:t xml:space="preserve"> </w:t>
      </w:r>
      <w:r>
        <w:t>admission in the year and found the two measures to be highly correlated (overall Pearson correlation coefficient [r] = 0</w:t>
      </w:r>
      <w:r w:rsidR="00B75591">
        <w:t>.</w:t>
      </w:r>
      <w:r w:rsidR="005223C7">
        <w:t>99</w:t>
      </w:r>
      <w:r>
        <w:t>).</w:t>
      </w:r>
    </w:p>
    <w:p w14:paraId="388EF647" w14:textId="24365C4B" w:rsidR="000D2E60" w:rsidRDefault="000D2E60" w:rsidP="000D2E60">
      <w:pPr>
        <w:autoSpaceDE w:val="0"/>
        <w:autoSpaceDN w:val="0"/>
        <w:adjustRightInd w:val="0"/>
        <w:spacing w:after="0" w:line="240" w:lineRule="auto"/>
      </w:pPr>
    </w:p>
    <w:p w14:paraId="547F6351" w14:textId="0491518A" w:rsidR="000D2E60" w:rsidRDefault="000D2E60" w:rsidP="000D2E60">
      <w:pPr>
        <w:autoSpaceDE w:val="0"/>
        <w:autoSpaceDN w:val="0"/>
        <w:adjustRightInd w:val="0"/>
        <w:spacing w:after="0" w:line="240" w:lineRule="auto"/>
        <w:rPr>
          <w:b/>
          <w:bCs/>
        </w:rPr>
      </w:pPr>
      <w:r>
        <w:rPr>
          <w:b/>
          <w:bCs/>
        </w:rPr>
        <w:t>Figure 1. Correlation between SRR with admission-cap and SRR without admission cap (2009).</w:t>
      </w:r>
    </w:p>
    <w:p w14:paraId="79FB1391" w14:textId="19991BCD" w:rsidR="000D2E60" w:rsidRDefault="000D2E60" w:rsidP="000D2E60">
      <w:pPr>
        <w:autoSpaceDE w:val="0"/>
        <w:autoSpaceDN w:val="0"/>
        <w:adjustRightInd w:val="0"/>
        <w:spacing w:after="0" w:line="240" w:lineRule="auto"/>
        <w:rPr>
          <w:b/>
          <w:bCs/>
        </w:rPr>
      </w:pPr>
      <w:r>
        <w:rPr>
          <w:noProof/>
        </w:rPr>
        <w:drawing>
          <wp:inline distT="0" distB="0" distL="0" distR="0" wp14:anchorId="21CC557A" wp14:editId="23303BCD">
            <wp:extent cx="3844623" cy="3136900"/>
            <wp:effectExtent l="0" t="0" r="3810" b="6350"/>
            <wp:docPr id="1" name="Picture 1" descr="As shown in Figure 1, we compared each facility’s SRR with and without discharges following a patient’s 12th admission in the year and found the two measures to be highly correlated (overall Pearson correlation coefficient [r] = 0.99).&#10;&#10;&#10;" title="Figure 1. Correlation between SRR with admission-cap and SRR without admission cap (2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65572" cy="3153993"/>
                    </a:xfrm>
                    <a:prstGeom prst="rect">
                      <a:avLst/>
                    </a:prstGeom>
                  </pic:spPr>
                </pic:pic>
              </a:graphicData>
            </a:graphic>
          </wp:inline>
        </w:drawing>
      </w:r>
    </w:p>
    <w:p w14:paraId="45C1E36E" w14:textId="4103D61A" w:rsidR="000D2E60" w:rsidRDefault="000D2E60" w:rsidP="000D2E60">
      <w:pPr>
        <w:autoSpaceDE w:val="0"/>
        <w:autoSpaceDN w:val="0"/>
        <w:adjustRightInd w:val="0"/>
        <w:spacing w:after="0" w:line="240" w:lineRule="auto"/>
        <w:rPr>
          <w:b/>
          <w:bCs/>
        </w:rPr>
      </w:pPr>
    </w:p>
    <w:p w14:paraId="4B39775D" w14:textId="69A52E06" w:rsidR="000D2E60" w:rsidRPr="000D2E60" w:rsidRDefault="000D2E60" w:rsidP="000D2E60">
      <w:pPr>
        <w:autoSpaceDE w:val="0"/>
        <w:autoSpaceDN w:val="0"/>
        <w:adjustRightInd w:val="0"/>
        <w:spacing w:after="0" w:line="240" w:lineRule="auto"/>
        <w:rPr>
          <w:bCs/>
        </w:rPr>
      </w:pPr>
      <w:r w:rsidRPr="000D2E60">
        <w:rPr>
          <w:bCs/>
        </w:rPr>
        <w:t>Overall Correlation = .99</w:t>
      </w:r>
    </w:p>
    <w:p w14:paraId="1BD1BEE7" w14:textId="7322E9DF" w:rsidR="000D2E60" w:rsidRDefault="000D2E60" w:rsidP="000D2E60">
      <w:pPr>
        <w:autoSpaceDE w:val="0"/>
        <w:autoSpaceDN w:val="0"/>
        <w:adjustRightInd w:val="0"/>
        <w:spacing w:after="0" w:line="240" w:lineRule="auto"/>
        <w:rPr>
          <w:b/>
          <w:bCs/>
        </w:rPr>
      </w:pPr>
    </w:p>
    <w:p w14:paraId="610D26A2" w14:textId="77777777" w:rsidR="0062648C" w:rsidRDefault="0062648C" w:rsidP="004351AF">
      <w:pPr>
        <w:rPr>
          <w:b/>
          <w:color w:val="C00000"/>
          <w:u w:val="single"/>
        </w:rPr>
      </w:pPr>
    </w:p>
    <w:p w14:paraId="61870835" w14:textId="40CF055A" w:rsidR="004351AF" w:rsidRPr="00013662" w:rsidRDefault="004351AF" w:rsidP="004351AF">
      <w:pPr>
        <w:rPr>
          <w:b/>
          <w:color w:val="C00000"/>
          <w:u w:val="single"/>
        </w:rPr>
      </w:pPr>
      <w:r w:rsidRPr="00013662">
        <w:rPr>
          <w:b/>
          <w:color w:val="C00000"/>
          <w:u w:val="single"/>
        </w:rPr>
        <w:t>2019 Submission</w:t>
      </w:r>
    </w:p>
    <w:p w14:paraId="5D9AAA0F" w14:textId="6E0382AC" w:rsidR="00D11EE6" w:rsidRPr="00013662" w:rsidRDefault="00D11EE6" w:rsidP="00D11EE6">
      <w:pPr>
        <w:pStyle w:val="Default"/>
        <w:rPr>
          <w:color w:val="C00000"/>
          <w:sz w:val="22"/>
          <w:szCs w:val="22"/>
        </w:rPr>
      </w:pPr>
      <w:r w:rsidRPr="00013662">
        <w:rPr>
          <w:color w:val="C00000"/>
          <w:sz w:val="22"/>
          <w:szCs w:val="22"/>
        </w:rPr>
        <w:t xml:space="preserve">The number and percentage of excluded discharges are as follows: </w:t>
      </w:r>
    </w:p>
    <w:p w14:paraId="3DD05F51" w14:textId="22329032" w:rsidR="00FC0999" w:rsidRPr="00013662" w:rsidRDefault="00FC0999" w:rsidP="00FC0999">
      <w:pPr>
        <w:pStyle w:val="ListParagraph"/>
        <w:numPr>
          <w:ilvl w:val="0"/>
          <w:numId w:val="44"/>
        </w:numPr>
        <w:autoSpaceDE w:val="0"/>
        <w:autoSpaceDN w:val="0"/>
        <w:adjustRightInd w:val="0"/>
        <w:spacing w:after="0" w:line="240" w:lineRule="auto"/>
        <w:rPr>
          <w:color w:val="C00000"/>
        </w:rPr>
      </w:pPr>
      <w:r w:rsidRPr="00013662">
        <w:rPr>
          <w:color w:val="C00000"/>
        </w:rPr>
        <w:t>Associated with a stay of 365 days or longer (n=54, 0.01%)</w:t>
      </w:r>
    </w:p>
    <w:p w14:paraId="7DE5892E" w14:textId="2F78AA5B" w:rsidR="00FC0999" w:rsidRPr="00013662" w:rsidRDefault="00FC0999" w:rsidP="00FC0999">
      <w:pPr>
        <w:pStyle w:val="Default"/>
        <w:numPr>
          <w:ilvl w:val="0"/>
          <w:numId w:val="44"/>
        </w:numPr>
        <w:rPr>
          <w:color w:val="C00000"/>
          <w:sz w:val="22"/>
          <w:szCs w:val="22"/>
        </w:rPr>
      </w:pPr>
      <w:r w:rsidRPr="00013662">
        <w:rPr>
          <w:color w:val="C00000"/>
          <w:sz w:val="22"/>
          <w:szCs w:val="22"/>
        </w:rPr>
        <w:t xml:space="preserve">Are against medical advice </w:t>
      </w:r>
      <w:r w:rsidRPr="00013662">
        <w:rPr>
          <w:color w:val="C00000"/>
        </w:rPr>
        <w:t>(n=13,391, 1.9%)</w:t>
      </w:r>
    </w:p>
    <w:p w14:paraId="69CC92FC" w14:textId="0E73BA10" w:rsidR="00FC0999" w:rsidRPr="00013662" w:rsidRDefault="00FC0999" w:rsidP="00FC0999">
      <w:pPr>
        <w:pStyle w:val="Default"/>
        <w:numPr>
          <w:ilvl w:val="0"/>
          <w:numId w:val="44"/>
        </w:numPr>
        <w:rPr>
          <w:color w:val="C00000"/>
          <w:sz w:val="22"/>
          <w:szCs w:val="22"/>
        </w:rPr>
      </w:pPr>
      <w:r w:rsidRPr="00013662">
        <w:rPr>
          <w:color w:val="C00000"/>
          <w:sz w:val="22"/>
          <w:szCs w:val="22"/>
        </w:rPr>
        <w:t>Include a primary diagnosis of cancer, mental health or rehabilitation</w:t>
      </w:r>
      <w:r w:rsidR="00FD0E4C" w:rsidRPr="00423A4F">
        <w:rPr>
          <w:color w:val="C00000"/>
          <w:sz w:val="22"/>
          <w:szCs w:val="22"/>
        </w:rPr>
        <w:t xml:space="preserve"> or a revenue center code indicating </w:t>
      </w:r>
      <w:proofErr w:type="gramStart"/>
      <w:r w:rsidR="00FD0E4C" w:rsidRPr="00423A4F">
        <w:rPr>
          <w:color w:val="C00000"/>
          <w:sz w:val="22"/>
          <w:szCs w:val="22"/>
        </w:rPr>
        <w:t xml:space="preserve">rehabilitation </w:t>
      </w:r>
      <w:r w:rsidRPr="00013662">
        <w:rPr>
          <w:color w:val="C00000"/>
          <w:sz w:val="22"/>
          <w:szCs w:val="22"/>
        </w:rPr>
        <w:t xml:space="preserve"> </w:t>
      </w:r>
      <w:r w:rsidRPr="00013662">
        <w:rPr>
          <w:color w:val="C00000"/>
        </w:rPr>
        <w:t>(</w:t>
      </w:r>
      <w:proofErr w:type="gramEnd"/>
      <w:r w:rsidRPr="00013662">
        <w:rPr>
          <w:color w:val="C00000"/>
        </w:rPr>
        <w:t>n=10,051, 1.4%)</w:t>
      </w:r>
    </w:p>
    <w:p w14:paraId="086604EF" w14:textId="4C2F0E4E" w:rsidR="00FC0999" w:rsidRPr="00013662" w:rsidRDefault="00FC0999" w:rsidP="00FC0999">
      <w:pPr>
        <w:pStyle w:val="ListParagraph"/>
        <w:numPr>
          <w:ilvl w:val="0"/>
          <w:numId w:val="44"/>
        </w:numPr>
        <w:autoSpaceDE w:val="0"/>
        <w:autoSpaceDN w:val="0"/>
        <w:adjustRightInd w:val="0"/>
        <w:spacing w:after="0" w:line="240" w:lineRule="auto"/>
        <w:rPr>
          <w:rFonts w:cstheme="minorHAnsi"/>
          <w:bCs/>
          <w:color w:val="C00000"/>
        </w:rPr>
      </w:pPr>
      <w:r w:rsidRPr="00013662">
        <w:rPr>
          <w:color w:val="C00000"/>
        </w:rPr>
        <w:t>Occur after a patient’s 12th hospital discharge in the calendar year (n=5,975, 0.9%)</w:t>
      </w:r>
    </w:p>
    <w:p w14:paraId="4CD7E904" w14:textId="320FB2B5" w:rsidR="00FC0999" w:rsidRPr="00013662" w:rsidRDefault="00FC0999" w:rsidP="00FC0999">
      <w:pPr>
        <w:pStyle w:val="Default"/>
        <w:numPr>
          <w:ilvl w:val="0"/>
          <w:numId w:val="44"/>
        </w:numPr>
        <w:rPr>
          <w:color w:val="C00000"/>
          <w:sz w:val="22"/>
          <w:szCs w:val="22"/>
        </w:rPr>
      </w:pPr>
      <w:r w:rsidRPr="00013662">
        <w:rPr>
          <w:color w:val="C00000"/>
          <w:sz w:val="22"/>
          <w:szCs w:val="22"/>
        </w:rPr>
        <w:t xml:space="preserve">Are from a PPS-exempt cancer hospital </w:t>
      </w:r>
      <w:r w:rsidRPr="00013662">
        <w:rPr>
          <w:color w:val="C00000"/>
        </w:rPr>
        <w:t>(n=964, 0.1%)</w:t>
      </w:r>
    </w:p>
    <w:p w14:paraId="12130E08" w14:textId="71604048" w:rsidR="00FC0999" w:rsidRPr="00013662" w:rsidRDefault="00FC0999" w:rsidP="00FC0999">
      <w:pPr>
        <w:pStyle w:val="ListParagraph"/>
        <w:numPr>
          <w:ilvl w:val="0"/>
          <w:numId w:val="44"/>
        </w:numPr>
        <w:autoSpaceDE w:val="0"/>
        <w:autoSpaceDN w:val="0"/>
        <w:adjustRightInd w:val="0"/>
        <w:spacing w:after="0" w:line="240" w:lineRule="auto"/>
        <w:rPr>
          <w:rFonts w:cstheme="minorHAnsi"/>
          <w:bCs/>
          <w:color w:val="C00000"/>
        </w:rPr>
      </w:pPr>
      <w:r w:rsidRPr="00013662">
        <w:rPr>
          <w:color w:val="C00000"/>
        </w:rPr>
        <w:t>Are followed within 3 days by any hospitalization (at acute care, long-term care, rehabilitation, or psychiatric hospital or unit), or any other competing event* (n=85,831, 12.2%)</w:t>
      </w:r>
    </w:p>
    <w:p w14:paraId="000DF8A4" w14:textId="77777777" w:rsidR="00FC0999" w:rsidRPr="00013662" w:rsidRDefault="00FC0999" w:rsidP="00FC0999">
      <w:pPr>
        <w:autoSpaceDE w:val="0"/>
        <w:autoSpaceDN w:val="0"/>
        <w:adjustRightInd w:val="0"/>
        <w:spacing w:after="0" w:line="240" w:lineRule="auto"/>
        <w:ind w:left="360"/>
        <w:rPr>
          <w:color w:val="C00000"/>
        </w:rPr>
      </w:pPr>
    </w:p>
    <w:p w14:paraId="330853BE" w14:textId="123008D5" w:rsidR="00FC0999" w:rsidRPr="00013662" w:rsidRDefault="00FC0999" w:rsidP="00FC0999">
      <w:pPr>
        <w:autoSpaceDE w:val="0"/>
        <w:autoSpaceDN w:val="0"/>
        <w:adjustRightInd w:val="0"/>
        <w:spacing w:after="0" w:line="240" w:lineRule="auto"/>
        <w:rPr>
          <w:rFonts w:cstheme="minorHAnsi"/>
          <w:bCs/>
          <w:color w:val="C00000"/>
        </w:rPr>
      </w:pPr>
      <w:r w:rsidRPr="00013662">
        <w:rPr>
          <w:color w:val="C00000"/>
        </w:rPr>
        <w:t xml:space="preserve">* Other competing events include admissions to rehabilitation or psychiatric hospitals, death, transplant, loss to follow </w:t>
      </w:r>
      <w:r w:rsidR="002C0899" w:rsidRPr="00013662">
        <w:rPr>
          <w:color w:val="C00000"/>
        </w:rPr>
        <w:t>up,</w:t>
      </w:r>
      <w:r w:rsidRPr="00013662">
        <w:rPr>
          <w:color w:val="C00000"/>
        </w:rPr>
        <w:t xml:space="preserve"> withdrawal or recovery</w:t>
      </w:r>
      <w:r w:rsidR="009E486F" w:rsidRPr="00013662">
        <w:rPr>
          <w:color w:val="C00000"/>
        </w:rPr>
        <w:t>.</w:t>
      </w:r>
    </w:p>
    <w:p w14:paraId="427270A5" w14:textId="615531F1" w:rsidR="00436343" w:rsidRPr="00013662" w:rsidRDefault="00436343" w:rsidP="00D11EE6">
      <w:pPr>
        <w:autoSpaceDE w:val="0"/>
        <w:autoSpaceDN w:val="0"/>
        <w:adjustRightInd w:val="0"/>
        <w:spacing w:after="0" w:line="240" w:lineRule="auto"/>
        <w:rPr>
          <w:color w:val="C00000"/>
        </w:rPr>
      </w:pPr>
    </w:p>
    <w:p w14:paraId="15D03D6A" w14:textId="1C5E2418" w:rsidR="00D11EE6" w:rsidRPr="00436343" w:rsidRDefault="00D11EE6" w:rsidP="00D11EE6">
      <w:pPr>
        <w:autoSpaceDE w:val="0"/>
        <w:autoSpaceDN w:val="0"/>
        <w:adjustRightInd w:val="0"/>
        <w:spacing w:after="0" w:line="240" w:lineRule="auto"/>
        <w:rPr>
          <w:color w:val="C00000"/>
        </w:rPr>
      </w:pPr>
      <w:r w:rsidRPr="00013662">
        <w:rPr>
          <w:color w:val="C00000"/>
        </w:rPr>
        <w:t xml:space="preserve">The Hospital-Wide All-Cause Readmission measure was a starting point for this measure and specified the first </w:t>
      </w:r>
      <w:r w:rsidR="00B75591" w:rsidRPr="00013662">
        <w:rPr>
          <w:color w:val="C00000"/>
        </w:rPr>
        <w:t>five</w:t>
      </w:r>
      <w:r w:rsidRPr="00013662">
        <w:rPr>
          <w:color w:val="C00000"/>
        </w:rPr>
        <w:t xml:space="preserve"> exclusions. Regarding the admission-cap exclusion, we found that </w:t>
      </w:r>
      <w:r w:rsidR="00D37D33" w:rsidRPr="00423A4F">
        <w:rPr>
          <w:color w:val="C00000"/>
        </w:rPr>
        <w:t>0.9</w:t>
      </w:r>
      <w:r w:rsidRPr="00013662">
        <w:rPr>
          <w:color w:val="C00000"/>
        </w:rPr>
        <w:t xml:space="preserve">% of discharges were excluded based on this cap (0.5% of patients had more than 12 admissions in the year). </w:t>
      </w:r>
      <w:r w:rsidR="00B63543" w:rsidRPr="00423A4F">
        <w:rPr>
          <w:color w:val="C00000"/>
        </w:rPr>
        <w:t xml:space="preserve">Given that exclusion 6 (a hospitalization, death, transplant, LTFU, withdrawal, or recovery in 3 days) is responsible for the majority </w:t>
      </w:r>
      <w:r w:rsidR="00F321CD">
        <w:rPr>
          <w:color w:val="C00000"/>
        </w:rPr>
        <w:t xml:space="preserve">of </w:t>
      </w:r>
      <w:r w:rsidR="00B63543" w:rsidRPr="00423A4F">
        <w:rPr>
          <w:color w:val="C00000"/>
        </w:rPr>
        <w:t xml:space="preserve">exclusions, </w:t>
      </w:r>
      <w:r w:rsidRPr="00013662">
        <w:rPr>
          <w:color w:val="C00000"/>
        </w:rPr>
        <w:t>we compared each facility’s SRR with and without</w:t>
      </w:r>
      <w:r w:rsidR="006E6870" w:rsidRPr="00013662">
        <w:rPr>
          <w:color w:val="C00000"/>
        </w:rPr>
        <w:t xml:space="preserve"> exclusion </w:t>
      </w:r>
      <w:r w:rsidR="00980B3E" w:rsidRPr="00423A4F">
        <w:rPr>
          <w:color w:val="C00000"/>
        </w:rPr>
        <w:t>6</w:t>
      </w:r>
      <w:r w:rsidR="00D14BE7" w:rsidRPr="00423A4F">
        <w:rPr>
          <w:color w:val="C00000"/>
        </w:rPr>
        <w:t xml:space="preserve"> (</w:t>
      </w:r>
      <w:proofErr w:type="spellStart"/>
      <w:r w:rsidR="00D14BE7" w:rsidRPr="00423A4F">
        <w:rPr>
          <w:color w:val="C00000"/>
        </w:rPr>
        <w:t>Exlcusion</w:t>
      </w:r>
      <w:proofErr w:type="spellEnd"/>
      <w:r w:rsidR="00D14BE7" w:rsidRPr="00423A4F">
        <w:rPr>
          <w:color w:val="C00000"/>
        </w:rPr>
        <w:t xml:space="preserve"> 6 was added to the measure during the previous NQF review process).</w:t>
      </w:r>
      <w:r w:rsidR="00E62F09" w:rsidRPr="00423A4F">
        <w:rPr>
          <w:color w:val="C00000"/>
        </w:rPr>
        <w:t xml:space="preserve"> In our removal exclusion 6, we </w:t>
      </w:r>
      <w:proofErr w:type="gramStart"/>
      <w:r w:rsidR="00E62F09" w:rsidRPr="00423A4F">
        <w:rPr>
          <w:color w:val="C00000"/>
        </w:rPr>
        <w:t xml:space="preserve">allowed </w:t>
      </w:r>
      <w:r w:rsidR="00C32371" w:rsidRPr="00013662">
        <w:rPr>
          <w:color w:val="C00000"/>
        </w:rPr>
        <w:t xml:space="preserve"> readmissions</w:t>
      </w:r>
      <w:proofErr w:type="gramEnd"/>
      <w:r w:rsidR="00C32371" w:rsidRPr="00013662">
        <w:rPr>
          <w:color w:val="C00000"/>
        </w:rPr>
        <w:t xml:space="preserve"> </w:t>
      </w:r>
      <w:r w:rsidR="00E62F09" w:rsidRPr="00423A4F">
        <w:rPr>
          <w:color w:val="C00000"/>
        </w:rPr>
        <w:t>to occur</w:t>
      </w:r>
      <w:r w:rsidR="00C32371" w:rsidRPr="00013662">
        <w:rPr>
          <w:color w:val="C00000"/>
        </w:rPr>
        <w:t xml:space="preserve"> in </w:t>
      </w:r>
      <w:r w:rsidR="00E62F09" w:rsidRPr="00423A4F">
        <w:rPr>
          <w:color w:val="C00000"/>
        </w:rPr>
        <w:t>the</w:t>
      </w:r>
      <w:r w:rsidR="00E62F09" w:rsidRPr="00013662">
        <w:rPr>
          <w:color w:val="C00000"/>
        </w:rPr>
        <w:t xml:space="preserve"> </w:t>
      </w:r>
      <w:r w:rsidR="00C32371" w:rsidRPr="00013662">
        <w:rPr>
          <w:color w:val="C00000"/>
        </w:rPr>
        <w:t xml:space="preserve">0 to 30 day period following </w:t>
      </w:r>
      <w:r w:rsidR="00E62F09" w:rsidRPr="00423A4F">
        <w:rPr>
          <w:color w:val="C00000"/>
        </w:rPr>
        <w:t xml:space="preserve">an </w:t>
      </w:r>
      <w:r w:rsidR="00C32371" w:rsidRPr="00013662">
        <w:rPr>
          <w:color w:val="C00000"/>
        </w:rPr>
        <w:t>index discharge</w:t>
      </w:r>
      <w:r w:rsidR="00E62F09" w:rsidRPr="00423A4F">
        <w:rPr>
          <w:color w:val="C00000"/>
        </w:rPr>
        <w:t>.</w:t>
      </w:r>
      <w:r w:rsidRPr="00013662">
        <w:rPr>
          <w:color w:val="C00000"/>
        </w:rPr>
        <w:t xml:space="preserve"> </w:t>
      </w:r>
      <w:r w:rsidR="00E62F09" w:rsidRPr="00423A4F">
        <w:rPr>
          <w:color w:val="C00000"/>
        </w:rPr>
        <w:t>We</w:t>
      </w:r>
      <w:r w:rsidR="00E62F09" w:rsidRPr="00013662">
        <w:rPr>
          <w:color w:val="C00000"/>
        </w:rPr>
        <w:t xml:space="preserve"> </w:t>
      </w:r>
      <w:r w:rsidRPr="00013662">
        <w:rPr>
          <w:color w:val="C00000"/>
        </w:rPr>
        <w:t>found the two measure</w:t>
      </w:r>
      <w:r w:rsidR="00E62F09" w:rsidRPr="00423A4F">
        <w:rPr>
          <w:color w:val="C00000"/>
        </w:rPr>
        <w:t xml:space="preserve"> approache</w:t>
      </w:r>
      <w:r w:rsidRPr="00013662">
        <w:rPr>
          <w:color w:val="C00000"/>
        </w:rPr>
        <w:t>s to be highly correlated (overall Pearson correlation coefficient r = 0.</w:t>
      </w:r>
      <w:r w:rsidR="00E56E67" w:rsidRPr="00013662">
        <w:rPr>
          <w:color w:val="C00000"/>
        </w:rPr>
        <w:t>90</w:t>
      </w:r>
      <w:r w:rsidRPr="00013662">
        <w:rPr>
          <w:color w:val="C00000"/>
        </w:rPr>
        <w:t>).</w:t>
      </w:r>
      <w:r w:rsidR="00964535">
        <w:rPr>
          <w:color w:val="C00000"/>
        </w:rPr>
        <w:t xml:space="preserve"> But, from the scatter plot in Figure 1, one can see that a facilities with an SHR of approximately </w:t>
      </w:r>
      <w:proofErr w:type="gramStart"/>
      <w:r w:rsidR="00964535">
        <w:rPr>
          <w:color w:val="C00000"/>
        </w:rPr>
        <w:t>1.20  without</w:t>
      </w:r>
      <w:proofErr w:type="gramEnd"/>
      <w:r w:rsidR="00964535">
        <w:rPr>
          <w:color w:val="C00000"/>
        </w:rPr>
        <w:t xml:space="preserve"> the three day exclusion have SHRs that vary substantially.</w:t>
      </w:r>
    </w:p>
    <w:p w14:paraId="70D0C666" w14:textId="77777777" w:rsidR="00D11EE6" w:rsidRPr="00436343" w:rsidRDefault="00D11EE6" w:rsidP="00D11EE6">
      <w:pPr>
        <w:autoSpaceDE w:val="0"/>
        <w:autoSpaceDN w:val="0"/>
        <w:adjustRightInd w:val="0"/>
        <w:spacing w:after="0" w:line="240" w:lineRule="auto"/>
        <w:rPr>
          <w:color w:val="C00000"/>
        </w:rPr>
      </w:pPr>
    </w:p>
    <w:p w14:paraId="14582E6B" w14:textId="4F4F195F" w:rsidR="00D11EE6" w:rsidRPr="00436343" w:rsidRDefault="00D11EE6" w:rsidP="00D11EE6">
      <w:pPr>
        <w:autoSpaceDE w:val="0"/>
        <w:autoSpaceDN w:val="0"/>
        <w:adjustRightInd w:val="0"/>
        <w:spacing w:after="0" w:line="240" w:lineRule="auto"/>
        <w:rPr>
          <w:b/>
          <w:bCs/>
          <w:color w:val="C00000"/>
        </w:rPr>
      </w:pPr>
      <w:r w:rsidRPr="00436343">
        <w:rPr>
          <w:b/>
          <w:bCs/>
          <w:color w:val="C00000"/>
        </w:rPr>
        <w:t xml:space="preserve">Figure 1. Correlation between SRR with </w:t>
      </w:r>
      <w:r w:rsidR="00692619" w:rsidRPr="00436343">
        <w:rPr>
          <w:b/>
          <w:bCs/>
          <w:color w:val="C00000"/>
        </w:rPr>
        <w:t xml:space="preserve">exclusion </w:t>
      </w:r>
      <w:r w:rsidR="00980B3E">
        <w:rPr>
          <w:b/>
          <w:bCs/>
          <w:color w:val="C00000"/>
        </w:rPr>
        <w:t>6</w:t>
      </w:r>
      <w:r w:rsidR="00980B3E" w:rsidRPr="00436343">
        <w:rPr>
          <w:b/>
          <w:bCs/>
          <w:color w:val="C00000"/>
        </w:rPr>
        <w:t xml:space="preserve"> </w:t>
      </w:r>
      <w:r w:rsidR="00692619" w:rsidRPr="00436343">
        <w:rPr>
          <w:b/>
          <w:bCs/>
          <w:color w:val="C00000"/>
        </w:rPr>
        <w:t xml:space="preserve">and without exclusion </w:t>
      </w:r>
      <w:r w:rsidR="00980B3E">
        <w:rPr>
          <w:b/>
          <w:bCs/>
          <w:color w:val="C00000"/>
        </w:rPr>
        <w:t>6</w:t>
      </w:r>
      <w:r w:rsidR="00980B3E" w:rsidRPr="00436343">
        <w:rPr>
          <w:b/>
          <w:bCs/>
          <w:color w:val="C00000"/>
        </w:rPr>
        <w:t xml:space="preserve"> </w:t>
      </w:r>
      <w:r w:rsidRPr="00436343">
        <w:rPr>
          <w:b/>
          <w:bCs/>
          <w:color w:val="C00000"/>
        </w:rPr>
        <w:t>(20</w:t>
      </w:r>
      <w:r w:rsidR="00692619" w:rsidRPr="00436343">
        <w:rPr>
          <w:b/>
          <w:bCs/>
          <w:color w:val="C00000"/>
        </w:rPr>
        <w:t>18</w:t>
      </w:r>
      <w:r w:rsidRPr="00436343">
        <w:rPr>
          <w:b/>
          <w:bCs/>
          <w:color w:val="C00000"/>
        </w:rPr>
        <w:t>).</w:t>
      </w:r>
    </w:p>
    <w:p w14:paraId="124296FB" w14:textId="5709B07F" w:rsidR="005223C7" w:rsidRPr="00436343" w:rsidRDefault="00A92B69" w:rsidP="00D11EE6">
      <w:pPr>
        <w:autoSpaceDE w:val="0"/>
        <w:autoSpaceDN w:val="0"/>
        <w:adjustRightInd w:val="0"/>
        <w:spacing w:after="0" w:line="240" w:lineRule="auto"/>
        <w:rPr>
          <w:bCs/>
          <w:color w:val="C00000"/>
        </w:rPr>
      </w:pPr>
      <w:r w:rsidRPr="00436343">
        <w:rPr>
          <w:rFonts w:ascii="Arial" w:hAnsi="Arial" w:cs="Arial"/>
          <w:noProof/>
          <w:color w:val="C00000"/>
          <w:sz w:val="20"/>
          <w:szCs w:val="20"/>
        </w:rPr>
        <w:drawing>
          <wp:inline distT="0" distB="0" distL="0" distR="0" wp14:anchorId="5A44D05B" wp14:editId="66BC8172">
            <wp:extent cx="4268979" cy="3200400"/>
            <wp:effectExtent l="0" t="0" r="0" b="0"/>
            <wp:docPr id="8" name="Picture 8" descr="The SGPlo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he SGPlot Proced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281297" cy="3209635"/>
                    </a:xfrm>
                    <a:prstGeom prst="rect">
                      <a:avLst/>
                    </a:prstGeom>
                    <a:noFill/>
                    <a:ln>
                      <a:noFill/>
                    </a:ln>
                  </pic:spPr>
                </pic:pic>
              </a:graphicData>
            </a:graphic>
          </wp:inline>
        </w:drawing>
      </w:r>
    </w:p>
    <w:p w14:paraId="1D730B59" w14:textId="77777777" w:rsidR="004351AF" w:rsidRDefault="004351AF" w:rsidP="000D2E60">
      <w:pPr>
        <w:autoSpaceDE w:val="0"/>
        <w:autoSpaceDN w:val="0"/>
        <w:adjustRightInd w:val="0"/>
        <w:spacing w:after="0" w:line="240" w:lineRule="auto"/>
        <w:rPr>
          <w:b/>
          <w:bCs/>
        </w:rPr>
      </w:pPr>
    </w:p>
    <w:p w14:paraId="090FF82A" w14:textId="77777777" w:rsidR="000D2E60" w:rsidRPr="009D3882" w:rsidRDefault="000D2E60" w:rsidP="000D2E60">
      <w:pPr>
        <w:autoSpaceDE w:val="0"/>
        <w:autoSpaceDN w:val="0"/>
        <w:adjustRightInd w:val="0"/>
        <w:spacing w:after="0" w:line="240" w:lineRule="auto"/>
        <w:rPr>
          <w:rFonts w:cstheme="minorHAnsi"/>
          <w:bCs/>
          <w:sz w:val="12"/>
        </w:rPr>
      </w:pPr>
    </w:p>
    <w:p w14:paraId="2C6953B4" w14:textId="77777777" w:rsidR="00F87C96" w:rsidRDefault="00092566" w:rsidP="00DB3627">
      <w:pPr>
        <w:autoSpaceDE w:val="0"/>
        <w:autoSpaceDN w:val="0"/>
        <w:adjustRightInd w:val="0"/>
        <w:spacing w:after="0" w:line="240" w:lineRule="auto"/>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CABCFE8" w14:textId="78BE0240" w:rsidR="007422FD" w:rsidRDefault="00F87C96" w:rsidP="00DB3627">
      <w:pPr>
        <w:autoSpaceDE w:val="0"/>
        <w:autoSpaceDN w:val="0"/>
        <w:adjustRightInd w:val="0"/>
        <w:spacing w:after="0" w:line="240" w:lineRule="auto"/>
        <w:rPr>
          <w:rFonts w:cstheme="minorHAnsi"/>
          <w:bCs/>
        </w:rPr>
      </w:pPr>
      <w:r>
        <w:t xml:space="preserve">Based on the findings presented in Figure 1, we concluded that incorporating this exclusion—which has face validity and meets the intention of the TEP—is appropriate and supported by the high degree of correlation between the measure with and without this </w:t>
      </w:r>
      <w:proofErr w:type="gramStart"/>
      <w:r>
        <w:t>exclusion</w:t>
      </w:r>
      <w:r>
        <w:rPr>
          <w:spacing w:val="-33"/>
        </w:rPr>
        <w:t xml:space="preserve">  </w:t>
      </w:r>
      <w:r>
        <w:t>applied</w:t>
      </w:r>
      <w:proofErr w:type="gramEnd"/>
      <w:r>
        <w:t>.</w:t>
      </w:r>
    </w:p>
    <w:p w14:paraId="1E9AE063" w14:textId="77777777" w:rsidR="000D2E60" w:rsidRPr="00A25024" w:rsidRDefault="000D2E60" w:rsidP="00DB3627">
      <w:pPr>
        <w:autoSpaceDE w:val="0"/>
        <w:autoSpaceDN w:val="0"/>
        <w:adjustRightInd w:val="0"/>
        <w:spacing w:after="0" w:line="240" w:lineRule="auto"/>
        <w:rPr>
          <w:rFonts w:cstheme="minorHAnsi"/>
          <w:bCs/>
        </w:rPr>
      </w:pPr>
    </w:p>
    <w:p w14:paraId="2A29E13E" w14:textId="77777777" w:rsidR="004351AF" w:rsidRPr="00EB32C4" w:rsidRDefault="004351AF" w:rsidP="004351AF">
      <w:pPr>
        <w:rPr>
          <w:b/>
          <w:color w:val="C00000"/>
          <w:u w:val="single"/>
        </w:rPr>
      </w:pPr>
      <w:r w:rsidRPr="00EB32C4">
        <w:rPr>
          <w:b/>
          <w:color w:val="C00000"/>
          <w:u w:val="single"/>
        </w:rPr>
        <w:t>2019 Submission</w:t>
      </w:r>
    </w:p>
    <w:p w14:paraId="57D98C45" w14:textId="7CE2AC00" w:rsidR="002954FF" w:rsidRPr="00436343" w:rsidRDefault="006430FA" w:rsidP="002954FF">
      <w:pPr>
        <w:autoSpaceDE w:val="0"/>
        <w:autoSpaceDN w:val="0"/>
        <w:adjustRightInd w:val="0"/>
        <w:spacing w:after="0" w:line="240" w:lineRule="auto"/>
        <w:rPr>
          <w:rFonts w:cstheme="minorHAnsi"/>
          <w:bCs/>
          <w:color w:val="C00000"/>
        </w:rPr>
      </w:pPr>
      <w:r>
        <w:rPr>
          <w:color w:val="C00000"/>
        </w:rPr>
        <w:t xml:space="preserve">This exclusion recognizes that facilities need some time to make arrangements for a discharged </w:t>
      </w:r>
      <w:r w:rsidR="00D176D3">
        <w:rPr>
          <w:color w:val="C00000"/>
        </w:rPr>
        <w:t>patient</w:t>
      </w:r>
      <w:r>
        <w:rPr>
          <w:color w:val="C00000"/>
        </w:rPr>
        <w:t xml:space="preserve">. As Figure 1 indicates, the exclusion does change the SRR substantially for some facilities due to the elimination of early readmissions, but these exclusions have been viewed as appropriate given the issues associated with transferring patient support at discharge. </w:t>
      </w:r>
    </w:p>
    <w:p w14:paraId="405A89B2" w14:textId="77777777" w:rsidR="00423A4F" w:rsidRDefault="00423A4F" w:rsidP="00DB3627">
      <w:pPr>
        <w:autoSpaceDE w:val="0"/>
        <w:autoSpaceDN w:val="0"/>
        <w:adjustRightInd w:val="0"/>
        <w:spacing w:after="0" w:line="240" w:lineRule="auto"/>
        <w:rPr>
          <w:rFonts w:cstheme="minorHAnsi"/>
          <w:bCs/>
        </w:rPr>
      </w:pPr>
    </w:p>
    <w:p w14:paraId="0CABCFE9" w14:textId="4A83E0F9"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12" w:name="section2b4"/>
      <w:bookmarkEnd w:id="12"/>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DE485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1C6A3166" w:rsidR="00743E46" w:rsidRPr="005232D6" w:rsidRDefault="00DE485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F87C96">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F87C96" w:rsidDel="006715E6">
            <w:rPr>
              <w:rStyle w:val="Style4"/>
              <w:u w:val="none"/>
            </w:rPr>
            <w:t xml:space="preserve">Categories of </w:t>
          </w:r>
          <w:r w:rsidR="006715E6">
            <w:rPr>
              <w:rStyle w:val="Style4"/>
              <w:u w:val="none"/>
            </w:rPr>
            <w:t xml:space="preserve">Categories of </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DE485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DE485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0138F25A" w14:textId="64678EA5" w:rsidR="00F87C96" w:rsidRDefault="00F87C96" w:rsidP="00F87C96">
      <w:pPr>
        <w:spacing w:after="0"/>
        <w:jc w:val="both"/>
      </w:pPr>
      <w:r w:rsidRPr="00B134D9">
        <w:t xml:space="preserve">To estimate the probability of 30-day unplanned readmission, </w:t>
      </w:r>
      <w:r w:rsidRPr="00B134D9">
        <w:rPr>
          <w:rFonts w:eastAsiaTheme="minorHAnsi"/>
        </w:rPr>
        <w:t xml:space="preserve">we use a two-stage model, the first of which is a </w:t>
      </w:r>
      <w:r w:rsidRPr="00B134D9">
        <w:t xml:space="preserve">double random-effects logistic regression model. In this </w:t>
      </w:r>
      <w:r>
        <w:t xml:space="preserve">stage of the </w:t>
      </w:r>
      <w:r w:rsidRPr="00B134D9">
        <w:t>model, both dialysis facilities and hospitals are represented as random effects, and regression adjustments are made for a set of patient-level characteristics. From this model, we obtain the estimated standard deviation of the random effects of hospitals</w:t>
      </w:r>
      <w:r>
        <w:t xml:space="preserve"> </w:t>
      </w:r>
      <w:r w:rsidRPr="00DB3432">
        <w:t>(Diggle, et. al., 2002)</w:t>
      </w:r>
      <w:r w:rsidRPr="00B134D9">
        <w:t>.</w:t>
      </w:r>
    </w:p>
    <w:p w14:paraId="00B6221E" w14:textId="77777777" w:rsidR="00F87C96" w:rsidRPr="00B134D9" w:rsidRDefault="00F87C96" w:rsidP="00F87C96">
      <w:pPr>
        <w:spacing w:after="0"/>
        <w:jc w:val="both"/>
        <w:rPr>
          <w:color w:val="131413"/>
        </w:rPr>
      </w:pPr>
    </w:p>
    <w:p w14:paraId="66478DF2" w14:textId="4C88F016" w:rsidR="00F87C96" w:rsidRDefault="00F87C96" w:rsidP="00F87C96">
      <w:pPr>
        <w:spacing w:after="0"/>
        <w:jc w:val="both"/>
        <w:rPr>
          <w:rFonts w:cs="Times New Roman"/>
          <w:bCs/>
        </w:rPr>
      </w:pPr>
      <w:r w:rsidRPr="00B134D9">
        <w:rPr>
          <w:rFonts w:cs="Times New Roman"/>
          <w:bCs/>
        </w:rPr>
        <w:t xml:space="preserve">The second </w:t>
      </w:r>
      <w:r>
        <w:rPr>
          <w:rFonts w:cs="Times New Roman"/>
          <w:bCs/>
        </w:rPr>
        <w:t xml:space="preserve">stage of the </w:t>
      </w:r>
      <w:r w:rsidRPr="00B134D9">
        <w:rPr>
          <w:rFonts w:cs="Times New Roman"/>
          <w:bCs/>
        </w:rPr>
        <w:t xml:space="preserve">model is a mixed-effects logistic regression model, in which </w:t>
      </w:r>
      <w:r>
        <w:rPr>
          <w:rFonts w:cs="Times New Roman"/>
          <w:bCs/>
        </w:rPr>
        <w:t xml:space="preserve">dialysis </w:t>
      </w:r>
      <w:r w:rsidRPr="00B134D9">
        <w:rPr>
          <w:rFonts w:cs="Times New Roman"/>
          <w:bCs/>
        </w:rPr>
        <w:t xml:space="preserve">facilities are </w:t>
      </w:r>
      <w:r>
        <w:rPr>
          <w:rFonts w:cs="Times New Roman"/>
          <w:bCs/>
        </w:rPr>
        <w:t xml:space="preserve">modeled as </w:t>
      </w:r>
      <w:r w:rsidRPr="00B134D9">
        <w:rPr>
          <w:rFonts w:cs="Times New Roman"/>
          <w:bCs/>
        </w:rPr>
        <w:t>fixed effects and hospitals are modeled as random effects, with the standard deviation specified as equal to its estimates from the first model. The expected number of readmissions for each facility is estimated as the summation of the probabilities of readmission of all patients in this facility and assuming the national norm</w:t>
      </w:r>
      <w:r>
        <w:rPr>
          <w:rFonts w:cs="Times New Roman"/>
          <w:bCs/>
        </w:rPr>
        <w:t xml:space="preserve"> (i.e., the median)</w:t>
      </w:r>
      <w:r w:rsidRPr="00B134D9">
        <w:rPr>
          <w:rFonts w:cs="Times New Roman"/>
          <w:bCs/>
        </w:rPr>
        <w:t xml:space="preserve"> for facility effect. This model accounts for a given facility’s case mix using the same set of patient-level characteristics as those in the first model.</w:t>
      </w:r>
      <w:r>
        <w:rPr>
          <w:rFonts w:cs="Times New Roman"/>
          <w:bCs/>
        </w:rPr>
        <w:t xml:space="preserve"> </w:t>
      </w:r>
    </w:p>
    <w:p w14:paraId="621D7954" w14:textId="77777777" w:rsidR="00F87C96" w:rsidRPr="003A47EA" w:rsidRDefault="00F87C96" w:rsidP="00F87C96">
      <w:pPr>
        <w:spacing w:after="0"/>
        <w:jc w:val="both"/>
      </w:pPr>
    </w:p>
    <w:p w14:paraId="1FC47923" w14:textId="77777777" w:rsidR="00F87C96" w:rsidRDefault="00F87C96" w:rsidP="00F87C96">
      <w:pPr>
        <w:spacing w:after="0"/>
        <w:jc w:val="both"/>
        <w:rPr>
          <w:rFonts w:cs="Times New Roman"/>
          <w:bCs/>
        </w:rPr>
      </w:pPr>
      <w:r w:rsidRPr="00B134D9">
        <w:rPr>
          <w:rFonts w:cs="Times New Roman"/>
          <w:bCs/>
        </w:rPr>
        <w:t xml:space="preserve">The equations used in the measure calculation are as follows: </w:t>
      </w:r>
    </w:p>
    <w:p w14:paraId="4F680396" w14:textId="77777777" w:rsidR="00F87C96" w:rsidRPr="00B134D9" w:rsidRDefault="00F87C96" w:rsidP="00F87C96">
      <w:pPr>
        <w:spacing w:after="0"/>
        <w:jc w:val="both"/>
        <w:rPr>
          <w:rFonts w:cs="Times New Roman"/>
          <w:bCs/>
        </w:rPr>
      </w:pPr>
    </w:p>
    <w:p w14:paraId="645E8375" w14:textId="77777777" w:rsidR="00F87C96" w:rsidRPr="00B134D9" w:rsidRDefault="00F87C96" w:rsidP="00F87C96">
      <w:pPr>
        <w:pStyle w:val="ListParagraph"/>
        <w:numPr>
          <w:ilvl w:val="1"/>
          <w:numId w:val="36"/>
        </w:numPr>
        <w:spacing w:after="0"/>
        <w:ind w:left="990"/>
        <w:jc w:val="both"/>
        <w:rPr>
          <w:bCs/>
        </w:rPr>
      </w:pPr>
      <w:r w:rsidRPr="00B134D9">
        <w:rPr>
          <w:bCs/>
        </w:rPr>
        <w:t>To estimate the probability of 30-day unplanned readmission, we use a two-stage approach. The main model, which produces the estimates used to calculate SRR, takes the form:</w:t>
      </w:r>
    </w:p>
    <w:p w14:paraId="18E603E9" w14:textId="77777777" w:rsidR="00F87C96" w:rsidRPr="00B134D9" w:rsidRDefault="00F87C96" w:rsidP="00F87C96">
      <w:pPr>
        <w:pStyle w:val="ListParagraph"/>
        <w:spacing w:after="0"/>
        <w:ind w:left="990"/>
        <w:jc w:val="both"/>
        <w:rPr>
          <w:bCs/>
          <w:i/>
        </w:rPr>
      </w:pPr>
    </w:p>
    <w:p w14:paraId="4B30C468" w14:textId="77777777" w:rsidR="00F87C96" w:rsidRPr="00B134D9" w:rsidRDefault="00F87C96" w:rsidP="00F87C96">
      <w:pPr>
        <w:pStyle w:val="ListParagraph"/>
        <w:spacing w:after="0"/>
        <w:ind w:left="990"/>
        <w:jc w:val="right"/>
        <w:rPr>
          <w:bCs/>
          <w:i/>
        </w:rPr>
      </w:pPr>
      <m:oMath>
        <m:r>
          <m:rPr>
            <m:sty m:val="p"/>
          </m:rPr>
          <w:rPr>
            <w:rFonts w:ascii="Cambria Math" w:hAnsi="Cambria Math"/>
          </w:rPr>
          <m:t>log</m:t>
        </m:r>
        <m:f>
          <m:fPr>
            <m:ctrlPr>
              <w:rPr>
                <w:rFonts w:ascii="Cambria Math" w:hAnsi="Cambria Math"/>
                <w:bCs/>
                <w:i/>
              </w:rPr>
            </m:ctrlPr>
          </m:fPr>
          <m:num>
            <m:sSub>
              <m:sSubPr>
                <m:ctrlPr>
                  <w:rPr>
                    <w:rFonts w:ascii="Cambria Math" w:hAnsi="Cambria Math"/>
                    <w:bCs/>
                    <w:i/>
                  </w:rPr>
                </m:ctrlPr>
              </m:sSubPr>
              <m:e>
                <m:r>
                  <w:rPr>
                    <w:rFonts w:ascii="Cambria Math" w:hAnsi="Cambria Math"/>
                  </w:rPr>
                  <m:t>p</m:t>
                </m:r>
              </m:e>
              <m:sub>
                <m:r>
                  <w:rPr>
                    <w:rFonts w:ascii="Cambria Math" w:hAnsi="Cambria Math"/>
                  </w:rPr>
                  <m:t>ijk</m:t>
                </m:r>
              </m:sub>
            </m:sSub>
          </m:num>
          <m:den>
            <m:r>
              <w:rPr>
                <w:rFonts w:ascii="Cambria Math" w:hAnsi="Cambria Math"/>
              </w:rPr>
              <m:t xml:space="preserve">1- </m:t>
            </m:r>
            <m:sSub>
              <m:sSubPr>
                <m:ctrlPr>
                  <w:rPr>
                    <w:rFonts w:ascii="Cambria Math" w:hAnsi="Cambria Math"/>
                    <w:bCs/>
                    <w:i/>
                  </w:rPr>
                </m:ctrlPr>
              </m:sSubPr>
              <m:e>
                <m:r>
                  <w:rPr>
                    <w:rFonts w:ascii="Cambria Math" w:hAnsi="Cambria Math"/>
                  </w:rPr>
                  <m:t>p</m:t>
                </m:r>
              </m:e>
              <m:sub>
                <m:r>
                  <w:rPr>
                    <w:rFonts w:ascii="Cambria Math" w:hAnsi="Cambria Math"/>
                  </w:rPr>
                  <m:t>ijk</m:t>
                </m:r>
              </m:sub>
            </m:sSub>
          </m:den>
        </m:f>
        <m:r>
          <w:rPr>
            <w:rFonts w:ascii="Cambria Math" w:hAnsi="Cambria Math"/>
          </w:rPr>
          <m:t xml:space="preserve">= </m:t>
        </m:r>
        <m:sSub>
          <m:sSubPr>
            <m:ctrlPr>
              <w:rPr>
                <w:rFonts w:ascii="Cambria Math" w:hAnsi="Cambria Math"/>
                <w:bCs/>
                <w:i/>
              </w:rPr>
            </m:ctrlPr>
          </m:sSubPr>
          <m:e>
            <m:r>
              <w:rPr>
                <w:rFonts w:ascii="Cambria Math" w:hAnsi="Cambria Math"/>
              </w:rPr>
              <m:t>γ</m:t>
            </m:r>
          </m:e>
          <m:sub>
            <m:r>
              <w:rPr>
                <w:rFonts w:ascii="Cambria Math" w:hAnsi="Cambria Math"/>
              </w:rPr>
              <m:t>i</m:t>
            </m:r>
          </m:sub>
        </m:sSub>
        <m:r>
          <w:rPr>
            <w:rFonts w:ascii="Cambria Math" w:hAnsi="Cambria Math"/>
          </w:rPr>
          <m:t xml:space="preserve">+ </m:t>
        </m:r>
        <m:sSub>
          <m:sSubPr>
            <m:ctrlPr>
              <w:rPr>
                <w:rFonts w:ascii="Cambria Math" w:hAnsi="Cambria Math"/>
                <w:bCs/>
                <w:i/>
              </w:rPr>
            </m:ctrlPr>
          </m:sSubPr>
          <m:e>
            <m:r>
              <w:rPr>
                <w:rFonts w:ascii="Cambria Math" w:hAnsi="Cambria Math"/>
              </w:rPr>
              <m:t>α</m:t>
            </m:r>
          </m:e>
          <m:sub>
            <m:r>
              <w:rPr>
                <w:rFonts w:ascii="Cambria Math" w:hAnsi="Cambria Math"/>
              </w:rPr>
              <m:t>j</m:t>
            </m:r>
          </m:sub>
        </m:sSub>
        <m:r>
          <w:rPr>
            <w:rFonts w:ascii="Cambria Math" w:hAnsi="Cambria Math"/>
          </w:rPr>
          <m:t xml:space="preserve">+ </m:t>
        </m:r>
        <m:sSup>
          <m:sSupPr>
            <m:ctrlPr>
              <w:rPr>
                <w:rFonts w:ascii="Cambria Math" w:hAnsi="Cambria Math"/>
                <w:bCs/>
                <w:i/>
              </w:rPr>
            </m:ctrlPr>
          </m:sSupPr>
          <m:e>
            <m:r>
              <w:rPr>
                <w:rFonts w:ascii="Cambria Math" w:hAnsi="Cambria Math"/>
              </w:rPr>
              <m:t>β</m:t>
            </m:r>
          </m:e>
          <m:sup>
            <m:r>
              <w:rPr>
                <w:rFonts w:ascii="Cambria Math" w:hAnsi="Cambria Math"/>
              </w:rPr>
              <m:t>T</m:t>
            </m:r>
          </m:sup>
        </m:sSup>
        <m:sSub>
          <m:sSubPr>
            <m:ctrlPr>
              <w:rPr>
                <w:rFonts w:ascii="Cambria Math" w:hAnsi="Cambria Math"/>
                <w:bCs/>
                <w:i/>
              </w:rPr>
            </m:ctrlPr>
          </m:sSubPr>
          <m:e>
            <m:r>
              <w:rPr>
                <w:rFonts w:ascii="Cambria Math" w:hAnsi="Cambria Math"/>
              </w:rPr>
              <m:t>Z</m:t>
            </m:r>
          </m:e>
          <m:sub>
            <m:r>
              <w:rPr>
                <w:rFonts w:ascii="Cambria Math" w:hAnsi="Cambria Math"/>
              </w:rPr>
              <m:t>ijk</m:t>
            </m:r>
          </m:sub>
        </m:sSub>
      </m:oMath>
      <w:r>
        <w:rPr>
          <w:bCs/>
          <w:i/>
        </w:rPr>
        <w:t xml:space="preserve"> ,</w:t>
      </w:r>
      <w:r>
        <w:rPr>
          <w:bCs/>
          <w:i/>
        </w:rPr>
        <w:tab/>
      </w:r>
      <w:r>
        <w:rPr>
          <w:bCs/>
          <w:i/>
        </w:rPr>
        <w:tab/>
      </w:r>
      <w:r>
        <w:rPr>
          <w:bCs/>
          <w:i/>
        </w:rPr>
        <w:tab/>
      </w:r>
      <w:r>
        <w:rPr>
          <w:bCs/>
          <w:i/>
        </w:rPr>
        <w:tab/>
      </w:r>
      <w:r w:rsidRPr="00B134D9">
        <w:rPr>
          <w:bCs/>
        </w:rPr>
        <w:t xml:space="preserve"> (1)</w:t>
      </w:r>
    </w:p>
    <w:p w14:paraId="28EB9D8E" w14:textId="77777777" w:rsidR="00F87C96" w:rsidRPr="00B134D9" w:rsidRDefault="00F87C96" w:rsidP="00F87C96">
      <w:pPr>
        <w:pStyle w:val="ListParagraph"/>
        <w:spacing w:after="0"/>
        <w:ind w:left="990"/>
        <w:jc w:val="both"/>
        <w:rPr>
          <w:bCs/>
          <w:i/>
        </w:rPr>
      </w:pPr>
    </w:p>
    <w:p w14:paraId="720806E8" w14:textId="77777777" w:rsidR="00F87C96" w:rsidRPr="00B134D9" w:rsidRDefault="00F87C96" w:rsidP="00F87C96">
      <w:pPr>
        <w:pStyle w:val="ListParagraph"/>
        <w:spacing w:after="0"/>
        <w:ind w:left="990"/>
        <w:jc w:val="both"/>
        <w:rPr>
          <w:bCs/>
        </w:rPr>
      </w:pPr>
      <w:proofErr w:type="gramStart"/>
      <w:r w:rsidRPr="00B134D9">
        <w:rPr>
          <w:bCs/>
        </w:rPr>
        <w:t>where</w:t>
      </w:r>
      <w:proofErr w:type="gramEnd"/>
      <w:r w:rsidRPr="00B134D9">
        <w:rPr>
          <w:bCs/>
        </w:rPr>
        <w:t xml:space="preserve"> </w:t>
      </w:r>
      <m:oMath>
        <m:sSub>
          <m:sSubPr>
            <m:ctrlPr>
              <w:rPr>
                <w:rFonts w:ascii="Cambria Math" w:hAnsi="Cambria Math"/>
                <w:bCs/>
                <w:i/>
              </w:rPr>
            </m:ctrlPr>
          </m:sSubPr>
          <m:e>
            <m:r>
              <w:rPr>
                <w:rFonts w:ascii="Cambria Math" w:hAnsi="Cambria Math"/>
              </w:rPr>
              <m:t>p</m:t>
            </m:r>
          </m:e>
          <m:sub>
            <m:r>
              <w:rPr>
                <w:rFonts w:ascii="Cambria Math" w:hAnsi="Cambria Math"/>
              </w:rPr>
              <m:t>ijk</m:t>
            </m:r>
          </m:sub>
        </m:sSub>
      </m:oMath>
      <w:r w:rsidRPr="00B134D9">
        <w:rPr>
          <w:bCs/>
          <w:iCs/>
        </w:rPr>
        <w:t xml:space="preserve"> </w:t>
      </w:r>
      <w:r w:rsidRPr="00B134D9">
        <w:rPr>
          <w:bCs/>
        </w:rPr>
        <w:t xml:space="preserve">represents the probability of an unplanned readmission for the </w:t>
      </w:r>
      <w:r w:rsidRPr="00DB3432">
        <w:rPr>
          <w:bCs/>
          <w:i/>
          <w:iCs/>
        </w:rPr>
        <w:t>k</w:t>
      </w:r>
      <w:r w:rsidRPr="00B134D9">
        <w:rPr>
          <w:bCs/>
          <w:vertAlign w:val="superscript"/>
        </w:rPr>
        <w:t>th</w:t>
      </w:r>
      <w:r w:rsidRPr="00B134D9">
        <w:rPr>
          <w:bCs/>
        </w:rPr>
        <w:t xml:space="preserve"> discharge among patients from the </w:t>
      </w:r>
      <w:proofErr w:type="spellStart"/>
      <w:r w:rsidRPr="00B134D9">
        <w:rPr>
          <w:bCs/>
          <w:i/>
          <w:iCs/>
        </w:rPr>
        <w:t>i</w:t>
      </w:r>
      <w:r w:rsidRPr="00B134D9">
        <w:rPr>
          <w:bCs/>
          <w:vertAlign w:val="superscript"/>
        </w:rPr>
        <w:t>th</w:t>
      </w:r>
      <w:proofErr w:type="spellEnd"/>
      <w:r w:rsidRPr="00B134D9">
        <w:rPr>
          <w:bCs/>
          <w:vertAlign w:val="superscript"/>
        </w:rPr>
        <w:t xml:space="preserve"> </w:t>
      </w:r>
      <w:r w:rsidRPr="00B134D9">
        <w:rPr>
          <w:bCs/>
        </w:rPr>
        <w:t xml:space="preserve">facility who are discharged from </w:t>
      </w:r>
      <w:proofErr w:type="spellStart"/>
      <w:r w:rsidRPr="00B134D9">
        <w:rPr>
          <w:bCs/>
          <w:i/>
          <w:iCs/>
        </w:rPr>
        <w:t>j</w:t>
      </w:r>
      <w:r w:rsidRPr="00B134D9">
        <w:rPr>
          <w:bCs/>
          <w:vertAlign w:val="superscript"/>
        </w:rPr>
        <w:t>th</w:t>
      </w:r>
      <w:proofErr w:type="spellEnd"/>
      <w:r w:rsidRPr="00B134D9">
        <w:rPr>
          <w:bCs/>
        </w:rPr>
        <w:t xml:space="preserve"> hospital, and </w:t>
      </w:r>
      <m:oMath>
        <m:sSub>
          <m:sSubPr>
            <m:ctrlPr>
              <w:rPr>
                <w:rFonts w:ascii="Cambria Math" w:hAnsi="Cambria Math"/>
                <w:bCs/>
                <w:i/>
              </w:rPr>
            </m:ctrlPr>
          </m:sSubPr>
          <m:e>
            <m:r>
              <w:rPr>
                <w:rFonts w:ascii="Cambria Math" w:hAnsi="Cambria Math"/>
              </w:rPr>
              <m:t>Z</m:t>
            </m:r>
          </m:e>
          <m:sub>
            <m:r>
              <w:rPr>
                <w:rFonts w:ascii="Cambria Math" w:hAnsi="Cambria Math"/>
              </w:rPr>
              <m:t>ijk</m:t>
            </m:r>
          </m:sub>
        </m:sSub>
      </m:oMath>
      <w:r w:rsidRPr="00B134D9">
        <w:rPr>
          <w:bCs/>
        </w:rPr>
        <w:t xml:space="preserve"> represents the set of patient-level characteristics. Here, </w:t>
      </w:r>
      <m:oMath>
        <m:sSub>
          <m:sSubPr>
            <m:ctrlPr>
              <w:rPr>
                <w:rFonts w:ascii="Cambria Math" w:hAnsi="Cambria Math"/>
                <w:bCs/>
                <w:i/>
              </w:rPr>
            </m:ctrlPr>
          </m:sSubPr>
          <m:e>
            <m:r>
              <w:rPr>
                <w:rFonts w:ascii="Cambria Math" w:hAnsi="Cambria Math"/>
              </w:rPr>
              <m:t>γ</m:t>
            </m:r>
          </m:e>
          <m:sub>
            <m:r>
              <w:rPr>
                <w:rFonts w:ascii="Cambria Math" w:hAnsi="Cambria Math"/>
              </w:rPr>
              <m:t>i</m:t>
            </m:r>
          </m:sub>
        </m:sSub>
      </m:oMath>
      <w:r w:rsidRPr="00B134D9">
        <w:rPr>
          <w:bCs/>
        </w:rPr>
        <w:t xml:space="preserve">is the fixed effect for facility and </w:t>
      </w:r>
      <m:oMath>
        <m:sSub>
          <m:sSubPr>
            <m:ctrlPr>
              <w:rPr>
                <w:rFonts w:ascii="Cambria Math" w:hAnsi="Cambria Math"/>
                <w:bCs/>
                <w:i/>
              </w:rPr>
            </m:ctrlPr>
          </m:sSubPr>
          <m:e>
            <m:r>
              <w:rPr>
                <w:rFonts w:ascii="Cambria Math" w:hAnsi="Cambria Math"/>
              </w:rPr>
              <m:t>α</m:t>
            </m:r>
          </m:e>
          <m:sub>
            <m:r>
              <w:rPr>
                <w:rFonts w:ascii="Cambria Math" w:hAnsi="Cambria Math"/>
              </w:rPr>
              <m:t>j</m:t>
            </m:r>
          </m:sub>
        </m:sSub>
      </m:oMath>
      <w:r w:rsidRPr="00B134D9">
        <w:rPr>
          <w:bCs/>
          <w:iCs/>
        </w:rPr>
        <w:t xml:space="preserve"> </w:t>
      </w:r>
      <w:r w:rsidRPr="00B134D9">
        <w:rPr>
          <w:bCs/>
        </w:rPr>
        <w:t xml:space="preserve">is the random effect for </w:t>
      </w:r>
      <w:proofErr w:type="gramStart"/>
      <w:r w:rsidRPr="00B134D9">
        <w:rPr>
          <w:bCs/>
        </w:rPr>
        <w:t xml:space="preserve">hospital </w:t>
      </w:r>
      <w:proofErr w:type="gramEnd"/>
      <m:oMath>
        <m:r>
          <w:rPr>
            <w:rFonts w:ascii="Cambria Math" w:hAnsi="Cambria Math"/>
          </w:rPr>
          <m:t>j</m:t>
        </m:r>
      </m:oMath>
      <w:r w:rsidRPr="00B134D9">
        <w:rPr>
          <w:bCs/>
        </w:rPr>
        <w:t xml:space="preserve">. It is assumed that the </w:t>
      </w:r>
      <m:oMath>
        <m:sSub>
          <m:sSubPr>
            <m:ctrlPr>
              <w:rPr>
                <w:rFonts w:ascii="Cambria Math" w:hAnsi="Cambria Math"/>
                <w:bCs/>
                <w:i/>
              </w:rPr>
            </m:ctrlPr>
          </m:sSubPr>
          <m:e>
            <m:r>
              <w:rPr>
                <w:rFonts w:ascii="Cambria Math" w:hAnsi="Cambria Math"/>
              </w:rPr>
              <m:t>α</m:t>
            </m:r>
          </m:e>
          <m:sub>
            <m:r>
              <w:rPr>
                <w:rFonts w:ascii="Cambria Math" w:hAnsi="Cambria Math"/>
              </w:rPr>
              <m:t>j</m:t>
            </m:r>
          </m:sub>
        </m:sSub>
      </m:oMath>
      <w:r w:rsidRPr="00B134D9">
        <w:rPr>
          <w:bCs/>
        </w:rPr>
        <w:t>s arise as independent normal variables (i.e.</w:t>
      </w:r>
      <w:proofErr w:type="gramStart"/>
      <w:r w:rsidRPr="00B134D9">
        <w:rPr>
          <w:bCs/>
        </w:rPr>
        <w:t xml:space="preserve">, </w:t>
      </w:r>
      <w:proofErr w:type="gramEnd"/>
      <m:oMath>
        <m:sSub>
          <m:sSubPr>
            <m:ctrlPr>
              <w:rPr>
                <w:rFonts w:ascii="Cambria Math" w:hAnsi="Cambria Math"/>
                <w:bCs/>
                <w:i/>
              </w:rPr>
            </m:ctrlPr>
          </m:sSubPr>
          <m:e>
            <m:r>
              <w:rPr>
                <w:rFonts w:ascii="Cambria Math" w:hAnsi="Cambria Math"/>
              </w:rPr>
              <m:t>α</m:t>
            </m:r>
          </m:e>
          <m:sub>
            <m:r>
              <w:rPr>
                <w:rFonts w:ascii="Cambria Math" w:hAnsi="Cambria Math"/>
              </w:rPr>
              <m:t>j</m:t>
            </m:r>
          </m:sub>
        </m:sSub>
        <m:r>
          <w:rPr>
            <w:rFonts w:ascii="Cambria Math" w:hAnsi="Cambria Math"/>
          </w:rPr>
          <m:t xml:space="preserve"> ~ N</m:t>
        </m:r>
        <m:d>
          <m:dPr>
            <m:ctrlPr>
              <w:rPr>
                <w:rFonts w:ascii="Cambria Math" w:hAnsi="Cambria Math"/>
                <w:bCs/>
                <w:i/>
              </w:rPr>
            </m:ctrlPr>
          </m:dPr>
          <m:e>
            <m:r>
              <w:rPr>
                <w:rFonts w:ascii="Cambria Math" w:hAnsi="Cambria Math"/>
              </w:rPr>
              <m:t>0,</m:t>
            </m:r>
            <m:sSup>
              <m:sSupPr>
                <m:ctrlPr>
                  <w:rPr>
                    <w:rFonts w:ascii="Cambria Math" w:hAnsi="Cambria Math"/>
                    <w:bCs/>
                    <w:i/>
                  </w:rPr>
                </m:ctrlPr>
              </m:sSupPr>
              <m:e>
                <m:r>
                  <w:rPr>
                    <w:rFonts w:ascii="Cambria Math" w:hAnsi="Cambria Math"/>
                  </w:rPr>
                  <m:t>σ</m:t>
                </m:r>
              </m:e>
              <m:sup>
                <m:r>
                  <w:rPr>
                    <w:rFonts w:ascii="Cambria Math" w:hAnsi="Cambria Math"/>
                  </w:rPr>
                  <m:t>2</m:t>
                </m:r>
              </m:sup>
            </m:sSup>
          </m:e>
        </m:d>
      </m:oMath>
      <w:r w:rsidRPr="00B134D9">
        <w:rPr>
          <w:bCs/>
          <w:iCs/>
        </w:rPr>
        <w:t>)</w:t>
      </w:r>
      <w:r w:rsidRPr="00B134D9">
        <w:rPr>
          <w:bCs/>
        </w:rPr>
        <w:t xml:space="preserve">. </w:t>
      </w:r>
    </w:p>
    <w:p w14:paraId="38FDE692" w14:textId="77777777" w:rsidR="00F87C96" w:rsidRPr="00B134D9" w:rsidRDefault="00F87C96" w:rsidP="00F87C96">
      <w:pPr>
        <w:pStyle w:val="ListParagraph"/>
        <w:spacing w:after="0"/>
        <w:ind w:left="1440"/>
        <w:jc w:val="both"/>
        <w:rPr>
          <w:bCs/>
          <w:i/>
        </w:rPr>
      </w:pPr>
    </w:p>
    <w:p w14:paraId="7F834547" w14:textId="77777777" w:rsidR="00F87C96" w:rsidRPr="00B134D9" w:rsidRDefault="00F87C96" w:rsidP="00F87C96">
      <w:pPr>
        <w:pStyle w:val="ListParagraph"/>
        <w:numPr>
          <w:ilvl w:val="1"/>
          <w:numId w:val="36"/>
        </w:numPr>
        <w:spacing w:after="0"/>
        <w:ind w:left="990"/>
        <w:jc w:val="both"/>
        <w:rPr>
          <w:bCs/>
        </w:rPr>
      </w:pPr>
      <w:r w:rsidRPr="00B134D9">
        <w:rPr>
          <w:bCs/>
        </w:rPr>
        <w:t xml:space="preserve">We then use the estimates from this model to calculate each facility’s SRR: </w:t>
      </w:r>
    </w:p>
    <w:p w14:paraId="6A05B79E" w14:textId="77777777" w:rsidR="00F87C96" w:rsidRPr="00B134D9" w:rsidRDefault="00F87C96" w:rsidP="00F87C96">
      <w:pPr>
        <w:pStyle w:val="ListParagraph"/>
        <w:spacing w:after="0"/>
        <w:ind w:left="990"/>
        <w:jc w:val="both"/>
        <w:rPr>
          <w:bCs/>
          <w:i/>
        </w:rPr>
      </w:pPr>
    </w:p>
    <w:p w14:paraId="786207EE" w14:textId="77777777" w:rsidR="00F87C96" w:rsidRPr="00B134D9" w:rsidRDefault="00DE4858" w:rsidP="00F87C96">
      <w:pPr>
        <w:pStyle w:val="ListParagraph"/>
        <w:spacing w:after="0"/>
        <w:ind w:left="990"/>
        <w:jc w:val="right"/>
        <w:rPr>
          <w:bCs/>
        </w:rPr>
      </w:pPr>
      <m:oMath>
        <m:sSub>
          <m:sSubPr>
            <m:ctrlPr>
              <w:rPr>
                <w:rFonts w:ascii="Cambria Math" w:hAnsi="Cambria Math"/>
                <w:bCs/>
                <w:i/>
              </w:rPr>
            </m:ctrlPr>
          </m:sSubPr>
          <m:e>
            <m:r>
              <w:rPr>
                <w:rFonts w:ascii="Cambria Math" w:hAnsi="Cambria Math"/>
              </w:rPr>
              <m:t>SRR</m:t>
            </m:r>
          </m:e>
          <m:sub>
            <m:r>
              <w:rPr>
                <w:rFonts w:ascii="Cambria Math" w:hAnsi="Cambria Math"/>
              </w:rPr>
              <m:t>i</m:t>
            </m:r>
          </m:sub>
        </m:sSub>
        <m:r>
          <w:rPr>
            <w:rFonts w:ascii="Cambria Math" w:hAnsi="Cambria Math"/>
          </w:rPr>
          <m:t xml:space="preserve">= </m:t>
        </m:r>
        <m:f>
          <m:fPr>
            <m:ctrlPr>
              <w:rPr>
                <w:rFonts w:ascii="Cambria Math" w:hAnsi="Cambria Math"/>
                <w:bCs/>
                <w:i/>
              </w:rPr>
            </m:ctrlPr>
          </m:fPr>
          <m:num>
            <m:sSub>
              <m:sSubPr>
                <m:ctrlPr>
                  <w:rPr>
                    <w:rFonts w:ascii="Cambria Math" w:hAnsi="Cambria Math"/>
                    <w:bCs/>
                    <w:i/>
                  </w:rPr>
                </m:ctrlPr>
              </m:sSubPr>
              <m:e>
                <m:r>
                  <w:rPr>
                    <w:rFonts w:ascii="Cambria Math" w:hAnsi="Cambria Math"/>
                  </w:rPr>
                  <m:t>O</m:t>
                </m:r>
              </m:e>
              <m:sub>
                <m:r>
                  <w:rPr>
                    <w:rFonts w:ascii="Cambria Math" w:hAnsi="Cambria Math"/>
                  </w:rPr>
                  <m:t>i</m:t>
                </m:r>
              </m:sub>
            </m:sSub>
          </m:num>
          <m:den>
            <m:sSub>
              <m:sSubPr>
                <m:ctrlPr>
                  <w:rPr>
                    <w:rFonts w:ascii="Cambria Math" w:hAnsi="Cambria Math"/>
                    <w:bCs/>
                    <w:i/>
                  </w:rPr>
                </m:ctrlPr>
              </m:sSubPr>
              <m:e>
                <m:r>
                  <w:rPr>
                    <w:rFonts w:ascii="Cambria Math" w:hAnsi="Cambria Math"/>
                  </w:rPr>
                  <m:t>E</m:t>
                </m:r>
              </m:e>
              <m:sub>
                <m:r>
                  <w:rPr>
                    <w:rFonts w:ascii="Cambria Math" w:hAnsi="Cambria Math"/>
                  </w:rPr>
                  <m:t>i</m:t>
                </m:r>
              </m:sub>
            </m:sSub>
          </m:den>
        </m:f>
        <m:r>
          <w:rPr>
            <w:rFonts w:ascii="Cambria Math" w:hAnsi="Cambria Math"/>
          </w:rPr>
          <m:t xml:space="preserve">= </m:t>
        </m:r>
        <m:f>
          <m:fPr>
            <m:ctrlPr>
              <w:rPr>
                <w:rFonts w:ascii="Cambria Math" w:hAnsi="Cambria Math"/>
                <w:bCs/>
                <w:i/>
              </w:rPr>
            </m:ctrlPr>
          </m:fPr>
          <m:num>
            <m:sSub>
              <m:sSubPr>
                <m:ctrlPr>
                  <w:rPr>
                    <w:rFonts w:ascii="Cambria Math" w:hAnsi="Cambria Math"/>
                    <w:bCs/>
                    <w:i/>
                  </w:rPr>
                </m:ctrlPr>
              </m:sSubPr>
              <m:e>
                <m:r>
                  <w:rPr>
                    <w:rFonts w:ascii="Cambria Math" w:hAnsi="Cambria Math"/>
                  </w:rPr>
                  <m:t>O</m:t>
                </m:r>
              </m:e>
              <m:sub>
                <m:r>
                  <w:rPr>
                    <w:rFonts w:ascii="Cambria Math" w:hAnsi="Cambria Math"/>
                  </w:rPr>
                  <m:t>i</m:t>
                </m:r>
              </m:sub>
            </m:sSub>
          </m:num>
          <m:den>
            <m:nary>
              <m:naryPr>
                <m:chr m:val="∑"/>
                <m:limLoc m:val="subSup"/>
                <m:supHide m:val="1"/>
                <m:ctrlPr>
                  <w:rPr>
                    <w:rFonts w:ascii="Cambria Math" w:hAnsi="Cambria Math"/>
                    <w:bCs/>
                    <w:i/>
                  </w:rPr>
                </m:ctrlPr>
              </m:naryPr>
              <m:sub>
                <m:r>
                  <w:rPr>
                    <w:rFonts w:ascii="Cambria Math" w:hAnsi="Cambria Math"/>
                  </w:rPr>
                  <m:t>j∈H(i)</m:t>
                </m:r>
              </m:sub>
              <m:sup/>
              <m:e>
                <m:nary>
                  <m:naryPr>
                    <m:chr m:val="∑"/>
                    <m:limLoc m:val="subSup"/>
                    <m:ctrlPr>
                      <w:rPr>
                        <w:rFonts w:ascii="Cambria Math" w:hAnsi="Cambria Math"/>
                        <w:bCs/>
                        <w:i/>
                      </w:rPr>
                    </m:ctrlPr>
                  </m:naryPr>
                  <m:sub>
                    <m:r>
                      <w:rPr>
                        <w:rFonts w:ascii="Cambria Math" w:hAnsi="Cambria Math"/>
                      </w:rPr>
                      <m:t>k=1</m:t>
                    </m:r>
                  </m:sub>
                  <m:sup>
                    <m:sSub>
                      <m:sSubPr>
                        <m:ctrlPr>
                          <w:rPr>
                            <w:rFonts w:ascii="Cambria Math" w:hAnsi="Cambria Math"/>
                            <w:bCs/>
                            <w:i/>
                          </w:rPr>
                        </m:ctrlPr>
                      </m:sSubPr>
                      <m:e>
                        <m:r>
                          <w:rPr>
                            <w:rFonts w:ascii="Cambria Math" w:hAnsi="Cambria Math"/>
                          </w:rPr>
                          <m:t>n</m:t>
                        </m:r>
                      </m:e>
                      <m:sub>
                        <m:r>
                          <w:rPr>
                            <w:rFonts w:ascii="Cambria Math" w:hAnsi="Cambria Math"/>
                          </w:rPr>
                          <m:t>ij</m:t>
                        </m:r>
                      </m:sub>
                    </m:sSub>
                  </m:sup>
                  <m:e>
                    <m:sSub>
                      <m:sSubPr>
                        <m:ctrlPr>
                          <w:rPr>
                            <w:rFonts w:ascii="Cambria Math" w:hAnsi="Cambria Math"/>
                            <w:bCs/>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ijk</m:t>
                        </m:r>
                      </m:sub>
                    </m:sSub>
                  </m:e>
                </m:nary>
              </m:e>
            </m:nary>
          </m:den>
        </m:f>
      </m:oMath>
      <w:r w:rsidR="00F87C96" w:rsidRPr="00B134D9">
        <w:rPr>
          <w:bCs/>
          <w:i/>
        </w:rPr>
        <w:t xml:space="preserve"> </w:t>
      </w:r>
      <w:r w:rsidR="00F87C96" w:rsidRPr="00B134D9">
        <w:rPr>
          <w:bCs/>
        </w:rPr>
        <w:t>,</w:t>
      </w:r>
      <w:r w:rsidR="00F87C96" w:rsidRPr="00B134D9">
        <w:rPr>
          <w:bCs/>
        </w:rPr>
        <w:tab/>
      </w:r>
      <w:r w:rsidR="00F87C96" w:rsidRPr="00B134D9">
        <w:rPr>
          <w:bCs/>
        </w:rPr>
        <w:tab/>
      </w:r>
      <w:r w:rsidR="00F87C96" w:rsidRPr="00B134D9">
        <w:rPr>
          <w:bCs/>
        </w:rPr>
        <w:tab/>
      </w:r>
      <w:r w:rsidR="00F87C96" w:rsidRPr="00B134D9">
        <w:rPr>
          <w:bCs/>
        </w:rPr>
        <w:tab/>
        <w:t>(2)</w:t>
      </w:r>
    </w:p>
    <w:p w14:paraId="63D72600" w14:textId="77777777" w:rsidR="00F87C96" w:rsidRPr="00B134D9" w:rsidRDefault="00F87C96" w:rsidP="00F87C96">
      <w:pPr>
        <w:pStyle w:val="ListParagraph"/>
        <w:spacing w:after="0"/>
        <w:ind w:left="990"/>
        <w:jc w:val="both"/>
        <w:rPr>
          <w:bCs/>
          <w:i/>
        </w:rPr>
      </w:pPr>
    </w:p>
    <w:p w14:paraId="4FD9C79C" w14:textId="77777777" w:rsidR="00F87C96" w:rsidRPr="00B134D9" w:rsidRDefault="00F87C96" w:rsidP="00F87C96">
      <w:pPr>
        <w:pStyle w:val="ListParagraph"/>
        <w:spacing w:after="0"/>
        <w:ind w:left="990"/>
        <w:jc w:val="both"/>
        <w:rPr>
          <w:bCs/>
        </w:rPr>
      </w:pPr>
      <w:proofErr w:type="gramStart"/>
      <w:r w:rsidRPr="00B134D9">
        <w:rPr>
          <w:bCs/>
        </w:rPr>
        <w:t>where</w:t>
      </w:r>
      <w:proofErr w:type="gramEnd"/>
      <w:r w:rsidRPr="00B134D9">
        <w:rPr>
          <w:bCs/>
        </w:rPr>
        <w:t xml:space="preserve">, for the </w:t>
      </w:r>
      <w:proofErr w:type="spellStart"/>
      <w:r w:rsidRPr="00B134D9">
        <w:rPr>
          <w:bCs/>
          <w:i/>
        </w:rPr>
        <w:t>i</w:t>
      </w:r>
      <w:r w:rsidRPr="00B134D9">
        <w:rPr>
          <w:bCs/>
          <w:vertAlign w:val="superscript"/>
        </w:rPr>
        <w:t>th</w:t>
      </w:r>
      <w:proofErr w:type="spellEnd"/>
      <w:r w:rsidRPr="00B134D9">
        <w:rPr>
          <w:bCs/>
        </w:rPr>
        <w:t xml:space="preserve"> facility, </w:t>
      </w:r>
      <m:oMath>
        <m:sSub>
          <m:sSubPr>
            <m:ctrlPr>
              <w:rPr>
                <w:rFonts w:ascii="Cambria Math" w:hAnsi="Cambria Math"/>
                <w:bCs/>
                <w:i/>
              </w:rPr>
            </m:ctrlPr>
          </m:sSubPr>
          <m:e>
            <m:r>
              <w:rPr>
                <w:rFonts w:ascii="Cambria Math" w:hAnsi="Cambria Math"/>
              </w:rPr>
              <m:t>O</m:t>
            </m:r>
          </m:e>
          <m:sub>
            <m:r>
              <w:rPr>
                <w:rFonts w:ascii="Cambria Math" w:hAnsi="Cambria Math"/>
              </w:rPr>
              <m:t>i</m:t>
            </m:r>
          </m:sub>
        </m:sSub>
      </m:oMath>
      <w:r w:rsidRPr="00B134D9">
        <w:rPr>
          <w:bCs/>
        </w:rPr>
        <w:t xml:space="preserve"> is the number of observed unplanned readmissions,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B134D9">
        <w:rPr>
          <w:bCs/>
        </w:rPr>
        <w:t xml:space="preserve"> is the expected number of unplanned readmissions for discharges, </w:t>
      </w:r>
      <m:oMath>
        <m:r>
          <w:rPr>
            <w:rFonts w:ascii="Cambria Math" w:hAnsi="Cambria Math"/>
          </w:rPr>
          <m:t>H(i)</m:t>
        </m:r>
      </m:oMath>
      <w:r w:rsidRPr="00B134D9">
        <w:rPr>
          <w:bCs/>
        </w:rPr>
        <w:t xml:space="preserve"> is the collection of indices of hospitals from which patients are discharged, and </w:t>
      </w:r>
      <m:oMath>
        <m:sSub>
          <m:sSubPr>
            <m:ctrlPr>
              <w:rPr>
                <w:rFonts w:ascii="Cambria Math" w:hAnsi="Cambria Math"/>
                <w:bCs/>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ijk</m:t>
            </m:r>
          </m:sub>
        </m:sSub>
      </m:oMath>
      <w:r w:rsidRPr="00B134D9">
        <w:rPr>
          <w:bCs/>
        </w:rPr>
        <w:t xml:space="preserve"> is the predicted probability of unplanned readmission under the national norm for each discharge. Specifically, </w:t>
      </w:r>
      <m:oMath>
        <m:sSub>
          <m:sSubPr>
            <m:ctrlPr>
              <w:rPr>
                <w:rFonts w:ascii="Cambria Math" w:hAnsi="Cambria Math"/>
                <w:bCs/>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ijk</m:t>
            </m:r>
          </m:sub>
        </m:sSub>
      </m:oMath>
      <w:r w:rsidRPr="00B134D9">
        <w:rPr>
          <w:bCs/>
        </w:rPr>
        <w:t xml:space="preserve"> takes the form</w:t>
      </w:r>
    </w:p>
    <w:p w14:paraId="70CB7DF1" w14:textId="77777777" w:rsidR="00F87C96" w:rsidRPr="00B134D9" w:rsidRDefault="00F87C96" w:rsidP="00F87C96">
      <w:pPr>
        <w:pStyle w:val="ListParagraph"/>
        <w:spacing w:after="0"/>
        <w:ind w:left="990"/>
        <w:jc w:val="both"/>
        <w:rPr>
          <w:bCs/>
        </w:rPr>
      </w:pPr>
    </w:p>
    <w:p w14:paraId="49AB7153" w14:textId="77777777" w:rsidR="00F87C96" w:rsidRPr="00B134D9" w:rsidRDefault="00DE4858" w:rsidP="00F87C96">
      <w:pPr>
        <w:pStyle w:val="ListParagraph"/>
        <w:spacing w:after="0"/>
        <w:ind w:left="990"/>
        <w:jc w:val="right"/>
        <w:rPr>
          <w:bCs/>
        </w:rPr>
      </w:pPr>
      <m:oMath>
        <m:sSub>
          <m:sSubPr>
            <m:ctrlPr>
              <w:rPr>
                <w:rFonts w:ascii="Cambria Math" w:hAnsi="Cambria Math"/>
                <w:bCs/>
                <w:i/>
              </w:rPr>
            </m:ctrlPr>
          </m:sSubPr>
          <m:e>
            <m:acc>
              <m:accPr>
                <m:chr m:val="̃"/>
                <m:ctrlPr>
                  <w:rPr>
                    <w:rFonts w:ascii="Cambria Math" w:hAnsi="Cambria Math"/>
                    <w:i/>
                  </w:rPr>
                </m:ctrlPr>
              </m:accPr>
              <m:e>
                <m:r>
                  <w:rPr>
                    <w:rFonts w:ascii="Cambria Math" w:hAnsi="Cambria Math"/>
                  </w:rPr>
                  <m:t>p</m:t>
                </m:r>
              </m:e>
            </m:acc>
          </m:e>
          <m:sub>
            <m:r>
              <w:rPr>
                <w:rFonts w:ascii="Cambria Math" w:hAnsi="Cambria Math"/>
              </w:rPr>
              <m:t>ijk</m:t>
            </m:r>
          </m:sub>
        </m:sSub>
        <m:r>
          <w:rPr>
            <w:rFonts w:ascii="Cambria Math" w:hAnsi="Cambria Math"/>
          </w:rPr>
          <m:t xml:space="preserve">= </m:t>
        </m:r>
        <m:f>
          <m:fPr>
            <m:ctrlPr>
              <w:rPr>
                <w:rFonts w:ascii="Cambria Math" w:hAnsi="Cambria Math"/>
                <w:bCs/>
                <w:i/>
              </w:rPr>
            </m:ctrlPr>
          </m:fPr>
          <m:num>
            <m:r>
              <m:rPr>
                <m:sty m:val="p"/>
              </m:rPr>
              <w:rPr>
                <w:rFonts w:ascii="Cambria Math" w:hAnsi="Cambria Math"/>
              </w:rPr>
              <m:t>exp</m:t>
            </m:r>
            <m:d>
              <m:dPr>
                <m:ctrlPr>
                  <w:rPr>
                    <w:rFonts w:ascii="Cambria Math" w:hAnsi="Cambria Math"/>
                    <w:bCs/>
                    <w:i/>
                  </w:rPr>
                </m:ctrlPr>
              </m:dPr>
              <m:e>
                <m:acc>
                  <m:accPr>
                    <m:ctrlPr>
                      <w:rPr>
                        <w:rFonts w:ascii="Cambria Math" w:hAnsi="Cambria Math"/>
                        <w:bCs/>
                        <w:i/>
                      </w:rPr>
                    </m:ctrlPr>
                  </m:accPr>
                  <m:e>
                    <m:sSub>
                      <m:sSubPr>
                        <m:ctrlPr>
                          <w:rPr>
                            <w:rFonts w:ascii="Cambria Math" w:hAnsi="Cambria Math"/>
                            <w:bCs/>
                            <w:i/>
                          </w:rPr>
                        </m:ctrlPr>
                      </m:sSubPr>
                      <m:e>
                        <m:r>
                          <w:rPr>
                            <w:rFonts w:ascii="Cambria Math" w:hAnsi="Cambria Math"/>
                          </w:rPr>
                          <m:t>γ</m:t>
                        </m:r>
                      </m:e>
                      <m:sub>
                        <m:r>
                          <w:rPr>
                            <w:rFonts w:ascii="Cambria Math" w:hAnsi="Cambria Math"/>
                          </w:rPr>
                          <m:t>M</m:t>
                        </m:r>
                      </m:sub>
                    </m:sSub>
                  </m:e>
                </m:acc>
                <m:r>
                  <w:rPr>
                    <w:rFonts w:ascii="Cambria Math" w:hAnsi="Cambria Math"/>
                  </w:rPr>
                  <m:t>+</m:t>
                </m:r>
                <m:acc>
                  <m:accPr>
                    <m:ctrlPr>
                      <w:rPr>
                        <w:rFonts w:ascii="Cambria Math" w:hAnsi="Cambria Math"/>
                        <w:bCs/>
                        <w:i/>
                      </w:rPr>
                    </m:ctrlPr>
                  </m:accPr>
                  <m:e>
                    <m:sSub>
                      <m:sSubPr>
                        <m:ctrlPr>
                          <w:rPr>
                            <w:rFonts w:ascii="Cambria Math" w:hAnsi="Cambria Math"/>
                            <w:bCs/>
                            <w:i/>
                          </w:rPr>
                        </m:ctrlPr>
                      </m:sSubPr>
                      <m:e>
                        <m:r>
                          <w:rPr>
                            <w:rFonts w:ascii="Cambria Math" w:hAnsi="Cambria Math"/>
                          </w:rPr>
                          <m:t>α</m:t>
                        </m:r>
                      </m:e>
                      <m:sub>
                        <m:r>
                          <w:rPr>
                            <w:rFonts w:ascii="Cambria Math" w:hAnsi="Cambria Math"/>
                          </w:rPr>
                          <m:t>j</m:t>
                        </m:r>
                      </m:sub>
                    </m:sSub>
                  </m:e>
                </m:acc>
                <m:r>
                  <w:rPr>
                    <w:rFonts w:ascii="Cambria Math" w:hAnsi="Cambria Math"/>
                  </w:rPr>
                  <m:t>+</m:t>
                </m:r>
                <m:sSup>
                  <m:sSupPr>
                    <m:ctrlPr>
                      <w:rPr>
                        <w:rFonts w:ascii="Cambria Math" w:hAnsi="Cambria Math"/>
                        <w:i/>
                      </w:rPr>
                    </m:ctrlPr>
                  </m:sSupPr>
                  <m:e>
                    <m:acc>
                      <m:accPr>
                        <m:ctrlPr>
                          <w:rPr>
                            <w:rFonts w:ascii="Cambria Math" w:hAnsi="Cambria Math"/>
                            <w:i/>
                          </w:rPr>
                        </m:ctrlPr>
                      </m:accPr>
                      <m:e>
                        <m:r>
                          <w:rPr>
                            <w:rFonts w:ascii="Cambria Math" w:hAnsi="Cambria Math"/>
                          </w:rPr>
                          <m:t>β</m:t>
                        </m:r>
                      </m:e>
                    </m:acc>
                  </m:e>
                  <m:sup>
                    <m:r>
                      <w:rPr>
                        <w:rFonts w:ascii="Cambria Math" w:hAnsi="Cambria Math"/>
                      </w:rPr>
                      <m:t>T</m:t>
                    </m:r>
                  </m:sup>
                </m:sSup>
                <m:sSub>
                  <m:sSubPr>
                    <m:ctrlPr>
                      <w:rPr>
                        <w:rFonts w:ascii="Cambria Math" w:hAnsi="Cambria Math"/>
                        <w:bCs/>
                        <w:i/>
                      </w:rPr>
                    </m:ctrlPr>
                  </m:sSubPr>
                  <m:e>
                    <m:r>
                      <w:rPr>
                        <w:rFonts w:ascii="Cambria Math" w:hAnsi="Cambria Math"/>
                      </w:rPr>
                      <m:t>Z</m:t>
                    </m:r>
                  </m:e>
                  <m:sub>
                    <m:r>
                      <w:rPr>
                        <w:rFonts w:ascii="Cambria Math" w:hAnsi="Cambria Math"/>
                      </w:rPr>
                      <m:t>ijk</m:t>
                    </m:r>
                  </m:sub>
                </m:sSub>
              </m:e>
            </m:d>
          </m:num>
          <m:den>
            <m:r>
              <w:rPr>
                <w:rFonts w:ascii="Cambria Math" w:hAnsi="Cambria Math"/>
              </w:rPr>
              <m:t>1+</m:t>
            </m:r>
            <m:r>
              <m:rPr>
                <m:sty m:val="p"/>
              </m:rPr>
              <w:rPr>
                <w:rFonts w:ascii="Cambria Math" w:hAnsi="Cambria Math"/>
              </w:rPr>
              <m:t>exp</m:t>
            </m:r>
            <m:d>
              <m:dPr>
                <m:ctrlPr>
                  <w:rPr>
                    <w:rFonts w:ascii="Cambria Math" w:hAnsi="Cambria Math"/>
                    <w:bCs/>
                    <w:i/>
                  </w:rPr>
                </m:ctrlPr>
              </m:dPr>
              <m:e>
                <m:acc>
                  <m:accPr>
                    <m:ctrlPr>
                      <w:rPr>
                        <w:rFonts w:ascii="Cambria Math" w:hAnsi="Cambria Math"/>
                        <w:bCs/>
                        <w:i/>
                      </w:rPr>
                    </m:ctrlPr>
                  </m:accPr>
                  <m:e>
                    <m:sSub>
                      <m:sSubPr>
                        <m:ctrlPr>
                          <w:rPr>
                            <w:rFonts w:ascii="Cambria Math" w:hAnsi="Cambria Math"/>
                            <w:bCs/>
                            <w:i/>
                          </w:rPr>
                        </m:ctrlPr>
                      </m:sSubPr>
                      <m:e>
                        <m:r>
                          <w:rPr>
                            <w:rFonts w:ascii="Cambria Math" w:hAnsi="Cambria Math"/>
                          </w:rPr>
                          <m:t>γ</m:t>
                        </m:r>
                      </m:e>
                      <m:sub>
                        <m:r>
                          <w:rPr>
                            <w:rFonts w:ascii="Cambria Math" w:hAnsi="Cambria Math"/>
                          </w:rPr>
                          <m:t>M</m:t>
                        </m:r>
                      </m:sub>
                    </m:sSub>
                  </m:e>
                </m:acc>
                <m:r>
                  <w:rPr>
                    <w:rFonts w:ascii="Cambria Math" w:hAnsi="Cambria Math"/>
                  </w:rPr>
                  <m:t>+</m:t>
                </m:r>
                <m:acc>
                  <m:accPr>
                    <m:ctrlPr>
                      <w:rPr>
                        <w:rFonts w:ascii="Cambria Math" w:hAnsi="Cambria Math"/>
                        <w:bCs/>
                        <w:i/>
                      </w:rPr>
                    </m:ctrlPr>
                  </m:accPr>
                  <m:e>
                    <m:sSub>
                      <m:sSubPr>
                        <m:ctrlPr>
                          <w:rPr>
                            <w:rFonts w:ascii="Cambria Math" w:hAnsi="Cambria Math"/>
                            <w:bCs/>
                            <w:i/>
                          </w:rPr>
                        </m:ctrlPr>
                      </m:sSubPr>
                      <m:e>
                        <m:r>
                          <w:rPr>
                            <w:rFonts w:ascii="Cambria Math" w:hAnsi="Cambria Math"/>
                          </w:rPr>
                          <m:t>α</m:t>
                        </m:r>
                      </m:e>
                      <m:sub>
                        <m:r>
                          <w:rPr>
                            <w:rFonts w:ascii="Cambria Math" w:hAnsi="Cambria Math"/>
                          </w:rPr>
                          <m:t>j</m:t>
                        </m:r>
                      </m:sub>
                    </m:sSub>
                  </m:e>
                </m:acc>
                <m:r>
                  <w:rPr>
                    <w:rFonts w:ascii="Cambria Math" w:hAnsi="Cambria Math"/>
                  </w:rPr>
                  <m:t xml:space="preserve">+ </m:t>
                </m:r>
                <m:sSup>
                  <m:sSupPr>
                    <m:ctrlPr>
                      <w:rPr>
                        <w:rFonts w:ascii="Cambria Math" w:hAnsi="Cambria Math"/>
                        <w:i/>
                      </w:rPr>
                    </m:ctrlPr>
                  </m:sSupPr>
                  <m:e>
                    <m:acc>
                      <m:accPr>
                        <m:ctrlPr>
                          <w:rPr>
                            <w:rFonts w:ascii="Cambria Math" w:hAnsi="Cambria Math"/>
                            <w:i/>
                          </w:rPr>
                        </m:ctrlPr>
                      </m:accPr>
                      <m:e>
                        <m:r>
                          <w:rPr>
                            <w:rFonts w:ascii="Cambria Math" w:hAnsi="Cambria Math"/>
                          </w:rPr>
                          <m:t>β</m:t>
                        </m:r>
                      </m:e>
                    </m:acc>
                  </m:e>
                  <m:sup>
                    <m:r>
                      <w:rPr>
                        <w:rFonts w:ascii="Cambria Math" w:hAnsi="Cambria Math"/>
                      </w:rPr>
                      <m:t>T</m:t>
                    </m:r>
                  </m:sup>
                </m:sSup>
                <m:sSub>
                  <m:sSubPr>
                    <m:ctrlPr>
                      <w:rPr>
                        <w:rFonts w:ascii="Cambria Math" w:hAnsi="Cambria Math"/>
                        <w:bCs/>
                        <w:i/>
                      </w:rPr>
                    </m:ctrlPr>
                  </m:sSubPr>
                  <m:e>
                    <m:r>
                      <w:rPr>
                        <w:rFonts w:ascii="Cambria Math" w:hAnsi="Cambria Math"/>
                      </w:rPr>
                      <m:t>Z</m:t>
                    </m:r>
                  </m:e>
                  <m:sub>
                    <m:r>
                      <w:rPr>
                        <w:rFonts w:ascii="Cambria Math" w:hAnsi="Cambria Math"/>
                      </w:rPr>
                      <m:t>ijk</m:t>
                    </m:r>
                  </m:sub>
                </m:sSub>
              </m:e>
            </m:d>
          </m:den>
        </m:f>
      </m:oMath>
      <w:r w:rsidR="00F87C96" w:rsidRPr="00B134D9">
        <w:rPr>
          <w:bCs/>
        </w:rPr>
        <w:t xml:space="preserve"> ,</w:t>
      </w:r>
      <w:r w:rsidR="00F87C96" w:rsidRPr="00B134D9">
        <w:rPr>
          <w:bCs/>
        </w:rPr>
        <w:tab/>
      </w:r>
      <w:r w:rsidR="00F87C96" w:rsidRPr="00B134D9">
        <w:rPr>
          <w:bCs/>
        </w:rPr>
        <w:tab/>
      </w:r>
      <w:r w:rsidR="00F87C96" w:rsidRPr="00B134D9">
        <w:rPr>
          <w:bCs/>
        </w:rPr>
        <w:tab/>
      </w:r>
      <w:r w:rsidR="00F87C96" w:rsidRPr="00B134D9">
        <w:rPr>
          <w:bCs/>
        </w:rPr>
        <w:tab/>
        <w:t>(3)</w:t>
      </w:r>
    </w:p>
    <w:p w14:paraId="512750D9" w14:textId="77777777" w:rsidR="00F87C96" w:rsidRPr="00B134D9" w:rsidRDefault="00F87C96" w:rsidP="00F87C96">
      <w:pPr>
        <w:pStyle w:val="ListParagraph"/>
        <w:spacing w:after="0"/>
        <w:ind w:left="990"/>
        <w:jc w:val="both"/>
        <w:rPr>
          <w:bCs/>
        </w:rPr>
      </w:pPr>
    </w:p>
    <w:p w14:paraId="6C556A8C" w14:textId="77777777" w:rsidR="00F87C96" w:rsidRDefault="00F87C96" w:rsidP="00F87C96">
      <w:pPr>
        <w:autoSpaceDE w:val="0"/>
        <w:autoSpaceDN w:val="0"/>
        <w:adjustRightInd w:val="0"/>
        <w:spacing w:after="0"/>
        <w:ind w:left="990"/>
        <w:jc w:val="both"/>
        <w:rPr>
          <w:bCs/>
        </w:rPr>
      </w:pPr>
      <w:proofErr w:type="gramStart"/>
      <w:r w:rsidRPr="00B134D9">
        <w:rPr>
          <w:bCs/>
        </w:rPr>
        <w:t>which</w:t>
      </w:r>
      <w:proofErr w:type="gramEnd"/>
      <w:r w:rsidRPr="00B134D9">
        <w:rPr>
          <w:bCs/>
        </w:rPr>
        <w:t xml:space="preserve"> estimates the probability that a discharge from hospital </w:t>
      </w:r>
      <w:r w:rsidRPr="00B134D9">
        <w:rPr>
          <w:bCs/>
          <w:i/>
        </w:rPr>
        <w:t>j</w:t>
      </w:r>
      <w:r w:rsidRPr="00B134D9">
        <w:rPr>
          <w:bCs/>
        </w:rPr>
        <w:t xml:space="preserve"> of an individual in facility </w:t>
      </w:r>
      <w:proofErr w:type="spellStart"/>
      <w:r w:rsidRPr="00B134D9">
        <w:rPr>
          <w:bCs/>
          <w:i/>
        </w:rPr>
        <w:t>i</w:t>
      </w:r>
      <w:proofErr w:type="spellEnd"/>
      <w:r w:rsidRPr="00B134D9">
        <w:rPr>
          <w:bCs/>
        </w:rPr>
        <w:t xml:space="preserve"> with characteristics</w:t>
      </w:r>
      <m:oMath>
        <m:r>
          <w:rPr>
            <w:rFonts w:ascii="Cambria Math" w:hAnsi="Cambria Math"/>
          </w:rPr>
          <m:t xml:space="preserve"> </m:t>
        </m:r>
        <m:sSub>
          <m:sSubPr>
            <m:ctrlPr>
              <w:rPr>
                <w:rFonts w:ascii="Cambria Math" w:hAnsi="Cambria Math"/>
                <w:bCs/>
                <w:i/>
              </w:rPr>
            </m:ctrlPr>
          </m:sSubPr>
          <m:e>
            <m:r>
              <w:rPr>
                <w:rFonts w:ascii="Cambria Math" w:hAnsi="Cambria Math"/>
              </w:rPr>
              <m:t>Z</m:t>
            </m:r>
          </m:e>
          <m:sub>
            <m:r>
              <w:rPr>
                <w:rFonts w:ascii="Cambria Math" w:hAnsi="Cambria Math"/>
              </w:rPr>
              <m:t>ijk</m:t>
            </m:r>
          </m:sub>
        </m:sSub>
      </m:oMath>
      <w:r w:rsidRPr="00B134D9">
        <w:rPr>
          <w:bCs/>
        </w:rPr>
        <w:t xml:space="preserve"> would result in an unplanned readmission if the facility effect corresponded to the median of national facility effects, denoted by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γ</m:t>
                </m:r>
              </m:e>
              <m:sub>
                <m:r>
                  <w:rPr>
                    <w:rFonts w:ascii="Cambria Math" w:hAnsi="Cambria Math"/>
                  </w:rPr>
                  <m:t>M</m:t>
                </m:r>
              </m:sub>
            </m:sSub>
          </m:e>
        </m:acc>
      </m:oMath>
      <w:r w:rsidRPr="00B134D9">
        <w:rPr>
          <w:bCs/>
        </w:rPr>
        <w:t xml:space="preserve">. Here, </w:t>
      </w:r>
      <m:oMath>
        <m:acc>
          <m:accPr>
            <m:ctrlPr>
              <w:rPr>
                <w:rFonts w:ascii="Cambria Math" w:hAnsi="Cambria Math"/>
                <w:bCs/>
                <w:i/>
              </w:rPr>
            </m:ctrlPr>
          </m:accPr>
          <m:e>
            <m:sSub>
              <m:sSubPr>
                <m:ctrlPr>
                  <w:rPr>
                    <w:rFonts w:ascii="Cambria Math" w:hAnsi="Cambria Math"/>
                    <w:bCs/>
                    <w:i/>
                  </w:rPr>
                </m:ctrlPr>
              </m:sSubPr>
              <m:e>
                <m:r>
                  <w:rPr>
                    <w:rFonts w:ascii="Cambria Math" w:hAnsi="Cambria Math"/>
                  </w:rPr>
                  <m:t>α</m:t>
                </m:r>
              </m:e>
              <m:sub>
                <m:r>
                  <w:rPr>
                    <w:rFonts w:ascii="Cambria Math" w:hAnsi="Cambria Math"/>
                  </w:rPr>
                  <m:t>j</m:t>
                </m:r>
              </m:sub>
            </m:sSub>
          </m:e>
        </m:acc>
      </m:oMath>
      <w:r w:rsidRPr="00B134D9">
        <w:rPr>
          <w:bCs/>
        </w:rPr>
        <w:t xml:space="preserve"> and </w:t>
      </w:r>
      <m:oMath>
        <m:acc>
          <m:accPr>
            <m:ctrlPr>
              <w:rPr>
                <w:rFonts w:ascii="Cambria Math" w:hAnsi="Cambria Math"/>
                <w:bCs/>
                <w:i/>
              </w:rPr>
            </m:ctrlPr>
          </m:accPr>
          <m:e>
            <m:r>
              <w:rPr>
                <w:rFonts w:ascii="Cambria Math" w:hAnsi="Cambria Math"/>
              </w:rPr>
              <m:t>β</m:t>
            </m:r>
          </m:e>
        </m:acc>
      </m:oMath>
      <w:r w:rsidRPr="00B134D9">
        <w:rPr>
          <w:bCs/>
        </w:rPr>
        <w:t xml:space="preserve"> are estimates from model (1). The sum of these probabilities is the expected number of unplanned readmissions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B134D9">
        <w:rPr>
          <w:bCs/>
        </w:rPr>
        <w:t xml:space="preserve"> at facility </w:t>
      </w:r>
      <w:proofErr w:type="spellStart"/>
      <w:r w:rsidRPr="00B134D9">
        <w:rPr>
          <w:bCs/>
          <w:i/>
        </w:rPr>
        <w:t>i</w:t>
      </w:r>
      <w:proofErr w:type="spellEnd"/>
      <w:r>
        <w:rPr>
          <w:bCs/>
        </w:rPr>
        <w:t xml:space="preserve">; e.g., </w:t>
      </w:r>
      <w:r>
        <w:rPr>
          <w:rFonts w:cs="CMSL12"/>
        </w:rPr>
        <w:t xml:space="preserve">the number of readmissions that would have been expected in facility </w:t>
      </w:r>
      <w:proofErr w:type="spellStart"/>
      <w:r w:rsidRPr="007A03D8">
        <w:rPr>
          <w:rFonts w:cs="CMSL12"/>
          <w:i/>
        </w:rPr>
        <w:t>i</w:t>
      </w:r>
      <w:proofErr w:type="spellEnd"/>
      <w:r>
        <w:rPr>
          <w:rFonts w:cs="CMSL12"/>
        </w:rPr>
        <w:t xml:space="preserve"> had they progressed to the readmissions at the same rate as the national population of dialysis patients</w:t>
      </w:r>
      <w:r>
        <w:rPr>
          <w:bCs/>
        </w:rPr>
        <w:t>.</w:t>
      </w:r>
    </w:p>
    <w:p w14:paraId="23E57545" w14:textId="77777777" w:rsidR="00F87C96" w:rsidRPr="004351AF" w:rsidRDefault="00F87C96" w:rsidP="004351AF">
      <w:pPr>
        <w:rPr>
          <w:b/>
        </w:rPr>
      </w:pPr>
    </w:p>
    <w:p w14:paraId="34D0AE03" w14:textId="77777777" w:rsidR="00F87C96" w:rsidRPr="004351AF" w:rsidRDefault="00F87C96" w:rsidP="004351AF">
      <w:pPr>
        <w:rPr>
          <w:b/>
        </w:rPr>
      </w:pPr>
      <w:bookmarkStart w:id="13" w:name="_Toc377371060"/>
      <w:r w:rsidRPr="004351AF">
        <w:rPr>
          <w:b/>
        </w:rPr>
        <w:t>Patient-Level Risk Adjustors</w:t>
      </w:r>
      <w:bookmarkEnd w:id="13"/>
      <w:r w:rsidRPr="004351AF">
        <w:rPr>
          <w:b/>
        </w:rPr>
        <w:t xml:space="preserve"> </w:t>
      </w:r>
    </w:p>
    <w:p w14:paraId="44B069AE" w14:textId="77777777" w:rsidR="00F87C96" w:rsidRPr="00555EFF" w:rsidRDefault="00F87C96" w:rsidP="00F87C96">
      <w:pPr>
        <w:spacing w:after="0"/>
        <w:jc w:val="both"/>
        <w:rPr>
          <w:rFonts w:eastAsia="CMR12" w:cs="Times New Roman"/>
        </w:rPr>
      </w:pPr>
      <w:r w:rsidRPr="00555EFF">
        <w:rPr>
          <w:rFonts w:eastAsia="CMR12" w:cs="Times New Roman"/>
        </w:rPr>
        <w:t xml:space="preserve">As mentioned previously, the model accounts for a set of patient-level </w:t>
      </w:r>
      <w:r w:rsidRPr="00555EFF">
        <w:rPr>
          <w:rFonts w:cs="Times New Roman"/>
          <w:bCs/>
        </w:rPr>
        <w:t xml:space="preserve">characteristics: </w:t>
      </w:r>
    </w:p>
    <w:p w14:paraId="3ED301B7" w14:textId="77777777"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Sex</w:t>
      </w:r>
    </w:p>
    <w:p w14:paraId="3FF5AA96" w14:textId="6699DC62"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Age</w:t>
      </w:r>
    </w:p>
    <w:p w14:paraId="4E9E25EA" w14:textId="77777777"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Years on dialysis</w:t>
      </w:r>
    </w:p>
    <w:p w14:paraId="242171A7" w14:textId="77777777"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Diabetes as cause of ESRD</w:t>
      </w:r>
    </w:p>
    <w:p w14:paraId="3211DFDF" w14:textId="77777777"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BMI at incidence of ESRD</w:t>
      </w:r>
    </w:p>
    <w:p w14:paraId="72C63D6F" w14:textId="77777777" w:rsidR="00F87C96" w:rsidRPr="00555EFF" w:rsidRDefault="00F87C96" w:rsidP="00F87C96">
      <w:pPr>
        <w:pStyle w:val="ListParagraph"/>
        <w:numPr>
          <w:ilvl w:val="0"/>
          <w:numId w:val="37"/>
        </w:numPr>
        <w:spacing w:after="0"/>
        <w:jc w:val="both"/>
        <w:rPr>
          <w:rFonts w:cstheme="minorHAnsi"/>
          <w:bCs/>
        </w:rPr>
      </w:pPr>
      <w:r w:rsidRPr="00555EFF">
        <w:rPr>
          <w:rFonts w:cstheme="minorHAnsi"/>
          <w:bCs/>
        </w:rPr>
        <w:t>Length (days) of index hospitalization</w:t>
      </w:r>
    </w:p>
    <w:p w14:paraId="3A2FB9D8" w14:textId="77777777" w:rsidR="00F87C96" w:rsidRDefault="00F87C96" w:rsidP="00F87C96">
      <w:pPr>
        <w:pStyle w:val="ListParagraph"/>
        <w:numPr>
          <w:ilvl w:val="0"/>
          <w:numId w:val="37"/>
        </w:numPr>
        <w:spacing w:after="0"/>
        <w:jc w:val="both"/>
        <w:rPr>
          <w:rFonts w:cstheme="minorHAnsi"/>
          <w:bCs/>
        </w:rPr>
      </w:pPr>
      <w:r w:rsidRPr="00A57727">
        <w:rPr>
          <w:rFonts w:cstheme="minorHAnsi"/>
          <w:bCs/>
        </w:rPr>
        <w:t>Past-year comorbidities:</w:t>
      </w:r>
      <w:r w:rsidRPr="00555EFF">
        <w:rPr>
          <w:rFonts w:cstheme="minorHAnsi"/>
          <w:b/>
          <w:bCs/>
        </w:rPr>
        <w:t xml:space="preserve"> </w:t>
      </w:r>
      <w:r w:rsidRPr="00555EFF">
        <w:rPr>
          <w:rFonts w:cstheme="minorHAnsi"/>
          <w:bCs/>
        </w:rPr>
        <w:t>We identify all unique ICD-9 diagnosis codes from each patient’s prior year of Medicare claims. We group these diagnosis codes by diagnosis area using HHS’ Hierarchical Condition Categories (CCs). The CCs use</w:t>
      </w:r>
      <w:r>
        <w:rPr>
          <w:rFonts w:cstheme="minorHAnsi"/>
          <w:bCs/>
        </w:rPr>
        <w:t>d in calculation of the SRR are:</w:t>
      </w:r>
    </w:p>
    <w:p w14:paraId="53F96A4F"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 177, 178</w:t>
      </w:r>
      <w:r w:rsidRPr="00A57727">
        <w:rPr>
          <w:rFonts w:cstheme="minorHAnsi"/>
          <w:color w:val="000000"/>
        </w:rPr>
        <w:t>: Amputation status</w:t>
      </w:r>
    </w:p>
    <w:p w14:paraId="2270468C"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108</w:t>
      </w:r>
      <w:r w:rsidRPr="00A57727">
        <w:rPr>
          <w:rFonts w:cstheme="minorHAnsi"/>
          <w:color w:val="000000"/>
        </w:rPr>
        <w:t>: COPD</w:t>
      </w:r>
    </w:p>
    <w:p w14:paraId="484F2746"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79</w:t>
      </w:r>
      <w:r w:rsidRPr="00A57727">
        <w:rPr>
          <w:rFonts w:cstheme="minorHAnsi"/>
          <w:color w:val="000000"/>
        </w:rPr>
        <w:t>: Cardiorespiratory failure/shock</w:t>
      </w:r>
    </w:p>
    <w:p w14:paraId="1FA28E09"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46</w:t>
      </w:r>
      <w:r w:rsidRPr="00A57727">
        <w:rPr>
          <w:rFonts w:cstheme="minorHAnsi"/>
          <w:color w:val="000000"/>
        </w:rPr>
        <w:t>: Coagulation defects &amp; other specified hematological disorders</w:t>
      </w:r>
    </w:p>
    <w:p w14:paraId="3A2FAE6F"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w:t>
      </w:r>
      <w:r>
        <w:rPr>
          <w:rFonts w:cstheme="minorHAnsi"/>
          <w:color w:val="000000"/>
          <w:u w:val="single"/>
        </w:rPr>
        <w:t>Cs 51, 52</w:t>
      </w:r>
      <w:r w:rsidRPr="00A57727">
        <w:rPr>
          <w:rFonts w:cstheme="minorHAnsi"/>
          <w:color w:val="000000"/>
        </w:rPr>
        <w:t>: Drug and alcohol disorders</w:t>
      </w:r>
    </w:p>
    <w:p w14:paraId="5243B6E2"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w:t>
      </w:r>
      <w:r w:rsidRPr="00A57727">
        <w:rPr>
          <w:rFonts w:cstheme="minorHAnsi"/>
          <w:color w:val="000000"/>
          <w:u w:val="single"/>
        </w:rPr>
        <w:t xml:space="preserve"> </w:t>
      </w:r>
      <w:r>
        <w:rPr>
          <w:rFonts w:cstheme="minorHAnsi"/>
          <w:color w:val="000000"/>
          <w:u w:val="single"/>
        </w:rPr>
        <w:t>25, 26</w:t>
      </w:r>
      <w:r w:rsidRPr="00A57727">
        <w:rPr>
          <w:rFonts w:cstheme="minorHAnsi"/>
          <w:color w:val="000000"/>
        </w:rPr>
        <w:t>: End-Stage Liver Disease</w:t>
      </w:r>
    </w:p>
    <w:p w14:paraId="0ACBDEC9"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109</w:t>
      </w:r>
      <w:r w:rsidRPr="00A57727">
        <w:rPr>
          <w:rFonts w:cstheme="minorHAnsi"/>
          <w:color w:val="000000"/>
        </w:rPr>
        <w:t>: Fibrosis of lung or other chronic lung disorders</w:t>
      </w:r>
    </w:p>
    <w:p w14:paraId="4A2E80F6"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w:t>
      </w:r>
      <w:r>
        <w:rPr>
          <w:rFonts w:cstheme="minorHAnsi"/>
          <w:color w:val="000000"/>
          <w:u w:val="single"/>
        </w:rPr>
        <w:t>Cs 67–69, 100, 101</w:t>
      </w:r>
      <w:r w:rsidRPr="00A57727">
        <w:rPr>
          <w:rFonts w:cstheme="minorHAnsi"/>
          <w:color w:val="000000"/>
        </w:rPr>
        <w:t>: Hemiplegia, paraplegia, paralysis</w:t>
      </w:r>
    </w:p>
    <w:p w14:paraId="75164331"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158</w:t>
      </w:r>
      <w:r w:rsidRPr="00A57727">
        <w:rPr>
          <w:rFonts w:cstheme="minorHAnsi"/>
          <w:color w:val="000000"/>
        </w:rPr>
        <w:t>: Hip fracture/dislocation</w:t>
      </w:r>
    </w:p>
    <w:p w14:paraId="721CA93B"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174</w:t>
      </w:r>
      <w:r w:rsidRPr="00A57727">
        <w:rPr>
          <w:rFonts w:cstheme="minorHAnsi"/>
          <w:color w:val="000000"/>
        </w:rPr>
        <w:t>: Major organ transplants (excl. kidney)</w:t>
      </w:r>
    </w:p>
    <w:p w14:paraId="50953524"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7</w:t>
      </w:r>
      <w:r w:rsidRPr="00A57727">
        <w:rPr>
          <w:rFonts w:cstheme="minorHAnsi"/>
          <w:color w:val="000000"/>
        </w:rPr>
        <w:t>: Metastatic cancer/acute leukemia</w:t>
      </w:r>
    </w:p>
    <w:p w14:paraId="072497E6"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44</w:t>
      </w:r>
      <w:r w:rsidRPr="00A57727">
        <w:rPr>
          <w:rFonts w:cstheme="minorHAnsi"/>
          <w:color w:val="000000"/>
        </w:rPr>
        <w:t>: Other hematological disorders</w:t>
      </w:r>
    </w:p>
    <w:p w14:paraId="21E402A9"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 6, 111–113</w:t>
      </w:r>
      <w:r w:rsidRPr="00A57727">
        <w:rPr>
          <w:rFonts w:cstheme="minorHAnsi"/>
          <w:color w:val="000000"/>
        </w:rPr>
        <w:t>: Other infectious disease &amp; pneumonias</w:t>
      </w:r>
    </w:p>
    <w:p w14:paraId="4346D866"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 10–12</w:t>
      </w:r>
      <w:r w:rsidRPr="00A57727">
        <w:rPr>
          <w:rFonts w:cstheme="minorHAnsi"/>
          <w:color w:val="000000"/>
        </w:rPr>
        <w:t>: Other major cancers</w:t>
      </w:r>
    </w:p>
    <w:p w14:paraId="0FE89414"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32</w:t>
      </w:r>
      <w:r w:rsidRPr="00A57727">
        <w:rPr>
          <w:rFonts w:cstheme="minorHAnsi"/>
          <w:color w:val="000000"/>
        </w:rPr>
        <w:t>: Pancreatic disease</w:t>
      </w:r>
    </w:p>
    <w:p w14:paraId="688580A1"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w:t>
      </w:r>
      <w:r w:rsidRPr="00A57727">
        <w:rPr>
          <w:rFonts w:cstheme="minorHAnsi"/>
          <w:color w:val="000000"/>
          <w:u w:val="single"/>
        </w:rPr>
        <w:t xml:space="preserve"> </w:t>
      </w:r>
      <w:r>
        <w:rPr>
          <w:rFonts w:cstheme="minorHAnsi"/>
          <w:color w:val="000000"/>
          <w:u w:val="single"/>
        </w:rPr>
        <w:t>54–56, 58, 60</w:t>
      </w:r>
      <w:r w:rsidRPr="00A57727">
        <w:rPr>
          <w:rFonts w:cstheme="minorHAnsi"/>
          <w:color w:val="000000"/>
        </w:rPr>
        <w:t>: Psychiatric comorbidity</w:t>
      </w:r>
    </w:p>
    <w:p w14:paraId="64A4979F"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77</w:t>
      </w:r>
      <w:r w:rsidRPr="00A57727">
        <w:rPr>
          <w:rFonts w:cstheme="minorHAnsi"/>
          <w:color w:val="000000"/>
        </w:rPr>
        <w:t>: Respirator dependence/tracheostomy status</w:t>
      </w:r>
    </w:p>
    <w:p w14:paraId="1959A7A0"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 xml:space="preserve">CC </w:t>
      </w:r>
      <w:r>
        <w:rPr>
          <w:rFonts w:cstheme="minorHAnsi"/>
          <w:color w:val="000000"/>
          <w:u w:val="single"/>
        </w:rPr>
        <w:t>38</w:t>
      </w:r>
      <w:r w:rsidRPr="00A57727">
        <w:rPr>
          <w:rFonts w:cstheme="minorHAnsi"/>
          <w:color w:val="000000"/>
        </w:rPr>
        <w:t>: Rheumatoid arthritis &amp; inflammatory connective tissue disease</w:t>
      </w:r>
    </w:p>
    <w:p w14:paraId="1F805814"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Pr>
          <w:rFonts w:cstheme="minorHAnsi"/>
          <w:color w:val="000000"/>
          <w:u w:val="single"/>
        </w:rPr>
        <w:t>CC 74</w:t>
      </w:r>
      <w:r w:rsidRPr="00A57727">
        <w:rPr>
          <w:rFonts w:cstheme="minorHAnsi"/>
          <w:color w:val="000000"/>
        </w:rPr>
        <w:t>: Seizure disorders &amp; convulsions</w:t>
      </w:r>
    </w:p>
    <w:p w14:paraId="19BFBE86"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Pr>
          <w:rFonts w:cstheme="minorHAnsi"/>
          <w:color w:val="000000"/>
          <w:u w:val="single"/>
        </w:rPr>
        <w:t>CC 2</w:t>
      </w:r>
      <w:r w:rsidRPr="00A57727">
        <w:rPr>
          <w:rFonts w:cstheme="minorHAnsi"/>
          <w:color w:val="000000"/>
        </w:rPr>
        <w:t>: Septicemia/shock</w:t>
      </w:r>
    </w:p>
    <w:p w14:paraId="6BFCEA8D"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w:t>
      </w:r>
      <w:r w:rsidRPr="00A57727">
        <w:rPr>
          <w:rFonts w:cstheme="minorHAnsi"/>
          <w:color w:val="000000"/>
          <w:u w:val="single"/>
        </w:rPr>
        <w:t xml:space="preserve"> </w:t>
      </w:r>
      <w:r>
        <w:rPr>
          <w:rFonts w:cstheme="minorHAnsi"/>
          <w:color w:val="000000"/>
          <w:u w:val="single"/>
        </w:rPr>
        <w:t>8,9</w:t>
      </w:r>
      <w:r w:rsidRPr="00A57727">
        <w:rPr>
          <w:rFonts w:cstheme="minorHAnsi"/>
          <w:color w:val="000000"/>
        </w:rPr>
        <w:t>: Severe cancer</w:t>
      </w:r>
    </w:p>
    <w:p w14:paraId="60BF1530"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w:t>
      </w:r>
      <w:r>
        <w:rPr>
          <w:rFonts w:cstheme="minorHAnsi"/>
          <w:color w:val="000000"/>
          <w:u w:val="single"/>
        </w:rPr>
        <w:t>Cs 1, 3–5</w:t>
      </w:r>
      <w:r w:rsidRPr="00A57727">
        <w:rPr>
          <w:rFonts w:cstheme="minorHAnsi"/>
          <w:color w:val="000000"/>
        </w:rPr>
        <w:t>: Severe infection</w:t>
      </w:r>
    </w:p>
    <w:p w14:paraId="1D9CB6EB" w14:textId="77777777" w:rsidR="00F87C96" w:rsidRPr="00A57727" w:rsidRDefault="00F87C96" w:rsidP="00F87C96">
      <w:pPr>
        <w:pStyle w:val="ListParagraph"/>
        <w:numPr>
          <w:ilvl w:val="1"/>
          <w:numId w:val="37"/>
        </w:numPr>
        <w:adjustRightInd w:val="0"/>
        <w:spacing w:after="0"/>
        <w:jc w:val="both"/>
        <w:rPr>
          <w:rFonts w:cstheme="minorHAnsi"/>
          <w:color w:val="000000"/>
          <w:lang w:eastAsia="zh-CN"/>
        </w:rPr>
      </w:pPr>
      <w:r w:rsidRPr="00A57727">
        <w:rPr>
          <w:rFonts w:cstheme="minorHAnsi"/>
          <w:color w:val="000000"/>
          <w:u w:val="single"/>
        </w:rPr>
        <w:t>CC</w:t>
      </w:r>
      <w:r>
        <w:rPr>
          <w:rFonts w:cstheme="minorHAnsi"/>
          <w:color w:val="000000"/>
          <w:u w:val="single"/>
        </w:rPr>
        <w:t>s</w:t>
      </w:r>
      <w:r w:rsidRPr="00A57727">
        <w:rPr>
          <w:rFonts w:cstheme="minorHAnsi"/>
          <w:color w:val="000000"/>
          <w:u w:val="single"/>
        </w:rPr>
        <w:t xml:space="preserve"> </w:t>
      </w:r>
      <w:r>
        <w:rPr>
          <w:rFonts w:cstheme="minorHAnsi"/>
          <w:color w:val="000000"/>
          <w:u w:val="single"/>
        </w:rPr>
        <w:t>148, 149</w:t>
      </w:r>
      <w:r w:rsidRPr="00A57727">
        <w:rPr>
          <w:rFonts w:cstheme="minorHAnsi"/>
          <w:color w:val="000000"/>
        </w:rPr>
        <w:t>: Ulcers</w:t>
      </w:r>
    </w:p>
    <w:p w14:paraId="20221F1A" w14:textId="77777777" w:rsidR="00F87C96" w:rsidRPr="00555EFF" w:rsidRDefault="00F87C96" w:rsidP="00F87C96">
      <w:pPr>
        <w:pStyle w:val="ListParagraph"/>
        <w:numPr>
          <w:ilvl w:val="0"/>
          <w:numId w:val="37"/>
        </w:numPr>
        <w:spacing w:after="0"/>
        <w:jc w:val="both"/>
        <w:rPr>
          <w:rFonts w:cstheme="minorHAnsi"/>
          <w:bCs/>
        </w:rPr>
      </w:pPr>
      <w:r w:rsidRPr="00A57727">
        <w:rPr>
          <w:rFonts w:cstheme="minorHAnsi"/>
          <w:bCs/>
        </w:rPr>
        <w:t xml:space="preserve">Discharged with high-risk condition: </w:t>
      </w:r>
      <w:r w:rsidRPr="00555EFF">
        <w:rPr>
          <w:rFonts w:cstheme="minorHAnsi"/>
          <w:bCs/>
        </w:rPr>
        <w:t xml:space="preserve">We define a </w:t>
      </w:r>
      <w:r w:rsidRPr="00555EFF">
        <w:rPr>
          <w:rFonts w:cstheme="minorHAnsi"/>
          <w:bCs/>
          <w:i/>
        </w:rPr>
        <w:t>high-risk</w:t>
      </w:r>
      <w:r w:rsidRPr="00555EFF">
        <w:rPr>
          <w:rFonts w:cstheme="minorHAnsi"/>
          <w:bCs/>
        </w:rPr>
        <w:t xml:space="preserve"> diagnosis as any diagnosis area that was rare in our population but had a 30-day readmission rate of at least 40%. We did not include high-risk diagnosis groups related to cancer or mental health. </w:t>
      </w:r>
      <w:r>
        <w:rPr>
          <w:rFonts w:cstheme="minorHAnsi"/>
          <w:bCs/>
        </w:rPr>
        <w:t>We group these conditions using</w:t>
      </w:r>
      <w:r w:rsidRPr="00555EFF">
        <w:rPr>
          <w:rFonts w:cstheme="minorHAnsi"/>
          <w:bCs/>
        </w:rPr>
        <w:t xml:space="preserve"> </w:t>
      </w:r>
      <w:r w:rsidRPr="00555EFF">
        <w:rPr>
          <w:rFonts w:cs="Calibri"/>
          <w:color w:val="000000"/>
        </w:rPr>
        <w:t>the Agency for H</w:t>
      </w:r>
      <w:r>
        <w:rPr>
          <w:rFonts w:cs="Calibri"/>
          <w:color w:val="000000"/>
        </w:rPr>
        <w:t>ealthcare Research and Quality (</w:t>
      </w:r>
      <w:r w:rsidRPr="00555EFF">
        <w:rPr>
          <w:rFonts w:cs="Calibri"/>
          <w:color w:val="000000"/>
        </w:rPr>
        <w:t>AHRQ</w:t>
      </w:r>
      <w:r>
        <w:rPr>
          <w:rFonts w:cs="Calibri"/>
          <w:color w:val="000000"/>
        </w:rPr>
        <w:t>)</w:t>
      </w:r>
      <w:r w:rsidRPr="00555EFF">
        <w:rPr>
          <w:rFonts w:cs="Calibri"/>
          <w:color w:val="000000"/>
        </w:rPr>
        <w:t xml:space="preserve"> Clinical Classifica</w:t>
      </w:r>
      <w:r>
        <w:rPr>
          <w:rFonts w:cs="Calibri"/>
          <w:color w:val="000000"/>
        </w:rPr>
        <w:t>tions Software (</w:t>
      </w:r>
      <w:r w:rsidRPr="00555EFF">
        <w:rPr>
          <w:rFonts w:cs="Calibri"/>
          <w:color w:val="000000"/>
        </w:rPr>
        <w:t>CCS</w:t>
      </w:r>
      <w:r w:rsidRPr="00555EFF">
        <w:rPr>
          <w:rFonts w:cstheme="minorHAnsi"/>
          <w:bCs/>
        </w:rPr>
        <w:t>)</w:t>
      </w:r>
      <w:r>
        <w:rPr>
          <w:rFonts w:cstheme="minorHAnsi"/>
          <w:bCs/>
        </w:rPr>
        <w:t xml:space="preserve">. </w:t>
      </w:r>
      <w:r w:rsidRPr="00555EFF">
        <w:rPr>
          <w:rFonts w:cstheme="minorHAnsi"/>
          <w:bCs/>
        </w:rPr>
        <w:t>The CCS areas identified as high-risk are:</w:t>
      </w:r>
    </w:p>
    <w:p w14:paraId="580FF818"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5</w:t>
      </w:r>
      <w:r w:rsidRPr="00555EFF">
        <w:rPr>
          <w:rFonts w:cstheme="minorHAnsi"/>
          <w:color w:val="000000"/>
        </w:rPr>
        <w:t>: HIV infection</w:t>
      </w:r>
    </w:p>
    <w:p w14:paraId="77AD8DC7"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6</w:t>
      </w:r>
      <w:r w:rsidRPr="00555EFF">
        <w:rPr>
          <w:rFonts w:cstheme="minorHAnsi"/>
          <w:color w:val="000000"/>
        </w:rPr>
        <w:t>: Hepatitis</w:t>
      </w:r>
    </w:p>
    <w:p w14:paraId="5824FC0F"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56</w:t>
      </w:r>
      <w:r w:rsidRPr="00555EFF">
        <w:rPr>
          <w:rFonts w:cstheme="minorHAnsi"/>
          <w:color w:val="000000"/>
        </w:rPr>
        <w:t>: Cystic fibrosis</w:t>
      </w:r>
    </w:p>
    <w:p w14:paraId="1DE6B387"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57</w:t>
      </w:r>
      <w:r w:rsidRPr="00555EFF">
        <w:rPr>
          <w:rFonts w:cstheme="minorHAnsi"/>
          <w:color w:val="000000"/>
        </w:rPr>
        <w:t>: Immunity disorders</w:t>
      </w:r>
    </w:p>
    <w:p w14:paraId="368200FC"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61</w:t>
      </w:r>
      <w:r w:rsidRPr="00555EFF">
        <w:rPr>
          <w:rFonts w:cstheme="minorHAnsi"/>
          <w:color w:val="000000"/>
        </w:rPr>
        <w:t>: Sickle cell anemia</w:t>
      </w:r>
    </w:p>
    <w:p w14:paraId="346C8D34"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190</w:t>
      </w:r>
      <w:r w:rsidRPr="00555EFF">
        <w:rPr>
          <w:rFonts w:cstheme="minorHAnsi"/>
          <w:color w:val="000000"/>
        </w:rPr>
        <w:t>: Fetal distress and abnormal forces of labor</w:t>
      </w:r>
    </w:p>
    <w:p w14:paraId="4371CC92"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151</w:t>
      </w:r>
      <w:r w:rsidRPr="00555EFF">
        <w:rPr>
          <w:rFonts w:cstheme="minorHAnsi"/>
          <w:color w:val="000000"/>
        </w:rPr>
        <w:t>: Other liver diseases</w:t>
      </w:r>
    </w:p>
    <w:p w14:paraId="7FC1DE38"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182</w:t>
      </w:r>
      <w:r w:rsidRPr="00555EFF">
        <w:rPr>
          <w:rFonts w:cstheme="minorHAnsi"/>
          <w:color w:val="000000"/>
        </w:rPr>
        <w:t xml:space="preserve">: Hemorrhage during pregnancy; </w:t>
      </w:r>
      <w:proofErr w:type="spellStart"/>
      <w:r w:rsidRPr="00555EFF">
        <w:rPr>
          <w:rFonts w:cstheme="minorHAnsi"/>
          <w:color w:val="000000"/>
        </w:rPr>
        <w:t>abruptio</w:t>
      </w:r>
      <w:proofErr w:type="spellEnd"/>
      <w:r w:rsidRPr="00555EFF">
        <w:rPr>
          <w:rFonts w:cstheme="minorHAnsi"/>
          <w:color w:val="000000"/>
        </w:rPr>
        <w:t xml:space="preserve"> placenta; placenta </w:t>
      </w:r>
      <w:proofErr w:type="spellStart"/>
      <w:r w:rsidRPr="00555EFF">
        <w:rPr>
          <w:rFonts w:cstheme="minorHAnsi"/>
          <w:color w:val="000000"/>
        </w:rPr>
        <w:t>previa</w:t>
      </w:r>
      <w:proofErr w:type="spellEnd"/>
    </w:p>
    <w:p w14:paraId="4B76FABC"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186</w:t>
      </w:r>
      <w:r w:rsidRPr="00555EFF">
        <w:rPr>
          <w:rFonts w:cstheme="minorHAnsi"/>
          <w:color w:val="000000"/>
        </w:rPr>
        <w:t>: Diabetes or abnormal glucose tolerance complicating pregnancy; childbirth; or the puerperium</w:t>
      </w:r>
    </w:p>
    <w:p w14:paraId="2E7DE9D2"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210</w:t>
      </w:r>
      <w:r w:rsidRPr="00555EFF">
        <w:rPr>
          <w:rFonts w:cstheme="minorHAnsi"/>
          <w:color w:val="000000"/>
        </w:rPr>
        <w:t>: Systemic lupus erythematosus and connective tissue disorders</w:t>
      </w:r>
    </w:p>
    <w:p w14:paraId="2F7FE9DE" w14:textId="77777777" w:rsidR="00F87C96" w:rsidRPr="00555EFF" w:rsidRDefault="00F87C96" w:rsidP="00F87C96">
      <w:pPr>
        <w:pStyle w:val="ListParagraph"/>
        <w:numPr>
          <w:ilvl w:val="1"/>
          <w:numId w:val="37"/>
        </w:numPr>
        <w:spacing w:after="0"/>
        <w:jc w:val="both"/>
        <w:rPr>
          <w:rFonts w:cstheme="minorHAnsi"/>
          <w:color w:val="000000"/>
        </w:rPr>
      </w:pPr>
      <w:r w:rsidRPr="00555EFF">
        <w:rPr>
          <w:rFonts w:cstheme="minorHAnsi"/>
          <w:color w:val="000000"/>
          <w:u w:val="single"/>
        </w:rPr>
        <w:t>CCS 243</w:t>
      </w:r>
      <w:r w:rsidRPr="00555EFF">
        <w:rPr>
          <w:rFonts w:cstheme="minorHAnsi"/>
          <w:color w:val="000000"/>
        </w:rPr>
        <w:t>: Poisoning by nonmedicinal substances</w:t>
      </w:r>
    </w:p>
    <w:p w14:paraId="593BB58D" w14:textId="77777777" w:rsidR="00F87C96" w:rsidRPr="00555EFF" w:rsidRDefault="00F87C96" w:rsidP="00F87C96">
      <w:pPr>
        <w:spacing w:after="0"/>
        <w:jc w:val="both"/>
        <w:rPr>
          <w:rFonts w:eastAsia="CMR12" w:cs="Times New Roman"/>
        </w:rPr>
      </w:pPr>
    </w:p>
    <w:p w14:paraId="62B0BC23" w14:textId="77777777" w:rsidR="00F87C96" w:rsidRDefault="00F87C96" w:rsidP="00F87C96">
      <w:pPr>
        <w:pStyle w:val="Default"/>
      </w:pPr>
    </w:p>
    <w:p w14:paraId="22199997" w14:textId="77777777" w:rsidR="0062648C" w:rsidRPr="0062648C" w:rsidRDefault="00F87C96" w:rsidP="00713708">
      <w:pPr>
        <w:rPr>
          <w:b/>
          <w:bCs/>
          <w:szCs w:val="20"/>
        </w:rPr>
      </w:pPr>
      <w:r w:rsidRPr="0062648C">
        <w:rPr>
          <w:szCs w:val="20"/>
        </w:rPr>
        <w:t xml:space="preserve">The coefficients for the patient characteristics resulting from the logistic model are shown below. </w:t>
      </w:r>
      <w:r w:rsidRPr="0062648C">
        <w:rPr>
          <w:szCs w:val="20"/>
        </w:rPr>
        <w:br/>
      </w:r>
    </w:p>
    <w:p w14:paraId="5BA66F53" w14:textId="209F80B6" w:rsidR="00F87C96" w:rsidRPr="0062648C" w:rsidRDefault="00713708" w:rsidP="00713708">
      <w:pPr>
        <w:rPr>
          <w:b/>
          <w:bCs/>
          <w:szCs w:val="20"/>
        </w:rPr>
      </w:pPr>
      <w:r w:rsidRPr="0062648C">
        <w:rPr>
          <w:b/>
          <w:bCs/>
          <w:szCs w:val="20"/>
        </w:rPr>
        <w:t>Table 1. Effects of Patient Characteristics on Readmission Rates for Medicare-Covered Dialysis Patients, 2009</w:t>
      </w:r>
    </w:p>
    <w:tbl>
      <w:tblPr>
        <w:tblW w:w="5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8"/>
        <w:gridCol w:w="720"/>
        <w:gridCol w:w="1080"/>
        <w:gridCol w:w="990"/>
      </w:tblGrid>
      <w:tr w:rsidR="00F87C96" w:rsidRPr="00CD30F1" w14:paraId="5F8837A4" w14:textId="77777777" w:rsidTr="007A03D8">
        <w:trPr>
          <w:trHeight w:val="140"/>
          <w:tblHeader/>
          <w:jc w:val="center"/>
        </w:trPr>
        <w:tc>
          <w:tcPr>
            <w:tcW w:w="2808" w:type="dxa"/>
          </w:tcPr>
          <w:p w14:paraId="1B09B81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Patient Characteristic </w:t>
            </w:r>
          </w:p>
        </w:tc>
        <w:tc>
          <w:tcPr>
            <w:tcW w:w="720" w:type="dxa"/>
          </w:tcPr>
          <w:p w14:paraId="5EE91F2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Beta </w:t>
            </w:r>
          </w:p>
        </w:tc>
        <w:tc>
          <w:tcPr>
            <w:tcW w:w="1080" w:type="dxa"/>
          </w:tcPr>
          <w:p w14:paraId="305C12B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SE </w:t>
            </w:r>
          </w:p>
        </w:tc>
        <w:tc>
          <w:tcPr>
            <w:tcW w:w="990" w:type="dxa"/>
          </w:tcPr>
          <w:p w14:paraId="574725F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i/>
                <w:iCs/>
              </w:rPr>
              <w:t xml:space="preserve">p </w:t>
            </w:r>
          </w:p>
        </w:tc>
      </w:tr>
      <w:tr w:rsidR="00F87C96" w:rsidRPr="00CD30F1" w14:paraId="229F74F7" w14:textId="77777777" w:rsidTr="007A03D8">
        <w:trPr>
          <w:trHeight w:val="114"/>
          <w:jc w:val="center"/>
        </w:trPr>
        <w:tc>
          <w:tcPr>
            <w:tcW w:w="5598" w:type="dxa"/>
            <w:gridSpan w:val="4"/>
          </w:tcPr>
          <w:p w14:paraId="07CB704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Age (y) </w:t>
            </w:r>
          </w:p>
        </w:tc>
      </w:tr>
      <w:tr w:rsidR="00F87C96" w:rsidRPr="00CD30F1" w14:paraId="32A0FAEA" w14:textId="77777777" w:rsidTr="007A03D8">
        <w:trPr>
          <w:trHeight w:val="114"/>
          <w:jc w:val="center"/>
        </w:trPr>
        <w:tc>
          <w:tcPr>
            <w:tcW w:w="2808" w:type="dxa"/>
          </w:tcPr>
          <w:p w14:paraId="5A56F66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&lt;25 </w:t>
            </w:r>
          </w:p>
        </w:tc>
        <w:tc>
          <w:tcPr>
            <w:tcW w:w="720" w:type="dxa"/>
          </w:tcPr>
          <w:p w14:paraId="5537C2F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0.33 </w:t>
            </w:r>
          </w:p>
        </w:tc>
        <w:tc>
          <w:tcPr>
            <w:tcW w:w="1080" w:type="dxa"/>
          </w:tcPr>
          <w:p w14:paraId="573FF0C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0.03 </w:t>
            </w:r>
          </w:p>
        </w:tc>
        <w:tc>
          <w:tcPr>
            <w:tcW w:w="990" w:type="dxa"/>
          </w:tcPr>
          <w:p w14:paraId="4B05A53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5560C621" w14:textId="77777777" w:rsidTr="007A03D8">
        <w:trPr>
          <w:trHeight w:val="114"/>
          <w:jc w:val="center"/>
        </w:trPr>
        <w:tc>
          <w:tcPr>
            <w:tcW w:w="2808" w:type="dxa"/>
          </w:tcPr>
          <w:p w14:paraId="64C6B01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25–45 </w:t>
            </w:r>
          </w:p>
        </w:tc>
        <w:tc>
          <w:tcPr>
            <w:tcW w:w="720" w:type="dxa"/>
          </w:tcPr>
          <w:p w14:paraId="355EF87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0.18 </w:t>
            </w:r>
          </w:p>
        </w:tc>
        <w:tc>
          <w:tcPr>
            <w:tcW w:w="1080" w:type="dxa"/>
          </w:tcPr>
          <w:p w14:paraId="176FB6D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33C6315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12AD03B5" w14:textId="77777777" w:rsidTr="007A03D8">
        <w:trPr>
          <w:trHeight w:val="114"/>
          <w:jc w:val="center"/>
        </w:trPr>
        <w:tc>
          <w:tcPr>
            <w:tcW w:w="2808" w:type="dxa"/>
          </w:tcPr>
          <w:p w14:paraId="7C9DB7C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45–60 (ref) </w:t>
            </w:r>
          </w:p>
        </w:tc>
        <w:tc>
          <w:tcPr>
            <w:tcW w:w="720" w:type="dxa"/>
          </w:tcPr>
          <w:p w14:paraId="49A12F2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1080" w:type="dxa"/>
          </w:tcPr>
          <w:p w14:paraId="479BCD5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990" w:type="dxa"/>
          </w:tcPr>
          <w:p w14:paraId="3F21E72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r>
      <w:tr w:rsidR="00F87C96" w:rsidRPr="00CD30F1" w14:paraId="3F750D5B" w14:textId="77777777" w:rsidTr="007A03D8">
        <w:trPr>
          <w:trHeight w:val="114"/>
          <w:jc w:val="center"/>
        </w:trPr>
        <w:tc>
          <w:tcPr>
            <w:tcW w:w="2808" w:type="dxa"/>
          </w:tcPr>
          <w:p w14:paraId="1273F00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60–75 </w:t>
            </w:r>
          </w:p>
        </w:tc>
        <w:tc>
          <w:tcPr>
            <w:tcW w:w="720" w:type="dxa"/>
          </w:tcPr>
          <w:p w14:paraId="04CB012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-0.03 </w:t>
            </w:r>
          </w:p>
        </w:tc>
        <w:tc>
          <w:tcPr>
            <w:tcW w:w="1080" w:type="dxa"/>
          </w:tcPr>
          <w:p w14:paraId="7AF7DDC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1204065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5167EFF" w14:textId="77777777" w:rsidTr="007A03D8">
        <w:trPr>
          <w:trHeight w:val="114"/>
          <w:jc w:val="center"/>
        </w:trPr>
        <w:tc>
          <w:tcPr>
            <w:tcW w:w="2808" w:type="dxa"/>
          </w:tcPr>
          <w:p w14:paraId="088E214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&gt;75 </w:t>
            </w:r>
          </w:p>
        </w:tc>
        <w:tc>
          <w:tcPr>
            <w:tcW w:w="720" w:type="dxa"/>
          </w:tcPr>
          <w:p w14:paraId="4FA00DC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0.06 </w:t>
            </w:r>
          </w:p>
        </w:tc>
        <w:tc>
          <w:tcPr>
            <w:tcW w:w="1080" w:type="dxa"/>
          </w:tcPr>
          <w:p w14:paraId="4A3DEC8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44A7D15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1EB4C14F" w14:textId="77777777" w:rsidTr="007A03D8">
        <w:trPr>
          <w:trHeight w:val="114"/>
          <w:jc w:val="center"/>
        </w:trPr>
        <w:tc>
          <w:tcPr>
            <w:tcW w:w="5598" w:type="dxa"/>
            <w:gridSpan w:val="4"/>
          </w:tcPr>
          <w:p w14:paraId="7B12E3A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BMI </w:t>
            </w:r>
          </w:p>
        </w:tc>
      </w:tr>
      <w:tr w:rsidR="00F87C96" w:rsidRPr="00CD30F1" w14:paraId="119A4F9F" w14:textId="77777777" w:rsidTr="007A03D8">
        <w:trPr>
          <w:trHeight w:val="114"/>
          <w:jc w:val="center"/>
        </w:trPr>
        <w:tc>
          <w:tcPr>
            <w:tcW w:w="2808" w:type="dxa"/>
          </w:tcPr>
          <w:p w14:paraId="1768B15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Underweight </w:t>
            </w:r>
          </w:p>
        </w:tc>
        <w:tc>
          <w:tcPr>
            <w:tcW w:w="720" w:type="dxa"/>
          </w:tcPr>
          <w:p w14:paraId="2669296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0.08 </w:t>
            </w:r>
          </w:p>
        </w:tc>
        <w:tc>
          <w:tcPr>
            <w:tcW w:w="1080" w:type="dxa"/>
          </w:tcPr>
          <w:p w14:paraId="2B67495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3475430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61EE4E4D" w14:textId="77777777" w:rsidTr="007A03D8">
        <w:trPr>
          <w:trHeight w:val="114"/>
          <w:jc w:val="center"/>
        </w:trPr>
        <w:tc>
          <w:tcPr>
            <w:tcW w:w="2808" w:type="dxa"/>
          </w:tcPr>
          <w:p w14:paraId="67ED50F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Normal Weight (ref) </w:t>
            </w:r>
          </w:p>
        </w:tc>
        <w:tc>
          <w:tcPr>
            <w:tcW w:w="720" w:type="dxa"/>
          </w:tcPr>
          <w:p w14:paraId="164700A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1080" w:type="dxa"/>
          </w:tcPr>
          <w:p w14:paraId="3CF0A4A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990" w:type="dxa"/>
          </w:tcPr>
          <w:p w14:paraId="76E8F43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r>
      <w:tr w:rsidR="00F87C96" w:rsidRPr="00CD30F1" w14:paraId="094FAF41" w14:textId="77777777" w:rsidTr="007A03D8">
        <w:trPr>
          <w:trHeight w:val="114"/>
          <w:jc w:val="center"/>
        </w:trPr>
        <w:tc>
          <w:tcPr>
            <w:tcW w:w="2808" w:type="dxa"/>
          </w:tcPr>
          <w:p w14:paraId="0E3EDC4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Overweight </w:t>
            </w:r>
          </w:p>
        </w:tc>
        <w:tc>
          <w:tcPr>
            <w:tcW w:w="720" w:type="dxa"/>
          </w:tcPr>
          <w:p w14:paraId="1C9576B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-0.05 </w:t>
            </w:r>
          </w:p>
        </w:tc>
        <w:tc>
          <w:tcPr>
            <w:tcW w:w="1080" w:type="dxa"/>
          </w:tcPr>
          <w:p w14:paraId="2CF946E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722179E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E99B12A" w14:textId="77777777" w:rsidTr="007A03D8">
        <w:trPr>
          <w:trHeight w:val="114"/>
          <w:jc w:val="center"/>
        </w:trPr>
        <w:tc>
          <w:tcPr>
            <w:tcW w:w="2808" w:type="dxa"/>
          </w:tcPr>
          <w:p w14:paraId="5102F39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Obese </w:t>
            </w:r>
          </w:p>
        </w:tc>
        <w:tc>
          <w:tcPr>
            <w:tcW w:w="720" w:type="dxa"/>
          </w:tcPr>
          <w:p w14:paraId="7948547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-0.12 </w:t>
            </w:r>
          </w:p>
        </w:tc>
        <w:tc>
          <w:tcPr>
            <w:tcW w:w="1080" w:type="dxa"/>
          </w:tcPr>
          <w:p w14:paraId="66DDBDF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63CE5B8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11BF53AD" w14:textId="77777777" w:rsidTr="007A03D8">
        <w:trPr>
          <w:trHeight w:val="114"/>
          <w:jc w:val="center"/>
        </w:trPr>
        <w:tc>
          <w:tcPr>
            <w:tcW w:w="2808" w:type="dxa"/>
          </w:tcPr>
          <w:p w14:paraId="692E8CC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Cause of ESRD: Diabetes </w:t>
            </w:r>
          </w:p>
        </w:tc>
        <w:tc>
          <w:tcPr>
            <w:tcW w:w="720" w:type="dxa"/>
          </w:tcPr>
          <w:p w14:paraId="39DB4CC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0.05 </w:t>
            </w:r>
          </w:p>
        </w:tc>
        <w:tc>
          <w:tcPr>
            <w:tcW w:w="1080" w:type="dxa"/>
          </w:tcPr>
          <w:p w14:paraId="2D1DB87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6839F02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524EF694" w14:textId="77777777" w:rsidTr="007A03D8">
        <w:trPr>
          <w:trHeight w:val="114"/>
          <w:jc w:val="center"/>
        </w:trPr>
        <w:tc>
          <w:tcPr>
            <w:tcW w:w="5598" w:type="dxa"/>
            <w:gridSpan w:val="4"/>
          </w:tcPr>
          <w:p w14:paraId="73F9D43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Comorbidity (past year) </w:t>
            </w:r>
          </w:p>
        </w:tc>
      </w:tr>
      <w:tr w:rsidR="00F87C96" w:rsidRPr="00CD30F1" w14:paraId="627CB8A7" w14:textId="77777777" w:rsidTr="007A03D8">
        <w:trPr>
          <w:trHeight w:val="114"/>
          <w:jc w:val="center"/>
        </w:trPr>
        <w:tc>
          <w:tcPr>
            <w:tcW w:w="2808" w:type="dxa"/>
          </w:tcPr>
          <w:p w14:paraId="3A56796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Amputation status </w:t>
            </w:r>
          </w:p>
        </w:tc>
        <w:tc>
          <w:tcPr>
            <w:tcW w:w="720" w:type="dxa"/>
          </w:tcPr>
          <w:p w14:paraId="227B9AD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0.06 </w:t>
            </w:r>
          </w:p>
        </w:tc>
        <w:tc>
          <w:tcPr>
            <w:tcW w:w="1080" w:type="dxa"/>
          </w:tcPr>
          <w:p w14:paraId="7AEFF5B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62B2052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0635D6DF" w14:textId="77777777" w:rsidTr="007A03D8">
        <w:trPr>
          <w:trHeight w:val="114"/>
          <w:jc w:val="center"/>
        </w:trPr>
        <w:tc>
          <w:tcPr>
            <w:tcW w:w="2808" w:type="dxa"/>
          </w:tcPr>
          <w:p w14:paraId="65C4D8C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COPD </w:t>
            </w:r>
          </w:p>
        </w:tc>
        <w:tc>
          <w:tcPr>
            <w:tcW w:w="720" w:type="dxa"/>
          </w:tcPr>
          <w:p w14:paraId="4BBE0D2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0.22 </w:t>
            </w:r>
          </w:p>
        </w:tc>
        <w:tc>
          <w:tcPr>
            <w:tcW w:w="1080" w:type="dxa"/>
          </w:tcPr>
          <w:p w14:paraId="550BABD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3BCB6D8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4CDCDD0E" w14:textId="77777777" w:rsidTr="007A03D8">
        <w:trPr>
          <w:trHeight w:val="114"/>
          <w:jc w:val="center"/>
        </w:trPr>
        <w:tc>
          <w:tcPr>
            <w:tcW w:w="2808" w:type="dxa"/>
          </w:tcPr>
          <w:p w14:paraId="5A80E20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Cardiorespiratory failure/shock </w:t>
            </w:r>
          </w:p>
        </w:tc>
        <w:tc>
          <w:tcPr>
            <w:tcW w:w="720" w:type="dxa"/>
          </w:tcPr>
          <w:p w14:paraId="1D6C2F8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0.23 </w:t>
            </w:r>
          </w:p>
        </w:tc>
        <w:tc>
          <w:tcPr>
            <w:tcW w:w="1080" w:type="dxa"/>
          </w:tcPr>
          <w:p w14:paraId="5A678FE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5209610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6BA210A2" w14:textId="77777777" w:rsidTr="007A03D8">
        <w:trPr>
          <w:trHeight w:val="114"/>
          <w:jc w:val="center"/>
        </w:trPr>
        <w:tc>
          <w:tcPr>
            <w:tcW w:w="2808" w:type="dxa"/>
          </w:tcPr>
          <w:p w14:paraId="501937C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Coagulation defects &amp; other specified hematological disorders </w:t>
            </w:r>
          </w:p>
        </w:tc>
        <w:tc>
          <w:tcPr>
            <w:tcW w:w="720" w:type="dxa"/>
          </w:tcPr>
          <w:p w14:paraId="727EABE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0.13 </w:t>
            </w:r>
          </w:p>
        </w:tc>
        <w:tc>
          <w:tcPr>
            <w:tcW w:w="1080" w:type="dxa"/>
          </w:tcPr>
          <w:p w14:paraId="0094D2F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686E543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4E9E397F" w14:textId="77777777" w:rsidTr="007A03D8">
        <w:trPr>
          <w:trHeight w:val="114"/>
          <w:jc w:val="center"/>
        </w:trPr>
        <w:tc>
          <w:tcPr>
            <w:tcW w:w="2808" w:type="dxa"/>
          </w:tcPr>
          <w:p w14:paraId="4364FAC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Drug and alcohol disorders </w:t>
            </w:r>
          </w:p>
        </w:tc>
        <w:tc>
          <w:tcPr>
            <w:tcW w:w="720" w:type="dxa"/>
          </w:tcPr>
          <w:p w14:paraId="13F696A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0.32 </w:t>
            </w:r>
          </w:p>
        </w:tc>
        <w:tc>
          <w:tcPr>
            <w:tcW w:w="1080" w:type="dxa"/>
          </w:tcPr>
          <w:p w14:paraId="75FECBD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4ADE563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2CB4D5C9" w14:textId="77777777" w:rsidTr="007A03D8">
        <w:trPr>
          <w:trHeight w:val="114"/>
          <w:jc w:val="center"/>
        </w:trPr>
        <w:tc>
          <w:tcPr>
            <w:tcW w:w="2808" w:type="dxa"/>
          </w:tcPr>
          <w:p w14:paraId="27109BD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End-Stage Liver Disease </w:t>
            </w:r>
          </w:p>
        </w:tc>
        <w:tc>
          <w:tcPr>
            <w:tcW w:w="720" w:type="dxa"/>
          </w:tcPr>
          <w:p w14:paraId="43379E1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0.27 </w:t>
            </w:r>
          </w:p>
        </w:tc>
        <w:tc>
          <w:tcPr>
            <w:tcW w:w="1080" w:type="dxa"/>
          </w:tcPr>
          <w:p w14:paraId="47B88C0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0DE1DBA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17E967A7" w14:textId="77777777" w:rsidTr="007A03D8">
        <w:trPr>
          <w:trHeight w:val="114"/>
          <w:jc w:val="center"/>
        </w:trPr>
        <w:tc>
          <w:tcPr>
            <w:tcW w:w="2808" w:type="dxa"/>
          </w:tcPr>
          <w:p w14:paraId="307A4F5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Fibrosis of lung or other chronic lung disorders </w:t>
            </w:r>
          </w:p>
        </w:tc>
        <w:tc>
          <w:tcPr>
            <w:tcW w:w="720" w:type="dxa"/>
          </w:tcPr>
          <w:p w14:paraId="5F43B0B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c>
          <w:tcPr>
            <w:tcW w:w="1080" w:type="dxa"/>
          </w:tcPr>
          <w:p w14:paraId="42DE9DE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715D008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r>
      <w:tr w:rsidR="00F87C96" w:rsidRPr="00CD30F1" w14:paraId="03A4B932" w14:textId="77777777" w:rsidTr="007A03D8">
        <w:trPr>
          <w:trHeight w:val="114"/>
          <w:jc w:val="center"/>
        </w:trPr>
        <w:tc>
          <w:tcPr>
            <w:tcW w:w="2808" w:type="dxa"/>
          </w:tcPr>
          <w:p w14:paraId="703A1ED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Hemiplegia, paraplegia, paralysis </w:t>
            </w:r>
          </w:p>
        </w:tc>
        <w:tc>
          <w:tcPr>
            <w:tcW w:w="720" w:type="dxa"/>
          </w:tcPr>
          <w:p w14:paraId="00BE58F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0.08 </w:t>
            </w:r>
          </w:p>
        </w:tc>
        <w:tc>
          <w:tcPr>
            <w:tcW w:w="1080" w:type="dxa"/>
          </w:tcPr>
          <w:p w14:paraId="2168494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38CF4C0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08EFB37" w14:textId="77777777" w:rsidTr="007A03D8">
        <w:trPr>
          <w:trHeight w:val="114"/>
          <w:jc w:val="center"/>
        </w:trPr>
        <w:tc>
          <w:tcPr>
            <w:tcW w:w="2808" w:type="dxa"/>
          </w:tcPr>
          <w:p w14:paraId="61616CB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Hip fracture/dislocation </w:t>
            </w:r>
          </w:p>
        </w:tc>
        <w:tc>
          <w:tcPr>
            <w:tcW w:w="720" w:type="dxa"/>
          </w:tcPr>
          <w:p w14:paraId="719448C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1080" w:type="dxa"/>
          </w:tcPr>
          <w:p w14:paraId="60B8B8C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2995BD6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0.17 </w:t>
            </w:r>
          </w:p>
        </w:tc>
      </w:tr>
      <w:tr w:rsidR="00F87C96" w:rsidRPr="00CD30F1" w14:paraId="49AC55C6" w14:textId="77777777" w:rsidTr="007A03D8">
        <w:trPr>
          <w:trHeight w:val="114"/>
          <w:jc w:val="center"/>
        </w:trPr>
        <w:tc>
          <w:tcPr>
            <w:tcW w:w="2808" w:type="dxa"/>
          </w:tcPr>
          <w:p w14:paraId="38486A0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Major organ transplants (excl. kidney) </w:t>
            </w:r>
          </w:p>
        </w:tc>
        <w:tc>
          <w:tcPr>
            <w:tcW w:w="720" w:type="dxa"/>
          </w:tcPr>
          <w:p w14:paraId="4D18BB4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c>
          <w:tcPr>
            <w:tcW w:w="1080" w:type="dxa"/>
          </w:tcPr>
          <w:p w14:paraId="48D47A3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0.03 </w:t>
            </w:r>
          </w:p>
        </w:tc>
        <w:tc>
          <w:tcPr>
            <w:tcW w:w="990" w:type="dxa"/>
          </w:tcPr>
          <w:p w14:paraId="1A6256E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r>
      <w:tr w:rsidR="00F87C96" w:rsidRPr="00CD30F1" w14:paraId="6BE1E674" w14:textId="77777777" w:rsidTr="007A03D8">
        <w:trPr>
          <w:trHeight w:val="114"/>
          <w:jc w:val="center"/>
        </w:trPr>
        <w:tc>
          <w:tcPr>
            <w:tcW w:w="2808" w:type="dxa"/>
          </w:tcPr>
          <w:p w14:paraId="73636AD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Metastatic cancer/acute leukemia </w:t>
            </w:r>
          </w:p>
        </w:tc>
        <w:tc>
          <w:tcPr>
            <w:tcW w:w="720" w:type="dxa"/>
          </w:tcPr>
          <w:p w14:paraId="48059E4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0.29 </w:t>
            </w:r>
          </w:p>
        </w:tc>
        <w:tc>
          <w:tcPr>
            <w:tcW w:w="1080" w:type="dxa"/>
          </w:tcPr>
          <w:p w14:paraId="1A9504A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c>
          <w:tcPr>
            <w:tcW w:w="990" w:type="dxa"/>
          </w:tcPr>
          <w:p w14:paraId="61E0106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6409C89" w14:textId="77777777" w:rsidTr="007A03D8">
        <w:trPr>
          <w:trHeight w:val="114"/>
          <w:jc w:val="center"/>
        </w:trPr>
        <w:tc>
          <w:tcPr>
            <w:tcW w:w="2808" w:type="dxa"/>
          </w:tcPr>
          <w:p w14:paraId="5452E25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Other hematological disorders </w:t>
            </w:r>
          </w:p>
        </w:tc>
        <w:tc>
          <w:tcPr>
            <w:tcW w:w="720" w:type="dxa"/>
          </w:tcPr>
          <w:p w14:paraId="0AC1A9D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0.18 </w:t>
            </w:r>
          </w:p>
        </w:tc>
        <w:tc>
          <w:tcPr>
            <w:tcW w:w="1080" w:type="dxa"/>
          </w:tcPr>
          <w:p w14:paraId="429CE06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175A176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18D7E2F3" w14:textId="77777777" w:rsidTr="007A03D8">
        <w:trPr>
          <w:trHeight w:val="114"/>
          <w:jc w:val="center"/>
        </w:trPr>
        <w:tc>
          <w:tcPr>
            <w:tcW w:w="2808" w:type="dxa"/>
          </w:tcPr>
          <w:p w14:paraId="27C236F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Other infectious disease &amp; pneumonias </w:t>
            </w:r>
          </w:p>
        </w:tc>
        <w:tc>
          <w:tcPr>
            <w:tcW w:w="720" w:type="dxa"/>
          </w:tcPr>
          <w:p w14:paraId="60C3A40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0.15 </w:t>
            </w:r>
          </w:p>
        </w:tc>
        <w:tc>
          <w:tcPr>
            <w:tcW w:w="1080" w:type="dxa"/>
          </w:tcPr>
          <w:p w14:paraId="4C789BE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4A00B97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40F56613" w14:textId="77777777" w:rsidTr="007A03D8">
        <w:trPr>
          <w:trHeight w:val="114"/>
          <w:jc w:val="center"/>
        </w:trPr>
        <w:tc>
          <w:tcPr>
            <w:tcW w:w="2808" w:type="dxa"/>
          </w:tcPr>
          <w:p w14:paraId="2D2A3A2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Other major cancers </w:t>
            </w:r>
          </w:p>
        </w:tc>
        <w:tc>
          <w:tcPr>
            <w:tcW w:w="720" w:type="dxa"/>
          </w:tcPr>
          <w:p w14:paraId="4805B4A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1080" w:type="dxa"/>
          </w:tcPr>
          <w:p w14:paraId="1DF00CE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1D2C20D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r>
      <w:tr w:rsidR="00F87C96" w:rsidRPr="00CD30F1" w14:paraId="775AB520" w14:textId="77777777" w:rsidTr="007A03D8">
        <w:trPr>
          <w:trHeight w:val="114"/>
          <w:jc w:val="center"/>
        </w:trPr>
        <w:tc>
          <w:tcPr>
            <w:tcW w:w="2808" w:type="dxa"/>
          </w:tcPr>
          <w:p w14:paraId="2159ABB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Pancreatic disease </w:t>
            </w:r>
          </w:p>
        </w:tc>
        <w:tc>
          <w:tcPr>
            <w:tcW w:w="720" w:type="dxa"/>
          </w:tcPr>
          <w:p w14:paraId="081C4F0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0.21 </w:t>
            </w:r>
          </w:p>
        </w:tc>
        <w:tc>
          <w:tcPr>
            <w:tcW w:w="1080" w:type="dxa"/>
          </w:tcPr>
          <w:p w14:paraId="4110ECC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4158665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B5B89F3" w14:textId="77777777" w:rsidTr="007A03D8">
        <w:trPr>
          <w:trHeight w:val="114"/>
          <w:jc w:val="center"/>
        </w:trPr>
        <w:tc>
          <w:tcPr>
            <w:tcW w:w="2808" w:type="dxa"/>
          </w:tcPr>
          <w:p w14:paraId="6DE37C3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Psychiatric comorbidity </w:t>
            </w:r>
          </w:p>
        </w:tc>
        <w:tc>
          <w:tcPr>
            <w:tcW w:w="720" w:type="dxa"/>
          </w:tcPr>
          <w:p w14:paraId="4B204F7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0.19 </w:t>
            </w:r>
          </w:p>
        </w:tc>
        <w:tc>
          <w:tcPr>
            <w:tcW w:w="1080" w:type="dxa"/>
          </w:tcPr>
          <w:p w14:paraId="3195AF8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567C587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26D331F2" w14:textId="77777777" w:rsidTr="007A03D8">
        <w:trPr>
          <w:trHeight w:val="114"/>
          <w:jc w:val="center"/>
        </w:trPr>
        <w:tc>
          <w:tcPr>
            <w:tcW w:w="2808" w:type="dxa"/>
          </w:tcPr>
          <w:p w14:paraId="01C8279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Respirator dependence/tracheostomy status </w:t>
            </w:r>
          </w:p>
        </w:tc>
        <w:tc>
          <w:tcPr>
            <w:tcW w:w="720" w:type="dxa"/>
          </w:tcPr>
          <w:p w14:paraId="76A4811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-0.03 </w:t>
            </w:r>
          </w:p>
        </w:tc>
        <w:tc>
          <w:tcPr>
            <w:tcW w:w="1080" w:type="dxa"/>
          </w:tcPr>
          <w:p w14:paraId="1FF8F4A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0.04 </w:t>
            </w:r>
          </w:p>
        </w:tc>
        <w:tc>
          <w:tcPr>
            <w:tcW w:w="990" w:type="dxa"/>
          </w:tcPr>
          <w:p w14:paraId="2CCF469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0.11 </w:t>
            </w:r>
          </w:p>
        </w:tc>
      </w:tr>
      <w:tr w:rsidR="00F87C96" w:rsidRPr="00CD30F1" w14:paraId="0321A8FD" w14:textId="77777777" w:rsidTr="007A03D8">
        <w:trPr>
          <w:trHeight w:val="114"/>
          <w:jc w:val="center"/>
        </w:trPr>
        <w:tc>
          <w:tcPr>
            <w:tcW w:w="2808" w:type="dxa"/>
          </w:tcPr>
          <w:p w14:paraId="0F2FE1C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Rheumatoid arthritis &amp; inflammatory connective tissue disease </w:t>
            </w:r>
          </w:p>
        </w:tc>
        <w:tc>
          <w:tcPr>
            <w:tcW w:w="720" w:type="dxa"/>
          </w:tcPr>
          <w:p w14:paraId="3AF4CF4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1080" w:type="dxa"/>
          </w:tcPr>
          <w:p w14:paraId="5CC1B88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0ED1010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0.06 </w:t>
            </w:r>
          </w:p>
        </w:tc>
      </w:tr>
      <w:tr w:rsidR="00F87C96" w:rsidRPr="00CD30F1" w14:paraId="1B5AB073" w14:textId="77777777" w:rsidTr="007A03D8">
        <w:trPr>
          <w:trHeight w:val="114"/>
          <w:jc w:val="center"/>
        </w:trPr>
        <w:tc>
          <w:tcPr>
            <w:tcW w:w="2808" w:type="dxa"/>
          </w:tcPr>
          <w:p w14:paraId="3D5CA8E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Seizure disorders &amp; convulsions </w:t>
            </w:r>
          </w:p>
        </w:tc>
        <w:tc>
          <w:tcPr>
            <w:tcW w:w="720" w:type="dxa"/>
          </w:tcPr>
          <w:p w14:paraId="26C8B29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0.10 </w:t>
            </w:r>
          </w:p>
        </w:tc>
        <w:tc>
          <w:tcPr>
            <w:tcW w:w="1080" w:type="dxa"/>
          </w:tcPr>
          <w:p w14:paraId="7C77067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7D40005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095C6116" w14:textId="77777777" w:rsidTr="007A03D8">
        <w:trPr>
          <w:trHeight w:val="114"/>
          <w:jc w:val="center"/>
        </w:trPr>
        <w:tc>
          <w:tcPr>
            <w:tcW w:w="2808" w:type="dxa"/>
          </w:tcPr>
          <w:p w14:paraId="012FFC5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Septicemia/shock </w:t>
            </w:r>
          </w:p>
        </w:tc>
        <w:tc>
          <w:tcPr>
            <w:tcW w:w="720" w:type="dxa"/>
          </w:tcPr>
          <w:p w14:paraId="28EFE01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0.13 </w:t>
            </w:r>
          </w:p>
        </w:tc>
        <w:tc>
          <w:tcPr>
            <w:tcW w:w="1080" w:type="dxa"/>
          </w:tcPr>
          <w:p w14:paraId="1575517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50C3FA0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59FB7B44" w14:textId="77777777" w:rsidTr="007A03D8">
        <w:trPr>
          <w:trHeight w:val="114"/>
          <w:jc w:val="center"/>
        </w:trPr>
        <w:tc>
          <w:tcPr>
            <w:tcW w:w="2808" w:type="dxa"/>
          </w:tcPr>
          <w:p w14:paraId="3805462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Severe cancer </w:t>
            </w:r>
          </w:p>
        </w:tc>
        <w:tc>
          <w:tcPr>
            <w:tcW w:w="720" w:type="dxa"/>
          </w:tcPr>
          <w:p w14:paraId="3D60689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0.15 </w:t>
            </w:r>
          </w:p>
        </w:tc>
        <w:tc>
          <w:tcPr>
            <w:tcW w:w="1080" w:type="dxa"/>
          </w:tcPr>
          <w:p w14:paraId="3698FAF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25E1941A"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61810477" w14:textId="77777777" w:rsidTr="007A03D8">
        <w:trPr>
          <w:trHeight w:val="114"/>
          <w:jc w:val="center"/>
        </w:trPr>
        <w:tc>
          <w:tcPr>
            <w:tcW w:w="2808" w:type="dxa"/>
          </w:tcPr>
          <w:p w14:paraId="1FB4C70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Severe infection </w:t>
            </w:r>
          </w:p>
        </w:tc>
        <w:tc>
          <w:tcPr>
            <w:tcW w:w="720" w:type="dxa"/>
          </w:tcPr>
          <w:p w14:paraId="754443E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0.06 </w:t>
            </w:r>
          </w:p>
        </w:tc>
        <w:tc>
          <w:tcPr>
            <w:tcW w:w="1080" w:type="dxa"/>
          </w:tcPr>
          <w:p w14:paraId="56ED4E5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0.02 </w:t>
            </w:r>
          </w:p>
        </w:tc>
        <w:tc>
          <w:tcPr>
            <w:tcW w:w="990" w:type="dxa"/>
          </w:tcPr>
          <w:p w14:paraId="68E2D7E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0.0002 </w:t>
            </w:r>
          </w:p>
        </w:tc>
      </w:tr>
      <w:tr w:rsidR="00F87C96" w:rsidRPr="00CD30F1" w14:paraId="3D60FB47" w14:textId="77777777" w:rsidTr="007A03D8">
        <w:trPr>
          <w:trHeight w:val="114"/>
          <w:jc w:val="center"/>
        </w:trPr>
        <w:tc>
          <w:tcPr>
            <w:tcW w:w="2808" w:type="dxa"/>
          </w:tcPr>
          <w:p w14:paraId="2D9543B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Ulcers </w:t>
            </w:r>
          </w:p>
        </w:tc>
        <w:tc>
          <w:tcPr>
            <w:tcW w:w="720" w:type="dxa"/>
          </w:tcPr>
          <w:p w14:paraId="525482D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0.10 </w:t>
            </w:r>
          </w:p>
        </w:tc>
        <w:tc>
          <w:tcPr>
            <w:tcW w:w="1080" w:type="dxa"/>
          </w:tcPr>
          <w:p w14:paraId="0F2BB85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1B4B935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B935858" w14:textId="77777777" w:rsidTr="007A03D8">
        <w:trPr>
          <w:trHeight w:val="114"/>
          <w:jc w:val="center"/>
        </w:trPr>
        <w:tc>
          <w:tcPr>
            <w:tcW w:w="5598" w:type="dxa"/>
            <w:gridSpan w:val="4"/>
          </w:tcPr>
          <w:p w14:paraId="4C9497E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Length of Index Hospitalization (days) </w:t>
            </w:r>
          </w:p>
        </w:tc>
      </w:tr>
      <w:tr w:rsidR="00F87C96" w:rsidRPr="00CD30F1" w14:paraId="0D519949" w14:textId="77777777" w:rsidTr="007A03D8">
        <w:trPr>
          <w:trHeight w:val="114"/>
          <w:jc w:val="center"/>
        </w:trPr>
        <w:tc>
          <w:tcPr>
            <w:tcW w:w="2808" w:type="dxa"/>
          </w:tcPr>
          <w:p w14:paraId="5EB11E5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Quartile 1 (ref) </w:t>
            </w:r>
          </w:p>
        </w:tc>
        <w:tc>
          <w:tcPr>
            <w:tcW w:w="720" w:type="dxa"/>
          </w:tcPr>
          <w:p w14:paraId="4BE6629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1080" w:type="dxa"/>
          </w:tcPr>
          <w:p w14:paraId="606163B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990" w:type="dxa"/>
          </w:tcPr>
          <w:p w14:paraId="133C59E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r>
      <w:tr w:rsidR="00F87C96" w:rsidRPr="00CD30F1" w14:paraId="67E36FE2" w14:textId="77777777" w:rsidTr="007A03D8">
        <w:trPr>
          <w:trHeight w:val="114"/>
          <w:jc w:val="center"/>
        </w:trPr>
        <w:tc>
          <w:tcPr>
            <w:tcW w:w="2808" w:type="dxa"/>
          </w:tcPr>
          <w:p w14:paraId="0E72390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Quartile 2 </w:t>
            </w:r>
          </w:p>
        </w:tc>
        <w:tc>
          <w:tcPr>
            <w:tcW w:w="720" w:type="dxa"/>
          </w:tcPr>
          <w:p w14:paraId="4F01604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0.12 </w:t>
            </w:r>
          </w:p>
        </w:tc>
        <w:tc>
          <w:tcPr>
            <w:tcW w:w="1080" w:type="dxa"/>
          </w:tcPr>
          <w:p w14:paraId="02D8901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491C909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9D2D777" w14:textId="77777777" w:rsidTr="007A03D8">
        <w:trPr>
          <w:trHeight w:val="114"/>
          <w:jc w:val="center"/>
        </w:trPr>
        <w:tc>
          <w:tcPr>
            <w:tcW w:w="2808" w:type="dxa"/>
          </w:tcPr>
          <w:p w14:paraId="1B48141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Quartile 3 </w:t>
            </w:r>
          </w:p>
        </w:tc>
        <w:tc>
          <w:tcPr>
            <w:tcW w:w="720" w:type="dxa"/>
          </w:tcPr>
          <w:p w14:paraId="3737417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0.23 </w:t>
            </w:r>
          </w:p>
        </w:tc>
        <w:tc>
          <w:tcPr>
            <w:tcW w:w="1080" w:type="dxa"/>
          </w:tcPr>
          <w:p w14:paraId="5DD687C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0A22F30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33A5365A" w14:textId="77777777" w:rsidTr="007A03D8">
        <w:trPr>
          <w:trHeight w:val="114"/>
          <w:jc w:val="center"/>
        </w:trPr>
        <w:tc>
          <w:tcPr>
            <w:tcW w:w="2808" w:type="dxa"/>
          </w:tcPr>
          <w:p w14:paraId="28A0F4B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Quartile 4 </w:t>
            </w:r>
          </w:p>
        </w:tc>
        <w:tc>
          <w:tcPr>
            <w:tcW w:w="720" w:type="dxa"/>
          </w:tcPr>
          <w:p w14:paraId="41D87CA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0.44 </w:t>
            </w:r>
          </w:p>
        </w:tc>
        <w:tc>
          <w:tcPr>
            <w:tcW w:w="1080" w:type="dxa"/>
          </w:tcPr>
          <w:p w14:paraId="2931DAC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78A3815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6E6B29F9" w14:textId="77777777" w:rsidTr="007A03D8">
        <w:trPr>
          <w:trHeight w:val="114"/>
          <w:jc w:val="center"/>
        </w:trPr>
        <w:tc>
          <w:tcPr>
            <w:tcW w:w="2808" w:type="dxa"/>
          </w:tcPr>
          <w:p w14:paraId="6422F56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Presence of high-risk diagnosis at index discharge </w:t>
            </w:r>
          </w:p>
        </w:tc>
        <w:tc>
          <w:tcPr>
            <w:tcW w:w="720" w:type="dxa"/>
          </w:tcPr>
          <w:p w14:paraId="2C2E7BE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0.49 </w:t>
            </w:r>
          </w:p>
        </w:tc>
        <w:tc>
          <w:tcPr>
            <w:tcW w:w="1080" w:type="dxa"/>
          </w:tcPr>
          <w:p w14:paraId="0E53A82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0.03 </w:t>
            </w:r>
          </w:p>
        </w:tc>
        <w:tc>
          <w:tcPr>
            <w:tcW w:w="990" w:type="dxa"/>
          </w:tcPr>
          <w:p w14:paraId="3A65CCB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72EA49AE" w14:textId="77777777" w:rsidTr="007A03D8">
        <w:trPr>
          <w:trHeight w:val="114"/>
          <w:jc w:val="center"/>
        </w:trPr>
        <w:tc>
          <w:tcPr>
            <w:tcW w:w="2808" w:type="dxa"/>
          </w:tcPr>
          <w:p w14:paraId="203616B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Sex: Female </w:t>
            </w:r>
          </w:p>
        </w:tc>
        <w:tc>
          <w:tcPr>
            <w:tcW w:w="720" w:type="dxa"/>
          </w:tcPr>
          <w:p w14:paraId="56123BA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0.06 </w:t>
            </w:r>
          </w:p>
        </w:tc>
        <w:tc>
          <w:tcPr>
            <w:tcW w:w="1080" w:type="dxa"/>
          </w:tcPr>
          <w:p w14:paraId="14865E7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01E2BFF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69D732C6" w14:textId="77777777" w:rsidTr="007A03D8">
        <w:trPr>
          <w:trHeight w:val="114"/>
          <w:jc w:val="center"/>
        </w:trPr>
        <w:tc>
          <w:tcPr>
            <w:tcW w:w="5598" w:type="dxa"/>
            <w:gridSpan w:val="4"/>
          </w:tcPr>
          <w:p w14:paraId="21197CD8"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b/>
                <w:bCs/>
              </w:rPr>
              <w:t xml:space="preserve">Time on ESRD (y) </w:t>
            </w:r>
          </w:p>
        </w:tc>
      </w:tr>
      <w:tr w:rsidR="00F87C96" w:rsidRPr="00CD30F1" w14:paraId="2D4F77ED" w14:textId="77777777" w:rsidTr="007A03D8">
        <w:trPr>
          <w:trHeight w:val="114"/>
          <w:jc w:val="center"/>
        </w:trPr>
        <w:tc>
          <w:tcPr>
            <w:tcW w:w="2808" w:type="dxa"/>
          </w:tcPr>
          <w:p w14:paraId="7FC3BAA1"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&lt;1 (ref) </w:t>
            </w:r>
          </w:p>
        </w:tc>
        <w:tc>
          <w:tcPr>
            <w:tcW w:w="720" w:type="dxa"/>
          </w:tcPr>
          <w:p w14:paraId="12DBB77D"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1080" w:type="dxa"/>
          </w:tcPr>
          <w:p w14:paraId="121AF9C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c>
          <w:tcPr>
            <w:tcW w:w="990" w:type="dxa"/>
          </w:tcPr>
          <w:p w14:paraId="2FECDFB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 </w:t>
            </w:r>
          </w:p>
        </w:tc>
      </w:tr>
      <w:tr w:rsidR="00F87C96" w:rsidRPr="00CD30F1" w14:paraId="19CD9DCD" w14:textId="77777777" w:rsidTr="007A03D8">
        <w:trPr>
          <w:trHeight w:val="114"/>
          <w:jc w:val="center"/>
        </w:trPr>
        <w:tc>
          <w:tcPr>
            <w:tcW w:w="2808" w:type="dxa"/>
          </w:tcPr>
          <w:p w14:paraId="5CB89005"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1–2 </w:t>
            </w:r>
          </w:p>
        </w:tc>
        <w:tc>
          <w:tcPr>
            <w:tcW w:w="720" w:type="dxa"/>
          </w:tcPr>
          <w:p w14:paraId="2F79F040"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0.0002 </w:t>
            </w:r>
          </w:p>
        </w:tc>
        <w:tc>
          <w:tcPr>
            <w:tcW w:w="1080" w:type="dxa"/>
          </w:tcPr>
          <w:p w14:paraId="7402985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229A7029"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0.25 </w:t>
            </w:r>
          </w:p>
        </w:tc>
      </w:tr>
      <w:tr w:rsidR="00F87C96" w:rsidRPr="00CD30F1" w14:paraId="64C19F70" w14:textId="77777777" w:rsidTr="007A03D8">
        <w:trPr>
          <w:trHeight w:val="114"/>
          <w:jc w:val="center"/>
        </w:trPr>
        <w:tc>
          <w:tcPr>
            <w:tcW w:w="2808" w:type="dxa"/>
          </w:tcPr>
          <w:p w14:paraId="002B9133"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2–3 </w:t>
            </w:r>
          </w:p>
        </w:tc>
        <w:tc>
          <w:tcPr>
            <w:tcW w:w="720" w:type="dxa"/>
          </w:tcPr>
          <w:p w14:paraId="226E0F3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-0.32 </w:t>
            </w:r>
          </w:p>
        </w:tc>
        <w:tc>
          <w:tcPr>
            <w:tcW w:w="1080" w:type="dxa"/>
          </w:tcPr>
          <w:p w14:paraId="7349B772"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6E0F872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55BF0E7D" w14:textId="77777777" w:rsidTr="007A03D8">
        <w:trPr>
          <w:trHeight w:val="114"/>
          <w:jc w:val="center"/>
        </w:trPr>
        <w:tc>
          <w:tcPr>
            <w:tcW w:w="2808" w:type="dxa"/>
          </w:tcPr>
          <w:p w14:paraId="730E80A6"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3–6 </w:t>
            </w:r>
          </w:p>
        </w:tc>
        <w:tc>
          <w:tcPr>
            <w:tcW w:w="720" w:type="dxa"/>
          </w:tcPr>
          <w:p w14:paraId="0E6A4EE7"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-0.35 </w:t>
            </w:r>
          </w:p>
        </w:tc>
        <w:tc>
          <w:tcPr>
            <w:tcW w:w="1080" w:type="dxa"/>
          </w:tcPr>
          <w:p w14:paraId="1F61AB4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00F518A4"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r w:rsidR="00F87C96" w:rsidRPr="00CD30F1" w14:paraId="26E90297" w14:textId="77777777" w:rsidTr="007A03D8">
        <w:trPr>
          <w:trHeight w:val="114"/>
          <w:jc w:val="center"/>
        </w:trPr>
        <w:tc>
          <w:tcPr>
            <w:tcW w:w="2808" w:type="dxa"/>
          </w:tcPr>
          <w:p w14:paraId="1D9BB31F"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&gt;6 </w:t>
            </w:r>
          </w:p>
        </w:tc>
        <w:tc>
          <w:tcPr>
            <w:tcW w:w="720" w:type="dxa"/>
          </w:tcPr>
          <w:p w14:paraId="793365CE"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-0.38 </w:t>
            </w:r>
          </w:p>
        </w:tc>
        <w:tc>
          <w:tcPr>
            <w:tcW w:w="1080" w:type="dxa"/>
          </w:tcPr>
          <w:p w14:paraId="43D57CDB"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0.01 </w:t>
            </w:r>
          </w:p>
        </w:tc>
        <w:tc>
          <w:tcPr>
            <w:tcW w:w="990" w:type="dxa"/>
          </w:tcPr>
          <w:p w14:paraId="7023C27C" w14:textId="77777777" w:rsidR="00F87C96" w:rsidRPr="00592C9B" w:rsidRDefault="00F87C96" w:rsidP="007A03D8">
            <w:pPr>
              <w:autoSpaceDE w:val="0"/>
              <w:autoSpaceDN w:val="0"/>
              <w:adjustRightInd w:val="0"/>
              <w:spacing w:after="0" w:line="240" w:lineRule="auto"/>
              <w:rPr>
                <w:rFonts w:eastAsiaTheme="minorHAnsi" w:cs="Calibri"/>
              </w:rPr>
            </w:pPr>
            <w:r w:rsidRPr="00592C9B">
              <w:rPr>
                <w:rFonts w:eastAsiaTheme="minorHAnsi" w:cs="Calibri"/>
              </w:rPr>
              <w:t xml:space="preserve">&lt;.0001 </w:t>
            </w:r>
          </w:p>
        </w:tc>
      </w:tr>
    </w:tbl>
    <w:p w14:paraId="541511ED" w14:textId="77777777" w:rsidR="00F87C96" w:rsidRDefault="00F87C96" w:rsidP="00F87C96">
      <w:pPr>
        <w:spacing w:after="0"/>
        <w:jc w:val="both"/>
        <w:rPr>
          <w:b/>
          <w:bCs/>
          <w:sz w:val="20"/>
          <w:szCs w:val="20"/>
        </w:rPr>
      </w:pPr>
    </w:p>
    <w:p w14:paraId="64557E0D" w14:textId="391D4D6E" w:rsidR="007A03D8" w:rsidRDefault="007A03D8" w:rsidP="00F87C96"/>
    <w:p w14:paraId="610113ED" w14:textId="77777777" w:rsidR="007A03D8" w:rsidRDefault="007A03D8" w:rsidP="00F87C96"/>
    <w:p w14:paraId="79093D0A" w14:textId="7ABDDE2B" w:rsidR="00F87C96" w:rsidRDefault="00F87C96" w:rsidP="00F87C96">
      <w:r>
        <w:t xml:space="preserve">For more information on the diagnosis codes for the comorbid risk factors as defined in CCs, a crosswalk of CCs to ICD-9-CM codes is available at: (http://www.qualitynet.org) &gt; Hospitals – Inpatient &gt; Claims-Based Measures &gt; Readmission Measures &gt; Resources. </w:t>
      </w:r>
    </w:p>
    <w:p w14:paraId="70369249" w14:textId="77777777" w:rsidR="00F87C96" w:rsidRDefault="00F87C96" w:rsidP="00F87C96">
      <w:r>
        <w:t>For more information on the diagnosis codes for the discharge diagnosis categories as defined in the CCSs, a crosswalk of CCS categories to ICD-9-CM codes is available at: (http://www.qualitynet.org) &gt; Hospitals – Inpatient &gt; Claims-Based Measures &gt; Readmission Measures &gt; Resources. AHRQ has also developed a crosswalk of CCs to ICD-10-CM codes, which will be used after national implementation of ICD-10 coding on CMS claims: http://www.hcup-us.ahrq.gov/toolssoftware/icd_10/ccs_icd_10.jsp.</w:t>
      </w:r>
    </w:p>
    <w:p w14:paraId="5EA76144" w14:textId="3C3D61D6" w:rsidR="00F87C96" w:rsidRPr="004351AF" w:rsidRDefault="004351AF" w:rsidP="009D3882">
      <w:pPr>
        <w:rPr>
          <w:rFonts w:cs="Calibri"/>
          <w:b/>
          <w:bCs/>
          <w:color w:val="C00000"/>
          <w:u w:val="single"/>
        </w:rPr>
      </w:pPr>
      <w:r w:rsidRPr="004351AF">
        <w:rPr>
          <w:rFonts w:cs="Calibri"/>
          <w:b/>
          <w:bCs/>
          <w:color w:val="C00000"/>
          <w:u w:val="single"/>
        </w:rPr>
        <w:t>2019 Submission</w:t>
      </w:r>
    </w:p>
    <w:p w14:paraId="46295950" w14:textId="52D3F4FF" w:rsidR="004351AF" w:rsidRPr="004351AF" w:rsidRDefault="004351AF" w:rsidP="004351AF">
      <w:pPr>
        <w:spacing w:after="0"/>
        <w:jc w:val="both"/>
        <w:rPr>
          <w:color w:val="C00000"/>
        </w:rPr>
      </w:pPr>
      <w:r w:rsidRPr="004351AF">
        <w:rPr>
          <w:color w:val="C00000"/>
        </w:rPr>
        <w:t xml:space="preserve">To estimate the probability of 30-day unplanned readmission, </w:t>
      </w:r>
      <w:r w:rsidRPr="004351AF">
        <w:rPr>
          <w:rFonts w:eastAsiaTheme="minorHAnsi"/>
          <w:color w:val="C00000"/>
        </w:rPr>
        <w:t xml:space="preserve">we use a three-stage model, the first of which is a </w:t>
      </w:r>
      <w:r w:rsidRPr="004351AF">
        <w:rPr>
          <w:color w:val="C00000"/>
        </w:rPr>
        <w:t xml:space="preserve">fixed-effects logistic regression model. In this step, facility-hospital combinations are included as fixed effects, adjusting for a set of patient-level characteristics. The results of this step are estimates of the regression coefficients of patient-level characteristics in the logistic regression model. </w:t>
      </w:r>
      <w:r w:rsidR="00EC2818">
        <w:rPr>
          <w:color w:val="C00000"/>
        </w:rPr>
        <w:t>These estimates avoid issues of bias that arise through estimation of regression coefficients</w:t>
      </w:r>
      <w:r w:rsidR="00FF05DB">
        <w:rPr>
          <w:color w:val="C00000"/>
        </w:rPr>
        <w:t xml:space="preserve"> in a model with random effects</w:t>
      </w:r>
      <w:r w:rsidR="00EC2818" w:rsidRPr="004351AF">
        <w:rPr>
          <w:color w:val="C00000"/>
        </w:rPr>
        <w:t>.</w:t>
      </w:r>
      <w:r w:rsidR="00EC2818">
        <w:rPr>
          <w:color w:val="C00000"/>
        </w:rPr>
        <w:t xml:space="preserve"> In particular, these</w:t>
      </w:r>
      <w:r w:rsidR="00EC2818" w:rsidRPr="004351AF">
        <w:rPr>
          <w:color w:val="C00000"/>
        </w:rPr>
        <w:t xml:space="preserve"> </w:t>
      </w:r>
      <w:r w:rsidR="00EC2818">
        <w:rPr>
          <w:color w:val="C00000"/>
        </w:rPr>
        <w:t>estimates</w:t>
      </w:r>
      <w:r w:rsidR="00EC2818" w:rsidRPr="004351AF">
        <w:rPr>
          <w:color w:val="C00000"/>
        </w:rPr>
        <w:t xml:space="preserve"> are unbiased regardless of correlation</w:t>
      </w:r>
      <w:r w:rsidR="00EC2818">
        <w:rPr>
          <w:color w:val="C00000"/>
        </w:rPr>
        <w:t>s</w:t>
      </w:r>
      <w:r w:rsidR="00EC2818" w:rsidRPr="004351AF">
        <w:rPr>
          <w:color w:val="C00000"/>
        </w:rPr>
        <w:t xml:space="preserve"> between hospital effects</w:t>
      </w:r>
      <w:r w:rsidR="00EC2818">
        <w:rPr>
          <w:color w:val="C00000"/>
        </w:rPr>
        <w:t xml:space="preserve"> or facility effects</w:t>
      </w:r>
      <w:r w:rsidR="00EC2818" w:rsidRPr="004351AF">
        <w:rPr>
          <w:color w:val="C00000"/>
        </w:rPr>
        <w:t xml:space="preserve"> and patient-case mix. </w:t>
      </w:r>
      <w:r w:rsidRPr="004351AF">
        <w:rPr>
          <w:color w:val="C00000"/>
        </w:rPr>
        <w:t xml:space="preserve">These </w:t>
      </w:r>
      <w:r w:rsidR="00EC2818">
        <w:rPr>
          <w:color w:val="C00000"/>
        </w:rPr>
        <w:t xml:space="preserve">estimated </w:t>
      </w:r>
      <w:r w:rsidRPr="004351AF">
        <w:rPr>
          <w:color w:val="C00000"/>
        </w:rPr>
        <w:t>regression coefficients are then used as an offset variable in the second stage model</w:t>
      </w:r>
      <w:r w:rsidR="004C7C1D">
        <w:rPr>
          <w:color w:val="C00000"/>
        </w:rPr>
        <w:t>.</w:t>
      </w:r>
      <w:r w:rsidRPr="004351AF">
        <w:rPr>
          <w:color w:val="C00000"/>
        </w:rPr>
        <w:t xml:space="preserve"> </w:t>
      </w:r>
    </w:p>
    <w:p w14:paraId="2824E315" w14:textId="6796BC80" w:rsidR="004351AF" w:rsidRPr="004351AF" w:rsidRDefault="004351AF" w:rsidP="004351AF">
      <w:pPr>
        <w:spacing w:after="0"/>
        <w:jc w:val="both"/>
        <w:rPr>
          <w:color w:val="C00000"/>
        </w:rPr>
      </w:pPr>
      <w:r w:rsidRPr="004351AF">
        <w:rPr>
          <w:color w:val="C00000"/>
        </w:rPr>
        <w:t>The next stage is a double random-effects logistic regression model. In this stage of the model, both dialysis facilities and hospitals are represented as random effects, and the sum of regression adjustments multiplied by estimated parameters obtained in the first stage is included as the offset variable. From this model, we obtain the estimated standard deviation of the random effects of hospitals</w:t>
      </w:r>
      <w:r w:rsidR="00423A4F">
        <w:rPr>
          <w:color w:val="C00000"/>
        </w:rPr>
        <w:t xml:space="preserve"> [1]</w:t>
      </w:r>
      <w:r w:rsidRPr="004351AF">
        <w:rPr>
          <w:color w:val="C00000"/>
        </w:rPr>
        <w:t>.</w:t>
      </w:r>
    </w:p>
    <w:p w14:paraId="6A0B7128" w14:textId="7BEC8B51" w:rsidR="004351AF" w:rsidRPr="004351AF" w:rsidRDefault="004351AF" w:rsidP="004351AF">
      <w:pPr>
        <w:spacing w:after="0"/>
        <w:jc w:val="both"/>
        <w:rPr>
          <w:rFonts w:cs="Times New Roman"/>
          <w:bCs/>
          <w:color w:val="C00000"/>
        </w:rPr>
      </w:pPr>
      <w:r w:rsidRPr="004351AF">
        <w:rPr>
          <w:rFonts w:cs="Times New Roman"/>
          <w:bCs/>
          <w:color w:val="C00000"/>
        </w:rPr>
        <w:t xml:space="preserve">The third stage of the model is a mixed-effects logistic regression model, in which dialysis facilities are modeled as fixed effects and hospitals are modeled as random effects, with the standard deviation specified as equal to its estimate from the second-stage model and the estimated parameters obtained in the first stage </w:t>
      </w:r>
      <w:r w:rsidR="00EC2818">
        <w:rPr>
          <w:rFonts w:cs="Times New Roman"/>
          <w:bCs/>
          <w:color w:val="C00000"/>
        </w:rPr>
        <w:t>providing an offset</w:t>
      </w:r>
      <w:r w:rsidRPr="004351AF">
        <w:rPr>
          <w:rFonts w:cs="Times New Roman"/>
          <w:bCs/>
          <w:color w:val="C00000"/>
        </w:rPr>
        <w:t>. The expected number of readmissions for each facility is estimated as the sum of the probabilities of readmission of all</w:t>
      </w:r>
      <w:r w:rsidR="00EC2818">
        <w:rPr>
          <w:rFonts w:cs="Times New Roman"/>
          <w:bCs/>
          <w:color w:val="C00000"/>
        </w:rPr>
        <w:t xml:space="preserve"> index discharges</w:t>
      </w:r>
      <w:r w:rsidRPr="004351AF">
        <w:rPr>
          <w:rFonts w:cs="Times New Roman"/>
          <w:bCs/>
          <w:color w:val="C00000"/>
        </w:rPr>
        <w:t xml:space="preserve"> in this facility and assuming the national norm (i.e., the median) for</w:t>
      </w:r>
      <w:r w:rsidR="00EC2818">
        <w:rPr>
          <w:rFonts w:cs="Times New Roman"/>
          <w:bCs/>
          <w:color w:val="C00000"/>
        </w:rPr>
        <w:t xml:space="preserve"> the</w:t>
      </w:r>
      <w:r w:rsidRPr="004351AF">
        <w:rPr>
          <w:rFonts w:cs="Times New Roman"/>
          <w:bCs/>
          <w:color w:val="C00000"/>
        </w:rPr>
        <w:t xml:space="preserve"> facility effect. This model accounts for a given facility’s case mix using the same set of patient-level characteristics as those in the first model. </w:t>
      </w:r>
    </w:p>
    <w:p w14:paraId="5400F721" w14:textId="77777777" w:rsidR="004351AF" w:rsidRPr="004351AF" w:rsidRDefault="004351AF" w:rsidP="004351AF">
      <w:pPr>
        <w:spacing w:after="0"/>
        <w:jc w:val="both"/>
        <w:rPr>
          <w:color w:val="C00000"/>
        </w:rPr>
      </w:pPr>
    </w:p>
    <w:p w14:paraId="44158089" w14:textId="3E07F2DB" w:rsidR="004351AF" w:rsidRPr="004351AF" w:rsidRDefault="004351AF" w:rsidP="004351AF">
      <w:pPr>
        <w:spacing w:after="0"/>
        <w:jc w:val="both"/>
        <w:rPr>
          <w:rFonts w:cs="Times New Roman"/>
          <w:bCs/>
          <w:color w:val="C00000"/>
        </w:rPr>
      </w:pPr>
      <w:r w:rsidRPr="004351AF">
        <w:rPr>
          <w:rFonts w:cs="Times New Roman"/>
          <w:bCs/>
          <w:color w:val="C00000"/>
        </w:rPr>
        <w:t xml:space="preserve">The </w:t>
      </w:r>
      <w:r w:rsidR="004E5824">
        <w:rPr>
          <w:rFonts w:cs="Times New Roman"/>
          <w:bCs/>
          <w:color w:val="C00000"/>
        </w:rPr>
        <w:t>model</w:t>
      </w:r>
      <w:r w:rsidR="004E5824" w:rsidRPr="004351AF">
        <w:rPr>
          <w:rFonts w:cs="Times New Roman"/>
          <w:bCs/>
          <w:color w:val="C00000"/>
        </w:rPr>
        <w:t xml:space="preserve"> </w:t>
      </w:r>
      <w:r w:rsidR="00FF05DB">
        <w:rPr>
          <w:rFonts w:cs="Times New Roman"/>
          <w:bCs/>
          <w:color w:val="C00000"/>
        </w:rPr>
        <w:t>and methods are described in some additional detail below:</w:t>
      </w:r>
    </w:p>
    <w:p w14:paraId="07F0CF8E" w14:textId="77777777" w:rsidR="004351AF" w:rsidRPr="004351AF" w:rsidRDefault="004351AF" w:rsidP="004351AF">
      <w:pPr>
        <w:spacing w:after="0"/>
        <w:jc w:val="both"/>
        <w:rPr>
          <w:rFonts w:cs="Times New Roman"/>
          <w:bCs/>
          <w:color w:val="C00000"/>
        </w:rPr>
      </w:pPr>
    </w:p>
    <w:p w14:paraId="3C572E83" w14:textId="51FC97B8" w:rsidR="004351AF" w:rsidRPr="004351AF" w:rsidRDefault="004351AF" w:rsidP="004351AF">
      <w:pPr>
        <w:pStyle w:val="ListParagraph"/>
        <w:numPr>
          <w:ilvl w:val="1"/>
          <w:numId w:val="36"/>
        </w:numPr>
        <w:spacing w:after="0"/>
        <w:ind w:left="990"/>
        <w:jc w:val="both"/>
        <w:rPr>
          <w:bCs/>
          <w:color w:val="C00000"/>
        </w:rPr>
      </w:pPr>
      <w:r w:rsidRPr="004351AF">
        <w:rPr>
          <w:bCs/>
          <w:color w:val="C00000"/>
        </w:rPr>
        <w:t>To estimate the probability of 30-day unplanned readmission</w:t>
      </w:r>
      <w:r w:rsidR="00EC2818">
        <w:rPr>
          <w:bCs/>
          <w:color w:val="C00000"/>
        </w:rPr>
        <w:t xml:space="preserve"> following an index discharge</w:t>
      </w:r>
      <w:r w:rsidRPr="004351AF">
        <w:rPr>
          <w:bCs/>
          <w:color w:val="C00000"/>
        </w:rPr>
        <w:t xml:space="preserve">, we use a </w:t>
      </w:r>
      <w:r w:rsidR="005D19A1">
        <w:rPr>
          <w:bCs/>
          <w:color w:val="C00000"/>
        </w:rPr>
        <w:t>three</w:t>
      </w:r>
      <w:r w:rsidRPr="004351AF">
        <w:rPr>
          <w:bCs/>
          <w:color w:val="C00000"/>
        </w:rPr>
        <w:t>-stage approach. The main model, which produces the estimates used to calculate SRR, takes the form:</w:t>
      </w:r>
    </w:p>
    <w:p w14:paraId="77A02CB5" w14:textId="77777777" w:rsidR="004351AF" w:rsidRPr="004351AF" w:rsidRDefault="004351AF" w:rsidP="004351AF">
      <w:pPr>
        <w:pStyle w:val="ListParagraph"/>
        <w:spacing w:after="0"/>
        <w:ind w:left="990"/>
        <w:jc w:val="both"/>
        <w:rPr>
          <w:bCs/>
          <w:i/>
          <w:color w:val="C00000"/>
        </w:rPr>
      </w:pPr>
    </w:p>
    <w:p w14:paraId="56E002C7" w14:textId="0F6FF506" w:rsidR="004351AF" w:rsidRPr="004351AF" w:rsidRDefault="004351AF" w:rsidP="004351AF">
      <w:pPr>
        <w:pStyle w:val="ListParagraph"/>
        <w:spacing w:after="0"/>
        <w:ind w:left="990"/>
        <w:jc w:val="right"/>
        <w:rPr>
          <w:bCs/>
          <w:i/>
          <w:color w:val="C00000"/>
        </w:rPr>
      </w:pPr>
      <m:oMath>
        <m:r>
          <m:rPr>
            <m:sty m:val="p"/>
          </m:rPr>
          <w:rPr>
            <w:rFonts w:ascii="Cambria Math" w:hAnsi="Cambria Math"/>
            <w:color w:val="C00000"/>
          </w:rPr>
          <m:t>log</m:t>
        </m:r>
        <m:f>
          <m:fPr>
            <m:ctrlPr>
              <w:rPr>
                <w:rFonts w:ascii="Cambria Math" w:hAnsi="Cambria Math"/>
                <w:bCs/>
                <w:i/>
                <w:color w:val="C00000"/>
              </w:rPr>
            </m:ctrlPr>
          </m:fPr>
          <m:num>
            <m:sSub>
              <m:sSubPr>
                <m:ctrlPr>
                  <w:rPr>
                    <w:rFonts w:ascii="Cambria Math" w:hAnsi="Cambria Math"/>
                    <w:bCs/>
                    <w:i/>
                    <w:color w:val="C00000"/>
                  </w:rPr>
                </m:ctrlPr>
              </m:sSubPr>
              <m:e>
                <m:r>
                  <w:rPr>
                    <w:rFonts w:ascii="Cambria Math" w:hAnsi="Cambria Math"/>
                    <w:color w:val="C00000"/>
                  </w:rPr>
                  <m:t>p</m:t>
                </m:r>
              </m:e>
              <m:sub>
                <m:r>
                  <w:rPr>
                    <w:rFonts w:ascii="Cambria Math" w:hAnsi="Cambria Math"/>
                    <w:color w:val="C00000"/>
                  </w:rPr>
                  <m:t>ijk</m:t>
                </m:r>
              </m:sub>
            </m:sSub>
          </m:num>
          <m:den>
            <m:r>
              <w:rPr>
                <w:rFonts w:ascii="Cambria Math" w:hAnsi="Cambria Math"/>
                <w:color w:val="C00000"/>
              </w:rPr>
              <m:t xml:space="preserve">1- </m:t>
            </m:r>
            <m:sSub>
              <m:sSubPr>
                <m:ctrlPr>
                  <w:rPr>
                    <w:rFonts w:ascii="Cambria Math" w:hAnsi="Cambria Math"/>
                    <w:bCs/>
                    <w:i/>
                    <w:color w:val="C00000"/>
                  </w:rPr>
                </m:ctrlPr>
              </m:sSubPr>
              <m:e>
                <m:r>
                  <w:rPr>
                    <w:rFonts w:ascii="Cambria Math" w:hAnsi="Cambria Math"/>
                    <w:color w:val="C00000"/>
                  </w:rPr>
                  <m:t>p</m:t>
                </m:r>
              </m:e>
              <m:sub>
                <m:r>
                  <w:rPr>
                    <w:rFonts w:ascii="Cambria Math" w:hAnsi="Cambria Math"/>
                    <w:color w:val="C00000"/>
                  </w:rPr>
                  <m:t>ijk</m:t>
                </m:r>
              </m:sub>
            </m:sSub>
          </m:den>
        </m:f>
        <m:r>
          <w:rPr>
            <w:rFonts w:ascii="Cambria Math" w:hAnsi="Cambria Math"/>
            <w:color w:val="C00000"/>
          </w:rPr>
          <m:t xml:space="preserve">= </m:t>
        </m:r>
        <m:sSub>
          <m:sSubPr>
            <m:ctrlPr>
              <w:rPr>
                <w:rFonts w:ascii="Cambria Math" w:hAnsi="Cambria Math"/>
                <w:bCs/>
                <w:i/>
                <w:color w:val="C00000"/>
              </w:rPr>
            </m:ctrlPr>
          </m:sSubPr>
          <m:e>
            <m:r>
              <w:rPr>
                <w:rFonts w:ascii="Cambria Math" w:hAnsi="Cambria Math"/>
                <w:color w:val="C00000"/>
              </w:rPr>
              <m:t>γ</m:t>
            </m:r>
          </m:e>
          <m:sub>
            <m:r>
              <w:rPr>
                <w:rFonts w:ascii="Cambria Math" w:hAnsi="Cambria Math"/>
                <w:color w:val="C00000"/>
              </w:rPr>
              <m:t>i</m:t>
            </m:r>
          </m:sub>
        </m:sSub>
        <m:r>
          <w:rPr>
            <w:rFonts w:ascii="Cambria Math" w:hAnsi="Cambria Math"/>
            <w:color w:val="C00000"/>
          </w:rPr>
          <m:t xml:space="preserve">+ </m:t>
        </m:r>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r>
          <w:rPr>
            <w:rFonts w:ascii="Cambria Math" w:hAnsi="Cambria Math"/>
            <w:color w:val="C00000"/>
          </w:rPr>
          <m:t xml:space="preserve">+ </m:t>
        </m:r>
        <m:sSup>
          <m:sSupPr>
            <m:ctrlPr>
              <w:rPr>
                <w:rFonts w:ascii="Cambria Math" w:hAnsi="Cambria Math"/>
                <w:bCs/>
                <w:i/>
                <w:color w:val="C00000"/>
              </w:rPr>
            </m:ctrlPr>
          </m:sSupPr>
          <m:e>
            <m:r>
              <w:rPr>
                <w:rFonts w:ascii="Cambria Math" w:hAnsi="Cambria Math"/>
                <w:color w:val="C00000"/>
              </w:rPr>
              <m:t>β</m:t>
            </m:r>
          </m:e>
          <m:sup>
            <m:r>
              <w:rPr>
                <w:rFonts w:ascii="Cambria Math" w:hAnsi="Cambria Math"/>
                <w:color w:val="C00000"/>
              </w:rPr>
              <m:t>T</m:t>
            </m:r>
          </m:sup>
        </m:sSup>
        <m:sSub>
          <m:sSubPr>
            <m:ctrlPr>
              <w:rPr>
                <w:rFonts w:ascii="Cambria Math" w:hAnsi="Cambria Math"/>
                <w:bCs/>
                <w:i/>
                <w:color w:val="C00000"/>
              </w:rPr>
            </m:ctrlPr>
          </m:sSubPr>
          <m:e>
            <m:r>
              <w:rPr>
                <w:rFonts w:ascii="Cambria Math" w:hAnsi="Cambria Math"/>
                <w:color w:val="C00000"/>
              </w:rPr>
              <m:t>Z</m:t>
            </m:r>
          </m:e>
          <m:sub>
            <m:r>
              <w:rPr>
                <w:rFonts w:ascii="Cambria Math" w:hAnsi="Cambria Math"/>
                <w:color w:val="C00000"/>
              </w:rPr>
              <m:t>ijk</m:t>
            </m:r>
          </m:sub>
        </m:sSub>
      </m:oMath>
      <w:r w:rsidRPr="004351AF">
        <w:rPr>
          <w:bCs/>
          <w:i/>
          <w:color w:val="C00000"/>
        </w:rPr>
        <w:t xml:space="preserve"> ,</w:t>
      </w:r>
      <w:r w:rsidRPr="004351AF">
        <w:rPr>
          <w:bCs/>
          <w:i/>
          <w:color w:val="C00000"/>
        </w:rPr>
        <w:tab/>
      </w:r>
      <w:r w:rsidRPr="004351AF">
        <w:rPr>
          <w:bCs/>
          <w:i/>
          <w:color w:val="C00000"/>
        </w:rPr>
        <w:tab/>
      </w:r>
      <w:r w:rsidRPr="004351AF">
        <w:rPr>
          <w:bCs/>
          <w:i/>
          <w:color w:val="C00000"/>
        </w:rPr>
        <w:tab/>
      </w:r>
      <w:r w:rsidRPr="004351AF">
        <w:rPr>
          <w:bCs/>
          <w:i/>
          <w:color w:val="C00000"/>
        </w:rPr>
        <w:tab/>
      </w:r>
      <w:r w:rsidRPr="004351AF">
        <w:rPr>
          <w:bCs/>
          <w:color w:val="C00000"/>
        </w:rPr>
        <w:t xml:space="preserve"> (1)</w:t>
      </w:r>
    </w:p>
    <w:p w14:paraId="6AD78334" w14:textId="77777777" w:rsidR="004351AF" w:rsidRPr="004351AF" w:rsidRDefault="004351AF" w:rsidP="004351AF">
      <w:pPr>
        <w:pStyle w:val="ListParagraph"/>
        <w:spacing w:after="0"/>
        <w:ind w:left="990"/>
        <w:jc w:val="both"/>
        <w:rPr>
          <w:bCs/>
          <w:i/>
          <w:color w:val="C00000"/>
        </w:rPr>
      </w:pPr>
    </w:p>
    <w:p w14:paraId="68D145D8" w14:textId="6CE0657C" w:rsidR="004351AF" w:rsidRPr="004351AF" w:rsidRDefault="004351AF" w:rsidP="004351AF">
      <w:pPr>
        <w:pStyle w:val="ListParagraph"/>
        <w:spacing w:after="0"/>
        <w:ind w:left="990"/>
        <w:jc w:val="both"/>
        <w:rPr>
          <w:bCs/>
          <w:color w:val="C00000"/>
        </w:rPr>
      </w:pPr>
      <w:proofErr w:type="gramStart"/>
      <w:r w:rsidRPr="004351AF">
        <w:rPr>
          <w:bCs/>
          <w:color w:val="C00000"/>
        </w:rPr>
        <w:t>where</w:t>
      </w:r>
      <w:proofErr w:type="gramEnd"/>
      <w:r w:rsidRPr="004351AF">
        <w:rPr>
          <w:bCs/>
          <w:color w:val="C00000"/>
        </w:rPr>
        <w:t xml:space="preserve"> </w:t>
      </w:r>
      <m:oMath>
        <m:sSub>
          <m:sSubPr>
            <m:ctrlPr>
              <w:rPr>
                <w:rFonts w:ascii="Cambria Math" w:hAnsi="Cambria Math"/>
                <w:bCs/>
                <w:i/>
                <w:color w:val="C00000"/>
              </w:rPr>
            </m:ctrlPr>
          </m:sSubPr>
          <m:e>
            <m:r>
              <w:rPr>
                <w:rFonts w:ascii="Cambria Math" w:hAnsi="Cambria Math"/>
                <w:color w:val="C00000"/>
              </w:rPr>
              <m:t>p</m:t>
            </m:r>
          </m:e>
          <m:sub>
            <m:r>
              <w:rPr>
                <w:rFonts w:ascii="Cambria Math" w:hAnsi="Cambria Math"/>
                <w:color w:val="C00000"/>
              </w:rPr>
              <m:t>ijk</m:t>
            </m:r>
          </m:sub>
        </m:sSub>
      </m:oMath>
      <w:r w:rsidRPr="004351AF">
        <w:rPr>
          <w:bCs/>
          <w:iCs/>
          <w:color w:val="C00000"/>
        </w:rPr>
        <w:t xml:space="preserve"> </w:t>
      </w:r>
      <w:r w:rsidRPr="004351AF">
        <w:rPr>
          <w:bCs/>
          <w:color w:val="C00000"/>
        </w:rPr>
        <w:t xml:space="preserve">represents the probability of an unplanned readmission for the </w:t>
      </w:r>
      <w:r w:rsidRPr="004351AF">
        <w:rPr>
          <w:bCs/>
          <w:i/>
          <w:iCs/>
          <w:color w:val="C00000"/>
        </w:rPr>
        <w:t>k</w:t>
      </w:r>
      <w:r w:rsidRPr="004351AF">
        <w:rPr>
          <w:bCs/>
          <w:color w:val="C00000"/>
          <w:vertAlign w:val="superscript"/>
        </w:rPr>
        <w:t>th</w:t>
      </w:r>
      <w:r w:rsidRPr="004351AF">
        <w:rPr>
          <w:bCs/>
          <w:color w:val="C00000"/>
        </w:rPr>
        <w:t xml:space="preserve"> discharge among patients who are discharged from </w:t>
      </w:r>
      <w:proofErr w:type="spellStart"/>
      <w:r w:rsidRPr="004351AF">
        <w:rPr>
          <w:bCs/>
          <w:i/>
          <w:iCs/>
          <w:color w:val="C00000"/>
        </w:rPr>
        <w:t>j</w:t>
      </w:r>
      <w:r w:rsidRPr="004351AF">
        <w:rPr>
          <w:bCs/>
          <w:color w:val="C00000"/>
          <w:vertAlign w:val="superscript"/>
        </w:rPr>
        <w:t>th</w:t>
      </w:r>
      <w:proofErr w:type="spellEnd"/>
      <w:r w:rsidRPr="004351AF">
        <w:rPr>
          <w:bCs/>
          <w:color w:val="C00000"/>
        </w:rPr>
        <w:t xml:space="preserve"> hospital</w:t>
      </w:r>
      <w:r w:rsidR="005D19A1">
        <w:rPr>
          <w:bCs/>
          <w:color w:val="C00000"/>
        </w:rPr>
        <w:t xml:space="preserve"> to the </w:t>
      </w:r>
      <w:proofErr w:type="spellStart"/>
      <w:r w:rsidR="005D19A1" w:rsidRPr="004351AF">
        <w:rPr>
          <w:bCs/>
          <w:i/>
          <w:iCs/>
          <w:color w:val="C00000"/>
        </w:rPr>
        <w:t>i</w:t>
      </w:r>
      <w:r w:rsidR="005D19A1" w:rsidRPr="004351AF">
        <w:rPr>
          <w:bCs/>
          <w:color w:val="C00000"/>
          <w:vertAlign w:val="superscript"/>
        </w:rPr>
        <w:t>th</w:t>
      </w:r>
      <w:proofErr w:type="spellEnd"/>
      <w:r w:rsidR="005D19A1" w:rsidRPr="004351AF">
        <w:rPr>
          <w:bCs/>
          <w:color w:val="C00000"/>
          <w:vertAlign w:val="superscript"/>
        </w:rPr>
        <w:t xml:space="preserve"> </w:t>
      </w:r>
      <w:r w:rsidR="005D19A1" w:rsidRPr="004351AF">
        <w:rPr>
          <w:bCs/>
          <w:color w:val="C00000"/>
        </w:rPr>
        <w:t>facility</w:t>
      </w:r>
      <w:r w:rsidRPr="004351AF">
        <w:rPr>
          <w:bCs/>
          <w:color w:val="C00000"/>
        </w:rPr>
        <w:t xml:space="preserve">, and </w:t>
      </w:r>
      <m:oMath>
        <m:sSub>
          <m:sSubPr>
            <m:ctrlPr>
              <w:rPr>
                <w:rFonts w:ascii="Cambria Math" w:hAnsi="Cambria Math"/>
                <w:bCs/>
                <w:i/>
                <w:color w:val="C00000"/>
              </w:rPr>
            </m:ctrlPr>
          </m:sSubPr>
          <m:e>
            <m:r>
              <w:rPr>
                <w:rFonts w:ascii="Cambria Math" w:hAnsi="Cambria Math"/>
                <w:color w:val="C00000"/>
              </w:rPr>
              <m:t>Z</m:t>
            </m:r>
          </m:e>
          <m:sub>
            <m:r>
              <w:rPr>
                <w:rFonts w:ascii="Cambria Math" w:hAnsi="Cambria Math"/>
                <w:color w:val="C00000"/>
              </w:rPr>
              <m:t>ijk</m:t>
            </m:r>
          </m:sub>
        </m:sSub>
      </m:oMath>
      <w:r w:rsidRPr="004351AF">
        <w:rPr>
          <w:bCs/>
          <w:color w:val="C00000"/>
        </w:rPr>
        <w:t xml:space="preserve"> represents the set of patient-level characteristics. Here, </w:t>
      </w:r>
      <m:oMath>
        <m:sSub>
          <m:sSubPr>
            <m:ctrlPr>
              <w:rPr>
                <w:rFonts w:ascii="Cambria Math" w:hAnsi="Cambria Math"/>
                <w:bCs/>
                <w:i/>
                <w:color w:val="C00000"/>
              </w:rPr>
            </m:ctrlPr>
          </m:sSubPr>
          <m:e>
            <m:r>
              <w:rPr>
                <w:rFonts w:ascii="Cambria Math" w:hAnsi="Cambria Math"/>
                <w:color w:val="C00000"/>
              </w:rPr>
              <m:t>γ</m:t>
            </m:r>
          </m:e>
          <m:sub>
            <m:r>
              <w:rPr>
                <w:rFonts w:ascii="Cambria Math" w:hAnsi="Cambria Math"/>
                <w:color w:val="C00000"/>
              </w:rPr>
              <m:t>i</m:t>
            </m:r>
          </m:sub>
        </m:sSub>
      </m:oMath>
      <w:r w:rsidRPr="004351AF">
        <w:rPr>
          <w:bCs/>
          <w:color w:val="C00000"/>
        </w:rPr>
        <w:t xml:space="preserve">is the fixed effect for facility and </w:t>
      </w:r>
      <m:oMath>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oMath>
      <w:r w:rsidRPr="004351AF">
        <w:rPr>
          <w:bCs/>
          <w:iCs/>
          <w:color w:val="C00000"/>
        </w:rPr>
        <w:t xml:space="preserve"> </w:t>
      </w:r>
      <w:r w:rsidRPr="004351AF">
        <w:rPr>
          <w:bCs/>
          <w:color w:val="C00000"/>
        </w:rPr>
        <w:t xml:space="preserve">is the random effect for </w:t>
      </w:r>
      <w:proofErr w:type="gramStart"/>
      <w:r w:rsidRPr="004351AF">
        <w:rPr>
          <w:bCs/>
          <w:color w:val="C00000"/>
        </w:rPr>
        <w:t xml:space="preserve">hospital </w:t>
      </w:r>
      <w:proofErr w:type="gramEnd"/>
      <m:oMath>
        <m:r>
          <w:rPr>
            <w:rFonts w:ascii="Cambria Math" w:hAnsi="Cambria Math"/>
            <w:color w:val="C00000"/>
          </w:rPr>
          <m:t>j</m:t>
        </m:r>
      </m:oMath>
      <w:r w:rsidRPr="004351AF">
        <w:rPr>
          <w:bCs/>
          <w:color w:val="C00000"/>
        </w:rPr>
        <w:t xml:space="preserve">. It is assumed that the </w:t>
      </w:r>
      <m:oMath>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oMath>
      <w:r w:rsidRPr="004351AF">
        <w:rPr>
          <w:bCs/>
          <w:color w:val="C00000"/>
        </w:rPr>
        <w:t>s arise as independent normal variables (i.e.</w:t>
      </w:r>
      <w:proofErr w:type="gramStart"/>
      <w:r w:rsidRPr="004351AF">
        <w:rPr>
          <w:bCs/>
          <w:color w:val="C00000"/>
        </w:rPr>
        <w:t xml:space="preserve">, </w:t>
      </w:r>
      <w:proofErr w:type="gramEnd"/>
      <m:oMath>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r>
          <w:rPr>
            <w:rFonts w:ascii="Cambria Math" w:hAnsi="Cambria Math"/>
            <w:color w:val="C00000"/>
          </w:rPr>
          <m:t xml:space="preserve"> ~ N</m:t>
        </m:r>
        <m:d>
          <m:dPr>
            <m:ctrlPr>
              <w:rPr>
                <w:rFonts w:ascii="Cambria Math" w:hAnsi="Cambria Math"/>
                <w:bCs/>
                <w:i/>
                <w:color w:val="C00000"/>
              </w:rPr>
            </m:ctrlPr>
          </m:dPr>
          <m:e>
            <m:r>
              <w:rPr>
                <w:rFonts w:ascii="Cambria Math" w:hAnsi="Cambria Math"/>
                <w:color w:val="C00000"/>
              </w:rPr>
              <m:t>0,</m:t>
            </m:r>
            <m:sSup>
              <m:sSupPr>
                <m:ctrlPr>
                  <w:rPr>
                    <w:rFonts w:ascii="Cambria Math" w:hAnsi="Cambria Math"/>
                    <w:bCs/>
                    <w:i/>
                    <w:color w:val="C00000"/>
                  </w:rPr>
                </m:ctrlPr>
              </m:sSupPr>
              <m:e>
                <m:r>
                  <w:rPr>
                    <w:rFonts w:ascii="Cambria Math" w:hAnsi="Cambria Math"/>
                    <w:color w:val="C00000"/>
                  </w:rPr>
                  <m:t>σ</m:t>
                </m:r>
              </m:e>
              <m:sup>
                <m:r>
                  <w:rPr>
                    <w:rFonts w:ascii="Cambria Math" w:hAnsi="Cambria Math"/>
                    <w:color w:val="C00000"/>
                  </w:rPr>
                  <m:t>2</m:t>
                </m:r>
              </m:sup>
            </m:sSup>
          </m:e>
        </m:d>
      </m:oMath>
      <w:r w:rsidRPr="004351AF">
        <w:rPr>
          <w:bCs/>
          <w:iCs/>
          <w:color w:val="C00000"/>
        </w:rPr>
        <w:t>)</w:t>
      </w:r>
      <w:r w:rsidRPr="004351AF">
        <w:rPr>
          <w:bCs/>
          <w:color w:val="C00000"/>
        </w:rPr>
        <w:t xml:space="preserve">. </w:t>
      </w:r>
    </w:p>
    <w:p w14:paraId="3F71554C" w14:textId="77777777" w:rsidR="004351AF" w:rsidRPr="004351AF" w:rsidRDefault="004351AF" w:rsidP="004351AF">
      <w:pPr>
        <w:pStyle w:val="ListParagraph"/>
        <w:spacing w:after="0"/>
        <w:ind w:left="1440"/>
        <w:jc w:val="both"/>
        <w:rPr>
          <w:bCs/>
          <w:i/>
          <w:color w:val="C00000"/>
        </w:rPr>
      </w:pPr>
    </w:p>
    <w:p w14:paraId="79E218AD" w14:textId="032DEFD0" w:rsidR="004351AF" w:rsidRPr="004351AF" w:rsidRDefault="004351AF" w:rsidP="004351AF">
      <w:pPr>
        <w:pStyle w:val="ListParagraph"/>
        <w:numPr>
          <w:ilvl w:val="1"/>
          <w:numId w:val="36"/>
        </w:numPr>
        <w:spacing w:after="0"/>
        <w:ind w:left="990"/>
        <w:jc w:val="both"/>
        <w:rPr>
          <w:bCs/>
          <w:color w:val="C00000"/>
        </w:rPr>
      </w:pPr>
      <w:r w:rsidRPr="004351AF">
        <w:rPr>
          <w:bCs/>
          <w:color w:val="C00000"/>
        </w:rPr>
        <w:t xml:space="preserve">We then use the estimates from this model to calculate each facility’s SRR: </w:t>
      </w:r>
    </w:p>
    <w:p w14:paraId="71D99D68" w14:textId="77777777" w:rsidR="004351AF" w:rsidRPr="004351AF" w:rsidRDefault="004351AF" w:rsidP="004351AF">
      <w:pPr>
        <w:pStyle w:val="ListParagraph"/>
        <w:spacing w:after="0"/>
        <w:ind w:left="990"/>
        <w:jc w:val="both"/>
        <w:rPr>
          <w:bCs/>
          <w:i/>
          <w:color w:val="C00000"/>
        </w:rPr>
      </w:pPr>
    </w:p>
    <w:p w14:paraId="447882A9" w14:textId="24FC2B0E" w:rsidR="004351AF" w:rsidRPr="004351AF" w:rsidRDefault="00DE4858" w:rsidP="004351AF">
      <w:pPr>
        <w:pStyle w:val="ListParagraph"/>
        <w:spacing w:after="0"/>
        <w:ind w:left="990"/>
        <w:jc w:val="right"/>
        <w:rPr>
          <w:bCs/>
          <w:color w:val="C00000"/>
        </w:rPr>
      </w:pPr>
      <m:oMath>
        <m:sSub>
          <m:sSubPr>
            <m:ctrlPr>
              <w:rPr>
                <w:rFonts w:ascii="Cambria Math" w:hAnsi="Cambria Math"/>
                <w:bCs/>
                <w:i/>
                <w:color w:val="C00000"/>
              </w:rPr>
            </m:ctrlPr>
          </m:sSubPr>
          <m:e>
            <m:r>
              <w:rPr>
                <w:rFonts w:ascii="Cambria Math" w:hAnsi="Cambria Math"/>
                <w:color w:val="C00000"/>
              </w:rPr>
              <m:t>SRR</m:t>
            </m:r>
          </m:e>
          <m:sub>
            <m:r>
              <w:rPr>
                <w:rFonts w:ascii="Cambria Math" w:hAnsi="Cambria Math"/>
                <w:color w:val="C00000"/>
              </w:rPr>
              <m:t>i</m:t>
            </m:r>
          </m:sub>
        </m:sSub>
        <m:r>
          <w:rPr>
            <w:rFonts w:ascii="Cambria Math" w:hAnsi="Cambria Math"/>
            <w:color w:val="C00000"/>
          </w:rPr>
          <m:t xml:space="preserve">= </m:t>
        </m:r>
        <m:f>
          <m:fPr>
            <m:ctrlPr>
              <w:rPr>
                <w:rFonts w:ascii="Cambria Math" w:hAnsi="Cambria Math"/>
                <w:bCs/>
                <w:i/>
                <w:color w:val="C00000"/>
              </w:rPr>
            </m:ctrlPr>
          </m:fPr>
          <m:num>
            <m:sSub>
              <m:sSubPr>
                <m:ctrlPr>
                  <w:rPr>
                    <w:rFonts w:ascii="Cambria Math" w:hAnsi="Cambria Math"/>
                    <w:bCs/>
                    <w:i/>
                    <w:color w:val="C00000"/>
                  </w:rPr>
                </m:ctrlPr>
              </m:sSubPr>
              <m:e>
                <m:r>
                  <w:rPr>
                    <w:rFonts w:ascii="Cambria Math" w:hAnsi="Cambria Math"/>
                    <w:color w:val="C00000"/>
                  </w:rPr>
                  <m:t>O</m:t>
                </m:r>
              </m:e>
              <m:sub>
                <m:r>
                  <w:rPr>
                    <w:rFonts w:ascii="Cambria Math" w:hAnsi="Cambria Math"/>
                    <w:color w:val="C00000"/>
                  </w:rPr>
                  <m:t>i</m:t>
                </m:r>
              </m:sub>
            </m:sSub>
          </m:num>
          <m:den>
            <m:sSub>
              <m:sSubPr>
                <m:ctrlPr>
                  <w:rPr>
                    <w:rFonts w:ascii="Cambria Math" w:hAnsi="Cambria Math"/>
                    <w:bCs/>
                    <w:i/>
                    <w:color w:val="C00000"/>
                  </w:rPr>
                </m:ctrlPr>
              </m:sSubPr>
              <m:e>
                <m:r>
                  <w:rPr>
                    <w:rFonts w:ascii="Cambria Math" w:hAnsi="Cambria Math"/>
                    <w:color w:val="C00000"/>
                  </w:rPr>
                  <m:t>E</m:t>
                </m:r>
              </m:e>
              <m:sub>
                <m:r>
                  <w:rPr>
                    <w:rFonts w:ascii="Cambria Math" w:hAnsi="Cambria Math"/>
                    <w:color w:val="C00000"/>
                  </w:rPr>
                  <m:t>i</m:t>
                </m:r>
              </m:sub>
            </m:sSub>
          </m:den>
        </m:f>
        <m:r>
          <w:rPr>
            <w:rFonts w:ascii="Cambria Math" w:hAnsi="Cambria Math"/>
            <w:color w:val="C00000"/>
          </w:rPr>
          <m:t xml:space="preserve">= </m:t>
        </m:r>
        <m:f>
          <m:fPr>
            <m:ctrlPr>
              <w:rPr>
                <w:rFonts w:ascii="Cambria Math" w:hAnsi="Cambria Math"/>
                <w:bCs/>
                <w:i/>
                <w:color w:val="C00000"/>
              </w:rPr>
            </m:ctrlPr>
          </m:fPr>
          <m:num>
            <m:sSub>
              <m:sSubPr>
                <m:ctrlPr>
                  <w:rPr>
                    <w:rFonts w:ascii="Cambria Math" w:hAnsi="Cambria Math"/>
                    <w:bCs/>
                    <w:i/>
                    <w:color w:val="C00000"/>
                  </w:rPr>
                </m:ctrlPr>
              </m:sSubPr>
              <m:e>
                <m:r>
                  <w:rPr>
                    <w:rFonts w:ascii="Cambria Math" w:hAnsi="Cambria Math"/>
                    <w:color w:val="C00000"/>
                  </w:rPr>
                  <m:t>O</m:t>
                </m:r>
              </m:e>
              <m:sub>
                <m:r>
                  <w:rPr>
                    <w:rFonts w:ascii="Cambria Math" w:hAnsi="Cambria Math"/>
                    <w:color w:val="C00000"/>
                  </w:rPr>
                  <m:t>i</m:t>
                </m:r>
              </m:sub>
            </m:sSub>
          </m:num>
          <m:den>
            <m:nary>
              <m:naryPr>
                <m:chr m:val="∑"/>
                <m:limLoc m:val="subSup"/>
                <m:supHide m:val="1"/>
                <m:ctrlPr>
                  <w:rPr>
                    <w:rFonts w:ascii="Cambria Math" w:hAnsi="Cambria Math"/>
                    <w:bCs/>
                    <w:i/>
                    <w:color w:val="C00000"/>
                  </w:rPr>
                </m:ctrlPr>
              </m:naryPr>
              <m:sub>
                <m:r>
                  <w:rPr>
                    <w:rFonts w:ascii="Cambria Math" w:hAnsi="Cambria Math"/>
                    <w:color w:val="C00000"/>
                  </w:rPr>
                  <m:t>j∈H(i)</m:t>
                </m:r>
              </m:sub>
              <m:sup/>
              <m:e>
                <m:nary>
                  <m:naryPr>
                    <m:chr m:val="∑"/>
                    <m:limLoc m:val="subSup"/>
                    <m:ctrlPr>
                      <w:rPr>
                        <w:rFonts w:ascii="Cambria Math" w:hAnsi="Cambria Math"/>
                        <w:bCs/>
                        <w:i/>
                        <w:color w:val="C00000"/>
                      </w:rPr>
                    </m:ctrlPr>
                  </m:naryPr>
                  <m:sub>
                    <m:r>
                      <w:rPr>
                        <w:rFonts w:ascii="Cambria Math" w:hAnsi="Cambria Math"/>
                        <w:color w:val="C00000"/>
                      </w:rPr>
                      <m:t>k=1</m:t>
                    </m:r>
                  </m:sub>
                  <m:sup>
                    <m:sSub>
                      <m:sSubPr>
                        <m:ctrlPr>
                          <w:rPr>
                            <w:rFonts w:ascii="Cambria Math" w:hAnsi="Cambria Math"/>
                            <w:bCs/>
                            <w:i/>
                            <w:color w:val="C00000"/>
                          </w:rPr>
                        </m:ctrlPr>
                      </m:sSubPr>
                      <m:e>
                        <m:r>
                          <w:rPr>
                            <w:rFonts w:ascii="Cambria Math" w:hAnsi="Cambria Math"/>
                            <w:color w:val="C00000"/>
                          </w:rPr>
                          <m:t>n</m:t>
                        </m:r>
                      </m:e>
                      <m:sub>
                        <m:r>
                          <w:rPr>
                            <w:rFonts w:ascii="Cambria Math" w:hAnsi="Cambria Math"/>
                            <w:color w:val="C00000"/>
                          </w:rPr>
                          <m:t>ij</m:t>
                        </m:r>
                      </m:sub>
                    </m:sSub>
                  </m:sup>
                  <m:e>
                    <m:sSub>
                      <m:sSubPr>
                        <m:ctrlPr>
                          <w:rPr>
                            <w:rFonts w:ascii="Cambria Math" w:hAnsi="Cambria Math"/>
                            <w:bCs/>
                            <w:i/>
                            <w:color w:val="C00000"/>
                          </w:rPr>
                        </m:ctrlPr>
                      </m:sSubPr>
                      <m:e>
                        <m:acc>
                          <m:accPr>
                            <m:chr m:val="̃"/>
                            <m:ctrlPr>
                              <w:rPr>
                                <w:rFonts w:ascii="Cambria Math" w:hAnsi="Cambria Math"/>
                                <w:i/>
                                <w:color w:val="C00000"/>
                              </w:rPr>
                            </m:ctrlPr>
                          </m:accPr>
                          <m:e>
                            <m:r>
                              <w:rPr>
                                <w:rFonts w:ascii="Cambria Math" w:hAnsi="Cambria Math"/>
                                <w:color w:val="C00000"/>
                              </w:rPr>
                              <m:t>p</m:t>
                            </m:r>
                          </m:e>
                        </m:acc>
                      </m:e>
                      <m:sub>
                        <m:r>
                          <w:rPr>
                            <w:rFonts w:ascii="Cambria Math" w:hAnsi="Cambria Math"/>
                            <w:color w:val="C00000"/>
                          </w:rPr>
                          <m:t>ijk</m:t>
                        </m:r>
                      </m:sub>
                    </m:sSub>
                  </m:e>
                </m:nary>
              </m:e>
            </m:nary>
          </m:den>
        </m:f>
      </m:oMath>
      <w:r w:rsidR="004351AF" w:rsidRPr="004351AF">
        <w:rPr>
          <w:bCs/>
          <w:i/>
          <w:color w:val="C00000"/>
        </w:rPr>
        <w:t xml:space="preserve"> </w:t>
      </w:r>
      <w:r w:rsidR="004351AF" w:rsidRPr="004351AF">
        <w:rPr>
          <w:bCs/>
          <w:color w:val="C00000"/>
        </w:rPr>
        <w:t>,</w:t>
      </w:r>
      <w:r w:rsidR="004351AF" w:rsidRPr="004351AF">
        <w:rPr>
          <w:bCs/>
          <w:color w:val="C00000"/>
        </w:rPr>
        <w:tab/>
      </w:r>
      <w:r w:rsidR="004351AF" w:rsidRPr="004351AF">
        <w:rPr>
          <w:bCs/>
          <w:color w:val="C00000"/>
        </w:rPr>
        <w:tab/>
      </w:r>
      <w:r w:rsidR="004351AF" w:rsidRPr="004351AF">
        <w:rPr>
          <w:bCs/>
          <w:color w:val="C00000"/>
        </w:rPr>
        <w:tab/>
      </w:r>
      <w:r w:rsidR="004351AF" w:rsidRPr="004351AF">
        <w:rPr>
          <w:bCs/>
          <w:color w:val="C00000"/>
        </w:rPr>
        <w:tab/>
        <w:t>(2)</w:t>
      </w:r>
    </w:p>
    <w:p w14:paraId="5E396C2D" w14:textId="77777777" w:rsidR="004351AF" w:rsidRPr="004351AF" w:rsidRDefault="004351AF" w:rsidP="004351AF">
      <w:pPr>
        <w:pStyle w:val="ListParagraph"/>
        <w:spacing w:after="0"/>
        <w:ind w:left="990"/>
        <w:jc w:val="both"/>
        <w:rPr>
          <w:bCs/>
          <w:i/>
          <w:color w:val="C00000"/>
        </w:rPr>
      </w:pPr>
    </w:p>
    <w:p w14:paraId="5BF7F1EF" w14:textId="77777777" w:rsidR="004351AF" w:rsidRPr="004351AF" w:rsidRDefault="004351AF" w:rsidP="004351AF">
      <w:pPr>
        <w:pStyle w:val="ListParagraph"/>
        <w:spacing w:after="0"/>
        <w:ind w:left="990"/>
        <w:jc w:val="both"/>
        <w:rPr>
          <w:bCs/>
          <w:color w:val="C00000"/>
        </w:rPr>
      </w:pPr>
      <w:proofErr w:type="gramStart"/>
      <w:r w:rsidRPr="004351AF">
        <w:rPr>
          <w:bCs/>
          <w:color w:val="C00000"/>
        </w:rPr>
        <w:t>where</w:t>
      </w:r>
      <w:proofErr w:type="gramEnd"/>
      <w:r w:rsidRPr="004351AF">
        <w:rPr>
          <w:bCs/>
          <w:color w:val="C00000"/>
        </w:rPr>
        <w:t xml:space="preserve">, for the </w:t>
      </w:r>
      <w:proofErr w:type="spellStart"/>
      <w:r w:rsidRPr="004351AF">
        <w:rPr>
          <w:bCs/>
          <w:i/>
          <w:color w:val="C00000"/>
        </w:rPr>
        <w:t>i</w:t>
      </w:r>
      <w:r w:rsidRPr="004351AF">
        <w:rPr>
          <w:bCs/>
          <w:color w:val="C00000"/>
          <w:vertAlign w:val="superscript"/>
        </w:rPr>
        <w:t>th</w:t>
      </w:r>
      <w:proofErr w:type="spellEnd"/>
      <w:r w:rsidRPr="004351AF">
        <w:rPr>
          <w:bCs/>
          <w:color w:val="C00000"/>
        </w:rPr>
        <w:t xml:space="preserve"> facility, </w:t>
      </w:r>
      <m:oMath>
        <m:sSub>
          <m:sSubPr>
            <m:ctrlPr>
              <w:rPr>
                <w:rFonts w:ascii="Cambria Math" w:hAnsi="Cambria Math"/>
                <w:bCs/>
                <w:i/>
                <w:color w:val="C00000"/>
              </w:rPr>
            </m:ctrlPr>
          </m:sSubPr>
          <m:e>
            <m:r>
              <w:rPr>
                <w:rFonts w:ascii="Cambria Math" w:hAnsi="Cambria Math"/>
                <w:color w:val="C00000"/>
              </w:rPr>
              <m:t>O</m:t>
            </m:r>
          </m:e>
          <m:sub>
            <m:r>
              <w:rPr>
                <w:rFonts w:ascii="Cambria Math" w:hAnsi="Cambria Math"/>
                <w:color w:val="C00000"/>
              </w:rPr>
              <m:t>i</m:t>
            </m:r>
          </m:sub>
        </m:sSub>
      </m:oMath>
      <w:r w:rsidRPr="004351AF">
        <w:rPr>
          <w:bCs/>
          <w:color w:val="C00000"/>
        </w:rPr>
        <w:t xml:space="preserve"> is the number of observed unplanned readmissions, </w:t>
      </w:r>
      <m:oMath>
        <m:sSub>
          <m:sSubPr>
            <m:ctrlPr>
              <w:rPr>
                <w:rFonts w:ascii="Cambria Math" w:hAnsi="Cambria Math"/>
                <w:bCs/>
                <w:i/>
                <w:color w:val="C00000"/>
              </w:rPr>
            </m:ctrlPr>
          </m:sSubPr>
          <m:e>
            <m:r>
              <w:rPr>
                <w:rFonts w:ascii="Cambria Math" w:hAnsi="Cambria Math"/>
                <w:color w:val="C00000"/>
              </w:rPr>
              <m:t>E</m:t>
            </m:r>
          </m:e>
          <m:sub>
            <m:r>
              <w:rPr>
                <w:rFonts w:ascii="Cambria Math" w:hAnsi="Cambria Math"/>
                <w:color w:val="C00000"/>
              </w:rPr>
              <m:t>i</m:t>
            </m:r>
          </m:sub>
        </m:sSub>
      </m:oMath>
      <w:r w:rsidRPr="004351AF">
        <w:rPr>
          <w:bCs/>
          <w:color w:val="C00000"/>
        </w:rPr>
        <w:t xml:space="preserve"> is the expected number of unplanned readmissions for discharges, </w:t>
      </w:r>
      <m:oMath>
        <m:r>
          <w:rPr>
            <w:rFonts w:ascii="Cambria Math" w:hAnsi="Cambria Math"/>
            <w:color w:val="C00000"/>
          </w:rPr>
          <m:t>H(i)</m:t>
        </m:r>
      </m:oMath>
      <w:r w:rsidRPr="004351AF">
        <w:rPr>
          <w:bCs/>
          <w:color w:val="C00000"/>
        </w:rPr>
        <w:t xml:space="preserve"> is the collection of indices of hospitals from which patients are discharged, and </w:t>
      </w:r>
      <m:oMath>
        <m:sSub>
          <m:sSubPr>
            <m:ctrlPr>
              <w:rPr>
                <w:rFonts w:ascii="Cambria Math" w:hAnsi="Cambria Math"/>
                <w:bCs/>
                <w:i/>
                <w:color w:val="C00000"/>
              </w:rPr>
            </m:ctrlPr>
          </m:sSubPr>
          <m:e>
            <m:acc>
              <m:accPr>
                <m:chr m:val="̃"/>
                <m:ctrlPr>
                  <w:rPr>
                    <w:rFonts w:ascii="Cambria Math" w:hAnsi="Cambria Math"/>
                    <w:i/>
                    <w:color w:val="C00000"/>
                  </w:rPr>
                </m:ctrlPr>
              </m:accPr>
              <m:e>
                <m:r>
                  <w:rPr>
                    <w:rFonts w:ascii="Cambria Math" w:hAnsi="Cambria Math"/>
                    <w:color w:val="C00000"/>
                  </w:rPr>
                  <m:t>p</m:t>
                </m:r>
              </m:e>
            </m:acc>
          </m:e>
          <m:sub>
            <m:r>
              <w:rPr>
                <w:rFonts w:ascii="Cambria Math" w:hAnsi="Cambria Math"/>
                <w:color w:val="C00000"/>
              </w:rPr>
              <m:t>ijk</m:t>
            </m:r>
          </m:sub>
        </m:sSub>
      </m:oMath>
      <w:r w:rsidRPr="004351AF">
        <w:rPr>
          <w:bCs/>
          <w:color w:val="C00000"/>
        </w:rPr>
        <w:t xml:space="preserve"> is the predicted probability of unplanned readmission under the national norm for each discharge. Specifically, </w:t>
      </w:r>
      <m:oMath>
        <m:sSub>
          <m:sSubPr>
            <m:ctrlPr>
              <w:rPr>
                <w:rFonts w:ascii="Cambria Math" w:hAnsi="Cambria Math"/>
                <w:bCs/>
                <w:i/>
                <w:color w:val="C00000"/>
              </w:rPr>
            </m:ctrlPr>
          </m:sSubPr>
          <m:e>
            <m:acc>
              <m:accPr>
                <m:chr m:val="̃"/>
                <m:ctrlPr>
                  <w:rPr>
                    <w:rFonts w:ascii="Cambria Math" w:hAnsi="Cambria Math"/>
                    <w:i/>
                    <w:color w:val="C00000"/>
                  </w:rPr>
                </m:ctrlPr>
              </m:accPr>
              <m:e>
                <m:r>
                  <w:rPr>
                    <w:rFonts w:ascii="Cambria Math" w:hAnsi="Cambria Math"/>
                    <w:color w:val="C00000"/>
                  </w:rPr>
                  <m:t>p</m:t>
                </m:r>
              </m:e>
            </m:acc>
          </m:e>
          <m:sub>
            <m:r>
              <w:rPr>
                <w:rFonts w:ascii="Cambria Math" w:hAnsi="Cambria Math"/>
                <w:color w:val="C00000"/>
              </w:rPr>
              <m:t>ijk</m:t>
            </m:r>
          </m:sub>
        </m:sSub>
      </m:oMath>
      <w:r w:rsidRPr="004351AF">
        <w:rPr>
          <w:bCs/>
          <w:color w:val="C00000"/>
        </w:rPr>
        <w:t xml:space="preserve"> takes the form</w:t>
      </w:r>
    </w:p>
    <w:p w14:paraId="520933C4" w14:textId="77777777" w:rsidR="004351AF" w:rsidRPr="004351AF" w:rsidRDefault="004351AF" w:rsidP="004351AF">
      <w:pPr>
        <w:pStyle w:val="ListParagraph"/>
        <w:spacing w:after="0"/>
        <w:ind w:left="990"/>
        <w:jc w:val="both"/>
        <w:rPr>
          <w:bCs/>
          <w:color w:val="C00000"/>
        </w:rPr>
      </w:pPr>
    </w:p>
    <w:p w14:paraId="4613CD28" w14:textId="77777777" w:rsidR="004351AF" w:rsidRPr="004351AF" w:rsidRDefault="00DE4858" w:rsidP="004351AF">
      <w:pPr>
        <w:pStyle w:val="ListParagraph"/>
        <w:spacing w:after="0"/>
        <w:ind w:left="990"/>
        <w:jc w:val="right"/>
        <w:rPr>
          <w:bCs/>
          <w:color w:val="C00000"/>
        </w:rPr>
      </w:pPr>
      <m:oMath>
        <m:sSub>
          <m:sSubPr>
            <m:ctrlPr>
              <w:rPr>
                <w:rFonts w:ascii="Cambria Math" w:hAnsi="Cambria Math"/>
                <w:bCs/>
                <w:i/>
                <w:color w:val="C00000"/>
              </w:rPr>
            </m:ctrlPr>
          </m:sSubPr>
          <m:e>
            <m:acc>
              <m:accPr>
                <m:chr m:val="̃"/>
                <m:ctrlPr>
                  <w:rPr>
                    <w:rFonts w:ascii="Cambria Math" w:hAnsi="Cambria Math"/>
                    <w:i/>
                    <w:color w:val="C00000"/>
                  </w:rPr>
                </m:ctrlPr>
              </m:accPr>
              <m:e>
                <m:r>
                  <w:rPr>
                    <w:rFonts w:ascii="Cambria Math" w:hAnsi="Cambria Math"/>
                    <w:color w:val="C00000"/>
                  </w:rPr>
                  <m:t>p</m:t>
                </m:r>
              </m:e>
            </m:acc>
          </m:e>
          <m:sub>
            <m:r>
              <w:rPr>
                <w:rFonts w:ascii="Cambria Math" w:hAnsi="Cambria Math"/>
                <w:color w:val="C00000"/>
              </w:rPr>
              <m:t>ijk</m:t>
            </m:r>
          </m:sub>
        </m:sSub>
        <m:r>
          <w:rPr>
            <w:rFonts w:ascii="Cambria Math" w:hAnsi="Cambria Math"/>
            <w:color w:val="C00000"/>
          </w:rPr>
          <m:t xml:space="preserve">= </m:t>
        </m:r>
        <m:f>
          <m:fPr>
            <m:ctrlPr>
              <w:rPr>
                <w:rFonts w:ascii="Cambria Math" w:hAnsi="Cambria Math"/>
                <w:bCs/>
                <w:i/>
                <w:color w:val="C00000"/>
              </w:rPr>
            </m:ctrlPr>
          </m:fPr>
          <m:num>
            <m:r>
              <m:rPr>
                <m:sty m:val="p"/>
              </m:rPr>
              <w:rPr>
                <w:rFonts w:ascii="Cambria Math" w:hAnsi="Cambria Math"/>
                <w:color w:val="C00000"/>
              </w:rPr>
              <m:t>exp</m:t>
            </m:r>
            <m:d>
              <m:dPr>
                <m:ctrlPr>
                  <w:rPr>
                    <w:rFonts w:ascii="Cambria Math" w:hAnsi="Cambria Math"/>
                    <w:bCs/>
                    <w:i/>
                    <w:color w:val="C00000"/>
                  </w:rPr>
                </m:ctrlPr>
              </m:dPr>
              <m:e>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γ</m:t>
                        </m:r>
                      </m:e>
                      <m:sub>
                        <m:r>
                          <w:rPr>
                            <w:rFonts w:ascii="Cambria Math" w:hAnsi="Cambria Math"/>
                            <w:color w:val="C00000"/>
                          </w:rPr>
                          <m:t>M</m:t>
                        </m:r>
                      </m:sub>
                    </m:sSub>
                  </m:e>
                </m:acc>
                <m:r>
                  <w:rPr>
                    <w:rFonts w:ascii="Cambria Math" w:hAnsi="Cambria Math"/>
                    <w:color w:val="C00000"/>
                  </w:rPr>
                  <m:t>+</m:t>
                </m:r>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e>
                </m:acc>
                <m:r>
                  <w:rPr>
                    <w:rFonts w:ascii="Cambria Math" w:hAnsi="Cambria Math"/>
                    <w:color w:val="C00000"/>
                  </w:rPr>
                  <m:t>+</m:t>
                </m:r>
                <m:sSup>
                  <m:sSupPr>
                    <m:ctrlPr>
                      <w:rPr>
                        <w:rFonts w:ascii="Cambria Math" w:hAnsi="Cambria Math"/>
                        <w:i/>
                        <w:color w:val="C00000"/>
                      </w:rPr>
                    </m:ctrlPr>
                  </m:sSupPr>
                  <m:e>
                    <m:acc>
                      <m:accPr>
                        <m:ctrlPr>
                          <w:rPr>
                            <w:rFonts w:ascii="Cambria Math" w:hAnsi="Cambria Math"/>
                            <w:i/>
                            <w:color w:val="C00000"/>
                          </w:rPr>
                        </m:ctrlPr>
                      </m:accPr>
                      <m:e>
                        <m:r>
                          <w:rPr>
                            <w:rFonts w:ascii="Cambria Math" w:hAnsi="Cambria Math"/>
                            <w:color w:val="C00000"/>
                          </w:rPr>
                          <m:t>β</m:t>
                        </m:r>
                      </m:e>
                    </m:acc>
                  </m:e>
                  <m:sup>
                    <m:r>
                      <w:rPr>
                        <w:rFonts w:ascii="Cambria Math" w:hAnsi="Cambria Math"/>
                        <w:color w:val="C00000"/>
                      </w:rPr>
                      <m:t>T</m:t>
                    </m:r>
                  </m:sup>
                </m:sSup>
                <m:sSub>
                  <m:sSubPr>
                    <m:ctrlPr>
                      <w:rPr>
                        <w:rFonts w:ascii="Cambria Math" w:hAnsi="Cambria Math"/>
                        <w:bCs/>
                        <w:i/>
                        <w:color w:val="C00000"/>
                      </w:rPr>
                    </m:ctrlPr>
                  </m:sSubPr>
                  <m:e>
                    <m:r>
                      <w:rPr>
                        <w:rFonts w:ascii="Cambria Math" w:hAnsi="Cambria Math"/>
                        <w:color w:val="C00000"/>
                      </w:rPr>
                      <m:t>Z</m:t>
                    </m:r>
                  </m:e>
                  <m:sub>
                    <m:r>
                      <w:rPr>
                        <w:rFonts w:ascii="Cambria Math" w:hAnsi="Cambria Math"/>
                        <w:color w:val="C00000"/>
                      </w:rPr>
                      <m:t>ijk</m:t>
                    </m:r>
                  </m:sub>
                </m:sSub>
              </m:e>
            </m:d>
          </m:num>
          <m:den>
            <m:r>
              <w:rPr>
                <w:rFonts w:ascii="Cambria Math" w:hAnsi="Cambria Math"/>
                <w:color w:val="C00000"/>
              </w:rPr>
              <m:t>1+</m:t>
            </m:r>
            <m:r>
              <m:rPr>
                <m:sty m:val="p"/>
              </m:rPr>
              <w:rPr>
                <w:rFonts w:ascii="Cambria Math" w:hAnsi="Cambria Math"/>
                <w:color w:val="C00000"/>
              </w:rPr>
              <m:t>exp</m:t>
            </m:r>
            <m:d>
              <m:dPr>
                <m:ctrlPr>
                  <w:rPr>
                    <w:rFonts w:ascii="Cambria Math" w:hAnsi="Cambria Math"/>
                    <w:bCs/>
                    <w:i/>
                    <w:color w:val="C00000"/>
                  </w:rPr>
                </m:ctrlPr>
              </m:dPr>
              <m:e>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γ</m:t>
                        </m:r>
                      </m:e>
                      <m:sub>
                        <m:r>
                          <w:rPr>
                            <w:rFonts w:ascii="Cambria Math" w:hAnsi="Cambria Math"/>
                            <w:color w:val="C00000"/>
                          </w:rPr>
                          <m:t>M</m:t>
                        </m:r>
                      </m:sub>
                    </m:sSub>
                  </m:e>
                </m:acc>
                <m:r>
                  <w:rPr>
                    <w:rFonts w:ascii="Cambria Math" w:hAnsi="Cambria Math"/>
                    <w:color w:val="C00000"/>
                  </w:rPr>
                  <m:t>+</m:t>
                </m:r>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e>
                </m:acc>
                <m:r>
                  <w:rPr>
                    <w:rFonts w:ascii="Cambria Math" w:hAnsi="Cambria Math"/>
                    <w:color w:val="C00000"/>
                  </w:rPr>
                  <m:t xml:space="preserve">+ </m:t>
                </m:r>
                <m:sSup>
                  <m:sSupPr>
                    <m:ctrlPr>
                      <w:rPr>
                        <w:rFonts w:ascii="Cambria Math" w:hAnsi="Cambria Math"/>
                        <w:i/>
                        <w:color w:val="C00000"/>
                      </w:rPr>
                    </m:ctrlPr>
                  </m:sSupPr>
                  <m:e>
                    <m:acc>
                      <m:accPr>
                        <m:ctrlPr>
                          <w:rPr>
                            <w:rFonts w:ascii="Cambria Math" w:hAnsi="Cambria Math"/>
                            <w:i/>
                            <w:color w:val="C00000"/>
                          </w:rPr>
                        </m:ctrlPr>
                      </m:accPr>
                      <m:e>
                        <m:r>
                          <w:rPr>
                            <w:rFonts w:ascii="Cambria Math" w:hAnsi="Cambria Math"/>
                            <w:color w:val="C00000"/>
                          </w:rPr>
                          <m:t>β</m:t>
                        </m:r>
                      </m:e>
                    </m:acc>
                  </m:e>
                  <m:sup>
                    <m:r>
                      <w:rPr>
                        <w:rFonts w:ascii="Cambria Math" w:hAnsi="Cambria Math"/>
                        <w:color w:val="C00000"/>
                      </w:rPr>
                      <m:t>T</m:t>
                    </m:r>
                  </m:sup>
                </m:sSup>
                <m:sSub>
                  <m:sSubPr>
                    <m:ctrlPr>
                      <w:rPr>
                        <w:rFonts w:ascii="Cambria Math" w:hAnsi="Cambria Math"/>
                        <w:bCs/>
                        <w:i/>
                        <w:color w:val="C00000"/>
                      </w:rPr>
                    </m:ctrlPr>
                  </m:sSubPr>
                  <m:e>
                    <m:r>
                      <w:rPr>
                        <w:rFonts w:ascii="Cambria Math" w:hAnsi="Cambria Math"/>
                        <w:color w:val="C00000"/>
                      </w:rPr>
                      <m:t>Z</m:t>
                    </m:r>
                  </m:e>
                  <m:sub>
                    <m:r>
                      <w:rPr>
                        <w:rFonts w:ascii="Cambria Math" w:hAnsi="Cambria Math"/>
                        <w:color w:val="C00000"/>
                      </w:rPr>
                      <m:t>ijk</m:t>
                    </m:r>
                  </m:sub>
                </m:sSub>
              </m:e>
            </m:d>
          </m:den>
        </m:f>
      </m:oMath>
      <w:r w:rsidR="004351AF" w:rsidRPr="004351AF">
        <w:rPr>
          <w:bCs/>
          <w:color w:val="C00000"/>
        </w:rPr>
        <w:t xml:space="preserve"> ,</w:t>
      </w:r>
      <w:r w:rsidR="004351AF" w:rsidRPr="004351AF">
        <w:rPr>
          <w:bCs/>
          <w:color w:val="C00000"/>
        </w:rPr>
        <w:tab/>
      </w:r>
      <w:r w:rsidR="004351AF" w:rsidRPr="004351AF">
        <w:rPr>
          <w:bCs/>
          <w:color w:val="C00000"/>
        </w:rPr>
        <w:tab/>
      </w:r>
      <w:r w:rsidR="004351AF" w:rsidRPr="004351AF">
        <w:rPr>
          <w:bCs/>
          <w:color w:val="C00000"/>
        </w:rPr>
        <w:tab/>
      </w:r>
      <w:r w:rsidR="004351AF" w:rsidRPr="004351AF">
        <w:rPr>
          <w:bCs/>
          <w:color w:val="C00000"/>
        </w:rPr>
        <w:tab/>
        <w:t>(3)</w:t>
      </w:r>
    </w:p>
    <w:p w14:paraId="00B2410A" w14:textId="77777777" w:rsidR="004351AF" w:rsidRPr="004351AF" w:rsidRDefault="004351AF" w:rsidP="004351AF">
      <w:pPr>
        <w:pStyle w:val="ListParagraph"/>
        <w:spacing w:after="0"/>
        <w:ind w:left="990"/>
        <w:jc w:val="both"/>
        <w:rPr>
          <w:bCs/>
          <w:color w:val="C00000"/>
        </w:rPr>
      </w:pPr>
    </w:p>
    <w:p w14:paraId="5175D760" w14:textId="77777777" w:rsidR="004351AF" w:rsidRPr="004351AF" w:rsidRDefault="004351AF" w:rsidP="004351AF">
      <w:pPr>
        <w:autoSpaceDE w:val="0"/>
        <w:autoSpaceDN w:val="0"/>
        <w:adjustRightInd w:val="0"/>
        <w:spacing w:after="0"/>
        <w:ind w:left="990"/>
        <w:jc w:val="both"/>
        <w:rPr>
          <w:bCs/>
          <w:color w:val="C00000"/>
        </w:rPr>
      </w:pPr>
      <w:proofErr w:type="gramStart"/>
      <w:r w:rsidRPr="004351AF">
        <w:rPr>
          <w:bCs/>
          <w:color w:val="C00000"/>
        </w:rPr>
        <w:t>which</w:t>
      </w:r>
      <w:proofErr w:type="gramEnd"/>
      <w:r w:rsidRPr="004351AF">
        <w:rPr>
          <w:bCs/>
          <w:color w:val="C00000"/>
        </w:rPr>
        <w:t xml:space="preserve"> estimates the probability that a discharge from hospital </w:t>
      </w:r>
      <w:r w:rsidRPr="004351AF">
        <w:rPr>
          <w:bCs/>
          <w:i/>
          <w:color w:val="C00000"/>
        </w:rPr>
        <w:t>j</w:t>
      </w:r>
      <w:r w:rsidRPr="004351AF">
        <w:rPr>
          <w:bCs/>
          <w:color w:val="C00000"/>
        </w:rPr>
        <w:t xml:space="preserve"> of an individual in facility </w:t>
      </w:r>
      <w:proofErr w:type="spellStart"/>
      <w:r w:rsidRPr="004351AF">
        <w:rPr>
          <w:bCs/>
          <w:i/>
          <w:color w:val="C00000"/>
        </w:rPr>
        <w:t>i</w:t>
      </w:r>
      <w:proofErr w:type="spellEnd"/>
      <w:r w:rsidRPr="004351AF">
        <w:rPr>
          <w:bCs/>
          <w:color w:val="C00000"/>
        </w:rPr>
        <w:t xml:space="preserve"> with characteristics</w:t>
      </w:r>
      <m:oMath>
        <m:r>
          <w:rPr>
            <w:rFonts w:ascii="Cambria Math" w:hAnsi="Cambria Math"/>
            <w:color w:val="C00000"/>
          </w:rPr>
          <m:t xml:space="preserve"> </m:t>
        </m:r>
        <m:sSub>
          <m:sSubPr>
            <m:ctrlPr>
              <w:rPr>
                <w:rFonts w:ascii="Cambria Math" w:hAnsi="Cambria Math"/>
                <w:bCs/>
                <w:i/>
                <w:color w:val="C00000"/>
              </w:rPr>
            </m:ctrlPr>
          </m:sSubPr>
          <m:e>
            <m:r>
              <w:rPr>
                <w:rFonts w:ascii="Cambria Math" w:hAnsi="Cambria Math"/>
                <w:color w:val="C00000"/>
              </w:rPr>
              <m:t>Z</m:t>
            </m:r>
          </m:e>
          <m:sub>
            <m:r>
              <w:rPr>
                <w:rFonts w:ascii="Cambria Math" w:hAnsi="Cambria Math"/>
                <w:color w:val="C00000"/>
              </w:rPr>
              <m:t>ijk</m:t>
            </m:r>
          </m:sub>
        </m:sSub>
      </m:oMath>
      <w:r w:rsidRPr="004351AF">
        <w:rPr>
          <w:bCs/>
          <w:color w:val="C00000"/>
        </w:rPr>
        <w:t xml:space="preserve"> would result in an unplanned readmission if the facility effect corresponded to the median of national facility effects, denoted by </w:t>
      </w:r>
      <m:oMath>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γ</m:t>
                </m:r>
              </m:e>
              <m:sub>
                <m:r>
                  <w:rPr>
                    <w:rFonts w:ascii="Cambria Math" w:hAnsi="Cambria Math"/>
                    <w:color w:val="C00000"/>
                  </w:rPr>
                  <m:t>M</m:t>
                </m:r>
              </m:sub>
            </m:sSub>
          </m:e>
        </m:acc>
      </m:oMath>
      <w:r w:rsidRPr="004351AF">
        <w:rPr>
          <w:bCs/>
          <w:color w:val="C00000"/>
        </w:rPr>
        <w:t xml:space="preserve">. Here, </w:t>
      </w:r>
      <m:oMath>
        <m:acc>
          <m:accPr>
            <m:ctrlPr>
              <w:rPr>
                <w:rFonts w:ascii="Cambria Math" w:hAnsi="Cambria Math"/>
                <w:bCs/>
                <w:i/>
                <w:color w:val="C00000"/>
              </w:rPr>
            </m:ctrlPr>
          </m:accPr>
          <m:e>
            <m:sSub>
              <m:sSubPr>
                <m:ctrlPr>
                  <w:rPr>
                    <w:rFonts w:ascii="Cambria Math" w:hAnsi="Cambria Math"/>
                    <w:bCs/>
                    <w:i/>
                    <w:color w:val="C00000"/>
                  </w:rPr>
                </m:ctrlPr>
              </m:sSubPr>
              <m:e>
                <m:r>
                  <w:rPr>
                    <w:rFonts w:ascii="Cambria Math" w:hAnsi="Cambria Math"/>
                    <w:color w:val="C00000"/>
                  </w:rPr>
                  <m:t>α</m:t>
                </m:r>
              </m:e>
              <m:sub>
                <m:r>
                  <w:rPr>
                    <w:rFonts w:ascii="Cambria Math" w:hAnsi="Cambria Math"/>
                    <w:color w:val="C00000"/>
                  </w:rPr>
                  <m:t>j</m:t>
                </m:r>
              </m:sub>
            </m:sSub>
          </m:e>
        </m:acc>
      </m:oMath>
      <w:r w:rsidRPr="004351AF">
        <w:rPr>
          <w:bCs/>
          <w:color w:val="C00000"/>
        </w:rPr>
        <w:t xml:space="preserve"> and </w:t>
      </w:r>
      <m:oMath>
        <m:acc>
          <m:accPr>
            <m:ctrlPr>
              <w:rPr>
                <w:rFonts w:ascii="Cambria Math" w:hAnsi="Cambria Math"/>
                <w:bCs/>
                <w:i/>
                <w:color w:val="C00000"/>
              </w:rPr>
            </m:ctrlPr>
          </m:accPr>
          <m:e>
            <m:r>
              <w:rPr>
                <w:rFonts w:ascii="Cambria Math" w:hAnsi="Cambria Math"/>
                <w:color w:val="C00000"/>
              </w:rPr>
              <m:t>β</m:t>
            </m:r>
          </m:e>
        </m:acc>
      </m:oMath>
      <w:r w:rsidRPr="004351AF">
        <w:rPr>
          <w:bCs/>
          <w:color w:val="C00000"/>
        </w:rPr>
        <w:t xml:space="preserve"> are estimates from model (1). The sum of these probabilities is the expected number of unplanned readmissions </w:t>
      </w:r>
      <m:oMath>
        <m:sSub>
          <m:sSubPr>
            <m:ctrlPr>
              <w:rPr>
                <w:rFonts w:ascii="Cambria Math" w:hAnsi="Cambria Math"/>
                <w:bCs/>
                <w:i/>
                <w:color w:val="C00000"/>
              </w:rPr>
            </m:ctrlPr>
          </m:sSubPr>
          <m:e>
            <m:r>
              <w:rPr>
                <w:rFonts w:ascii="Cambria Math" w:hAnsi="Cambria Math"/>
                <w:color w:val="C00000"/>
              </w:rPr>
              <m:t>E</m:t>
            </m:r>
          </m:e>
          <m:sub>
            <m:r>
              <w:rPr>
                <w:rFonts w:ascii="Cambria Math" w:hAnsi="Cambria Math"/>
                <w:color w:val="C00000"/>
              </w:rPr>
              <m:t>i</m:t>
            </m:r>
          </m:sub>
        </m:sSub>
      </m:oMath>
      <w:r w:rsidRPr="004351AF">
        <w:rPr>
          <w:bCs/>
          <w:color w:val="C00000"/>
        </w:rPr>
        <w:t xml:space="preserve"> at facility </w:t>
      </w:r>
      <w:proofErr w:type="spellStart"/>
      <w:r w:rsidRPr="004351AF">
        <w:rPr>
          <w:bCs/>
          <w:i/>
          <w:color w:val="C00000"/>
        </w:rPr>
        <w:t>i</w:t>
      </w:r>
      <w:proofErr w:type="spellEnd"/>
      <w:r w:rsidRPr="004351AF">
        <w:rPr>
          <w:bCs/>
          <w:color w:val="C00000"/>
        </w:rPr>
        <w:t xml:space="preserve">; e.g., </w:t>
      </w:r>
      <w:r w:rsidRPr="004351AF">
        <w:rPr>
          <w:rFonts w:cs="CMSL12"/>
          <w:color w:val="C00000"/>
        </w:rPr>
        <w:t xml:space="preserve">the number of readmissions that would have been expected in facility </w:t>
      </w:r>
      <w:proofErr w:type="spellStart"/>
      <w:r w:rsidRPr="00436343">
        <w:rPr>
          <w:rFonts w:cs="CMSL12"/>
          <w:i/>
          <w:color w:val="C00000"/>
        </w:rPr>
        <w:t>i</w:t>
      </w:r>
      <w:proofErr w:type="spellEnd"/>
      <w:r w:rsidRPr="004351AF">
        <w:rPr>
          <w:rFonts w:cs="CMSL12"/>
          <w:color w:val="C00000"/>
        </w:rPr>
        <w:t xml:space="preserve"> had they progressed to the readmissions at the same rate as the national population of dialysis patients</w:t>
      </w:r>
      <w:r w:rsidRPr="004351AF">
        <w:rPr>
          <w:bCs/>
          <w:color w:val="C00000"/>
        </w:rPr>
        <w:t>.</w:t>
      </w:r>
    </w:p>
    <w:p w14:paraId="30D4674D" w14:textId="6FE348C8" w:rsidR="004351AF" w:rsidRDefault="004351AF" w:rsidP="004351AF">
      <w:pPr>
        <w:autoSpaceDE w:val="0"/>
        <w:autoSpaceDN w:val="0"/>
        <w:adjustRightInd w:val="0"/>
        <w:spacing w:after="0"/>
        <w:ind w:left="990"/>
        <w:jc w:val="both"/>
        <w:rPr>
          <w:rFonts w:ascii="CMSL12" w:hAnsi="CMSL12" w:cs="CMSL12"/>
          <w:color w:val="C00000"/>
          <w:sz w:val="24"/>
          <w:szCs w:val="24"/>
        </w:rPr>
      </w:pPr>
    </w:p>
    <w:p w14:paraId="32833D2B" w14:textId="0169FA16" w:rsidR="00423A4F" w:rsidRPr="00423A4F" w:rsidRDefault="00423A4F" w:rsidP="00423A4F">
      <w:pPr>
        <w:pStyle w:val="ListParagraph"/>
        <w:numPr>
          <w:ilvl w:val="0"/>
          <w:numId w:val="49"/>
        </w:numPr>
        <w:spacing w:line="240" w:lineRule="auto"/>
        <w:rPr>
          <w:color w:val="C00000"/>
        </w:rPr>
      </w:pPr>
      <w:r w:rsidRPr="00423A4F">
        <w:rPr>
          <w:color w:val="C00000"/>
          <w:shd w:val="clear" w:color="auto" w:fill="FFFFFF"/>
        </w:rPr>
        <w:t xml:space="preserve">Diggle PJ, </w:t>
      </w:r>
      <w:proofErr w:type="spellStart"/>
      <w:r w:rsidRPr="00423A4F">
        <w:rPr>
          <w:color w:val="C00000"/>
          <w:shd w:val="clear" w:color="auto" w:fill="FFFFFF"/>
        </w:rPr>
        <w:t>Heagerty</w:t>
      </w:r>
      <w:proofErr w:type="spellEnd"/>
      <w:r w:rsidRPr="00423A4F">
        <w:rPr>
          <w:color w:val="C00000"/>
          <w:shd w:val="clear" w:color="auto" w:fill="FFFFFF"/>
        </w:rPr>
        <w:t xml:space="preserve"> P, Liang K-Y, </w:t>
      </w:r>
      <w:proofErr w:type="spellStart"/>
      <w:r w:rsidRPr="00423A4F">
        <w:rPr>
          <w:color w:val="C00000"/>
          <w:shd w:val="clear" w:color="auto" w:fill="FFFFFF"/>
        </w:rPr>
        <w:t>Zeger</w:t>
      </w:r>
      <w:proofErr w:type="spellEnd"/>
      <w:r w:rsidRPr="00423A4F">
        <w:rPr>
          <w:color w:val="C00000"/>
          <w:shd w:val="clear" w:color="auto" w:fill="FFFFFF"/>
        </w:rPr>
        <w:t xml:space="preserve"> SL. </w:t>
      </w:r>
      <w:r w:rsidRPr="00423A4F">
        <w:rPr>
          <w:rStyle w:val="ref-journal"/>
          <w:color w:val="C00000"/>
          <w:shd w:val="clear" w:color="auto" w:fill="FFFFFF"/>
        </w:rPr>
        <w:t>Analysis of Longitudinal Data.</w:t>
      </w:r>
      <w:r w:rsidRPr="00423A4F">
        <w:rPr>
          <w:color w:val="C00000"/>
          <w:shd w:val="clear" w:color="auto" w:fill="FFFFFF"/>
        </w:rPr>
        <w:t> 2 New York: Oxford Univ. Press; 2002. </w:t>
      </w:r>
    </w:p>
    <w:p w14:paraId="7D6C0103" w14:textId="77777777" w:rsidR="00423A4F" w:rsidRPr="0062648C" w:rsidRDefault="00423A4F" w:rsidP="0062648C">
      <w:pPr>
        <w:rPr>
          <w:b/>
          <w:color w:val="C00000"/>
        </w:rPr>
      </w:pPr>
    </w:p>
    <w:p w14:paraId="5F8BC9B7" w14:textId="77777777" w:rsidR="004351AF" w:rsidRPr="0062648C" w:rsidRDefault="004351AF" w:rsidP="0062648C">
      <w:pPr>
        <w:rPr>
          <w:b/>
          <w:color w:val="C00000"/>
        </w:rPr>
      </w:pPr>
      <w:r w:rsidRPr="0062648C">
        <w:rPr>
          <w:b/>
          <w:color w:val="C00000"/>
        </w:rPr>
        <w:t xml:space="preserve">Patient-Level Risk Adjustors </w:t>
      </w:r>
    </w:p>
    <w:p w14:paraId="10C65C08" w14:textId="77777777" w:rsidR="004351AF" w:rsidRPr="004351AF" w:rsidRDefault="004351AF" w:rsidP="004351AF">
      <w:pPr>
        <w:spacing w:after="0"/>
        <w:jc w:val="both"/>
        <w:rPr>
          <w:rFonts w:eastAsia="CMR12" w:cs="Times New Roman"/>
          <w:color w:val="C00000"/>
        </w:rPr>
      </w:pPr>
      <w:r w:rsidRPr="004351AF">
        <w:rPr>
          <w:rFonts w:eastAsia="CMR12" w:cs="Times New Roman"/>
          <w:color w:val="C00000"/>
        </w:rPr>
        <w:t xml:space="preserve">As mentioned previously, the model accounts for a set of patient-level </w:t>
      </w:r>
      <w:r w:rsidRPr="004351AF">
        <w:rPr>
          <w:rFonts w:cs="Times New Roman"/>
          <w:bCs/>
          <w:color w:val="C00000"/>
        </w:rPr>
        <w:t xml:space="preserve">characteristics: </w:t>
      </w:r>
    </w:p>
    <w:p w14:paraId="24C55DA0" w14:textId="77777777" w:rsidR="004351AF" w:rsidRP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Sex</w:t>
      </w:r>
    </w:p>
    <w:p w14:paraId="42A577E0" w14:textId="77777777" w:rsidR="004351AF" w:rsidRP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Age</w:t>
      </w:r>
    </w:p>
    <w:p w14:paraId="60F4A16B" w14:textId="5E334069" w:rsid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Years on dialysis</w:t>
      </w:r>
    </w:p>
    <w:p w14:paraId="6F3AE890" w14:textId="611DABD9" w:rsidR="0036431A" w:rsidRDefault="0036431A" w:rsidP="004351AF">
      <w:pPr>
        <w:pStyle w:val="ListParagraph"/>
        <w:numPr>
          <w:ilvl w:val="0"/>
          <w:numId w:val="37"/>
        </w:numPr>
        <w:spacing w:after="0"/>
        <w:jc w:val="both"/>
        <w:rPr>
          <w:rFonts w:cstheme="minorHAnsi"/>
          <w:bCs/>
          <w:color w:val="C00000"/>
        </w:rPr>
      </w:pPr>
      <w:r>
        <w:rPr>
          <w:rFonts w:cstheme="minorHAnsi"/>
          <w:bCs/>
          <w:color w:val="C00000"/>
        </w:rPr>
        <w:t>Medicare Advantage status at discharge</w:t>
      </w:r>
    </w:p>
    <w:p w14:paraId="68BD61FE" w14:textId="65AABE8A" w:rsidR="00A50772" w:rsidRDefault="00A50772" w:rsidP="00A50772">
      <w:pPr>
        <w:pStyle w:val="ListParagraph"/>
        <w:numPr>
          <w:ilvl w:val="0"/>
          <w:numId w:val="37"/>
        </w:numPr>
        <w:spacing w:after="0"/>
        <w:jc w:val="both"/>
        <w:rPr>
          <w:rFonts w:cstheme="minorHAnsi"/>
          <w:bCs/>
          <w:color w:val="C00000"/>
        </w:rPr>
      </w:pPr>
      <w:r>
        <w:rPr>
          <w:rFonts w:cstheme="minorHAnsi"/>
          <w:bCs/>
          <w:color w:val="C00000"/>
        </w:rPr>
        <w:t>Nursing home status in past year at discharge</w:t>
      </w:r>
    </w:p>
    <w:p w14:paraId="625C8E7F" w14:textId="4EC787BE" w:rsidR="00F43AF3" w:rsidRDefault="00F43AF3" w:rsidP="000B4989">
      <w:pPr>
        <w:pStyle w:val="ListParagraph"/>
        <w:numPr>
          <w:ilvl w:val="1"/>
          <w:numId w:val="37"/>
        </w:numPr>
        <w:spacing w:after="0"/>
        <w:jc w:val="both"/>
        <w:rPr>
          <w:rFonts w:cstheme="minorHAnsi"/>
          <w:bCs/>
          <w:color w:val="C00000"/>
        </w:rPr>
      </w:pPr>
      <w:r>
        <w:rPr>
          <w:rFonts w:cstheme="minorHAnsi"/>
          <w:bCs/>
          <w:color w:val="C00000"/>
        </w:rPr>
        <w:t>None (0 days)</w:t>
      </w:r>
    </w:p>
    <w:p w14:paraId="796675DA" w14:textId="77777777" w:rsidR="00FC6074" w:rsidRPr="00FC6074" w:rsidRDefault="00FC6074" w:rsidP="00FC6074">
      <w:pPr>
        <w:pStyle w:val="ListParagraph"/>
        <w:numPr>
          <w:ilvl w:val="1"/>
          <w:numId w:val="37"/>
        </w:numPr>
        <w:spacing w:after="0"/>
        <w:jc w:val="both"/>
        <w:rPr>
          <w:rFonts w:cstheme="minorHAnsi"/>
          <w:bCs/>
          <w:color w:val="C00000"/>
        </w:rPr>
      </w:pPr>
      <w:r w:rsidRPr="00FC6074">
        <w:rPr>
          <w:rFonts w:cstheme="minorHAnsi"/>
          <w:bCs/>
          <w:color w:val="C00000"/>
        </w:rPr>
        <w:t>Short term (&lt;90 days)</w:t>
      </w:r>
    </w:p>
    <w:p w14:paraId="2A8C5B42" w14:textId="6AC42281" w:rsidR="00FC6074" w:rsidRPr="00436343" w:rsidRDefault="00FC6074" w:rsidP="00FC6074">
      <w:pPr>
        <w:pStyle w:val="ListParagraph"/>
        <w:numPr>
          <w:ilvl w:val="1"/>
          <w:numId w:val="37"/>
        </w:numPr>
        <w:spacing w:after="0"/>
        <w:jc w:val="both"/>
        <w:rPr>
          <w:rFonts w:cstheme="minorHAnsi"/>
          <w:bCs/>
          <w:color w:val="C00000"/>
        </w:rPr>
      </w:pPr>
      <w:r w:rsidRPr="00FC6074">
        <w:rPr>
          <w:rFonts w:cstheme="minorHAnsi"/>
          <w:bCs/>
          <w:color w:val="C00000"/>
        </w:rPr>
        <w:t>Long term (&gt;=90 days)</w:t>
      </w:r>
    </w:p>
    <w:p w14:paraId="23E165EE" w14:textId="7B9C48AB" w:rsid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Diabetes as cause of ESRD</w:t>
      </w:r>
    </w:p>
    <w:p w14:paraId="359CB119" w14:textId="51A2E929" w:rsidR="0031002D" w:rsidRPr="004351AF" w:rsidRDefault="0031002D" w:rsidP="004351AF">
      <w:pPr>
        <w:pStyle w:val="ListParagraph"/>
        <w:numPr>
          <w:ilvl w:val="0"/>
          <w:numId w:val="37"/>
        </w:numPr>
        <w:spacing w:after="0"/>
        <w:jc w:val="both"/>
        <w:rPr>
          <w:rFonts w:cstheme="minorHAnsi"/>
          <w:bCs/>
          <w:color w:val="C00000"/>
        </w:rPr>
      </w:pPr>
      <w:r>
        <w:rPr>
          <w:rFonts w:cstheme="minorHAnsi"/>
          <w:bCs/>
          <w:color w:val="C00000"/>
        </w:rPr>
        <w:t>Interaction of age and diabetes as cause of ESRD</w:t>
      </w:r>
    </w:p>
    <w:p w14:paraId="1910300F" w14:textId="30642155" w:rsid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BMI at incidence of ESRD</w:t>
      </w:r>
      <w:r w:rsidR="00FC6074">
        <w:rPr>
          <w:rFonts w:cstheme="minorHAnsi"/>
          <w:bCs/>
          <w:color w:val="C00000"/>
        </w:rPr>
        <w:t>*</w:t>
      </w:r>
    </w:p>
    <w:p w14:paraId="01D40469" w14:textId="0B71CC6D" w:rsidR="00FC6074" w:rsidRPr="00FC6074" w:rsidRDefault="00FD3442" w:rsidP="00FC6074">
      <w:pPr>
        <w:pStyle w:val="ListParagraph"/>
        <w:numPr>
          <w:ilvl w:val="1"/>
          <w:numId w:val="37"/>
        </w:numPr>
        <w:spacing w:after="0"/>
        <w:jc w:val="both"/>
        <w:rPr>
          <w:rFonts w:cstheme="minorHAnsi"/>
          <w:bCs/>
          <w:color w:val="C00000"/>
        </w:rPr>
      </w:pPr>
      <w:r>
        <w:rPr>
          <w:rFonts w:cstheme="minorHAnsi"/>
          <w:bCs/>
          <w:color w:val="C00000"/>
        </w:rPr>
        <w:t>&lt;</w:t>
      </w:r>
      <w:r w:rsidR="00FC6074" w:rsidRPr="00FC6074">
        <w:rPr>
          <w:rFonts w:cstheme="minorHAnsi"/>
          <w:bCs/>
          <w:color w:val="C00000"/>
        </w:rPr>
        <w:t xml:space="preserve"> 18.5)</w:t>
      </w:r>
    </w:p>
    <w:p w14:paraId="3DB9F1A2" w14:textId="78D5B0D6" w:rsidR="00FC6074" w:rsidRPr="00FC6074" w:rsidRDefault="00FC6074" w:rsidP="00FC6074">
      <w:pPr>
        <w:pStyle w:val="ListParagraph"/>
        <w:numPr>
          <w:ilvl w:val="1"/>
          <w:numId w:val="37"/>
        </w:numPr>
        <w:spacing w:after="0"/>
        <w:jc w:val="both"/>
        <w:rPr>
          <w:rFonts w:cstheme="minorHAnsi"/>
          <w:bCs/>
          <w:color w:val="C00000"/>
        </w:rPr>
      </w:pPr>
      <w:r w:rsidRPr="00FC6074">
        <w:rPr>
          <w:rFonts w:cstheme="minorHAnsi"/>
          <w:bCs/>
          <w:color w:val="C00000"/>
        </w:rPr>
        <w:t>18.5 - 24.9</w:t>
      </w:r>
    </w:p>
    <w:p w14:paraId="2177A441" w14:textId="1E37CDCE" w:rsidR="00FC6074" w:rsidRPr="00FC6074" w:rsidRDefault="00FC6074" w:rsidP="00FC6074">
      <w:pPr>
        <w:pStyle w:val="ListParagraph"/>
        <w:numPr>
          <w:ilvl w:val="1"/>
          <w:numId w:val="37"/>
        </w:numPr>
        <w:spacing w:after="0"/>
        <w:jc w:val="both"/>
        <w:rPr>
          <w:rFonts w:cstheme="minorHAnsi"/>
          <w:bCs/>
          <w:color w:val="C00000"/>
        </w:rPr>
      </w:pPr>
      <w:r w:rsidRPr="00FC6074">
        <w:rPr>
          <w:rFonts w:cstheme="minorHAnsi"/>
          <w:bCs/>
          <w:color w:val="C00000"/>
        </w:rPr>
        <w:t>25-29.9</w:t>
      </w:r>
    </w:p>
    <w:p w14:paraId="4505BEEC" w14:textId="39EB63EC" w:rsidR="00FC6074" w:rsidRPr="004351AF" w:rsidRDefault="00FC6074" w:rsidP="00FC6074">
      <w:pPr>
        <w:pStyle w:val="ListParagraph"/>
        <w:numPr>
          <w:ilvl w:val="1"/>
          <w:numId w:val="37"/>
        </w:numPr>
        <w:spacing w:after="0"/>
        <w:jc w:val="both"/>
        <w:rPr>
          <w:rFonts w:cstheme="minorHAnsi"/>
          <w:bCs/>
          <w:color w:val="C00000"/>
        </w:rPr>
      </w:pPr>
      <w:r w:rsidRPr="00FC6074">
        <w:rPr>
          <w:rFonts w:cstheme="minorHAnsi"/>
          <w:bCs/>
          <w:color w:val="C00000"/>
        </w:rPr>
        <w:t>30+</w:t>
      </w:r>
      <w:r>
        <w:rPr>
          <w:rFonts w:cstheme="minorHAnsi"/>
          <w:bCs/>
          <w:color w:val="C00000"/>
        </w:rPr>
        <w:br/>
        <w:t xml:space="preserve">*missing included with </w:t>
      </w:r>
      <w:r w:rsidR="00FD3442">
        <w:rPr>
          <w:rFonts w:cstheme="minorHAnsi"/>
          <w:bCs/>
          <w:color w:val="C00000"/>
        </w:rPr>
        <w:t>the 30+ group</w:t>
      </w:r>
    </w:p>
    <w:p w14:paraId="1D1065B3" w14:textId="77777777" w:rsidR="004351AF" w:rsidRP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Length (days) of index hospitalization</w:t>
      </w:r>
    </w:p>
    <w:p w14:paraId="72434567" w14:textId="6A521471" w:rsidR="003A1F60" w:rsidRDefault="004351AF" w:rsidP="00414944">
      <w:pPr>
        <w:pStyle w:val="ListParagraph"/>
        <w:numPr>
          <w:ilvl w:val="0"/>
          <w:numId w:val="37"/>
        </w:numPr>
        <w:spacing w:after="0"/>
        <w:jc w:val="both"/>
        <w:rPr>
          <w:rFonts w:cstheme="minorHAnsi"/>
          <w:bCs/>
          <w:color w:val="C00000"/>
        </w:rPr>
      </w:pPr>
      <w:r w:rsidRPr="004351AF">
        <w:rPr>
          <w:rFonts w:cstheme="minorHAnsi"/>
          <w:bCs/>
          <w:color w:val="C00000"/>
        </w:rPr>
        <w:t>Past-year comorbidities:</w:t>
      </w:r>
      <w:r w:rsidRPr="004351AF">
        <w:rPr>
          <w:rFonts w:cstheme="minorHAnsi"/>
          <w:b/>
          <w:bCs/>
          <w:color w:val="C00000"/>
        </w:rPr>
        <w:t xml:space="preserve"> </w:t>
      </w:r>
      <w:r w:rsidRPr="004351AF">
        <w:rPr>
          <w:rFonts w:cstheme="minorHAnsi"/>
          <w:bCs/>
          <w:color w:val="C00000"/>
        </w:rPr>
        <w:t>We identify all unique ICD-</w:t>
      </w:r>
      <w:r w:rsidR="00A73A8F">
        <w:rPr>
          <w:rFonts w:cstheme="minorHAnsi"/>
          <w:bCs/>
          <w:color w:val="C00000"/>
        </w:rPr>
        <w:t>10</w:t>
      </w:r>
      <w:r w:rsidR="00A73A8F" w:rsidRPr="004351AF">
        <w:rPr>
          <w:rFonts w:cstheme="minorHAnsi"/>
          <w:bCs/>
          <w:color w:val="C00000"/>
        </w:rPr>
        <w:t xml:space="preserve"> </w:t>
      </w:r>
      <w:r w:rsidRPr="004351AF">
        <w:rPr>
          <w:rFonts w:cstheme="minorHAnsi"/>
          <w:bCs/>
          <w:color w:val="C00000"/>
        </w:rPr>
        <w:t xml:space="preserve">diagnosis codes from each patient’s prior year of Medicare </w:t>
      </w:r>
      <w:r w:rsidR="00A73A8F">
        <w:rPr>
          <w:rFonts w:cstheme="minorHAnsi"/>
          <w:bCs/>
          <w:color w:val="C00000"/>
        </w:rPr>
        <w:t xml:space="preserve">inpatient </w:t>
      </w:r>
      <w:r w:rsidRPr="004351AF">
        <w:rPr>
          <w:rFonts w:cstheme="minorHAnsi"/>
          <w:bCs/>
          <w:color w:val="C00000"/>
        </w:rPr>
        <w:t xml:space="preserve">claims. We group these diagnosis codes by diagnosis area using </w:t>
      </w:r>
      <w:r w:rsidR="00D070B8">
        <w:rPr>
          <w:rFonts w:cstheme="minorHAnsi"/>
          <w:bCs/>
          <w:color w:val="C00000"/>
        </w:rPr>
        <w:t xml:space="preserve">the </w:t>
      </w:r>
      <w:r w:rsidR="00006EFE">
        <w:rPr>
          <w:rFonts w:cstheme="minorHAnsi"/>
          <w:bCs/>
          <w:color w:val="C00000"/>
        </w:rPr>
        <w:t>v</w:t>
      </w:r>
      <w:r w:rsidR="00D070B8">
        <w:rPr>
          <w:rFonts w:cstheme="minorHAnsi"/>
          <w:bCs/>
          <w:color w:val="C00000"/>
        </w:rPr>
        <w:t>201</w:t>
      </w:r>
      <w:r w:rsidR="00006EFE">
        <w:rPr>
          <w:rFonts w:cstheme="minorHAnsi"/>
          <w:bCs/>
          <w:color w:val="C00000"/>
        </w:rPr>
        <w:t>9.1</w:t>
      </w:r>
      <w:r w:rsidR="00D070B8">
        <w:rPr>
          <w:rFonts w:cstheme="minorHAnsi"/>
          <w:bCs/>
          <w:color w:val="C00000"/>
        </w:rPr>
        <w:t xml:space="preserve"> </w:t>
      </w:r>
      <w:r w:rsidR="001E3141" w:rsidRPr="004351AF">
        <w:rPr>
          <w:rFonts w:cs="Calibri"/>
          <w:color w:val="C00000"/>
        </w:rPr>
        <w:t>Agency for Healthcare Research and Quality (AHRQ) Clinical Classifications Software (CCS</w:t>
      </w:r>
      <w:r w:rsidR="001E3141" w:rsidRPr="004351AF">
        <w:rPr>
          <w:rFonts w:cstheme="minorHAnsi"/>
          <w:bCs/>
          <w:color w:val="C00000"/>
        </w:rPr>
        <w:t>)</w:t>
      </w:r>
      <w:r w:rsidR="001E3141">
        <w:rPr>
          <w:rFonts w:cstheme="minorHAnsi"/>
          <w:bCs/>
          <w:color w:val="C00000"/>
        </w:rPr>
        <w:t xml:space="preserve"> diagnosis categories</w:t>
      </w:r>
      <w:r w:rsidRPr="004351AF">
        <w:rPr>
          <w:rFonts w:cstheme="minorHAnsi"/>
          <w:bCs/>
          <w:color w:val="C00000"/>
        </w:rPr>
        <w:t xml:space="preserve">. The </w:t>
      </w:r>
      <w:r w:rsidR="001E3141">
        <w:rPr>
          <w:rFonts w:cstheme="minorHAnsi"/>
          <w:bCs/>
          <w:color w:val="C00000"/>
        </w:rPr>
        <w:t>CCS diagnosis categories</w:t>
      </w:r>
      <w:r w:rsidR="001E3141" w:rsidRPr="004351AF">
        <w:rPr>
          <w:rFonts w:cstheme="minorHAnsi"/>
          <w:bCs/>
          <w:color w:val="C00000"/>
        </w:rPr>
        <w:t xml:space="preserve"> </w:t>
      </w:r>
      <w:r w:rsidRPr="004351AF">
        <w:rPr>
          <w:rFonts w:cstheme="minorHAnsi"/>
          <w:bCs/>
          <w:color w:val="C00000"/>
        </w:rPr>
        <w:t>used in calculation of the SRR are:</w:t>
      </w:r>
    </w:p>
    <w:p w14:paraId="7B694008" w14:textId="417A1610"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6</w:t>
      </w:r>
      <w:r>
        <w:rPr>
          <w:rFonts w:cstheme="minorHAnsi"/>
          <w:bCs/>
          <w:color w:val="C00000"/>
        </w:rPr>
        <w:t>:</w:t>
      </w:r>
      <w:r w:rsidR="00414944">
        <w:rPr>
          <w:rFonts w:cstheme="minorHAnsi"/>
          <w:bCs/>
          <w:color w:val="C00000"/>
        </w:rPr>
        <w:t xml:space="preserve"> </w:t>
      </w:r>
      <w:r w:rsidR="00414944" w:rsidRPr="00414944">
        <w:rPr>
          <w:rFonts w:cstheme="minorHAnsi"/>
          <w:bCs/>
          <w:color w:val="C00000"/>
        </w:rPr>
        <w:t>Hepatitis</w:t>
      </w:r>
    </w:p>
    <w:p w14:paraId="0FCA5D9B" w14:textId="38E4AC2C"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Immunizations and screening for infectious disease</w:t>
      </w:r>
    </w:p>
    <w:p w14:paraId="6175CFF5" w14:textId="309036E8"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42</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Secondary malignancies</w:t>
      </w:r>
    </w:p>
    <w:p w14:paraId="7FB7E33C" w14:textId="2815415C"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50</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Diabetes mellitus with complications</w:t>
      </w:r>
    </w:p>
    <w:p w14:paraId="4C9570F4" w14:textId="2FDC4D91"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51</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Other endocrine disorders</w:t>
      </w:r>
    </w:p>
    <w:p w14:paraId="1C1B19BC" w14:textId="4094B6F1"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52</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Nutritional deficiencies</w:t>
      </w:r>
    </w:p>
    <w:p w14:paraId="56B6F3A6" w14:textId="6DC567D1"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55</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Fluid and electrolyte disorders</w:t>
      </w:r>
    </w:p>
    <w:p w14:paraId="43AE038B" w14:textId="04FDEC47"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59</w:t>
      </w:r>
      <w:r w:rsidR="00512869">
        <w:rPr>
          <w:rFonts w:cstheme="minorHAnsi"/>
          <w:bCs/>
          <w:color w:val="C00000"/>
        </w:rPr>
        <w:t>:</w:t>
      </w:r>
      <w:r w:rsidR="00414944">
        <w:rPr>
          <w:rFonts w:cstheme="minorHAnsi"/>
          <w:bCs/>
          <w:color w:val="C00000"/>
        </w:rPr>
        <w:t xml:space="preserve"> </w:t>
      </w:r>
      <w:r w:rsidR="00414944" w:rsidRPr="00414944">
        <w:rPr>
          <w:rFonts w:cstheme="minorHAnsi"/>
          <w:bCs/>
          <w:color w:val="C00000"/>
        </w:rPr>
        <w:t>Deficiency and other anemia</w:t>
      </w:r>
    </w:p>
    <w:p w14:paraId="05CAB5FB" w14:textId="6BE64F10"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64</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hematologic conditions</w:t>
      </w:r>
    </w:p>
    <w:p w14:paraId="4CB4006D" w14:textId="393F0978"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95</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nervous system disorders</w:t>
      </w:r>
    </w:p>
    <w:p w14:paraId="30812FD0" w14:textId="7D5B1015"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96</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Heart valve disorders</w:t>
      </w:r>
    </w:p>
    <w:p w14:paraId="67140CB6" w14:textId="37E334A0" w:rsidR="00414944" w:rsidRDefault="00945748" w:rsidP="00945748">
      <w:pPr>
        <w:pStyle w:val="ListParagraph"/>
        <w:numPr>
          <w:ilvl w:val="1"/>
          <w:numId w:val="37"/>
        </w:numPr>
        <w:spacing w:after="0"/>
        <w:jc w:val="both"/>
        <w:rPr>
          <w:rFonts w:cstheme="minorHAnsi"/>
          <w:bCs/>
          <w:color w:val="C00000"/>
        </w:rPr>
      </w:pPr>
      <w:r>
        <w:rPr>
          <w:rFonts w:cstheme="minorHAnsi"/>
          <w:bCs/>
          <w:color w:val="C00000"/>
        </w:rPr>
        <w:t>CCS 97:</w:t>
      </w:r>
      <w:r w:rsidR="00414944">
        <w:rPr>
          <w:rFonts w:cstheme="minorHAnsi"/>
          <w:bCs/>
          <w:color w:val="C00000"/>
        </w:rPr>
        <w:t xml:space="preserve"> </w:t>
      </w:r>
      <w:proofErr w:type="spellStart"/>
      <w:r w:rsidR="00414944" w:rsidRPr="00414944">
        <w:rPr>
          <w:rFonts w:cstheme="minorHAnsi"/>
          <w:bCs/>
          <w:color w:val="C00000"/>
        </w:rPr>
        <w:t>Peri</w:t>
      </w:r>
      <w:proofErr w:type="spellEnd"/>
      <w:r w:rsidR="00414944" w:rsidRPr="00414944">
        <w:rPr>
          <w:rFonts w:cstheme="minorHAnsi"/>
          <w:bCs/>
          <w:color w:val="C00000"/>
        </w:rPr>
        <w:t xml:space="preserve">-; endo-; and myocarditis; cardiomyopathy (except that caused by </w:t>
      </w:r>
      <w:r>
        <w:rPr>
          <w:rFonts w:cstheme="minorHAnsi"/>
          <w:bCs/>
          <w:color w:val="C00000"/>
        </w:rPr>
        <w:t xml:space="preserve"> </w:t>
      </w:r>
    </w:p>
    <w:p w14:paraId="2266A17D" w14:textId="60AF6E1B" w:rsidR="00945748" w:rsidRPr="00945748" w:rsidRDefault="00945748" w:rsidP="00945748">
      <w:pPr>
        <w:pStyle w:val="ListParagraph"/>
        <w:spacing w:after="0"/>
        <w:ind w:left="1800"/>
        <w:jc w:val="both"/>
        <w:rPr>
          <w:rFonts w:cstheme="minorHAnsi"/>
          <w:bCs/>
          <w:color w:val="C00000"/>
        </w:rPr>
      </w:pPr>
      <w:r>
        <w:rPr>
          <w:rFonts w:cstheme="minorHAnsi"/>
          <w:bCs/>
          <w:color w:val="C00000"/>
        </w:rPr>
        <w:t xml:space="preserve">               </w:t>
      </w:r>
      <w:proofErr w:type="gramStart"/>
      <w:r w:rsidRPr="00414944">
        <w:rPr>
          <w:rFonts w:cstheme="minorHAnsi"/>
          <w:bCs/>
          <w:color w:val="C00000"/>
        </w:rPr>
        <w:t>tuberculosis</w:t>
      </w:r>
      <w:proofErr w:type="gramEnd"/>
      <w:r w:rsidRPr="00414944">
        <w:rPr>
          <w:rFonts w:cstheme="minorHAnsi"/>
          <w:bCs/>
          <w:color w:val="C00000"/>
        </w:rPr>
        <w:t xml:space="preserve"> or sexually transmitted disease)</w:t>
      </w:r>
    </w:p>
    <w:p w14:paraId="07388D45" w14:textId="63AC922D"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100</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Acute myocardial infarction</w:t>
      </w:r>
    </w:p>
    <w:p w14:paraId="1F9039CE" w14:textId="35B090E5"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Coronary atherosclerosis and other heart disease</w:t>
      </w:r>
    </w:p>
    <w:p w14:paraId="7B064DFA" w14:textId="767E519B"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102</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Nonspecific chest pain</w:t>
      </w:r>
    </w:p>
    <w:p w14:paraId="3BEA6E3A" w14:textId="4581E826"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106</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Cardiac dysrhythmias</w:t>
      </w:r>
    </w:p>
    <w:p w14:paraId="2B936B08" w14:textId="7185F1DC"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107</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Cardiac arrest and ventricular fibrillation</w:t>
      </w:r>
    </w:p>
    <w:p w14:paraId="517DE214" w14:textId="17BE6ABB"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108</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 xml:space="preserve">Congestive heart failure; </w:t>
      </w:r>
      <w:proofErr w:type="spellStart"/>
      <w:r w:rsidR="00414944" w:rsidRPr="00414944">
        <w:rPr>
          <w:rFonts w:cstheme="minorHAnsi"/>
          <w:bCs/>
          <w:color w:val="C00000"/>
        </w:rPr>
        <w:t>nonhypertensive</w:t>
      </w:r>
      <w:proofErr w:type="spellEnd"/>
      <w:r w:rsidR="00945748">
        <w:rPr>
          <w:rFonts w:cstheme="minorHAnsi"/>
          <w:bCs/>
          <w:color w:val="C00000"/>
        </w:rPr>
        <w:t>:</w:t>
      </w:r>
    </w:p>
    <w:p w14:paraId="655700BD" w14:textId="5B2B7AD3"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117</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circulatory disease</w:t>
      </w:r>
    </w:p>
    <w:p w14:paraId="55C44CF1" w14:textId="482CB32F"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118</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Phlebitis; thrombophlebitis and thromboembolism</w:t>
      </w:r>
    </w:p>
    <w:p w14:paraId="66C8A42C" w14:textId="7DB5C98D"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120</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Hemorrhoids</w:t>
      </w:r>
    </w:p>
    <w:p w14:paraId="3A4F1808" w14:textId="3C581823"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121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diseases of veins and lymphatics</w:t>
      </w:r>
    </w:p>
    <w:p w14:paraId="0759C1E7" w14:textId="313A197B" w:rsid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122</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Pneumonia (except that caused by tuber</w:t>
      </w:r>
      <w:r w:rsidR="00945748">
        <w:rPr>
          <w:rFonts w:cstheme="minorHAnsi"/>
          <w:bCs/>
          <w:color w:val="C00000"/>
        </w:rPr>
        <w:t>culosis or sexually transmitted</w:t>
      </w:r>
    </w:p>
    <w:p w14:paraId="2BBF9F44" w14:textId="3E606B77" w:rsidR="00945748" w:rsidRPr="00414944" w:rsidRDefault="00945748" w:rsidP="00945748">
      <w:pPr>
        <w:pStyle w:val="ListParagraph"/>
        <w:spacing w:after="0"/>
        <w:ind w:left="1800"/>
        <w:jc w:val="both"/>
        <w:rPr>
          <w:rFonts w:cstheme="minorHAnsi"/>
          <w:bCs/>
          <w:color w:val="C00000"/>
        </w:rPr>
      </w:pPr>
      <w:r>
        <w:rPr>
          <w:rFonts w:cstheme="minorHAnsi"/>
          <w:bCs/>
          <w:color w:val="C00000"/>
        </w:rPr>
        <w:t xml:space="preserve">                 </w:t>
      </w:r>
      <w:proofErr w:type="gramStart"/>
      <w:r w:rsidRPr="00414944">
        <w:rPr>
          <w:rFonts w:cstheme="minorHAnsi"/>
          <w:bCs/>
          <w:color w:val="C00000"/>
        </w:rPr>
        <w:t>disease</w:t>
      </w:r>
      <w:proofErr w:type="gramEnd"/>
      <w:r w:rsidRPr="00414944">
        <w:rPr>
          <w:rFonts w:cstheme="minorHAnsi"/>
          <w:bCs/>
          <w:color w:val="C00000"/>
        </w:rPr>
        <w:t>)</w:t>
      </w:r>
    </w:p>
    <w:p w14:paraId="197069FA" w14:textId="44E47109"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127</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Chronic obstructive pulmonary disease and bronchiectasis</w:t>
      </w:r>
    </w:p>
    <w:p w14:paraId="089E51FF" w14:textId="1A900DE7"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130</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Pleurisy; pneumothorax; pulmonary collapse</w:t>
      </w:r>
    </w:p>
    <w:p w14:paraId="3CBC63A0" w14:textId="2AA6F366"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Respiratory failure; insufficiency; arrest (adult)</w:t>
      </w:r>
    </w:p>
    <w:p w14:paraId="2246CF9D" w14:textId="199874DF"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133</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lower respiratory disease</w:t>
      </w:r>
    </w:p>
    <w:p w14:paraId="11976F63" w14:textId="25BCA86A"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134</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upper respiratory disease</w:t>
      </w:r>
    </w:p>
    <w:p w14:paraId="7998E906" w14:textId="6442F70F"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135</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Intestinal infection</w:t>
      </w:r>
    </w:p>
    <w:p w14:paraId="7A3096FE" w14:textId="42210295"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138</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Esophageal disorders</w:t>
      </w:r>
    </w:p>
    <w:p w14:paraId="351D8C61" w14:textId="6EF17E4B" w:rsidR="00414944" w:rsidRPr="00414944" w:rsidRDefault="00AE40D9"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Pr>
          <w:rFonts w:cstheme="minorHAnsi"/>
          <w:bCs/>
          <w:color w:val="C00000"/>
        </w:rPr>
        <w:t>140</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 xml:space="preserve">Gastritis and </w:t>
      </w:r>
      <w:proofErr w:type="spellStart"/>
      <w:r w:rsidR="00414944" w:rsidRPr="00414944">
        <w:rPr>
          <w:rFonts w:cstheme="minorHAnsi"/>
          <w:bCs/>
          <w:color w:val="C00000"/>
        </w:rPr>
        <w:t>duodenitis</w:t>
      </w:r>
      <w:proofErr w:type="spellEnd"/>
    </w:p>
    <w:p w14:paraId="499F33B0" w14:textId="147A2A97"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141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disorders of stomach and duodenum</w:t>
      </w:r>
    </w:p>
    <w:p w14:paraId="7B8EC797" w14:textId="55556142"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liver diseases</w:t>
      </w:r>
    </w:p>
    <w:p w14:paraId="2F8BF833" w14:textId="1581170B"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152</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Pancreatic disorders (not diabetes)</w:t>
      </w:r>
    </w:p>
    <w:p w14:paraId="27BD783F" w14:textId="6D4FA3FA"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153</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Gastrointestinal hemorrhage</w:t>
      </w:r>
    </w:p>
    <w:p w14:paraId="2ABAD9D0" w14:textId="5FECAAD0"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154</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Noninfectious gastroenteritis</w:t>
      </w:r>
    </w:p>
    <w:p w14:paraId="5D42BAA1" w14:textId="4E8699DE"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155</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gastrointestinal disorders</w:t>
      </w:r>
    </w:p>
    <w:p w14:paraId="63FEA9EC" w14:textId="6DB6205E"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158</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Chronic kidney disease</w:t>
      </w:r>
    </w:p>
    <w:p w14:paraId="3BC9B11B" w14:textId="6E7717C9"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159</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Urinary tract infections</w:t>
      </w:r>
    </w:p>
    <w:p w14:paraId="439C21A4" w14:textId="5287393B"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197</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Skin and subcutaneous tissue infections</w:t>
      </w:r>
    </w:p>
    <w:p w14:paraId="57C35955" w14:textId="3AAE465B"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198</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inflammatory condition of skin</w:t>
      </w:r>
    </w:p>
    <w:p w14:paraId="7C46FA07" w14:textId="76878285"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199</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Chronic ulcer of skin</w:t>
      </w:r>
    </w:p>
    <w:p w14:paraId="49F2CAD0" w14:textId="2ABBA9BD" w:rsid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201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Infective arthritis and osteomyelitis (except</w:t>
      </w:r>
      <w:r w:rsidR="00945748">
        <w:rPr>
          <w:rFonts w:cstheme="minorHAnsi"/>
          <w:bCs/>
          <w:color w:val="C00000"/>
        </w:rPr>
        <w:t xml:space="preserve"> that caused by tuberculosis or</w:t>
      </w:r>
    </w:p>
    <w:p w14:paraId="267724D9" w14:textId="00071FF9" w:rsidR="00945748" w:rsidRPr="00945748" w:rsidRDefault="00945748" w:rsidP="00945748">
      <w:pPr>
        <w:spacing w:after="0"/>
        <w:ind w:left="1440"/>
        <w:jc w:val="both"/>
        <w:rPr>
          <w:rFonts w:cstheme="minorHAnsi"/>
          <w:bCs/>
          <w:color w:val="C00000"/>
        </w:rPr>
      </w:pPr>
      <w:r>
        <w:rPr>
          <w:rFonts w:cstheme="minorHAnsi"/>
          <w:bCs/>
          <w:color w:val="C00000"/>
        </w:rPr>
        <w:t xml:space="preserve">       </w:t>
      </w:r>
      <w:r w:rsidRPr="00945748">
        <w:rPr>
          <w:rFonts w:cstheme="minorHAnsi"/>
          <w:bCs/>
          <w:color w:val="C00000"/>
        </w:rPr>
        <w:t xml:space="preserve">                </w:t>
      </w:r>
      <w:r>
        <w:rPr>
          <w:rFonts w:cstheme="minorHAnsi"/>
          <w:bCs/>
          <w:color w:val="C00000"/>
        </w:rPr>
        <w:t xml:space="preserve"> </w:t>
      </w:r>
      <w:proofErr w:type="gramStart"/>
      <w:r w:rsidRPr="00945748">
        <w:rPr>
          <w:rFonts w:cstheme="minorHAnsi"/>
          <w:bCs/>
          <w:color w:val="C00000"/>
        </w:rPr>
        <w:t>sexually</w:t>
      </w:r>
      <w:proofErr w:type="gramEnd"/>
      <w:r w:rsidRPr="00945748">
        <w:rPr>
          <w:rFonts w:cstheme="minorHAnsi"/>
          <w:bCs/>
          <w:color w:val="C00000"/>
        </w:rPr>
        <w:t xml:space="preserve"> transmitted disease)</w:t>
      </w:r>
    </w:p>
    <w:p w14:paraId="025B798A" w14:textId="05896F58"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237</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Complication of device; implant or graft</w:t>
      </w:r>
    </w:p>
    <w:p w14:paraId="0A524CCC" w14:textId="7B3CEEDA"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244</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Other injuries and conditions due to external causes</w:t>
      </w:r>
    </w:p>
    <w:p w14:paraId="1258E14A" w14:textId="5C6FAF2B"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251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Abdominal pain</w:t>
      </w:r>
    </w:p>
    <w:p w14:paraId="76C7A0AC" w14:textId="2150B505"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253</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Allergic reactions</w:t>
      </w:r>
    </w:p>
    <w:p w14:paraId="636BDE68" w14:textId="1F317F4E"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255</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Administrative/social admission</w:t>
      </w:r>
    </w:p>
    <w:p w14:paraId="3C401E03" w14:textId="4EFCA668"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259</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Residual codes; unclassified</w:t>
      </w:r>
    </w:p>
    <w:p w14:paraId="02CC37F4" w14:textId="25DD6468"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651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Anxiety disorders</w:t>
      </w:r>
    </w:p>
    <w:p w14:paraId="6F8B3D77" w14:textId="63535011"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659</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Schizophrenia and other psychotic disorders</w:t>
      </w:r>
    </w:p>
    <w:p w14:paraId="4BC1F66B" w14:textId="0FBB406E" w:rsidR="00414944"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660</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Alcohol-related disorders</w:t>
      </w:r>
    </w:p>
    <w:p w14:paraId="7B1A8464" w14:textId="5600E279" w:rsidR="004351AF" w:rsidRPr="00414944" w:rsidRDefault="00521287" w:rsidP="00414944">
      <w:pPr>
        <w:pStyle w:val="ListParagraph"/>
        <w:numPr>
          <w:ilvl w:val="1"/>
          <w:numId w:val="37"/>
        </w:numPr>
        <w:spacing w:after="0"/>
        <w:jc w:val="both"/>
        <w:rPr>
          <w:rFonts w:cstheme="minorHAnsi"/>
          <w:bCs/>
          <w:color w:val="C00000"/>
        </w:rPr>
      </w:pPr>
      <w:r>
        <w:rPr>
          <w:rFonts w:cstheme="minorHAnsi"/>
          <w:bCs/>
          <w:color w:val="C00000"/>
        </w:rPr>
        <w:t xml:space="preserve">CCS </w:t>
      </w:r>
      <w:r w:rsidR="00414944" w:rsidRPr="00414944">
        <w:rPr>
          <w:rFonts w:cstheme="minorHAnsi"/>
          <w:bCs/>
          <w:color w:val="C00000"/>
        </w:rPr>
        <w:t>661</w:t>
      </w:r>
      <w:r w:rsidR="00945748">
        <w:rPr>
          <w:rFonts w:cstheme="minorHAnsi"/>
          <w:bCs/>
          <w:color w:val="C00000"/>
        </w:rPr>
        <w:t>:</w:t>
      </w:r>
      <w:r w:rsidR="00414944">
        <w:rPr>
          <w:rFonts w:cstheme="minorHAnsi"/>
          <w:bCs/>
          <w:color w:val="C00000"/>
        </w:rPr>
        <w:t xml:space="preserve"> </w:t>
      </w:r>
      <w:r w:rsidR="00414944" w:rsidRPr="00414944">
        <w:rPr>
          <w:rFonts w:cstheme="minorHAnsi"/>
          <w:bCs/>
          <w:color w:val="C00000"/>
        </w:rPr>
        <w:t>Substance-related disorders</w:t>
      </w:r>
    </w:p>
    <w:p w14:paraId="4355EF42" w14:textId="77777777" w:rsidR="004351AF" w:rsidRPr="004351AF" w:rsidRDefault="004351AF" w:rsidP="004351AF">
      <w:pPr>
        <w:pStyle w:val="ListParagraph"/>
        <w:numPr>
          <w:ilvl w:val="0"/>
          <w:numId w:val="37"/>
        </w:numPr>
        <w:spacing w:after="0"/>
        <w:jc w:val="both"/>
        <w:rPr>
          <w:rFonts w:cstheme="minorHAnsi"/>
          <w:bCs/>
          <w:color w:val="C00000"/>
        </w:rPr>
      </w:pPr>
      <w:r w:rsidRPr="004351AF">
        <w:rPr>
          <w:rFonts w:cstheme="minorHAnsi"/>
          <w:bCs/>
          <w:color w:val="C00000"/>
        </w:rPr>
        <w:t xml:space="preserve">Discharged with high-risk condition: We define a </w:t>
      </w:r>
      <w:r w:rsidRPr="004351AF">
        <w:rPr>
          <w:rFonts w:cstheme="minorHAnsi"/>
          <w:bCs/>
          <w:i/>
          <w:color w:val="C00000"/>
        </w:rPr>
        <w:t>high-risk</w:t>
      </w:r>
      <w:r w:rsidRPr="004351AF">
        <w:rPr>
          <w:rFonts w:cstheme="minorHAnsi"/>
          <w:bCs/>
          <w:color w:val="C00000"/>
        </w:rPr>
        <w:t xml:space="preserve"> diagnosis as any diagnosis area that was rare in our population but had a 30-day readmission rate of at least 40%. We did not include high-risk diagnosis groups related to cancer or mental health. We group these conditions using </w:t>
      </w:r>
      <w:r w:rsidRPr="004351AF">
        <w:rPr>
          <w:rFonts w:cs="Calibri"/>
          <w:color w:val="C00000"/>
        </w:rPr>
        <w:t>the Agency for Healthcare Research and Quality (AHRQ) Clinical Classifications Software (CCS</w:t>
      </w:r>
      <w:r w:rsidRPr="004351AF">
        <w:rPr>
          <w:rFonts w:cstheme="minorHAnsi"/>
          <w:bCs/>
          <w:color w:val="C00000"/>
        </w:rPr>
        <w:t>). The CCS areas identified as high-risk are:</w:t>
      </w:r>
    </w:p>
    <w:p w14:paraId="52C8856D"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5</w:t>
      </w:r>
      <w:r w:rsidRPr="004351AF">
        <w:rPr>
          <w:rFonts w:cstheme="minorHAnsi"/>
          <w:color w:val="C00000"/>
        </w:rPr>
        <w:t>: HIV infection</w:t>
      </w:r>
    </w:p>
    <w:p w14:paraId="71B38741"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6</w:t>
      </w:r>
      <w:r w:rsidRPr="004351AF">
        <w:rPr>
          <w:rFonts w:cstheme="minorHAnsi"/>
          <w:color w:val="C00000"/>
        </w:rPr>
        <w:t>: Hepatitis</w:t>
      </w:r>
    </w:p>
    <w:p w14:paraId="0F58AE98"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56</w:t>
      </w:r>
      <w:r w:rsidRPr="004351AF">
        <w:rPr>
          <w:rFonts w:cstheme="minorHAnsi"/>
          <w:color w:val="C00000"/>
        </w:rPr>
        <w:t>: Cystic fibrosis</w:t>
      </w:r>
    </w:p>
    <w:p w14:paraId="582EB8EF"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57</w:t>
      </w:r>
      <w:r w:rsidRPr="004351AF">
        <w:rPr>
          <w:rFonts w:cstheme="minorHAnsi"/>
          <w:color w:val="C00000"/>
        </w:rPr>
        <w:t>: Immunity disorders</w:t>
      </w:r>
    </w:p>
    <w:p w14:paraId="1379A01D"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61</w:t>
      </w:r>
      <w:r w:rsidRPr="004351AF">
        <w:rPr>
          <w:rFonts w:cstheme="minorHAnsi"/>
          <w:color w:val="C00000"/>
        </w:rPr>
        <w:t>: Sickle cell anemia</w:t>
      </w:r>
    </w:p>
    <w:p w14:paraId="3C00329B"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190</w:t>
      </w:r>
      <w:r w:rsidRPr="004351AF">
        <w:rPr>
          <w:rFonts w:cstheme="minorHAnsi"/>
          <w:color w:val="C00000"/>
        </w:rPr>
        <w:t>: Fetal distress and abnormal forces of labor</w:t>
      </w:r>
    </w:p>
    <w:p w14:paraId="6EA23561"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151</w:t>
      </w:r>
      <w:r w:rsidRPr="004351AF">
        <w:rPr>
          <w:rFonts w:cstheme="minorHAnsi"/>
          <w:color w:val="C00000"/>
        </w:rPr>
        <w:t>: Other liver diseases</w:t>
      </w:r>
    </w:p>
    <w:p w14:paraId="5FE6B89B"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182</w:t>
      </w:r>
      <w:r w:rsidRPr="004351AF">
        <w:rPr>
          <w:rFonts w:cstheme="minorHAnsi"/>
          <w:color w:val="C00000"/>
        </w:rPr>
        <w:t xml:space="preserve">: Hemorrhage during pregnancy; </w:t>
      </w:r>
      <w:proofErr w:type="spellStart"/>
      <w:r w:rsidRPr="004351AF">
        <w:rPr>
          <w:rFonts w:cstheme="minorHAnsi"/>
          <w:color w:val="C00000"/>
        </w:rPr>
        <w:t>abruptio</w:t>
      </w:r>
      <w:proofErr w:type="spellEnd"/>
      <w:r w:rsidRPr="004351AF">
        <w:rPr>
          <w:rFonts w:cstheme="minorHAnsi"/>
          <w:color w:val="C00000"/>
        </w:rPr>
        <w:t xml:space="preserve"> placenta; placenta </w:t>
      </w:r>
      <w:proofErr w:type="spellStart"/>
      <w:r w:rsidRPr="004351AF">
        <w:rPr>
          <w:rFonts w:cstheme="minorHAnsi"/>
          <w:color w:val="C00000"/>
        </w:rPr>
        <w:t>previa</w:t>
      </w:r>
      <w:proofErr w:type="spellEnd"/>
    </w:p>
    <w:p w14:paraId="31450194" w14:textId="52101959" w:rsid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186</w:t>
      </w:r>
      <w:r w:rsidRPr="004351AF">
        <w:rPr>
          <w:rFonts w:cstheme="minorHAnsi"/>
          <w:color w:val="C00000"/>
        </w:rPr>
        <w:t xml:space="preserve">: Diabetes or abnormal glucose tolerance complicating pregnancy; childbirth; </w:t>
      </w:r>
    </w:p>
    <w:p w14:paraId="4EA9537B" w14:textId="5E950723" w:rsidR="0015157A" w:rsidRPr="0015157A" w:rsidRDefault="0015157A" w:rsidP="0015157A">
      <w:pPr>
        <w:pStyle w:val="ListParagraph"/>
        <w:spacing w:after="0"/>
        <w:ind w:left="1800"/>
        <w:jc w:val="both"/>
        <w:rPr>
          <w:rFonts w:cstheme="minorHAnsi"/>
          <w:color w:val="C00000"/>
        </w:rPr>
      </w:pPr>
      <w:r>
        <w:rPr>
          <w:rFonts w:cstheme="minorHAnsi"/>
          <w:color w:val="C00000"/>
        </w:rPr>
        <w:t xml:space="preserve">                 </w:t>
      </w:r>
      <w:proofErr w:type="gramStart"/>
      <w:r w:rsidRPr="004351AF">
        <w:rPr>
          <w:rFonts w:cstheme="minorHAnsi"/>
          <w:color w:val="C00000"/>
        </w:rPr>
        <w:t>or</w:t>
      </w:r>
      <w:proofErr w:type="gramEnd"/>
      <w:r w:rsidRPr="004351AF">
        <w:rPr>
          <w:rFonts w:cstheme="minorHAnsi"/>
          <w:color w:val="C00000"/>
        </w:rPr>
        <w:t xml:space="preserve"> the puerperium</w:t>
      </w:r>
    </w:p>
    <w:p w14:paraId="3F5A5A7D"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210</w:t>
      </w:r>
      <w:r w:rsidRPr="004351AF">
        <w:rPr>
          <w:rFonts w:cstheme="minorHAnsi"/>
          <w:color w:val="C00000"/>
        </w:rPr>
        <w:t>: Systemic lupus erythematosus and connective tissue disorders</w:t>
      </w:r>
    </w:p>
    <w:p w14:paraId="084E5171" w14:textId="77777777" w:rsidR="004351AF" w:rsidRPr="004351AF" w:rsidRDefault="004351AF" w:rsidP="004351AF">
      <w:pPr>
        <w:pStyle w:val="ListParagraph"/>
        <w:numPr>
          <w:ilvl w:val="1"/>
          <w:numId w:val="37"/>
        </w:numPr>
        <w:spacing w:after="0"/>
        <w:jc w:val="both"/>
        <w:rPr>
          <w:rFonts w:cstheme="minorHAnsi"/>
          <w:color w:val="C00000"/>
        </w:rPr>
      </w:pPr>
      <w:r w:rsidRPr="009A7902">
        <w:rPr>
          <w:rFonts w:cstheme="minorHAnsi"/>
          <w:color w:val="C00000"/>
        </w:rPr>
        <w:t>CCS 243</w:t>
      </w:r>
      <w:r w:rsidRPr="004351AF">
        <w:rPr>
          <w:rFonts w:cstheme="minorHAnsi"/>
          <w:color w:val="C00000"/>
        </w:rPr>
        <w:t>: Poisoning by nonmedicinal substances</w:t>
      </w:r>
    </w:p>
    <w:p w14:paraId="3F972255" w14:textId="77777777" w:rsidR="004351AF" w:rsidRPr="004351AF" w:rsidRDefault="004351AF" w:rsidP="004351AF">
      <w:pPr>
        <w:spacing w:after="0"/>
        <w:jc w:val="both"/>
        <w:rPr>
          <w:rFonts w:eastAsia="CMR12" w:cs="Times New Roman"/>
          <w:color w:val="C00000"/>
        </w:rPr>
      </w:pPr>
    </w:p>
    <w:p w14:paraId="0B26CB6E" w14:textId="77777777" w:rsidR="00423A4F" w:rsidRDefault="00423A4F" w:rsidP="009D3882">
      <w:pPr>
        <w:rPr>
          <w:rFonts w:cs="Calibri"/>
          <w:b/>
          <w:bCs/>
        </w:rPr>
      </w:pPr>
    </w:p>
    <w:p w14:paraId="603F0B8C" w14:textId="77777777" w:rsidR="00423A4F" w:rsidRDefault="00423A4F" w:rsidP="009D3882">
      <w:pPr>
        <w:rPr>
          <w:rFonts w:cs="Calibri"/>
          <w:b/>
          <w:bCs/>
        </w:rPr>
      </w:pPr>
    </w:p>
    <w:p w14:paraId="64A4FEB1" w14:textId="086FA3FF" w:rsidR="00F87C96" w:rsidRPr="00DD72DD" w:rsidRDefault="009C7513" w:rsidP="009D3882">
      <w:pPr>
        <w:rPr>
          <w:rFonts w:cstheme="minorHAns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F87C96" w:rsidRPr="00DD72DD">
        <w:rPr>
          <w:rFonts w:cstheme="minorHAnsi"/>
          <w:bCs/>
        </w:rPr>
        <w:t>N/A</w:t>
      </w:r>
    </w:p>
    <w:p w14:paraId="2A5EC80C" w14:textId="77777777" w:rsidR="00F87C96"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546A320" w14:textId="4788B360" w:rsidR="00F87C96" w:rsidRDefault="00F87C96" w:rsidP="008E0BF1">
      <w:pPr>
        <w:pStyle w:val="BodyText"/>
        <w:spacing w:before="6" w:line="230" w:lineRule="auto"/>
        <w:ind w:left="1" w:right="60" w:hanging="1"/>
      </w:pPr>
      <w:r>
        <w:t>The list of covariates considered was based on CMS’ Hospital-Wide All-Cause Readmission Rate (HWR; NQF #1789) and CMS’ Standardized Hospitalization Ratio (SHR; NQF #1463), all of which were statistically verified by the measure developer.</w:t>
      </w:r>
      <w:r>
        <w:rPr>
          <w:position w:val="10"/>
          <w:sz w:val="14"/>
        </w:rPr>
        <w:t xml:space="preserve">1 </w:t>
      </w:r>
      <w:r>
        <w:t>The HWR and SHR adjusted for patient comorbidities</w:t>
      </w:r>
      <w:r w:rsidR="008E0BF1">
        <w:t xml:space="preserve"> </w:t>
      </w:r>
      <w:r>
        <w:t>measured at different points in time (prevalent and at ESRD incidence, respectively). Based on TEP input, we chose as a starting point the HWR comorbidity adjustments which are defined using claims data and can capture current comorbidities. There are concerns about the use of current comorbidities as adjustments in the SHR because they may reflect results of poor treatment and so lie in the causal path leading to hospitalization. These concerns are less salient when considering readmission since, whatever the cause of hospitalization, effective treatment and coordination to avoid readmission is important. In addition, we included length of the index hospitalization and severity of the index diagnosis as additional adjustments.</w:t>
      </w:r>
    </w:p>
    <w:p w14:paraId="61ECF124" w14:textId="77777777" w:rsidR="00F87C96" w:rsidRDefault="00F87C96" w:rsidP="008E0BF1">
      <w:pPr>
        <w:pStyle w:val="BodyText"/>
        <w:spacing w:before="11"/>
        <w:ind w:right="60"/>
        <w:rPr>
          <w:sz w:val="21"/>
        </w:rPr>
      </w:pPr>
    </w:p>
    <w:p w14:paraId="59EBEF35" w14:textId="77777777" w:rsidR="00F87C96" w:rsidRDefault="00F87C96" w:rsidP="008E0BF1">
      <w:pPr>
        <w:pStyle w:val="BodyText"/>
        <w:spacing w:before="1"/>
        <w:ind w:left="1" w:right="60"/>
      </w:pPr>
      <w:r>
        <w:t xml:space="preserve">The risk adjustment is based on a two-stage logistic model. The adjustment is made for patient age, sex, diabetes, duration of ESRD, BMI at incidence, prior-year comorbidities, </w:t>
      </w:r>
      <w:proofErr w:type="gramStart"/>
      <w:r>
        <w:t>length</w:t>
      </w:r>
      <w:proofErr w:type="gramEnd"/>
      <w:r>
        <w:t xml:space="preserve"> of hospital stay and presence of a high-risk diagnosis at discharge. In the first stage of this model, both dialysis facilities and hospitals are represented as random effects, and regression adjustments are made for the set of patient-level characteristics listed above. From this first stage, we obtain the estimated standard deviation of the random effects of hospitals.</w:t>
      </w:r>
    </w:p>
    <w:p w14:paraId="4B44AB21" w14:textId="77777777" w:rsidR="00F87C96" w:rsidRDefault="00F87C96" w:rsidP="008E0BF1">
      <w:pPr>
        <w:pStyle w:val="BodyText"/>
        <w:spacing w:before="10"/>
        <w:ind w:right="60"/>
        <w:rPr>
          <w:sz w:val="21"/>
        </w:rPr>
      </w:pPr>
    </w:p>
    <w:p w14:paraId="2465F9E4" w14:textId="77777777" w:rsidR="00F87C96" w:rsidRDefault="00F87C96" w:rsidP="008E0BF1">
      <w:pPr>
        <w:pStyle w:val="BodyText"/>
        <w:ind w:left="1" w:right="60"/>
      </w:pPr>
      <w:r>
        <w:t>The second stage of the model is a mixed-effects model, in which facilities are fixed effects and hospitals are modeled as random effects, with the standard deviation specified as equal to its estimate from the first stage. The expected number of readmissions for each facility is estimated as the summation of the probabilities of readmission for the discharges of all patients in this facility, assuming the national average or norm for facility effect. This model accounts for a given facility’s case mix using the same set of patient-level characteristics as those in the first stage.</w:t>
      </w:r>
    </w:p>
    <w:p w14:paraId="77305EB1" w14:textId="77777777" w:rsidR="00F87C96" w:rsidRDefault="00F87C96" w:rsidP="008E0BF1">
      <w:pPr>
        <w:pStyle w:val="BodyText"/>
        <w:spacing w:before="2"/>
        <w:ind w:right="60"/>
        <w:rPr>
          <w:sz w:val="20"/>
        </w:rPr>
      </w:pPr>
    </w:p>
    <w:p w14:paraId="15AD955A" w14:textId="77777777" w:rsidR="00F87C96" w:rsidRDefault="00F87C96" w:rsidP="008E0BF1">
      <w:pPr>
        <w:pStyle w:val="BodyText"/>
        <w:ind w:left="2" w:right="60" w:hanging="1"/>
      </w:pPr>
      <w:r>
        <w:t>Relevant references are below</w:t>
      </w:r>
      <w:r>
        <w:rPr>
          <w:position w:val="10"/>
          <w:sz w:val="14"/>
        </w:rPr>
        <w:t>2</w:t>
      </w:r>
      <w:proofErr w:type="gramStart"/>
      <w:r>
        <w:rPr>
          <w:position w:val="10"/>
          <w:sz w:val="14"/>
        </w:rPr>
        <w:t>,3</w:t>
      </w:r>
      <w:proofErr w:type="gramEnd"/>
      <w:r>
        <w:t>; we conducted all analyses in R and SAS. The analyses presented here are based on ICD-9 codes; a crosswalk of ICD-9 to ICD-10 codes is presented in the Appendix.</w:t>
      </w:r>
    </w:p>
    <w:p w14:paraId="3F476AA6" w14:textId="77777777" w:rsidR="00F87C96" w:rsidRDefault="00F87C96" w:rsidP="008E0BF1">
      <w:pPr>
        <w:pStyle w:val="BodyText"/>
        <w:ind w:right="60"/>
      </w:pPr>
    </w:p>
    <w:p w14:paraId="31D32AB0" w14:textId="77777777" w:rsidR="00F87C96" w:rsidRDefault="00F87C96" w:rsidP="008E0BF1">
      <w:pPr>
        <w:pStyle w:val="BodyText"/>
        <w:ind w:right="60"/>
        <w:rPr>
          <w:sz w:val="24"/>
        </w:rPr>
      </w:pPr>
    </w:p>
    <w:p w14:paraId="0D196740" w14:textId="77777777" w:rsidR="00F87C96" w:rsidRDefault="00F87C96" w:rsidP="008E0BF1">
      <w:pPr>
        <w:pStyle w:val="ListParagraph"/>
        <w:widowControl w:val="0"/>
        <w:numPr>
          <w:ilvl w:val="0"/>
          <w:numId w:val="35"/>
        </w:numPr>
        <w:tabs>
          <w:tab w:val="left" w:pos="298"/>
        </w:tabs>
        <w:autoSpaceDE w:val="0"/>
        <w:autoSpaceDN w:val="0"/>
        <w:spacing w:after="0" w:line="240" w:lineRule="auto"/>
        <w:ind w:left="2" w:right="60" w:firstLine="0"/>
        <w:contextualSpacing w:val="0"/>
        <w:rPr>
          <w:sz w:val="18"/>
        </w:rPr>
      </w:pPr>
      <w:proofErr w:type="spellStart"/>
      <w:r>
        <w:rPr>
          <w:sz w:val="18"/>
        </w:rPr>
        <w:t>Horwitz</w:t>
      </w:r>
      <w:proofErr w:type="spellEnd"/>
      <w:r>
        <w:rPr>
          <w:sz w:val="18"/>
        </w:rPr>
        <w:t xml:space="preserve"> L, </w:t>
      </w:r>
      <w:proofErr w:type="spellStart"/>
      <w:r>
        <w:rPr>
          <w:sz w:val="18"/>
        </w:rPr>
        <w:t>Partovian</w:t>
      </w:r>
      <w:proofErr w:type="spellEnd"/>
      <w:r>
        <w:rPr>
          <w:sz w:val="18"/>
        </w:rPr>
        <w:t xml:space="preserve"> C, Lin Z, et al. “Hospital-wide all-cause risk-standardized readmission measure: Measure methodology report.” Technical paper submitted to the Centers for Medicare and Medicaid Services. September 27, 2011. Available at </w:t>
      </w:r>
      <w:hyperlink r:id="rId15">
        <w:r>
          <w:rPr>
            <w:color w:val="0000FF"/>
            <w:sz w:val="18"/>
          </w:rPr>
          <w:t>http://www.naph.org/Unpublished-Documents/Hospital-Wide-All-Condition-30-Day-Risk-Standardized-Readmission-</w:t>
        </w:r>
      </w:hyperlink>
      <w:r>
        <w:rPr>
          <w:color w:val="0000FF"/>
          <w:sz w:val="18"/>
        </w:rPr>
        <w:t xml:space="preserve"> Measure.aspx</w:t>
      </w:r>
      <w:r>
        <w:rPr>
          <w:sz w:val="18"/>
        </w:rPr>
        <w:t>. Accessed December 6,</w:t>
      </w:r>
      <w:r>
        <w:rPr>
          <w:spacing w:val="-9"/>
          <w:sz w:val="18"/>
        </w:rPr>
        <w:t xml:space="preserve"> </w:t>
      </w:r>
      <w:r>
        <w:rPr>
          <w:sz w:val="18"/>
        </w:rPr>
        <w:t>2012.</w:t>
      </w:r>
    </w:p>
    <w:p w14:paraId="229AB667" w14:textId="77777777" w:rsidR="00F87C96" w:rsidRDefault="00F87C96" w:rsidP="008E0BF1">
      <w:pPr>
        <w:pStyle w:val="ListParagraph"/>
        <w:widowControl w:val="0"/>
        <w:numPr>
          <w:ilvl w:val="0"/>
          <w:numId w:val="35"/>
        </w:numPr>
        <w:tabs>
          <w:tab w:val="left" w:pos="299"/>
        </w:tabs>
        <w:autoSpaceDE w:val="0"/>
        <w:autoSpaceDN w:val="0"/>
        <w:spacing w:before="1" w:after="0" w:line="240" w:lineRule="auto"/>
        <w:ind w:left="2" w:right="60" w:firstLine="0"/>
        <w:contextualSpacing w:val="0"/>
        <w:rPr>
          <w:sz w:val="18"/>
        </w:rPr>
      </w:pPr>
      <w:r>
        <w:rPr>
          <w:sz w:val="18"/>
        </w:rPr>
        <w:t>He</w:t>
      </w:r>
      <w:r>
        <w:rPr>
          <w:spacing w:val="-3"/>
          <w:sz w:val="18"/>
        </w:rPr>
        <w:t xml:space="preserve"> </w:t>
      </w:r>
      <w:r>
        <w:rPr>
          <w:sz w:val="18"/>
        </w:rPr>
        <w:t>K,</w:t>
      </w:r>
      <w:r>
        <w:rPr>
          <w:spacing w:val="-2"/>
          <w:sz w:val="18"/>
        </w:rPr>
        <w:t xml:space="preserve"> </w:t>
      </w:r>
      <w:proofErr w:type="spellStart"/>
      <w:r>
        <w:rPr>
          <w:sz w:val="18"/>
        </w:rPr>
        <w:t>Kalbfleisch</w:t>
      </w:r>
      <w:proofErr w:type="spellEnd"/>
      <w:r>
        <w:rPr>
          <w:spacing w:val="-3"/>
          <w:sz w:val="18"/>
        </w:rPr>
        <w:t xml:space="preserve"> </w:t>
      </w:r>
      <w:r>
        <w:rPr>
          <w:sz w:val="18"/>
        </w:rPr>
        <w:t>JD,</w:t>
      </w:r>
      <w:r>
        <w:rPr>
          <w:spacing w:val="-2"/>
          <w:sz w:val="18"/>
        </w:rPr>
        <w:t xml:space="preserve"> </w:t>
      </w:r>
      <w:r>
        <w:rPr>
          <w:sz w:val="18"/>
        </w:rPr>
        <w:t>Li</w:t>
      </w:r>
      <w:r>
        <w:rPr>
          <w:spacing w:val="-3"/>
          <w:sz w:val="18"/>
        </w:rPr>
        <w:t xml:space="preserve"> </w:t>
      </w:r>
      <w:r>
        <w:rPr>
          <w:sz w:val="18"/>
        </w:rPr>
        <w:t>Y,</w:t>
      </w:r>
      <w:r>
        <w:rPr>
          <w:spacing w:val="-2"/>
          <w:sz w:val="18"/>
        </w:rPr>
        <w:t xml:space="preserve"> </w:t>
      </w:r>
      <w:r>
        <w:rPr>
          <w:sz w:val="18"/>
        </w:rPr>
        <w:t>Li</w:t>
      </w:r>
      <w:r>
        <w:rPr>
          <w:spacing w:val="-3"/>
          <w:sz w:val="18"/>
        </w:rPr>
        <w:t xml:space="preserve"> </w:t>
      </w:r>
      <w:r>
        <w:rPr>
          <w:sz w:val="18"/>
        </w:rPr>
        <w:t>Y.</w:t>
      </w:r>
      <w:r>
        <w:rPr>
          <w:spacing w:val="-2"/>
          <w:sz w:val="18"/>
        </w:rPr>
        <w:t xml:space="preserve"> </w:t>
      </w:r>
      <w:r>
        <w:rPr>
          <w:sz w:val="18"/>
        </w:rPr>
        <w:t>“Evaluating</w:t>
      </w:r>
      <w:r>
        <w:rPr>
          <w:spacing w:val="-3"/>
          <w:sz w:val="18"/>
        </w:rPr>
        <w:t xml:space="preserve"> </w:t>
      </w:r>
      <w:r>
        <w:rPr>
          <w:sz w:val="18"/>
        </w:rPr>
        <w:t>readmission</w:t>
      </w:r>
      <w:r>
        <w:rPr>
          <w:spacing w:val="-3"/>
          <w:sz w:val="18"/>
        </w:rPr>
        <w:t xml:space="preserve"> </w:t>
      </w:r>
      <w:r>
        <w:rPr>
          <w:sz w:val="18"/>
        </w:rPr>
        <w:t>rates</w:t>
      </w:r>
      <w:r>
        <w:rPr>
          <w:spacing w:val="-3"/>
          <w:sz w:val="18"/>
        </w:rPr>
        <w:t xml:space="preserve"> </w:t>
      </w:r>
      <w:r>
        <w:rPr>
          <w:sz w:val="18"/>
        </w:rPr>
        <w:t>in</w:t>
      </w:r>
      <w:r>
        <w:rPr>
          <w:spacing w:val="-1"/>
          <w:sz w:val="18"/>
        </w:rPr>
        <w:t xml:space="preserve"> </w:t>
      </w:r>
      <w:r>
        <w:rPr>
          <w:sz w:val="18"/>
        </w:rPr>
        <w:t>dialysis</w:t>
      </w:r>
      <w:r>
        <w:rPr>
          <w:spacing w:val="-3"/>
          <w:sz w:val="18"/>
        </w:rPr>
        <w:t xml:space="preserve"> </w:t>
      </w:r>
      <w:r>
        <w:rPr>
          <w:sz w:val="18"/>
        </w:rPr>
        <w:t>facilities</w:t>
      </w:r>
      <w:r>
        <w:rPr>
          <w:spacing w:val="-3"/>
          <w:sz w:val="18"/>
        </w:rPr>
        <w:t xml:space="preserve"> </w:t>
      </w:r>
      <w:r>
        <w:rPr>
          <w:sz w:val="18"/>
        </w:rPr>
        <w:t>with</w:t>
      </w:r>
      <w:r>
        <w:rPr>
          <w:spacing w:val="-3"/>
          <w:sz w:val="18"/>
        </w:rPr>
        <w:t xml:space="preserve"> </w:t>
      </w:r>
      <w:r>
        <w:rPr>
          <w:sz w:val="18"/>
        </w:rPr>
        <w:t>or</w:t>
      </w:r>
      <w:r>
        <w:rPr>
          <w:spacing w:val="-3"/>
          <w:sz w:val="18"/>
        </w:rPr>
        <w:t xml:space="preserve"> </w:t>
      </w:r>
      <w:r>
        <w:rPr>
          <w:sz w:val="18"/>
        </w:rPr>
        <w:t>without</w:t>
      </w:r>
      <w:r>
        <w:rPr>
          <w:spacing w:val="-3"/>
          <w:sz w:val="18"/>
        </w:rPr>
        <w:t xml:space="preserve"> </w:t>
      </w:r>
      <w:r>
        <w:rPr>
          <w:sz w:val="18"/>
        </w:rPr>
        <w:t>adjustment</w:t>
      </w:r>
      <w:r>
        <w:rPr>
          <w:spacing w:val="-3"/>
          <w:sz w:val="18"/>
        </w:rPr>
        <w:t xml:space="preserve"> </w:t>
      </w:r>
      <w:r>
        <w:rPr>
          <w:sz w:val="18"/>
        </w:rPr>
        <w:t>for</w:t>
      </w:r>
      <w:r>
        <w:rPr>
          <w:spacing w:val="-3"/>
          <w:sz w:val="18"/>
        </w:rPr>
        <w:t xml:space="preserve"> </w:t>
      </w:r>
      <w:r>
        <w:rPr>
          <w:sz w:val="18"/>
        </w:rPr>
        <w:t>hospital effects.” Unpublished manuscript.</w:t>
      </w:r>
      <w:r>
        <w:rPr>
          <w:spacing w:val="-9"/>
          <w:sz w:val="18"/>
        </w:rPr>
        <w:t xml:space="preserve"> </w:t>
      </w:r>
      <w:r>
        <w:rPr>
          <w:sz w:val="18"/>
        </w:rPr>
        <w:t>2012.</w:t>
      </w:r>
    </w:p>
    <w:p w14:paraId="24545115" w14:textId="77777777" w:rsidR="00F87C96" w:rsidRDefault="00F87C96" w:rsidP="008E0BF1">
      <w:pPr>
        <w:pStyle w:val="ListParagraph"/>
        <w:widowControl w:val="0"/>
        <w:numPr>
          <w:ilvl w:val="0"/>
          <w:numId w:val="35"/>
        </w:numPr>
        <w:tabs>
          <w:tab w:val="left" w:pos="299"/>
        </w:tabs>
        <w:autoSpaceDE w:val="0"/>
        <w:autoSpaceDN w:val="0"/>
        <w:spacing w:before="1" w:after="0" w:line="240" w:lineRule="auto"/>
        <w:ind w:left="180" w:right="60"/>
        <w:contextualSpacing w:val="0"/>
        <w:rPr>
          <w:sz w:val="18"/>
        </w:rPr>
      </w:pPr>
      <w:r>
        <w:rPr>
          <w:sz w:val="18"/>
        </w:rPr>
        <w:t>Diggle</w:t>
      </w:r>
      <w:r>
        <w:rPr>
          <w:spacing w:val="-4"/>
          <w:sz w:val="18"/>
        </w:rPr>
        <w:t xml:space="preserve"> </w:t>
      </w:r>
      <w:r>
        <w:rPr>
          <w:sz w:val="18"/>
        </w:rPr>
        <w:t>PJ,</w:t>
      </w:r>
      <w:r>
        <w:rPr>
          <w:spacing w:val="-3"/>
          <w:sz w:val="18"/>
        </w:rPr>
        <w:t xml:space="preserve"> </w:t>
      </w:r>
      <w:proofErr w:type="spellStart"/>
      <w:r>
        <w:rPr>
          <w:sz w:val="18"/>
        </w:rPr>
        <w:t>Heagerty</w:t>
      </w:r>
      <w:proofErr w:type="spellEnd"/>
      <w:r>
        <w:rPr>
          <w:spacing w:val="-3"/>
          <w:sz w:val="18"/>
        </w:rPr>
        <w:t xml:space="preserve"> </w:t>
      </w:r>
      <w:r>
        <w:rPr>
          <w:sz w:val="18"/>
        </w:rPr>
        <w:t>P,</w:t>
      </w:r>
      <w:r>
        <w:rPr>
          <w:spacing w:val="-3"/>
          <w:sz w:val="18"/>
        </w:rPr>
        <w:t xml:space="preserve"> </w:t>
      </w:r>
      <w:r>
        <w:rPr>
          <w:sz w:val="18"/>
        </w:rPr>
        <w:t>Liang</w:t>
      </w:r>
      <w:r>
        <w:rPr>
          <w:spacing w:val="-4"/>
          <w:sz w:val="18"/>
        </w:rPr>
        <w:t xml:space="preserve"> </w:t>
      </w:r>
      <w:r>
        <w:rPr>
          <w:sz w:val="18"/>
        </w:rPr>
        <w:t>KY,</w:t>
      </w:r>
      <w:r>
        <w:rPr>
          <w:spacing w:val="-5"/>
          <w:sz w:val="18"/>
        </w:rPr>
        <w:t xml:space="preserve"> </w:t>
      </w:r>
      <w:proofErr w:type="spellStart"/>
      <w:r>
        <w:rPr>
          <w:sz w:val="18"/>
        </w:rPr>
        <w:t>Zeger</w:t>
      </w:r>
      <w:proofErr w:type="spellEnd"/>
      <w:r>
        <w:rPr>
          <w:spacing w:val="-1"/>
          <w:sz w:val="18"/>
        </w:rPr>
        <w:t xml:space="preserve"> </w:t>
      </w:r>
      <w:r>
        <w:rPr>
          <w:sz w:val="18"/>
        </w:rPr>
        <w:t>SL.</w:t>
      </w:r>
      <w:r>
        <w:rPr>
          <w:spacing w:val="-3"/>
          <w:sz w:val="18"/>
        </w:rPr>
        <w:t xml:space="preserve"> </w:t>
      </w:r>
      <w:r>
        <w:rPr>
          <w:i/>
          <w:sz w:val="18"/>
        </w:rPr>
        <w:t>Analysis</w:t>
      </w:r>
      <w:r>
        <w:rPr>
          <w:i/>
          <w:spacing w:val="-4"/>
          <w:sz w:val="18"/>
        </w:rPr>
        <w:t xml:space="preserve"> </w:t>
      </w:r>
      <w:r>
        <w:rPr>
          <w:i/>
          <w:sz w:val="18"/>
        </w:rPr>
        <w:t>of</w:t>
      </w:r>
      <w:r>
        <w:rPr>
          <w:i/>
          <w:spacing w:val="-3"/>
          <w:sz w:val="18"/>
        </w:rPr>
        <w:t xml:space="preserve"> </w:t>
      </w:r>
      <w:r>
        <w:rPr>
          <w:i/>
          <w:sz w:val="18"/>
        </w:rPr>
        <w:t>Longitudinal</w:t>
      </w:r>
      <w:r>
        <w:rPr>
          <w:i/>
          <w:spacing w:val="-4"/>
          <w:sz w:val="18"/>
        </w:rPr>
        <w:t xml:space="preserve"> </w:t>
      </w:r>
      <w:r>
        <w:rPr>
          <w:i/>
          <w:sz w:val="18"/>
        </w:rPr>
        <w:t>Data</w:t>
      </w:r>
      <w:r>
        <w:rPr>
          <w:i/>
          <w:spacing w:val="-2"/>
          <w:sz w:val="18"/>
        </w:rPr>
        <w:t xml:space="preserve"> </w:t>
      </w:r>
      <w:r>
        <w:rPr>
          <w:i/>
          <w:sz w:val="18"/>
        </w:rPr>
        <w:t>(2</w:t>
      </w:r>
      <w:r>
        <w:rPr>
          <w:i/>
          <w:sz w:val="12"/>
        </w:rPr>
        <w:t>nd</w:t>
      </w:r>
      <w:r>
        <w:rPr>
          <w:i/>
          <w:spacing w:val="-10"/>
          <w:sz w:val="12"/>
        </w:rPr>
        <w:t xml:space="preserve"> </w:t>
      </w:r>
      <w:proofErr w:type="spellStart"/>
      <w:proofErr w:type="gramStart"/>
      <w:r>
        <w:rPr>
          <w:i/>
          <w:sz w:val="18"/>
        </w:rPr>
        <w:t>ed</w:t>
      </w:r>
      <w:proofErr w:type="spellEnd"/>
      <w:proofErr w:type="gramEnd"/>
      <w:r>
        <w:rPr>
          <w:i/>
          <w:sz w:val="18"/>
        </w:rPr>
        <w:t>)</w:t>
      </w:r>
      <w:r>
        <w:rPr>
          <w:sz w:val="18"/>
        </w:rPr>
        <w:t>.</w:t>
      </w:r>
      <w:r>
        <w:rPr>
          <w:spacing w:val="-3"/>
          <w:sz w:val="18"/>
        </w:rPr>
        <w:t xml:space="preserve"> </w:t>
      </w:r>
      <w:r>
        <w:rPr>
          <w:sz w:val="18"/>
        </w:rPr>
        <w:t>Oxford</w:t>
      </w:r>
      <w:r>
        <w:rPr>
          <w:spacing w:val="-4"/>
          <w:sz w:val="18"/>
        </w:rPr>
        <w:t xml:space="preserve"> </w:t>
      </w:r>
      <w:r>
        <w:rPr>
          <w:sz w:val="18"/>
        </w:rPr>
        <w:t>University</w:t>
      </w:r>
      <w:r>
        <w:rPr>
          <w:spacing w:val="-1"/>
          <w:sz w:val="18"/>
        </w:rPr>
        <w:t xml:space="preserve"> </w:t>
      </w:r>
      <w:r>
        <w:rPr>
          <w:sz w:val="18"/>
        </w:rPr>
        <w:t>Press;</w:t>
      </w:r>
      <w:r>
        <w:rPr>
          <w:spacing w:val="-3"/>
          <w:sz w:val="18"/>
        </w:rPr>
        <w:t xml:space="preserve"> </w:t>
      </w:r>
      <w:r>
        <w:rPr>
          <w:sz w:val="18"/>
        </w:rPr>
        <w:t>Oxford.</w:t>
      </w:r>
      <w:r>
        <w:rPr>
          <w:spacing w:val="-3"/>
          <w:sz w:val="18"/>
        </w:rPr>
        <w:t xml:space="preserve"> </w:t>
      </w:r>
      <w:r>
        <w:rPr>
          <w:sz w:val="18"/>
        </w:rPr>
        <w:t>2002.</w:t>
      </w:r>
    </w:p>
    <w:p w14:paraId="066BA0F4" w14:textId="77777777" w:rsidR="00DD72DD" w:rsidRDefault="00DD72DD" w:rsidP="00AF2D68">
      <w:pPr>
        <w:rPr>
          <w:rFonts w:cstheme="minorHAnsi"/>
          <w:bCs/>
        </w:rPr>
      </w:pPr>
    </w:p>
    <w:p w14:paraId="7CB5FC1C" w14:textId="61CC583E" w:rsidR="004C7C1D" w:rsidRDefault="00DD72DD" w:rsidP="00423A4F">
      <w:pPr>
        <w:pStyle w:val="BodyText"/>
        <w:spacing w:before="1"/>
        <w:ind w:left="1" w:right="60"/>
        <w:rPr>
          <w:color w:val="C00000"/>
        </w:rPr>
      </w:pPr>
      <w:r w:rsidRPr="00DD72DD">
        <w:rPr>
          <w:rFonts w:cstheme="minorHAnsi"/>
          <w:b/>
          <w:bCs/>
          <w:color w:val="C00000"/>
          <w:u w:val="single"/>
        </w:rPr>
        <w:t>2019 Submission</w:t>
      </w:r>
      <w:r w:rsidR="00092566" w:rsidRPr="00DD72DD">
        <w:rPr>
          <w:rFonts w:cstheme="minorHAnsi"/>
          <w:b/>
          <w:bCs/>
          <w:u w:val="single"/>
        </w:rPr>
        <w:br/>
      </w:r>
      <w:r w:rsidR="001231C2" w:rsidRPr="00FC6074">
        <w:rPr>
          <w:color w:val="C00000"/>
        </w:rPr>
        <w:t xml:space="preserve">The risk adjustment is based on a </w:t>
      </w:r>
      <w:r w:rsidR="00A15850" w:rsidRPr="00FC6074">
        <w:rPr>
          <w:color w:val="C00000"/>
        </w:rPr>
        <w:t>three</w:t>
      </w:r>
      <w:r w:rsidR="001231C2" w:rsidRPr="00FC6074">
        <w:rPr>
          <w:color w:val="C00000"/>
        </w:rPr>
        <w:t xml:space="preserve">-stage logistic model. The adjustment is made for patient age, sex, diabetes, duration of ESRD, </w:t>
      </w:r>
      <w:r w:rsidR="00A15850" w:rsidRPr="00FC6074">
        <w:rPr>
          <w:color w:val="C00000"/>
        </w:rPr>
        <w:t xml:space="preserve">Medicare Advantage status at discharge, nursing home history in past year, </w:t>
      </w:r>
      <w:r w:rsidR="001231C2" w:rsidRPr="00FC6074">
        <w:rPr>
          <w:color w:val="C00000"/>
        </w:rPr>
        <w:t xml:space="preserve">BMI at incidence, prior-year comorbidities, </w:t>
      </w:r>
      <w:proofErr w:type="gramStart"/>
      <w:r w:rsidR="001231C2" w:rsidRPr="00FC6074">
        <w:rPr>
          <w:color w:val="C00000"/>
        </w:rPr>
        <w:t>length</w:t>
      </w:r>
      <w:proofErr w:type="gramEnd"/>
      <w:r w:rsidR="001231C2" w:rsidRPr="00FC6074">
        <w:rPr>
          <w:color w:val="C00000"/>
        </w:rPr>
        <w:t xml:space="preserve"> of hospital stay and presence of a high-risk diagnosis at discharge. In the first stage of this model, </w:t>
      </w:r>
      <w:r w:rsidR="004C7C1D" w:rsidRPr="004351AF">
        <w:rPr>
          <w:color w:val="C00000"/>
        </w:rPr>
        <w:t xml:space="preserve">facility-hospital combinations are included as fixed effects, </w:t>
      </w:r>
      <w:r w:rsidR="001231C2" w:rsidRPr="00FC6074">
        <w:rPr>
          <w:color w:val="C00000"/>
        </w:rPr>
        <w:t xml:space="preserve">and regression adjustments are made for the set of patient-level characteristics listed above. From this first stage, we obtain </w:t>
      </w:r>
      <w:r w:rsidR="004C7C1D">
        <w:rPr>
          <w:color w:val="C00000"/>
        </w:rPr>
        <w:t xml:space="preserve">the estimated </w:t>
      </w:r>
      <w:r w:rsidR="004C7C1D" w:rsidRPr="004351AF">
        <w:rPr>
          <w:color w:val="C00000"/>
        </w:rPr>
        <w:t xml:space="preserve">regression coefficients </w:t>
      </w:r>
      <w:r w:rsidR="004C7C1D">
        <w:rPr>
          <w:color w:val="C00000"/>
        </w:rPr>
        <w:t>which are then</w:t>
      </w:r>
      <w:r w:rsidR="004C7C1D" w:rsidRPr="004351AF">
        <w:rPr>
          <w:color w:val="C00000"/>
        </w:rPr>
        <w:t xml:space="preserve"> used as an offset variable in the second stage model</w:t>
      </w:r>
      <w:r w:rsidR="004C7C1D">
        <w:rPr>
          <w:color w:val="C00000"/>
        </w:rPr>
        <w:t>.</w:t>
      </w:r>
      <w:r w:rsidR="004C7C1D" w:rsidRPr="004351AF">
        <w:rPr>
          <w:color w:val="C00000"/>
        </w:rPr>
        <w:t xml:space="preserve"> </w:t>
      </w:r>
      <w:r w:rsidR="00901CB0">
        <w:rPr>
          <w:color w:val="C00000"/>
        </w:rPr>
        <w:t xml:space="preserve"> This avoids bias in regression coefficient estimates that can occur when fitting a </w:t>
      </w:r>
      <w:proofErr w:type="spellStart"/>
      <w:r w:rsidR="00901CB0">
        <w:rPr>
          <w:color w:val="C00000"/>
        </w:rPr>
        <w:t>randoma</w:t>
      </w:r>
      <w:proofErr w:type="spellEnd"/>
      <w:r w:rsidR="00901CB0">
        <w:rPr>
          <w:color w:val="C00000"/>
        </w:rPr>
        <w:t xml:space="preserve"> effects model if the covariates are correlated with the unknown facility or hospital effects. </w:t>
      </w:r>
    </w:p>
    <w:p w14:paraId="3C46980F" w14:textId="20A54559" w:rsidR="004C7C1D" w:rsidRDefault="004C7C1D" w:rsidP="00423A4F">
      <w:pPr>
        <w:pStyle w:val="BodyText"/>
        <w:spacing w:before="1"/>
        <w:ind w:left="1" w:right="60"/>
        <w:rPr>
          <w:color w:val="C00000"/>
        </w:rPr>
      </w:pPr>
    </w:p>
    <w:p w14:paraId="7F623C13" w14:textId="10DF3BF6" w:rsidR="004C7C1D" w:rsidRPr="004351AF" w:rsidRDefault="004C7C1D" w:rsidP="00423A4F">
      <w:pPr>
        <w:pStyle w:val="BodyText"/>
        <w:spacing w:before="1"/>
        <w:ind w:left="1" w:right="60"/>
        <w:rPr>
          <w:color w:val="C00000"/>
        </w:rPr>
      </w:pPr>
      <w:r w:rsidRPr="004C7C1D">
        <w:rPr>
          <w:color w:val="C00000"/>
        </w:rPr>
        <w:t xml:space="preserve">The </w:t>
      </w:r>
      <w:r>
        <w:rPr>
          <w:color w:val="C00000"/>
        </w:rPr>
        <w:t>second</w:t>
      </w:r>
      <w:r w:rsidRPr="004C7C1D">
        <w:rPr>
          <w:color w:val="C00000"/>
        </w:rPr>
        <w:t xml:space="preserve"> stage is a double random-effects log</w:t>
      </w:r>
      <w:r>
        <w:rPr>
          <w:color w:val="C00000"/>
        </w:rPr>
        <w:t>istic regression model</w:t>
      </w:r>
      <w:r w:rsidRPr="004C7C1D">
        <w:rPr>
          <w:color w:val="C00000"/>
        </w:rPr>
        <w:t xml:space="preserve"> </w:t>
      </w:r>
      <w:r>
        <w:rPr>
          <w:color w:val="C00000"/>
        </w:rPr>
        <w:t>where</w:t>
      </w:r>
      <w:r w:rsidRPr="004C7C1D">
        <w:rPr>
          <w:color w:val="C00000"/>
        </w:rPr>
        <w:t xml:space="preserve"> both dialysis facilities and hospitals are represented as random effects, and the sum of regression adjustments multiplied by estimated parameters obtained in the first stage is included as the offset variable. From this model, we obtain the estimated standard deviation of the random effects of hospitals</w:t>
      </w:r>
      <w:r>
        <w:rPr>
          <w:color w:val="C00000"/>
        </w:rPr>
        <w:t>.</w:t>
      </w:r>
    </w:p>
    <w:p w14:paraId="20DA8805" w14:textId="77777777" w:rsidR="001231C2" w:rsidRPr="00FC6074" w:rsidRDefault="001231C2" w:rsidP="001231C2">
      <w:pPr>
        <w:pStyle w:val="BodyText"/>
        <w:spacing w:before="10"/>
        <w:ind w:right="60"/>
        <w:rPr>
          <w:color w:val="C00000"/>
          <w:sz w:val="21"/>
        </w:rPr>
      </w:pPr>
    </w:p>
    <w:p w14:paraId="7AA0F943" w14:textId="611E3F1D" w:rsidR="001231C2" w:rsidRDefault="001231C2" w:rsidP="001231C2">
      <w:pPr>
        <w:pStyle w:val="BodyText"/>
        <w:ind w:left="1" w:right="60"/>
        <w:rPr>
          <w:color w:val="C00000"/>
        </w:rPr>
      </w:pPr>
      <w:r w:rsidRPr="00FC6074">
        <w:rPr>
          <w:color w:val="C00000"/>
        </w:rPr>
        <w:t xml:space="preserve">The </w:t>
      </w:r>
      <w:r w:rsidR="004C7C1D">
        <w:rPr>
          <w:color w:val="C00000"/>
        </w:rPr>
        <w:t>third</w:t>
      </w:r>
      <w:r w:rsidR="004C7C1D" w:rsidRPr="00FC6074">
        <w:rPr>
          <w:color w:val="C00000"/>
        </w:rPr>
        <w:t xml:space="preserve"> </w:t>
      </w:r>
      <w:r w:rsidRPr="00FC6074">
        <w:rPr>
          <w:color w:val="C00000"/>
        </w:rPr>
        <w:t xml:space="preserve">stage of the model is a mixed-effects model, in which facilities are fixed effects and hospitals are modeled as random effects, with the standard deviation specified as equal to its estimate from the </w:t>
      </w:r>
      <w:r w:rsidR="004C7C1D">
        <w:rPr>
          <w:color w:val="C00000"/>
        </w:rPr>
        <w:t>second</w:t>
      </w:r>
      <w:r w:rsidR="004C7C1D" w:rsidRPr="00FC6074">
        <w:rPr>
          <w:color w:val="C00000"/>
        </w:rPr>
        <w:t xml:space="preserve"> </w:t>
      </w:r>
      <w:r w:rsidRPr="00FC6074">
        <w:rPr>
          <w:color w:val="C00000"/>
        </w:rPr>
        <w:t>stage</w:t>
      </w:r>
      <w:r w:rsidR="00901CB0">
        <w:rPr>
          <w:color w:val="C00000"/>
        </w:rPr>
        <w:t xml:space="preserve">. </w:t>
      </w:r>
      <w:proofErr w:type="spellStart"/>
      <w:r w:rsidR="00901CB0">
        <w:rPr>
          <w:color w:val="C00000"/>
        </w:rPr>
        <w:t>E</w:t>
      </w:r>
      <w:r w:rsidR="004C7C1D" w:rsidRPr="004351AF">
        <w:rPr>
          <w:rFonts w:cs="Times New Roman"/>
          <w:bCs/>
          <w:color w:val="C00000"/>
        </w:rPr>
        <w:t>estimated</w:t>
      </w:r>
      <w:proofErr w:type="spellEnd"/>
      <w:r w:rsidR="004C7C1D" w:rsidRPr="004351AF">
        <w:rPr>
          <w:rFonts w:cs="Times New Roman"/>
          <w:bCs/>
          <w:color w:val="C00000"/>
        </w:rPr>
        <w:t xml:space="preserve"> parameters obtained in the first stage </w:t>
      </w:r>
      <w:r w:rsidR="004C7C1D">
        <w:rPr>
          <w:rFonts w:cs="Times New Roman"/>
          <w:bCs/>
          <w:color w:val="C00000"/>
        </w:rPr>
        <w:t>are included as an offset</w:t>
      </w:r>
      <w:r w:rsidRPr="00FC6074">
        <w:rPr>
          <w:color w:val="C00000"/>
        </w:rPr>
        <w:t xml:space="preserve">. The expected number of readmissions for each facility is estimated as the sum of the </w:t>
      </w:r>
      <w:r w:rsidR="00901CB0">
        <w:rPr>
          <w:color w:val="C00000"/>
        </w:rPr>
        <w:t xml:space="preserve">estimated </w:t>
      </w:r>
      <w:r w:rsidRPr="00FC6074">
        <w:rPr>
          <w:color w:val="C00000"/>
        </w:rPr>
        <w:t>probabilities of readmission</w:t>
      </w:r>
      <w:r w:rsidR="00901CB0">
        <w:rPr>
          <w:color w:val="C00000"/>
        </w:rPr>
        <w:t xml:space="preserve"> given</w:t>
      </w:r>
      <w:r w:rsidRPr="00FC6074">
        <w:rPr>
          <w:color w:val="C00000"/>
        </w:rPr>
        <w:t xml:space="preserve"> the discharges of all patients in this facility, assuming the national average or norm for facility effect. </w:t>
      </w:r>
    </w:p>
    <w:p w14:paraId="3C2DBAFA" w14:textId="2CC58F07" w:rsidR="004C7C1D" w:rsidRDefault="004C7C1D" w:rsidP="001231C2">
      <w:pPr>
        <w:pStyle w:val="BodyText"/>
        <w:ind w:left="1" w:right="60"/>
        <w:rPr>
          <w:color w:val="C00000"/>
        </w:rPr>
      </w:pPr>
    </w:p>
    <w:p w14:paraId="320CD650" w14:textId="606837B1" w:rsidR="004C7C1D" w:rsidRPr="00FC6074" w:rsidRDefault="004C7C1D" w:rsidP="001231C2">
      <w:pPr>
        <w:pStyle w:val="BodyText"/>
        <w:ind w:left="1" w:right="60"/>
        <w:rPr>
          <w:color w:val="C00000"/>
        </w:rPr>
      </w:pPr>
      <w:r w:rsidRPr="004C7C1D">
        <w:rPr>
          <w:color w:val="C00000"/>
        </w:rPr>
        <w:t xml:space="preserve">The list of 53 past-year comorbidity variables </w:t>
      </w:r>
      <w:r>
        <w:rPr>
          <w:color w:val="C00000"/>
        </w:rPr>
        <w:t>ar</w:t>
      </w:r>
      <w:r w:rsidRPr="004C7C1D">
        <w:rPr>
          <w:color w:val="C00000"/>
        </w:rPr>
        <w:t xml:space="preserve">e selected from 233 indicators of AHRQ CCS diagnosis categories with prevalence greater than 0.1% using a score-test based sample splitting forward selection approach. In particular, the data sample </w:t>
      </w:r>
      <w:r>
        <w:rPr>
          <w:color w:val="C00000"/>
        </w:rPr>
        <w:t>is</w:t>
      </w:r>
      <w:r w:rsidRPr="004C7C1D">
        <w:rPr>
          <w:color w:val="C00000"/>
        </w:rPr>
        <w:t xml:space="preserve"> randomly split into two halves. The first half </w:t>
      </w:r>
      <w:r>
        <w:rPr>
          <w:color w:val="C00000"/>
        </w:rPr>
        <w:t>i</w:t>
      </w:r>
      <w:r w:rsidRPr="004C7C1D">
        <w:rPr>
          <w:color w:val="C00000"/>
        </w:rPr>
        <w:t xml:space="preserve">s used for fitting a first-stage fixed effects logistic regression model to select a set of comorbidity variables via a forward selection scheme using single variable score tests with 0.01 p-value cutoff and adjusting for patient-level characteristics such as age splines, sex, BMI, etc. The second half </w:t>
      </w:r>
      <w:r>
        <w:rPr>
          <w:color w:val="C00000"/>
        </w:rPr>
        <w:t>i</w:t>
      </w:r>
      <w:r w:rsidRPr="004C7C1D">
        <w:rPr>
          <w:color w:val="C00000"/>
        </w:rPr>
        <w:t xml:space="preserve">s then used to fit another first-stage model adjusting for patient-level risk factors as well as those selected variables using the first-half data sample. Single variable score tests </w:t>
      </w:r>
      <w:r>
        <w:rPr>
          <w:color w:val="C00000"/>
        </w:rPr>
        <w:t>are</w:t>
      </w:r>
      <w:r w:rsidRPr="004C7C1D">
        <w:rPr>
          <w:color w:val="C00000"/>
        </w:rPr>
        <w:t xml:space="preserve"> performed after model fitting to obtain p-values for selected variables. A common p-value of 1 </w:t>
      </w:r>
      <w:r>
        <w:rPr>
          <w:color w:val="C00000"/>
        </w:rPr>
        <w:t>i</w:t>
      </w:r>
      <w:r w:rsidRPr="004C7C1D">
        <w:rPr>
          <w:color w:val="C00000"/>
        </w:rPr>
        <w:t xml:space="preserve">s assigned to unselected variables using the first-half data sample. The steps above </w:t>
      </w:r>
      <w:r>
        <w:rPr>
          <w:color w:val="C00000"/>
        </w:rPr>
        <w:t>a</w:t>
      </w:r>
      <w:r w:rsidRPr="004C7C1D">
        <w:rPr>
          <w:color w:val="C00000"/>
        </w:rPr>
        <w:t xml:space="preserve">re repeated 50 times to generate 50 sets of p-values for all 233 variables. The 50 p-values of each variable </w:t>
      </w:r>
      <w:r>
        <w:rPr>
          <w:color w:val="C00000"/>
        </w:rPr>
        <w:t>a</w:t>
      </w:r>
      <w:r w:rsidRPr="004C7C1D">
        <w:rPr>
          <w:color w:val="C00000"/>
        </w:rPr>
        <w:t xml:space="preserve">re aggregated following </w:t>
      </w:r>
      <w:proofErr w:type="spellStart"/>
      <w:r w:rsidRPr="004C7C1D">
        <w:rPr>
          <w:color w:val="C00000"/>
        </w:rPr>
        <w:t>Bühlmann</w:t>
      </w:r>
      <w:proofErr w:type="spellEnd"/>
      <w:r w:rsidRPr="004C7C1D">
        <w:rPr>
          <w:color w:val="C00000"/>
        </w:rPr>
        <w:t xml:space="preserve"> and van de </w:t>
      </w:r>
      <w:proofErr w:type="gramStart"/>
      <w:r w:rsidRPr="004C7C1D">
        <w:rPr>
          <w:color w:val="C00000"/>
        </w:rPr>
        <w:t>Geer  and</w:t>
      </w:r>
      <w:proofErr w:type="gramEnd"/>
      <w:r w:rsidRPr="004C7C1D">
        <w:rPr>
          <w:color w:val="C00000"/>
        </w:rPr>
        <w:t xml:space="preserve"> the 53 </w:t>
      </w:r>
      <w:r>
        <w:rPr>
          <w:color w:val="C00000"/>
        </w:rPr>
        <w:t xml:space="preserve">prevalent comorbidities </w:t>
      </w:r>
      <w:r w:rsidRPr="004C7C1D">
        <w:rPr>
          <w:color w:val="C00000"/>
        </w:rPr>
        <w:t>with aggre</w:t>
      </w:r>
      <w:r>
        <w:rPr>
          <w:color w:val="C00000"/>
        </w:rPr>
        <w:t>gated p-values less than 0.01 a</w:t>
      </w:r>
      <w:r w:rsidRPr="004C7C1D">
        <w:rPr>
          <w:color w:val="C00000"/>
        </w:rPr>
        <w:t>re selected.</w:t>
      </w:r>
    </w:p>
    <w:p w14:paraId="0C876A31" w14:textId="77777777" w:rsidR="001231C2" w:rsidRPr="00FC6074" w:rsidRDefault="001231C2" w:rsidP="001231C2">
      <w:pPr>
        <w:pStyle w:val="BodyText"/>
        <w:spacing w:before="2"/>
        <w:ind w:right="60"/>
        <w:rPr>
          <w:color w:val="C00000"/>
          <w:sz w:val="20"/>
        </w:rPr>
      </w:pPr>
    </w:p>
    <w:p w14:paraId="42018E2D" w14:textId="7BEEA72B" w:rsidR="001231C2" w:rsidRPr="00FC6074" w:rsidRDefault="001231C2" w:rsidP="001231C2">
      <w:pPr>
        <w:pStyle w:val="BodyText"/>
        <w:ind w:left="2" w:right="60" w:hanging="1"/>
        <w:rPr>
          <w:color w:val="C00000"/>
        </w:rPr>
      </w:pPr>
      <w:r w:rsidRPr="00FC6074">
        <w:rPr>
          <w:color w:val="C00000"/>
        </w:rPr>
        <w:t>Relevant references are</w:t>
      </w:r>
      <w:r w:rsidR="00013662">
        <w:rPr>
          <w:color w:val="C00000"/>
        </w:rPr>
        <w:t xml:space="preserve"> below [1-3]</w:t>
      </w:r>
      <w:r w:rsidRPr="00FC6074">
        <w:rPr>
          <w:color w:val="C00000"/>
        </w:rPr>
        <w:t>; we conducted all analyses in R and SAS.</w:t>
      </w:r>
    </w:p>
    <w:p w14:paraId="50B82CEA" w14:textId="77777777" w:rsidR="001231C2" w:rsidRPr="00FC6074" w:rsidRDefault="001231C2" w:rsidP="001231C2">
      <w:pPr>
        <w:pStyle w:val="BodyText"/>
        <w:ind w:right="60"/>
        <w:rPr>
          <w:color w:val="C00000"/>
        </w:rPr>
      </w:pPr>
    </w:p>
    <w:p w14:paraId="38B2434C" w14:textId="5B94C48C" w:rsidR="004C7C1D" w:rsidRDefault="004C7C1D" w:rsidP="00423A4F">
      <w:pPr>
        <w:pStyle w:val="ListParagraph"/>
        <w:widowControl w:val="0"/>
        <w:tabs>
          <w:tab w:val="left" w:pos="298"/>
        </w:tabs>
        <w:autoSpaceDE w:val="0"/>
        <w:autoSpaceDN w:val="0"/>
        <w:spacing w:after="0" w:line="240" w:lineRule="auto"/>
        <w:ind w:left="120" w:right="60"/>
        <w:contextualSpacing w:val="0"/>
        <w:rPr>
          <w:color w:val="C00000"/>
          <w:sz w:val="18"/>
        </w:rPr>
      </w:pPr>
    </w:p>
    <w:p w14:paraId="754521F2" w14:textId="77777777" w:rsidR="00423A4F" w:rsidRPr="0062648C" w:rsidRDefault="00423A4F" w:rsidP="00423A4F">
      <w:pPr>
        <w:pStyle w:val="ListParagraph"/>
        <w:widowControl w:val="0"/>
        <w:tabs>
          <w:tab w:val="left" w:pos="298"/>
        </w:tabs>
        <w:autoSpaceDE w:val="0"/>
        <w:autoSpaceDN w:val="0"/>
        <w:spacing w:after="0" w:line="240" w:lineRule="auto"/>
        <w:ind w:left="120" w:right="60"/>
        <w:contextualSpacing w:val="0"/>
        <w:rPr>
          <w:color w:val="C00000"/>
        </w:rPr>
      </w:pPr>
    </w:p>
    <w:p w14:paraId="310BB6AB" w14:textId="6FEDB798" w:rsidR="004C7C1D" w:rsidRPr="0062648C" w:rsidRDefault="001231C2" w:rsidP="00423A4F">
      <w:pPr>
        <w:pStyle w:val="ListParagraph"/>
        <w:widowControl w:val="0"/>
        <w:numPr>
          <w:ilvl w:val="0"/>
          <w:numId w:val="42"/>
        </w:numPr>
        <w:tabs>
          <w:tab w:val="left" w:pos="299"/>
        </w:tabs>
        <w:autoSpaceDE w:val="0"/>
        <w:autoSpaceDN w:val="0"/>
        <w:spacing w:after="0" w:line="240" w:lineRule="auto"/>
        <w:ind w:right="60"/>
        <w:contextualSpacing w:val="0"/>
        <w:rPr>
          <w:color w:val="C00000"/>
        </w:rPr>
      </w:pPr>
      <w:r w:rsidRPr="0062648C">
        <w:rPr>
          <w:color w:val="C00000"/>
        </w:rPr>
        <w:t>He</w:t>
      </w:r>
      <w:r w:rsidRPr="0062648C">
        <w:rPr>
          <w:color w:val="C00000"/>
          <w:spacing w:val="-3"/>
        </w:rPr>
        <w:t xml:space="preserve"> </w:t>
      </w:r>
      <w:r w:rsidRPr="0062648C">
        <w:rPr>
          <w:color w:val="C00000"/>
        </w:rPr>
        <w:t>K,</w:t>
      </w:r>
      <w:r w:rsidRPr="0062648C">
        <w:rPr>
          <w:color w:val="C00000"/>
          <w:spacing w:val="-2"/>
        </w:rPr>
        <w:t xml:space="preserve"> </w:t>
      </w:r>
      <w:proofErr w:type="spellStart"/>
      <w:r w:rsidRPr="0062648C">
        <w:rPr>
          <w:color w:val="C00000"/>
        </w:rPr>
        <w:t>Kalbfleisch</w:t>
      </w:r>
      <w:proofErr w:type="spellEnd"/>
      <w:r w:rsidRPr="0062648C">
        <w:rPr>
          <w:color w:val="C00000"/>
          <w:spacing w:val="-3"/>
        </w:rPr>
        <w:t xml:space="preserve"> </w:t>
      </w:r>
      <w:r w:rsidRPr="0062648C">
        <w:rPr>
          <w:color w:val="C00000"/>
        </w:rPr>
        <w:t>JD,</w:t>
      </w:r>
      <w:r w:rsidRPr="0062648C">
        <w:rPr>
          <w:color w:val="C00000"/>
          <w:spacing w:val="-2"/>
        </w:rPr>
        <w:t xml:space="preserve"> </w:t>
      </w:r>
      <w:r w:rsidRPr="0062648C">
        <w:rPr>
          <w:color w:val="C00000"/>
        </w:rPr>
        <w:t>Li</w:t>
      </w:r>
      <w:r w:rsidRPr="0062648C">
        <w:rPr>
          <w:color w:val="C00000"/>
          <w:spacing w:val="-3"/>
        </w:rPr>
        <w:t xml:space="preserve"> </w:t>
      </w:r>
      <w:r w:rsidRPr="0062648C">
        <w:rPr>
          <w:color w:val="C00000"/>
        </w:rPr>
        <w:t>Y,</w:t>
      </w:r>
      <w:r w:rsidRPr="0062648C">
        <w:rPr>
          <w:color w:val="C00000"/>
          <w:spacing w:val="-2"/>
        </w:rPr>
        <w:t xml:space="preserve"> </w:t>
      </w:r>
      <w:r w:rsidRPr="0062648C">
        <w:rPr>
          <w:color w:val="C00000"/>
        </w:rPr>
        <w:t>Li</w:t>
      </w:r>
      <w:r w:rsidRPr="0062648C">
        <w:rPr>
          <w:color w:val="C00000"/>
          <w:spacing w:val="-3"/>
        </w:rPr>
        <w:t xml:space="preserve"> </w:t>
      </w:r>
      <w:r w:rsidRPr="0062648C">
        <w:rPr>
          <w:color w:val="C00000"/>
        </w:rPr>
        <w:t>Y.</w:t>
      </w:r>
      <w:r w:rsidRPr="0062648C">
        <w:rPr>
          <w:color w:val="C00000"/>
          <w:spacing w:val="-2"/>
        </w:rPr>
        <w:t xml:space="preserve"> </w:t>
      </w:r>
      <w:r w:rsidRPr="0062648C">
        <w:rPr>
          <w:color w:val="C00000"/>
        </w:rPr>
        <w:t>“Evaluating</w:t>
      </w:r>
      <w:r w:rsidRPr="0062648C">
        <w:rPr>
          <w:color w:val="C00000"/>
          <w:spacing w:val="-3"/>
        </w:rPr>
        <w:t xml:space="preserve"> </w:t>
      </w:r>
      <w:r w:rsidRPr="0062648C">
        <w:rPr>
          <w:color w:val="C00000"/>
        </w:rPr>
        <w:t>readmission</w:t>
      </w:r>
      <w:r w:rsidRPr="0062648C">
        <w:rPr>
          <w:color w:val="C00000"/>
          <w:spacing w:val="-3"/>
        </w:rPr>
        <w:t xml:space="preserve"> </w:t>
      </w:r>
      <w:r w:rsidRPr="0062648C">
        <w:rPr>
          <w:color w:val="C00000"/>
        </w:rPr>
        <w:t>rates</w:t>
      </w:r>
      <w:r w:rsidRPr="0062648C">
        <w:rPr>
          <w:color w:val="C00000"/>
          <w:spacing w:val="-3"/>
        </w:rPr>
        <w:t xml:space="preserve"> </w:t>
      </w:r>
      <w:r w:rsidRPr="0062648C">
        <w:rPr>
          <w:color w:val="C00000"/>
        </w:rPr>
        <w:t>in</w:t>
      </w:r>
      <w:r w:rsidRPr="0062648C">
        <w:rPr>
          <w:color w:val="C00000"/>
          <w:spacing w:val="-1"/>
        </w:rPr>
        <w:t xml:space="preserve"> </w:t>
      </w:r>
      <w:r w:rsidRPr="0062648C">
        <w:rPr>
          <w:color w:val="C00000"/>
        </w:rPr>
        <w:t>dialysis</w:t>
      </w:r>
      <w:r w:rsidRPr="0062648C">
        <w:rPr>
          <w:color w:val="C00000"/>
          <w:spacing w:val="-3"/>
        </w:rPr>
        <w:t xml:space="preserve"> </w:t>
      </w:r>
      <w:r w:rsidRPr="0062648C">
        <w:rPr>
          <w:color w:val="C00000"/>
        </w:rPr>
        <w:t>facilities</w:t>
      </w:r>
      <w:r w:rsidRPr="0062648C">
        <w:rPr>
          <w:color w:val="C00000"/>
          <w:spacing w:val="-3"/>
        </w:rPr>
        <w:t xml:space="preserve"> </w:t>
      </w:r>
      <w:r w:rsidRPr="0062648C">
        <w:rPr>
          <w:color w:val="C00000"/>
        </w:rPr>
        <w:t>with</w:t>
      </w:r>
      <w:r w:rsidRPr="0062648C">
        <w:rPr>
          <w:color w:val="C00000"/>
          <w:spacing w:val="-3"/>
        </w:rPr>
        <w:t xml:space="preserve"> </w:t>
      </w:r>
      <w:r w:rsidRPr="0062648C">
        <w:rPr>
          <w:color w:val="C00000"/>
        </w:rPr>
        <w:t>or</w:t>
      </w:r>
      <w:r w:rsidRPr="0062648C">
        <w:rPr>
          <w:color w:val="C00000"/>
          <w:spacing w:val="-3"/>
        </w:rPr>
        <w:t xml:space="preserve"> </w:t>
      </w:r>
      <w:r w:rsidRPr="0062648C">
        <w:rPr>
          <w:color w:val="C00000"/>
        </w:rPr>
        <w:t>without</w:t>
      </w:r>
      <w:r w:rsidRPr="0062648C">
        <w:rPr>
          <w:color w:val="C00000"/>
          <w:spacing w:val="-3"/>
        </w:rPr>
        <w:t xml:space="preserve"> </w:t>
      </w:r>
      <w:r w:rsidRPr="0062648C">
        <w:rPr>
          <w:color w:val="C00000"/>
        </w:rPr>
        <w:t>adjustment</w:t>
      </w:r>
      <w:r w:rsidRPr="0062648C">
        <w:rPr>
          <w:color w:val="C00000"/>
          <w:spacing w:val="-3"/>
        </w:rPr>
        <w:t xml:space="preserve"> </w:t>
      </w:r>
      <w:r w:rsidRPr="0062648C">
        <w:rPr>
          <w:color w:val="C00000"/>
        </w:rPr>
        <w:t>for</w:t>
      </w:r>
      <w:r w:rsidRPr="0062648C">
        <w:rPr>
          <w:color w:val="C00000"/>
          <w:spacing w:val="-3"/>
        </w:rPr>
        <w:t xml:space="preserve"> </w:t>
      </w:r>
      <w:r w:rsidRPr="0062648C">
        <w:rPr>
          <w:color w:val="C00000"/>
        </w:rPr>
        <w:t>hospital effects.” Unpublished manuscript.</w:t>
      </w:r>
      <w:r w:rsidRPr="0062648C">
        <w:rPr>
          <w:color w:val="C00000"/>
          <w:spacing w:val="-9"/>
        </w:rPr>
        <w:t xml:space="preserve"> </w:t>
      </w:r>
      <w:r w:rsidRPr="0062648C">
        <w:rPr>
          <w:color w:val="C00000"/>
        </w:rPr>
        <w:t>2012.</w:t>
      </w:r>
    </w:p>
    <w:p w14:paraId="7EB434A7" w14:textId="77777777" w:rsidR="004C7C1D" w:rsidRPr="0062648C" w:rsidRDefault="001231C2" w:rsidP="00423A4F">
      <w:pPr>
        <w:pStyle w:val="ListParagraph"/>
        <w:widowControl w:val="0"/>
        <w:numPr>
          <w:ilvl w:val="0"/>
          <w:numId w:val="42"/>
        </w:numPr>
        <w:tabs>
          <w:tab w:val="left" w:pos="299"/>
        </w:tabs>
        <w:autoSpaceDE w:val="0"/>
        <w:autoSpaceDN w:val="0"/>
        <w:spacing w:after="0" w:line="240" w:lineRule="auto"/>
        <w:ind w:right="60"/>
        <w:contextualSpacing w:val="0"/>
        <w:rPr>
          <w:color w:val="C00000"/>
        </w:rPr>
      </w:pPr>
      <w:r w:rsidRPr="0062648C">
        <w:rPr>
          <w:color w:val="C00000"/>
        </w:rPr>
        <w:t>Diggle</w:t>
      </w:r>
      <w:r w:rsidRPr="0062648C">
        <w:rPr>
          <w:color w:val="C00000"/>
          <w:spacing w:val="-4"/>
        </w:rPr>
        <w:t xml:space="preserve"> </w:t>
      </w:r>
      <w:r w:rsidRPr="0062648C">
        <w:rPr>
          <w:color w:val="C00000"/>
        </w:rPr>
        <w:t>PJ,</w:t>
      </w:r>
      <w:r w:rsidRPr="0062648C">
        <w:rPr>
          <w:color w:val="C00000"/>
          <w:spacing w:val="-3"/>
        </w:rPr>
        <w:t xml:space="preserve"> </w:t>
      </w:r>
      <w:proofErr w:type="spellStart"/>
      <w:r w:rsidRPr="0062648C">
        <w:rPr>
          <w:color w:val="C00000"/>
        </w:rPr>
        <w:t>Heagerty</w:t>
      </w:r>
      <w:proofErr w:type="spellEnd"/>
      <w:r w:rsidRPr="0062648C">
        <w:rPr>
          <w:color w:val="C00000"/>
          <w:spacing w:val="-3"/>
        </w:rPr>
        <w:t xml:space="preserve"> </w:t>
      </w:r>
      <w:r w:rsidRPr="0062648C">
        <w:rPr>
          <w:color w:val="C00000"/>
        </w:rPr>
        <w:t>P,</w:t>
      </w:r>
      <w:r w:rsidRPr="0062648C">
        <w:rPr>
          <w:color w:val="C00000"/>
          <w:spacing w:val="-3"/>
        </w:rPr>
        <w:t xml:space="preserve"> </w:t>
      </w:r>
      <w:r w:rsidRPr="0062648C">
        <w:rPr>
          <w:color w:val="C00000"/>
        </w:rPr>
        <w:t>Liang</w:t>
      </w:r>
      <w:r w:rsidRPr="0062648C">
        <w:rPr>
          <w:color w:val="C00000"/>
          <w:spacing w:val="-4"/>
        </w:rPr>
        <w:t xml:space="preserve"> </w:t>
      </w:r>
      <w:r w:rsidRPr="0062648C">
        <w:rPr>
          <w:color w:val="C00000"/>
        </w:rPr>
        <w:t>KY,</w:t>
      </w:r>
      <w:r w:rsidRPr="0062648C">
        <w:rPr>
          <w:color w:val="C00000"/>
          <w:spacing w:val="-5"/>
        </w:rPr>
        <w:t xml:space="preserve"> </w:t>
      </w:r>
      <w:proofErr w:type="spellStart"/>
      <w:r w:rsidRPr="0062648C">
        <w:rPr>
          <w:color w:val="C00000"/>
        </w:rPr>
        <w:t>Zeger</w:t>
      </w:r>
      <w:proofErr w:type="spellEnd"/>
      <w:r w:rsidRPr="0062648C">
        <w:rPr>
          <w:color w:val="C00000"/>
          <w:spacing w:val="-1"/>
        </w:rPr>
        <w:t xml:space="preserve"> </w:t>
      </w:r>
      <w:r w:rsidRPr="0062648C">
        <w:rPr>
          <w:color w:val="C00000"/>
        </w:rPr>
        <w:t>SL.</w:t>
      </w:r>
      <w:r w:rsidRPr="0062648C">
        <w:rPr>
          <w:color w:val="C00000"/>
          <w:spacing w:val="-3"/>
        </w:rPr>
        <w:t xml:space="preserve"> </w:t>
      </w:r>
      <w:r w:rsidRPr="0062648C">
        <w:rPr>
          <w:i/>
          <w:color w:val="C00000"/>
        </w:rPr>
        <w:t>Analysis</w:t>
      </w:r>
      <w:r w:rsidRPr="0062648C">
        <w:rPr>
          <w:i/>
          <w:color w:val="C00000"/>
          <w:spacing w:val="-4"/>
        </w:rPr>
        <w:t xml:space="preserve"> </w:t>
      </w:r>
      <w:r w:rsidRPr="0062648C">
        <w:rPr>
          <w:i/>
          <w:color w:val="C00000"/>
        </w:rPr>
        <w:t>of</w:t>
      </w:r>
      <w:r w:rsidRPr="0062648C">
        <w:rPr>
          <w:i/>
          <w:color w:val="C00000"/>
          <w:spacing w:val="-3"/>
        </w:rPr>
        <w:t xml:space="preserve"> </w:t>
      </w:r>
      <w:r w:rsidRPr="0062648C">
        <w:rPr>
          <w:i/>
          <w:color w:val="C00000"/>
        </w:rPr>
        <w:t>Longitudinal</w:t>
      </w:r>
      <w:r w:rsidRPr="0062648C">
        <w:rPr>
          <w:i/>
          <w:color w:val="C00000"/>
          <w:spacing w:val="-4"/>
        </w:rPr>
        <w:t xml:space="preserve"> </w:t>
      </w:r>
      <w:r w:rsidRPr="0062648C">
        <w:rPr>
          <w:i/>
          <w:color w:val="C00000"/>
        </w:rPr>
        <w:t>Data</w:t>
      </w:r>
      <w:r w:rsidRPr="0062648C">
        <w:rPr>
          <w:i/>
          <w:color w:val="C00000"/>
          <w:spacing w:val="-2"/>
        </w:rPr>
        <w:t xml:space="preserve"> </w:t>
      </w:r>
      <w:r w:rsidRPr="0062648C">
        <w:rPr>
          <w:i/>
          <w:color w:val="C00000"/>
        </w:rPr>
        <w:t>(2</w:t>
      </w:r>
      <w:r w:rsidRPr="0062648C">
        <w:rPr>
          <w:i/>
          <w:color w:val="C00000"/>
          <w:sz w:val="16"/>
        </w:rPr>
        <w:t>nd</w:t>
      </w:r>
      <w:r w:rsidRPr="0062648C">
        <w:rPr>
          <w:i/>
          <w:color w:val="C00000"/>
          <w:spacing w:val="-10"/>
          <w:sz w:val="16"/>
        </w:rPr>
        <w:t xml:space="preserve"> </w:t>
      </w:r>
      <w:proofErr w:type="spellStart"/>
      <w:proofErr w:type="gramStart"/>
      <w:r w:rsidRPr="0062648C">
        <w:rPr>
          <w:i/>
          <w:color w:val="C00000"/>
        </w:rPr>
        <w:t>ed</w:t>
      </w:r>
      <w:proofErr w:type="spellEnd"/>
      <w:proofErr w:type="gramEnd"/>
      <w:r w:rsidRPr="0062648C">
        <w:rPr>
          <w:i/>
          <w:color w:val="C00000"/>
        </w:rPr>
        <w:t>)</w:t>
      </w:r>
      <w:r w:rsidRPr="0062648C">
        <w:rPr>
          <w:color w:val="C00000"/>
        </w:rPr>
        <w:t>.</w:t>
      </w:r>
      <w:r w:rsidRPr="0062648C">
        <w:rPr>
          <w:color w:val="C00000"/>
          <w:spacing w:val="-3"/>
        </w:rPr>
        <w:t xml:space="preserve"> </w:t>
      </w:r>
      <w:r w:rsidRPr="0062648C">
        <w:rPr>
          <w:color w:val="C00000"/>
        </w:rPr>
        <w:t>Oxford</w:t>
      </w:r>
      <w:r w:rsidRPr="0062648C">
        <w:rPr>
          <w:color w:val="C00000"/>
          <w:spacing w:val="-4"/>
        </w:rPr>
        <w:t xml:space="preserve"> </w:t>
      </w:r>
      <w:r w:rsidRPr="0062648C">
        <w:rPr>
          <w:color w:val="C00000"/>
        </w:rPr>
        <w:t>University</w:t>
      </w:r>
      <w:r w:rsidRPr="0062648C">
        <w:rPr>
          <w:color w:val="C00000"/>
          <w:spacing w:val="-1"/>
        </w:rPr>
        <w:t xml:space="preserve"> </w:t>
      </w:r>
      <w:r w:rsidRPr="0062648C">
        <w:rPr>
          <w:color w:val="C00000"/>
        </w:rPr>
        <w:t>Press;</w:t>
      </w:r>
      <w:r w:rsidRPr="0062648C">
        <w:rPr>
          <w:color w:val="C00000"/>
          <w:spacing w:val="-3"/>
        </w:rPr>
        <w:t xml:space="preserve"> </w:t>
      </w:r>
      <w:r w:rsidRPr="0062648C">
        <w:rPr>
          <w:color w:val="C00000"/>
        </w:rPr>
        <w:t>Oxford.</w:t>
      </w:r>
      <w:r w:rsidRPr="0062648C">
        <w:rPr>
          <w:color w:val="C00000"/>
          <w:spacing w:val="-3"/>
        </w:rPr>
        <w:t xml:space="preserve"> </w:t>
      </w:r>
      <w:r w:rsidRPr="0062648C">
        <w:rPr>
          <w:color w:val="C00000"/>
        </w:rPr>
        <w:t>2002.</w:t>
      </w:r>
    </w:p>
    <w:p w14:paraId="59D93FA0" w14:textId="4B7265B2" w:rsidR="004C7C1D" w:rsidRPr="0062648C" w:rsidRDefault="004C7C1D" w:rsidP="00423A4F">
      <w:pPr>
        <w:pStyle w:val="ListParagraph"/>
        <w:widowControl w:val="0"/>
        <w:numPr>
          <w:ilvl w:val="0"/>
          <w:numId w:val="42"/>
        </w:numPr>
        <w:tabs>
          <w:tab w:val="left" w:pos="299"/>
        </w:tabs>
        <w:autoSpaceDE w:val="0"/>
        <w:autoSpaceDN w:val="0"/>
        <w:spacing w:after="0" w:line="240" w:lineRule="auto"/>
        <w:ind w:right="60"/>
        <w:contextualSpacing w:val="0"/>
        <w:rPr>
          <w:color w:val="C00000"/>
        </w:rPr>
      </w:pPr>
      <w:proofErr w:type="spellStart"/>
      <w:r w:rsidRPr="0062648C">
        <w:rPr>
          <w:color w:val="C00000"/>
        </w:rPr>
        <w:t>Bühlmann</w:t>
      </w:r>
      <w:proofErr w:type="spellEnd"/>
      <w:r w:rsidRPr="0062648C">
        <w:rPr>
          <w:color w:val="C00000"/>
        </w:rPr>
        <w:t>, P. and van de Geer, S. (2011). Statistics for High-Dimensional Data: Methods, Theory and Applications. Springer.</w:t>
      </w:r>
    </w:p>
    <w:p w14:paraId="414CD6AE" w14:textId="77777777" w:rsidR="000B4989" w:rsidRPr="00B12D41" w:rsidRDefault="000B4989" w:rsidP="00B12D41">
      <w:pPr>
        <w:widowControl w:val="0"/>
        <w:tabs>
          <w:tab w:val="left" w:pos="299"/>
        </w:tabs>
        <w:autoSpaceDE w:val="0"/>
        <w:autoSpaceDN w:val="0"/>
        <w:spacing w:before="1" w:after="0" w:line="240" w:lineRule="auto"/>
        <w:ind w:right="60"/>
        <w:rPr>
          <w:color w:val="C00000"/>
          <w:sz w:val="18"/>
        </w:rPr>
      </w:pPr>
    </w:p>
    <w:p w14:paraId="497458EE" w14:textId="77777777" w:rsidR="001231C2" w:rsidRPr="00DD72DD" w:rsidRDefault="001231C2" w:rsidP="00AF2D68">
      <w:pPr>
        <w:rPr>
          <w:rFonts w:cstheme="minorHAnsi"/>
          <w:b/>
          <w:bCs/>
          <w:sz w:val="4"/>
          <w:u w:val="single"/>
        </w:rPr>
      </w:pPr>
    </w:p>
    <w:p w14:paraId="4260792A" w14:textId="019483A8" w:rsidR="00275563" w:rsidRDefault="00275563" w:rsidP="00001D73">
      <w:pPr>
        <w:autoSpaceDE w:val="0"/>
        <w:autoSpaceDN w:val="0"/>
        <w:adjustRightInd w:val="0"/>
        <w:spacing w:after="0" w:line="240" w:lineRule="auto"/>
        <w:rPr>
          <w:rFonts w:cstheme="minorHAnsi"/>
          <w:b/>
          <w:bCs/>
        </w:rPr>
      </w:pPr>
      <w:r>
        <w:rPr>
          <w:rFonts w:cstheme="minorHAnsi"/>
          <w:b/>
          <w:bCs/>
        </w:rPr>
        <w:t xml:space="preserve">2b3.3b. </w:t>
      </w:r>
      <w:proofErr w:type="gramStart"/>
      <w:r>
        <w:rPr>
          <w:rFonts w:cstheme="minorHAnsi"/>
          <w:b/>
          <w:bCs/>
        </w:rPr>
        <w:t>How</w:t>
      </w:r>
      <w:proofErr w:type="gramEnd"/>
      <w:r>
        <w:rPr>
          <w:rFonts w:cstheme="minorHAnsi"/>
          <w:b/>
          <w:bCs/>
        </w:rPr>
        <w:t xml:space="preserve"> was the conceptual model </w:t>
      </w:r>
      <w:r w:rsidR="00CE284E">
        <w:rPr>
          <w:rFonts w:cstheme="minorHAnsi"/>
          <w:b/>
          <w:bCs/>
        </w:rPr>
        <w:t xml:space="preserve">of how social risk impacts this outcome </w:t>
      </w:r>
      <w:r>
        <w:rPr>
          <w:rFonts w:cstheme="minorHAnsi"/>
          <w:b/>
          <w:bCs/>
        </w:rPr>
        <w:t>developed?  Please check all that apply:</w:t>
      </w:r>
    </w:p>
    <w:p w14:paraId="2B47DA83" w14:textId="09023A07" w:rsidR="00275563" w:rsidRPr="005232D6" w:rsidRDefault="00DE48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8E0BF1">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710EE80F" w:rsidR="00275563" w:rsidRPr="005232D6" w:rsidRDefault="00DE48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8E0BF1">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DE485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7C5644B4" w14:textId="0349FD9A" w:rsidR="00275563" w:rsidRDefault="00275563" w:rsidP="00001D73">
      <w:pPr>
        <w:autoSpaceDE w:val="0"/>
        <w:autoSpaceDN w:val="0"/>
        <w:adjustRightInd w:val="0"/>
        <w:spacing w:after="0" w:line="240" w:lineRule="auto"/>
        <w:rPr>
          <w:rFonts w:cstheme="minorHAnsi"/>
          <w:b/>
          <w:bCs/>
        </w:rPr>
      </w:pPr>
    </w:p>
    <w:p w14:paraId="364576BA" w14:textId="77777777" w:rsidR="00FD3442" w:rsidRPr="00AB2AD9" w:rsidRDefault="00FD3442" w:rsidP="00FD3442">
      <w:pPr>
        <w:rPr>
          <w:color w:val="C00000"/>
        </w:rPr>
      </w:pPr>
      <w:r w:rsidRPr="00AB2AD9">
        <w:rPr>
          <w:color w:val="C00000"/>
        </w:rPr>
        <w:t>The relationship among patient level SDS, socioeconomic disadvantage and health care utilization such as hospitalization is well-established in the general population and has received considerable attention over the years.  (AHRQ Reports, 2011; 2012; 2013; 2014; 2015).  The likelihood of hospitalization is related to socioeconomic disadvantage through differences in health status, insurance coverage, and access to quality primary care (</w:t>
      </w:r>
      <w:proofErr w:type="spellStart"/>
      <w:r w:rsidRPr="00AB2AD9">
        <w:rPr>
          <w:color w:val="C00000"/>
        </w:rPr>
        <w:t>Basu</w:t>
      </w:r>
      <w:proofErr w:type="spellEnd"/>
      <w:r w:rsidRPr="00AB2AD9">
        <w:rPr>
          <w:color w:val="C00000"/>
        </w:rPr>
        <w:t xml:space="preserve"> et al, 2012; </w:t>
      </w:r>
      <w:proofErr w:type="spellStart"/>
      <w:r w:rsidRPr="00AB2AD9">
        <w:rPr>
          <w:color w:val="C00000"/>
        </w:rPr>
        <w:t>Blustein</w:t>
      </w:r>
      <w:proofErr w:type="spellEnd"/>
      <w:r w:rsidRPr="00AB2AD9">
        <w:rPr>
          <w:color w:val="C00000"/>
        </w:rPr>
        <w:t xml:space="preserve"> et al, 1998). Further, individual and market or area-level measures of deprivation have been shown to contribute independently to preventable hospitalizations (Moy et al, 2013). </w:t>
      </w:r>
    </w:p>
    <w:p w14:paraId="21E88847" w14:textId="77777777" w:rsidR="00FD3442" w:rsidRPr="00AB2AD9" w:rsidRDefault="00FD3442" w:rsidP="00FD3442">
      <w:pPr>
        <w:rPr>
          <w:color w:val="C00000"/>
        </w:rPr>
      </w:pPr>
      <w:r w:rsidRPr="00AB2AD9">
        <w:rPr>
          <w:color w:val="C00000"/>
        </w:rPr>
        <w:t>Health care outcomes and utilization are associated with area-level income and residential segregation, but particularly so for ra</w:t>
      </w:r>
      <w:r>
        <w:rPr>
          <w:color w:val="C00000"/>
        </w:rPr>
        <w:t>cial minorities (Williams, 2006</w:t>
      </w:r>
      <w:r w:rsidRPr="00AB2AD9">
        <w:rPr>
          <w:color w:val="C00000"/>
        </w:rPr>
        <w:t xml:space="preserve">; Williams and Collins, 2001). This suggests the interplay of patient level (race) and area level SES factors related to lower income, neighborhood poverty, segregation, levels of educational attainment, and unemployment levels that jointly influence key health outcomes related to morbidity (Williams 2006; Williams and Collins, 2001; AHRQ, 2008). </w:t>
      </w:r>
    </w:p>
    <w:p w14:paraId="70C0C2F0" w14:textId="77777777" w:rsidR="00FD3442" w:rsidRPr="00AB2AD9" w:rsidRDefault="00FD3442" w:rsidP="00FD3442">
      <w:pPr>
        <w:rPr>
          <w:color w:val="C00000"/>
        </w:rPr>
      </w:pPr>
      <w:r w:rsidRPr="00AB2AD9">
        <w:rPr>
          <w:color w:val="C00000"/>
        </w:rPr>
        <w:t>Within the dialysis population area-level SES are associated with poor outcomes (</w:t>
      </w:r>
      <w:proofErr w:type="spellStart"/>
      <w:r w:rsidRPr="00AB2AD9">
        <w:rPr>
          <w:color w:val="C00000"/>
        </w:rPr>
        <w:t>Almachraki</w:t>
      </w:r>
      <w:proofErr w:type="spellEnd"/>
      <w:r w:rsidRPr="00AB2AD9">
        <w:rPr>
          <w:color w:val="C00000"/>
        </w:rPr>
        <w:t xml:space="preserve"> et al 2016); while patient level factors such as race are predictive of differences in certain clinical outcomes by race. (Yan et al 2014; Whittle et al 1991). In a study of first year hemodialysis patients, patients of Hispanic ethnicity had lowest all-cause hospital length of stay compared to whites, while patients of black race had intermediate all-cause hospital admissions that was lower relative to whites but higher than Hispanic patient, with differences observed across certain age groups (Yan et al, CJASN 2014). Moreover the study authors found that infection-related hospitalizations were significantly higher for black and Hispanic patients compared to non-Hispanic whites. These associations could indicate certain facility level practices related to effective infection control and prevention may unevenly impact patients of black race and Hispanic ethnicity (Yan et al CJASN 2014 p7).</w:t>
      </w:r>
    </w:p>
    <w:p w14:paraId="2E036567" w14:textId="77777777" w:rsidR="00FD3442" w:rsidRPr="00AB2AD9" w:rsidRDefault="00FD3442" w:rsidP="00FD3442">
      <w:pPr>
        <w:rPr>
          <w:color w:val="C00000"/>
        </w:rPr>
      </w:pPr>
      <w:r w:rsidRPr="00AB2AD9">
        <w:rPr>
          <w:color w:val="C00000"/>
        </w:rPr>
        <w:t xml:space="preserve">Insurance status is also related to health outcomes but this has not been studied extensively within the dialysis population as it relates to hospitalization, though the association has been documented in studies of the general dual Medicare and Medicaid population.  Dual </w:t>
      </w:r>
      <w:proofErr w:type="spellStart"/>
      <w:r w:rsidRPr="00AB2AD9">
        <w:rPr>
          <w:color w:val="C00000"/>
        </w:rPr>
        <w:t>eligibles</w:t>
      </w:r>
      <w:proofErr w:type="spellEnd"/>
      <w:r w:rsidRPr="00AB2AD9">
        <w:rPr>
          <w:color w:val="C00000"/>
        </w:rPr>
        <w:t xml:space="preserve"> typically have greater comorbidity burden, face access to care barriers which in turn drive higher hospital utilization (Jiang et al, 2010; Moon and Shin,2006; Wright et al., 2015).  </w:t>
      </w:r>
    </w:p>
    <w:p w14:paraId="5355EFC4" w14:textId="77777777" w:rsidR="00FD3442" w:rsidRPr="00AB2AD9" w:rsidRDefault="00FD3442" w:rsidP="00FD3442">
      <w:pPr>
        <w:rPr>
          <w:color w:val="C00000"/>
        </w:rPr>
      </w:pPr>
      <w:r w:rsidRPr="00AB2AD9">
        <w:rPr>
          <w:color w:val="C00000"/>
        </w:rPr>
        <w:t>Maintaining employment is a challenge for dialysis patients which in turn can influence well-being and may have a proximal impact on outcomes such as hospitalization (Curtin et al, AJKD 1996).</w:t>
      </w:r>
    </w:p>
    <w:p w14:paraId="22DC19C2" w14:textId="2D42D76E" w:rsidR="00FD3442" w:rsidRPr="00CA76F1" w:rsidRDefault="00FD3442" w:rsidP="00FD3442">
      <w:pPr>
        <w:rPr>
          <w:rStyle w:val="slug-pages"/>
          <w:iCs/>
          <w:color w:val="C00000"/>
        </w:rPr>
      </w:pPr>
      <w:r w:rsidRPr="00CA76F1">
        <w:rPr>
          <w:rStyle w:val="slug-pages"/>
          <w:iCs/>
          <w:color w:val="C00000"/>
        </w:rPr>
        <w:t>Given these observed linkages we</w:t>
      </w:r>
      <w:r w:rsidRPr="00CA76F1">
        <w:rPr>
          <w:color w:val="C00000"/>
        </w:rPr>
        <w:t xml:space="preserve"> tested these patient- and area-level SDS/SES variables based on the conceptual relationships as described above and demonstrated in the literature, as well as the availability of data for the analyses.  </w:t>
      </w:r>
      <w:r>
        <w:rPr>
          <w:rStyle w:val="slug-pages"/>
          <w:iCs/>
          <w:color w:val="C00000"/>
        </w:rPr>
        <w:t xml:space="preserve">In total, we tested the following variables: </w:t>
      </w:r>
    </w:p>
    <w:p w14:paraId="70D4DC00" w14:textId="77777777" w:rsidR="00FD3442" w:rsidRPr="00CA76F1" w:rsidRDefault="00FD3442" w:rsidP="00FD3442">
      <w:pPr>
        <w:rPr>
          <w:rStyle w:val="slug-pages"/>
          <w:iCs/>
          <w:color w:val="C00000"/>
        </w:rPr>
      </w:pPr>
    </w:p>
    <w:p w14:paraId="3108D281" w14:textId="77777777" w:rsidR="00FD3442" w:rsidRPr="00DA1617" w:rsidRDefault="00FD3442" w:rsidP="00FD3442">
      <w:pPr>
        <w:pStyle w:val="Heading2"/>
        <w:rPr>
          <w:rFonts w:asciiTheme="minorHAnsi" w:eastAsiaTheme="minorEastAsia" w:hAnsiTheme="minorHAnsi" w:cstheme="minorBidi"/>
          <w:b/>
          <w:bCs/>
          <w:color w:val="C00000"/>
          <w:sz w:val="22"/>
          <w:szCs w:val="22"/>
        </w:rPr>
      </w:pPr>
      <w:r w:rsidRPr="00DA1617">
        <w:rPr>
          <w:rFonts w:asciiTheme="minorHAnsi" w:eastAsiaTheme="minorEastAsia" w:hAnsiTheme="minorHAnsi" w:cstheme="minorBidi"/>
          <w:color w:val="C00000"/>
          <w:sz w:val="22"/>
          <w:szCs w:val="22"/>
        </w:rPr>
        <w:t xml:space="preserve">Patient level: </w:t>
      </w:r>
    </w:p>
    <w:p w14:paraId="3A8064EC" w14:textId="77777777" w:rsidR="00FD3442" w:rsidRPr="00DA1617" w:rsidRDefault="00FD3442" w:rsidP="00FD3442">
      <w:pPr>
        <w:pStyle w:val="ListParagraph"/>
        <w:numPr>
          <w:ilvl w:val="0"/>
          <w:numId w:val="38"/>
        </w:numPr>
        <w:rPr>
          <w:color w:val="C00000"/>
        </w:rPr>
      </w:pPr>
      <w:r w:rsidRPr="00DA1617">
        <w:rPr>
          <w:color w:val="C00000"/>
        </w:rPr>
        <w:t>Employment status 6 months prior to ESRD</w:t>
      </w:r>
    </w:p>
    <w:p w14:paraId="6AAC8534" w14:textId="77777777" w:rsidR="00FD3442" w:rsidRPr="00DA1617" w:rsidRDefault="00FD3442" w:rsidP="00FD3442">
      <w:pPr>
        <w:pStyle w:val="ListParagraph"/>
        <w:numPr>
          <w:ilvl w:val="0"/>
          <w:numId w:val="38"/>
        </w:numPr>
        <w:rPr>
          <w:color w:val="C00000"/>
        </w:rPr>
      </w:pPr>
      <w:r w:rsidRPr="00DA1617">
        <w:rPr>
          <w:color w:val="C00000"/>
        </w:rPr>
        <w:t>Sex</w:t>
      </w:r>
    </w:p>
    <w:p w14:paraId="777F0310" w14:textId="77777777" w:rsidR="00FD3442" w:rsidRPr="00DA1617" w:rsidRDefault="00FD3442" w:rsidP="00FD3442">
      <w:pPr>
        <w:pStyle w:val="ListParagraph"/>
        <w:numPr>
          <w:ilvl w:val="0"/>
          <w:numId w:val="38"/>
        </w:numPr>
        <w:rPr>
          <w:color w:val="C00000"/>
        </w:rPr>
      </w:pPr>
      <w:r w:rsidRPr="00DA1617">
        <w:rPr>
          <w:color w:val="C00000"/>
        </w:rPr>
        <w:t>Race</w:t>
      </w:r>
    </w:p>
    <w:p w14:paraId="5EA58195" w14:textId="77777777" w:rsidR="00FD3442" w:rsidRPr="00DA1617" w:rsidRDefault="00FD3442" w:rsidP="00FD3442">
      <w:pPr>
        <w:pStyle w:val="ListParagraph"/>
        <w:numPr>
          <w:ilvl w:val="0"/>
          <w:numId w:val="38"/>
        </w:numPr>
        <w:rPr>
          <w:color w:val="C00000"/>
        </w:rPr>
      </w:pPr>
      <w:r w:rsidRPr="00DA1617">
        <w:rPr>
          <w:color w:val="C00000"/>
        </w:rPr>
        <w:t>Ethnicity</w:t>
      </w:r>
    </w:p>
    <w:p w14:paraId="0E692C3D" w14:textId="77777777" w:rsidR="00FD3442" w:rsidRDefault="00FD3442" w:rsidP="00FD3442">
      <w:pPr>
        <w:pStyle w:val="ListParagraph"/>
        <w:numPr>
          <w:ilvl w:val="0"/>
          <w:numId w:val="38"/>
        </w:numPr>
        <w:rPr>
          <w:color w:val="C00000"/>
        </w:rPr>
      </w:pPr>
      <w:r w:rsidRPr="00DA1617">
        <w:rPr>
          <w:color w:val="C00000"/>
        </w:rPr>
        <w:t xml:space="preserve">Medicare </w:t>
      </w:r>
      <w:r>
        <w:rPr>
          <w:color w:val="C00000"/>
        </w:rPr>
        <w:t>dual eligible</w:t>
      </w:r>
    </w:p>
    <w:p w14:paraId="73D2E458" w14:textId="77777777" w:rsidR="00FD3442" w:rsidRPr="00F60202" w:rsidRDefault="00FD3442" w:rsidP="00FD3442">
      <w:pPr>
        <w:pStyle w:val="ListParagraph"/>
        <w:numPr>
          <w:ilvl w:val="0"/>
          <w:numId w:val="38"/>
        </w:numPr>
        <w:rPr>
          <w:rStyle w:val="slug-pages"/>
          <w:iCs/>
          <w:color w:val="C00000"/>
        </w:rPr>
      </w:pPr>
      <w:r w:rsidRPr="00BD69AD">
        <w:rPr>
          <w:color w:val="C00000"/>
        </w:rPr>
        <w:t>ZIP code level – Area Deprivation Index (ADI) from Census data (2009-2013). Based on patient zip-code. We use the publicly available Area Deprivation Index (ADI) originally developed by Singh and colleagues at the University of W</w:t>
      </w:r>
      <w:r w:rsidRPr="00F60202">
        <w:rPr>
          <w:color w:val="C00000"/>
        </w:rPr>
        <w:t>isconsin. We applied the updated ADI based on 2009-2013 census data (University of Wisconsin, 2013 v1.5). The ADI reflects a full set of SES characteristics, including measures of income, education, and employment status, measured at the ZIP code level.</w:t>
      </w:r>
    </w:p>
    <w:p w14:paraId="7C8EE90B" w14:textId="77777777" w:rsidR="00FD3442" w:rsidRDefault="00FD3442" w:rsidP="00FD3442">
      <w:pPr>
        <w:rPr>
          <w:rStyle w:val="slug-pages"/>
          <w:iCs/>
          <w:color w:val="C00000"/>
        </w:rPr>
      </w:pPr>
    </w:p>
    <w:p w14:paraId="5474EB81" w14:textId="77777777" w:rsidR="0062648C" w:rsidRDefault="0062648C" w:rsidP="00FD3442">
      <w:pPr>
        <w:rPr>
          <w:rStyle w:val="slug-pages"/>
          <w:iCs/>
          <w:color w:val="C00000"/>
        </w:rPr>
      </w:pPr>
    </w:p>
    <w:p w14:paraId="303FEA2E" w14:textId="77777777" w:rsidR="0062648C" w:rsidRDefault="0062648C" w:rsidP="00FD3442">
      <w:pPr>
        <w:rPr>
          <w:rStyle w:val="slug-pages"/>
          <w:iCs/>
          <w:color w:val="C00000"/>
        </w:rPr>
      </w:pPr>
    </w:p>
    <w:p w14:paraId="118F4C8D" w14:textId="494D298D" w:rsidR="00FD3442" w:rsidRPr="00CA76F1" w:rsidRDefault="00FD3442" w:rsidP="00FD3442">
      <w:pPr>
        <w:rPr>
          <w:rStyle w:val="slug-pages"/>
          <w:iCs/>
          <w:color w:val="C00000"/>
        </w:rPr>
      </w:pPr>
      <w:r w:rsidRPr="00CA76F1">
        <w:rPr>
          <w:rStyle w:val="slug-pages"/>
          <w:iCs/>
          <w:color w:val="C00000"/>
        </w:rPr>
        <w:t>References:</w:t>
      </w:r>
    </w:p>
    <w:p w14:paraId="417872F2" w14:textId="77777777" w:rsidR="00FD3442" w:rsidRPr="00CA76F1" w:rsidRDefault="00FD3442" w:rsidP="00FD3442">
      <w:pPr>
        <w:rPr>
          <w:iCs/>
          <w:color w:val="C00000"/>
        </w:rPr>
      </w:pPr>
      <w:r w:rsidRPr="00CA76F1">
        <w:rPr>
          <w:iCs/>
          <w:color w:val="C00000"/>
        </w:rPr>
        <w:t xml:space="preserve">Agency for Healthcare Research and Quality, Rockville, MD. Internet Citation: Chapter 3: Creation of New Race-Ethnicity Codes and SES Indicators for Medicare Beneficiaries - Chapter 3. January 2008. Publication # 08-0029-EF.  </w:t>
      </w:r>
      <w:hyperlink r:id="rId16" w:history="1">
        <w:r w:rsidRPr="00CA76F1">
          <w:rPr>
            <w:rStyle w:val="Hyperlink"/>
            <w:iCs/>
            <w:color w:val="C00000"/>
          </w:rPr>
          <w:t>http://archive.ahrq.gov/research/findings/final-reports/medicareindicators/medicareindicators3.html</w:t>
        </w:r>
      </w:hyperlink>
    </w:p>
    <w:p w14:paraId="44DE90D2" w14:textId="77777777" w:rsidR="00FD3442" w:rsidRPr="00CA76F1" w:rsidRDefault="00FD3442" w:rsidP="00FD3442">
      <w:pPr>
        <w:rPr>
          <w:iCs/>
          <w:color w:val="C00000"/>
        </w:rPr>
      </w:pPr>
      <w:r w:rsidRPr="00CA76F1">
        <w:rPr>
          <w:iCs/>
          <w:color w:val="C00000"/>
        </w:rPr>
        <w:t xml:space="preserve">Agency for Healthcare Research and Quality (AHRQ). 2010 National Health Care Disparities Report. Washington, DC: AHRQ; 2011).  </w:t>
      </w:r>
    </w:p>
    <w:p w14:paraId="29669923" w14:textId="77777777" w:rsidR="00FD3442" w:rsidRPr="00CA76F1" w:rsidRDefault="00FD3442" w:rsidP="00FD3442">
      <w:pPr>
        <w:rPr>
          <w:iCs/>
          <w:color w:val="C00000"/>
        </w:rPr>
      </w:pPr>
      <w:r w:rsidRPr="00CA76F1">
        <w:rPr>
          <w:iCs/>
          <w:color w:val="C00000"/>
        </w:rPr>
        <w:t xml:space="preserve">Agency for Healthcare Research and Quality (AHRQ). 2011 National Health Care Disparities Report. Washington, DC: AHRQ; 2012).  </w:t>
      </w:r>
    </w:p>
    <w:p w14:paraId="600DAD2D" w14:textId="77777777" w:rsidR="00FD3442" w:rsidRPr="00CA76F1" w:rsidRDefault="00FD3442" w:rsidP="00FD3442">
      <w:pPr>
        <w:rPr>
          <w:iCs/>
          <w:color w:val="C00000"/>
        </w:rPr>
      </w:pPr>
      <w:r w:rsidRPr="00CA76F1">
        <w:rPr>
          <w:iCs/>
          <w:color w:val="C00000"/>
        </w:rPr>
        <w:t xml:space="preserve">Agency for Healthcare Research and Quality (AHRQ). 2012 National Health Care Disparities Report. Washington, DC: AHRQ; Reports: 2013).  </w:t>
      </w:r>
    </w:p>
    <w:p w14:paraId="07B992E8" w14:textId="77777777" w:rsidR="00FD3442" w:rsidRPr="00CA76F1" w:rsidRDefault="00FD3442" w:rsidP="00FD3442">
      <w:pPr>
        <w:rPr>
          <w:iCs/>
          <w:color w:val="C00000"/>
        </w:rPr>
      </w:pPr>
      <w:r w:rsidRPr="00CA76F1">
        <w:rPr>
          <w:iCs/>
          <w:color w:val="C00000"/>
        </w:rPr>
        <w:t xml:space="preserve">Agency for Healthcare Research and Quality (AHRQ). 2013 National Health Care Disparities Report. Washington, DC: AHRQ; Reports: 2014).  </w:t>
      </w:r>
    </w:p>
    <w:p w14:paraId="754595E9" w14:textId="77777777" w:rsidR="00FD3442" w:rsidRPr="00CA76F1" w:rsidRDefault="00FD3442" w:rsidP="00FD3442">
      <w:pPr>
        <w:rPr>
          <w:iCs/>
          <w:color w:val="C00000"/>
        </w:rPr>
      </w:pPr>
      <w:r w:rsidRPr="00CA76F1">
        <w:rPr>
          <w:iCs/>
          <w:color w:val="C00000"/>
        </w:rPr>
        <w:t xml:space="preserve">Agency for Healthcare Research and Quality (AHRQ). 2014 National Health Care Disparities Report. Washington, DC: AHRQ; 2015).  </w:t>
      </w:r>
    </w:p>
    <w:p w14:paraId="0994FE5D" w14:textId="77777777" w:rsidR="00FD3442" w:rsidRPr="00CA76F1" w:rsidRDefault="00FD3442" w:rsidP="00FD3442">
      <w:pPr>
        <w:rPr>
          <w:iCs/>
          <w:color w:val="C00000"/>
        </w:rPr>
      </w:pPr>
      <w:proofErr w:type="spellStart"/>
      <w:r w:rsidRPr="00CA76F1">
        <w:rPr>
          <w:iCs/>
          <w:color w:val="C00000"/>
        </w:rPr>
        <w:t>Almachraki</w:t>
      </w:r>
      <w:proofErr w:type="spellEnd"/>
      <w:r w:rsidRPr="00CA76F1">
        <w:rPr>
          <w:iCs/>
          <w:color w:val="C00000"/>
        </w:rPr>
        <w:t xml:space="preserve"> F, </w:t>
      </w:r>
      <w:proofErr w:type="spellStart"/>
      <w:r w:rsidRPr="00CA76F1">
        <w:rPr>
          <w:iCs/>
          <w:color w:val="C00000"/>
        </w:rPr>
        <w:t>Tuffli</w:t>
      </w:r>
      <w:proofErr w:type="spellEnd"/>
      <w:r w:rsidRPr="00CA76F1">
        <w:rPr>
          <w:iCs/>
          <w:color w:val="C00000"/>
        </w:rPr>
        <w:t xml:space="preserve"> M, Lee P, </w:t>
      </w:r>
      <w:proofErr w:type="spellStart"/>
      <w:r w:rsidRPr="00CA76F1">
        <w:rPr>
          <w:iCs/>
          <w:color w:val="C00000"/>
        </w:rPr>
        <w:t>Desmarais</w:t>
      </w:r>
      <w:proofErr w:type="spellEnd"/>
      <w:r w:rsidRPr="00CA76F1">
        <w:rPr>
          <w:iCs/>
          <w:color w:val="C00000"/>
        </w:rPr>
        <w:t xml:space="preserve"> M,  Shih HC, </w:t>
      </w:r>
      <w:proofErr w:type="spellStart"/>
      <w:r w:rsidRPr="00CA76F1">
        <w:rPr>
          <w:iCs/>
          <w:color w:val="C00000"/>
        </w:rPr>
        <w:t>Nissenson</w:t>
      </w:r>
      <w:proofErr w:type="spellEnd"/>
      <w:r w:rsidRPr="00CA76F1">
        <w:rPr>
          <w:iCs/>
          <w:color w:val="C00000"/>
        </w:rPr>
        <w:t xml:space="preserve"> A, and Krishnan M.  Population Health Management. Volume 19, Number 1, 2016. </w:t>
      </w:r>
    </w:p>
    <w:p w14:paraId="33EEECDC" w14:textId="77777777" w:rsidR="00FD3442" w:rsidRPr="00CA76F1" w:rsidRDefault="00FD3442" w:rsidP="00FD3442">
      <w:pPr>
        <w:rPr>
          <w:iCs/>
          <w:color w:val="C00000"/>
        </w:rPr>
      </w:pPr>
      <w:proofErr w:type="spellStart"/>
      <w:r w:rsidRPr="00CA76F1">
        <w:rPr>
          <w:iCs/>
          <w:color w:val="C00000"/>
        </w:rPr>
        <w:t>Basu</w:t>
      </w:r>
      <w:proofErr w:type="spellEnd"/>
      <w:r w:rsidRPr="00CA76F1">
        <w:rPr>
          <w:iCs/>
          <w:color w:val="C00000"/>
        </w:rPr>
        <w:t xml:space="preserve">, J., </w:t>
      </w:r>
      <w:proofErr w:type="spellStart"/>
      <w:r w:rsidRPr="00CA76F1">
        <w:rPr>
          <w:iCs/>
          <w:color w:val="C00000"/>
        </w:rPr>
        <w:t>Thumula</w:t>
      </w:r>
      <w:proofErr w:type="spellEnd"/>
      <w:r w:rsidRPr="00CA76F1">
        <w:rPr>
          <w:iCs/>
          <w:color w:val="C00000"/>
        </w:rPr>
        <w:t xml:space="preserve">, V., and Mobley, L.R. (2012, July-September). Changes </w:t>
      </w:r>
      <w:proofErr w:type="gramStart"/>
      <w:r w:rsidRPr="00CA76F1">
        <w:rPr>
          <w:iCs/>
          <w:color w:val="C00000"/>
        </w:rPr>
        <w:t>In</w:t>
      </w:r>
      <w:proofErr w:type="gramEnd"/>
      <w:r w:rsidRPr="00CA76F1">
        <w:rPr>
          <w:iCs/>
          <w:color w:val="C00000"/>
        </w:rPr>
        <w:t xml:space="preserve"> Preventable Hospitalization Patterns Among Adults. A Small Area Analysis </w:t>
      </w:r>
      <w:proofErr w:type="gramStart"/>
      <w:r w:rsidRPr="00CA76F1">
        <w:rPr>
          <w:iCs/>
          <w:color w:val="C00000"/>
        </w:rPr>
        <w:t>Of</w:t>
      </w:r>
      <w:proofErr w:type="gramEnd"/>
      <w:r w:rsidRPr="00CA76F1">
        <w:rPr>
          <w:iCs/>
          <w:color w:val="C00000"/>
        </w:rPr>
        <w:t xml:space="preserve"> U.S. States. Journal of Ambulatory Care Management 35(3), pp.3280-3290</w:t>
      </w:r>
    </w:p>
    <w:p w14:paraId="70017ACD" w14:textId="77777777" w:rsidR="00FD3442" w:rsidRPr="00CA76F1" w:rsidRDefault="00FD3442" w:rsidP="00FD3442">
      <w:pPr>
        <w:rPr>
          <w:iCs/>
          <w:color w:val="C00000"/>
        </w:rPr>
      </w:pPr>
      <w:r w:rsidRPr="00CA76F1">
        <w:rPr>
          <w:iCs/>
          <w:color w:val="C00000"/>
        </w:rPr>
        <w:t xml:space="preserve">J </w:t>
      </w:r>
      <w:proofErr w:type="spellStart"/>
      <w:r w:rsidRPr="00CA76F1">
        <w:rPr>
          <w:iCs/>
          <w:color w:val="C00000"/>
        </w:rPr>
        <w:t>Blustein</w:t>
      </w:r>
      <w:proofErr w:type="spellEnd"/>
      <w:r w:rsidRPr="00CA76F1">
        <w:rPr>
          <w:iCs/>
          <w:color w:val="C00000"/>
        </w:rPr>
        <w:t xml:space="preserve">, K Hanson and S </w:t>
      </w:r>
      <w:proofErr w:type="spellStart"/>
      <w:r w:rsidRPr="00CA76F1">
        <w:rPr>
          <w:iCs/>
          <w:color w:val="C00000"/>
        </w:rPr>
        <w:t>Shea</w:t>
      </w:r>
      <w:proofErr w:type="spellEnd"/>
      <w:r w:rsidRPr="00CA76F1">
        <w:rPr>
          <w:iCs/>
          <w:color w:val="C00000"/>
        </w:rPr>
        <w:t xml:space="preserve">. Preventable Hospitalizations </w:t>
      </w:r>
      <w:proofErr w:type="gramStart"/>
      <w:r w:rsidRPr="00CA76F1">
        <w:rPr>
          <w:iCs/>
          <w:color w:val="C00000"/>
        </w:rPr>
        <w:t>And</w:t>
      </w:r>
      <w:proofErr w:type="gramEnd"/>
      <w:r w:rsidRPr="00CA76F1">
        <w:rPr>
          <w:iCs/>
          <w:color w:val="C00000"/>
        </w:rPr>
        <w:t xml:space="preserve"> Socioeconomic Status. Health Affairs 17, no.2 (1998):177-189). </w:t>
      </w:r>
    </w:p>
    <w:p w14:paraId="03D1043C" w14:textId="77777777" w:rsidR="00FD3442" w:rsidRPr="00CA76F1" w:rsidRDefault="00FD3442" w:rsidP="00FD3442">
      <w:pPr>
        <w:rPr>
          <w:iCs/>
          <w:color w:val="C00000"/>
        </w:rPr>
      </w:pPr>
      <w:r w:rsidRPr="00CA76F1">
        <w:rPr>
          <w:iCs/>
          <w:color w:val="C00000"/>
        </w:rPr>
        <w:t xml:space="preserve">Curtin R, </w:t>
      </w:r>
      <w:proofErr w:type="spellStart"/>
      <w:r w:rsidRPr="00CA76F1">
        <w:rPr>
          <w:iCs/>
          <w:color w:val="C00000"/>
        </w:rPr>
        <w:t>Oberley</w:t>
      </w:r>
      <w:proofErr w:type="spellEnd"/>
      <w:r w:rsidRPr="00CA76F1">
        <w:rPr>
          <w:iCs/>
          <w:color w:val="C00000"/>
        </w:rPr>
        <w:t xml:space="preserve"> E, </w:t>
      </w:r>
      <w:proofErr w:type="spellStart"/>
      <w:r w:rsidRPr="00CA76F1">
        <w:rPr>
          <w:iCs/>
          <w:color w:val="C00000"/>
        </w:rPr>
        <w:t>Sacksteder</w:t>
      </w:r>
      <w:proofErr w:type="spellEnd"/>
      <w:r w:rsidRPr="00CA76F1">
        <w:rPr>
          <w:iCs/>
          <w:color w:val="C00000"/>
        </w:rPr>
        <w:t xml:space="preserve"> P, and Friedman A. Differences Between Employed and </w:t>
      </w:r>
      <w:proofErr w:type="spellStart"/>
      <w:r w:rsidRPr="00CA76F1">
        <w:rPr>
          <w:iCs/>
          <w:color w:val="C00000"/>
        </w:rPr>
        <w:t>Nonemployed</w:t>
      </w:r>
      <w:proofErr w:type="spellEnd"/>
      <w:r w:rsidRPr="00CA76F1">
        <w:rPr>
          <w:iCs/>
          <w:color w:val="C00000"/>
        </w:rPr>
        <w:t xml:space="preserve"> Dialysis Patients. AJKD Vol 27:4. (April) 1996. 533-540. </w:t>
      </w:r>
    </w:p>
    <w:p w14:paraId="049C2BB8" w14:textId="77777777" w:rsidR="00FD3442" w:rsidRPr="00CA76F1" w:rsidRDefault="00FD3442" w:rsidP="00FD3442">
      <w:pPr>
        <w:rPr>
          <w:rFonts w:ascii="Calibri" w:hAnsi="Calibri"/>
          <w:color w:val="C00000"/>
        </w:rPr>
      </w:pPr>
      <w:r w:rsidRPr="00CA76F1">
        <w:rPr>
          <w:rFonts w:ascii="Calibri" w:hAnsi="Calibri"/>
          <w:color w:val="C00000"/>
        </w:rPr>
        <w:t xml:space="preserve">J. F. Lawless and C. Nadeau. Some Simple Robust Methods for the Analysis of Recurrent Events </w:t>
      </w:r>
      <w:proofErr w:type="spellStart"/>
      <w:r w:rsidRPr="00CA76F1">
        <w:rPr>
          <w:rFonts w:ascii="Calibri" w:hAnsi="Calibri"/>
          <w:color w:val="C00000"/>
        </w:rPr>
        <w:t>Technometrics</w:t>
      </w:r>
      <w:proofErr w:type="spellEnd"/>
      <w:r w:rsidRPr="00CA76F1">
        <w:rPr>
          <w:rFonts w:ascii="Calibri" w:hAnsi="Calibri"/>
          <w:color w:val="C00000"/>
        </w:rPr>
        <w:t>. Vol. 37, No. 2 (May, 1995), pp. 158-168</w:t>
      </w:r>
    </w:p>
    <w:p w14:paraId="7645F4FA" w14:textId="77777777" w:rsidR="00FD3442" w:rsidRPr="00CA76F1" w:rsidRDefault="00FD3442" w:rsidP="00FD3442">
      <w:pPr>
        <w:rPr>
          <w:rFonts w:ascii="Calibri" w:hAnsi="Calibri"/>
          <w:color w:val="C00000"/>
        </w:rPr>
      </w:pPr>
      <w:r w:rsidRPr="00CA76F1">
        <w:rPr>
          <w:rFonts w:ascii="Calibri" w:hAnsi="Calibri"/>
          <w:color w:val="C00000"/>
        </w:rPr>
        <w:t xml:space="preserve">Cox DR: Regression models and life tables (with discussion). </w:t>
      </w:r>
      <w:proofErr w:type="spellStart"/>
      <w:r w:rsidRPr="00CA76F1">
        <w:rPr>
          <w:rFonts w:ascii="Calibri" w:hAnsi="Calibri"/>
          <w:color w:val="C00000"/>
        </w:rPr>
        <w:t>JRStat</w:t>
      </w:r>
      <w:proofErr w:type="spellEnd"/>
      <w:r w:rsidRPr="00CA76F1">
        <w:rPr>
          <w:rFonts w:ascii="Calibri" w:hAnsi="Calibri"/>
          <w:color w:val="C00000"/>
        </w:rPr>
        <w:t xml:space="preserve"> </w:t>
      </w:r>
      <w:proofErr w:type="spellStart"/>
      <w:r w:rsidRPr="00CA76F1">
        <w:rPr>
          <w:rFonts w:ascii="Calibri" w:hAnsi="Calibri"/>
          <w:color w:val="C00000"/>
        </w:rPr>
        <w:t>Soc</w:t>
      </w:r>
      <w:proofErr w:type="spellEnd"/>
      <w:r w:rsidRPr="00CA76F1">
        <w:rPr>
          <w:rFonts w:ascii="Calibri" w:hAnsi="Calibri"/>
          <w:color w:val="C00000"/>
        </w:rPr>
        <w:t xml:space="preserve"> [</w:t>
      </w:r>
      <w:proofErr w:type="spellStart"/>
      <w:r w:rsidRPr="00CA76F1">
        <w:rPr>
          <w:rFonts w:ascii="Calibri" w:hAnsi="Calibri"/>
          <w:color w:val="C00000"/>
        </w:rPr>
        <w:t>SerB</w:t>
      </w:r>
      <w:proofErr w:type="spellEnd"/>
      <w:proofErr w:type="gramStart"/>
      <w:r w:rsidRPr="00CA76F1">
        <w:rPr>
          <w:rFonts w:ascii="Calibri" w:hAnsi="Calibri"/>
          <w:color w:val="C00000"/>
        </w:rPr>
        <w:t>]34</w:t>
      </w:r>
      <w:proofErr w:type="gramEnd"/>
      <w:r w:rsidRPr="00CA76F1">
        <w:rPr>
          <w:rFonts w:ascii="Calibri" w:hAnsi="Calibri"/>
          <w:color w:val="C00000"/>
        </w:rPr>
        <w:t>: 187–220, 1972</w:t>
      </w:r>
    </w:p>
    <w:p w14:paraId="74D4116E" w14:textId="77777777" w:rsidR="00FD3442" w:rsidRPr="00CA76F1" w:rsidRDefault="00FD3442" w:rsidP="00FD3442">
      <w:pPr>
        <w:rPr>
          <w:iCs/>
          <w:color w:val="C00000"/>
        </w:rPr>
      </w:pPr>
      <w:r w:rsidRPr="00CA76F1">
        <w:rPr>
          <w:iCs/>
          <w:color w:val="C00000"/>
        </w:rPr>
        <w:t xml:space="preserve">Jiang H, </w:t>
      </w:r>
      <w:proofErr w:type="spellStart"/>
      <w:r w:rsidRPr="00CA76F1">
        <w:rPr>
          <w:iCs/>
          <w:color w:val="C00000"/>
        </w:rPr>
        <w:t>Wier</w:t>
      </w:r>
      <w:proofErr w:type="spellEnd"/>
      <w:r w:rsidRPr="00CA76F1">
        <w:rPr>
          <w:iCs/>
          <w:color w:val="C00000"/>
        </w:rPr>
        <w:t xml:space="preserve"> L, Potter DEB, Burgess J. AHRQ Statistical Brief #96 Potentially Preventable Hospitalizations among Medicare-Medicaid Dual </w:t>
      </w:r>
      <w:proofErr w:type="spellStart"/>
      <w:r w:rsidRPr="00CA76F1">
        <w:rPr>
          <w:iCs/>
          <w:color w:val="C00000"/>
        </w:rPr>
        <w:t>Eligibles</w:t>
      </w:r>
      <w:proofErr w:type="spellEnd"/>
      <w:r w:rsidRPr="00CA76F1">
        <w:rPr>
          <w:iCs/>
          <w:color w:val="C00000"/>
        </w:rPr>
        <w:t>, September 2010.</w:t>
      </w:r>
    </w:p>
    <w:p w14:paraId="06AD977C" w14:textId="77777777" w:rsidR="00FD3442" w:rsidRPr="00CA76F1" w:rsidRDefault="00FD3442" w:rsidP="00FD3442">
      <w:pPr>
        <w:rPr>
          <w:rFonts w:ascii="Calibri" w:hAnsi="Calibri"/>
          <w:color w:val="C00000"/>
        </w:rPr>
      </w:pPr>
      <w:proofErr w:type="spellStart"/>
      <w:r w:rsidRPr="00CA76F1">
        <w:rPr>
          <w:rFonts w:ascii="Calibri" w:hAnsi="Calibri"/>
          <w:color w:val="C00000"/>
        </w:rPr>
        <w:t>Kalbfleisch</w:t>
      </w:r>
      <w:proofErr w:type="spellEnd"/>
      <w:r w:rsidRPr="00CA76F1">
        <w:rPr>
          <w:rFonts w:ascii="Calibri" w:hAnsi="Calibri"/>
          <w:color w:val="C00000"/>
        </w:rPr>
        <w:t xml:space="preserve"> JD, Prentice RL: The statistical analysis of failure time data, Hoboken, New Jersey, John Wiley &amp; Sons, Inc., 2002</w:t>
      </w:r>
    </w:p>
    <w:p w14:paraId="2981A287" w14:textId="77777777" w:rsidR="00FD3442" w:rsidRPr="00CA76F1" w:rsidRDefault="00FD3442" w:rsidP="00FD3442">
      <w:pPr>
        <w:rPr>
          <w:rFonts w:ascii="Calibri" w:hAnsi="Calibri"/>
          <w:color w:val="C00000"/>
        </w:rPr>
      </w:pPr>
      <w:r w:rsidRPr="00CA76F1">
        <w:rPr>
          <w:rFonts w:ascii="Calibri" w:hAnsi="Calibri"/>
          <w:color w:val="C00000"/>
        </w:rPr>
        <w:t xml:space="preserve">Liu, D., </w:t>
      </w:r>
      <w:proofErr w:type="spellStart"/>
      <w:r w:rsidRPr="00CA76F1">
        <w:rPr>
          <w:rFonts w:ascii="Calibri" w:hAnsi="Calibri"/>
          <w:color w:val="C00000"/>
        </w:rPr>
        <w:t>Schaubel</w:t>
      </w:r>
      <w:proofErr w:type="spellEnd"/>
      <w:r w:rsidRPr="00CA76F1">
        <w:rPr>
          <w:rFonts w:ascii="Calibri" w:hAnsi="Calibri"/>
          <w:color w:val="C00000"/>
        </w:rPr>
        <w:t xml:space="preserve">, D.E. and </w:t>
      </w:r>
      <w:proofErr w:type="spellStart"/>
      <w:r w:rsidRPr="00CA76F1">
        <w:rPr>
          <w:rFonts w:ascii="Calibri" w:hAnsi="Calibri"/>
          <w:color w:val="C00000"/>
        </w:rPr>
        <w:t>Kalbfleisch</w:t>
      </w:r>
      <w:proofErr w:type="spellEnd"/>
      <w:r w:rsidRPr="00CA76F1">
        <w:rPr>
          <w:rFonts w:ascii="Calibri" w:hAnsi="Calibri"/>
          <w:color w:val="C00000"/>
        </w:rPr>
        <w:t>, J.D. (2012).  Computationally efficient marginal models for clustered recurrent event data. Biometrics, 68, 637-647.</w:t>
      </w:r>
    </w:p>
    <w:p w14:paraId="6D44D375" w14:textId="77777777" w:rsidR="00FD3442" w:rsidRPr="00CA76F1" w:rsidRDefault="00FD3442" w:rsidP="00FD3442">
      <w:pPr>
        <w:rPr>
          <w:iCs/>
          <w:color w:val="C00000"/>
        </w:rPr>
      </w:pPr>
      <w:r w:rsidRPr="00CA76F1">
        <w:rPr>
          <w:iCs/>
          <w:color w:val="C00000"/>
        </w:rPr>
        <w:t>Moon S., Shin J. BMC Public Health. 2006 Apr 5</w:t>
      </w:r>
      <w:proofErr w:type="gramStart"/>
      <w:r w:rsidRPr="00CA76F1">
        <w:rPr>
          <w:iCs/>
          <w:color w:val="C00000"/>
        </w:rPr>
        <w:t>;6:88</w:t>
      </w:r>
      <w:proofErr w:type="gramEnd"/>
      <w:r w:rsidRPr="00CA76F1">
        <w:rPr>
          <w:iCs/>
          <w:color w:val="C00000"/>
        </w:rPr>
        <w:t xml:space="preserve">. Health Care Utilization </w:t>
      </w:r>
      <w:proofErr w:type="gramStart"/>
      <w:r w:rsidRPr="00CA76F1">
        <w:rPr>
          <w:iCs/>
          <w:color w:val="C00000"/>
        </w:rPr>
        <w:t>Among</w:t>
      </w:r>
      <w:proofErr w:type="gramEnd"/>
      <w:r w:rsidRPr="00CA76F1">
        <w:rPr>
          <w:iCs/>
          <w:color w:val="C00000"/>
        </w:rPr>
        <w:t xml:space="preserve"> Medicare-Medicaid Dual </w:t>
      </w:r>
      <w:proofErr w:type="spellStart"/>
      <w:r w:rsidRPr="00CA76F1">
        <w:rPr>
          <w:iCs/>
          <w:color w:val="C00000"/>
        </w:rPr>
        <w:t>Eligibles</w:t>
      </w:r>
      <w:proofErr w:type="spellEnd"/>
      <w:r w:rsidRPr="00CA76F1">
        <w:rPr>
          <w:iCs/>
          <w:color w:val="C00000"/>
        </w:rPr>
        <w:t>: A Count Data Analysis.</w:t>
      </w:r>
    </w:p>
    <w:p w14:paraId="0471151C" w14:textId="77777777" w:rsidR="00FD3442" w:rsidRPr="00CA76F1" w:rsidRDefault="00FD3442" w:rsidP="00FD3442">
      <w:pPr>
        <w:rPr>
          <w:iCs/>
          <w:color w:val="C00000"/>
        </w:rPr>
      </w:pPr>
      <w:r w:rsidRPr="00CA76F1">
        <w:rPr>
          <w:iCs/>
          <w:color w:val="C00000"/>
        </w:rPr>
        <w:t>Moy E, Chang E, Barrett M. Potentially Preventable Hospitalizations — United States, 2001–2009. CDC Morbidity and Mortality Weekly Report (MMWR). Supplements November 22, 2013 / 62(03)</w:t>
      </w:r>
      <w:proofErr w:type="gramStart"/>
      <w:r w:rsidRPr="00CA76F1">
        <w:rPr>
          <w:iCs/>
          <w:color w:val="C00000"/>
        </w:rPr>
        <w:t>;139</w:t>
      </w:r>
      <w:proofErr w:type="gramEnd"/>
      <w:r w:rsidRPr="00CA76F1">
        <w:rPr>
          <w:iCs/>
          <w:color w:val="C00000"/>
        </w:rPr>
        <w:t>-143</w:t>
      </w:r>
    </w:p>
    <w:p w14:paraId="01439257" w14:textId="77777777" w:rsidR="00FD3442" w:rsidRPr="00CA76F1" w:rsidRDefault="00FD3442" w:rsidP="00FD3442">
      <w:pPr>
        <w:rPr>
          <w:iCs/>
          <w:color w:val="C00000"/>
        </w:rPr>
      </w:pPr>
      <w:r w:rsidRPr="00CA76F1">
        <w:rPr>
          <w:iCs/>
          <w:color w:val="C00000"/>
        </w:rPr>
        <w:t xml:space="preserve">Rodriguez R, Sen S, Mehta K, Moody-Ayers S, </w:t>
      </w:r>
      <w:proofErr w:type="spellStart"/>
      <w:r w:rsidRPr="00CA76F1">
        <w:rPr>
          <w:iCs/>
          <w:color w:val="C00000"/>
        </w:rPr>
        <w:t>Bacchetti</w:t>
      </w:r>
      <w:proofErr w:type="spellEnd"/>
      <w:r w:rsidRPr="00CA76F1">
        <w:rPr>
          <w:iCs/>
          <w:color w:val="C00000"/>
        </w:rPr>
        <w:t xml:space="preserve"> P, and O’Hare A. Geography Matters: Relationships among Urban Residential Segregation, Dialysis Facilities, and Patient Outcomes. Ann Intern Med. 2007; 146:493-501. </w:t>
      </w:r>
    </w:p>
    <w:p w14:paraId="1851CBCE" w14:textId="77777777" w:rsidR="00FD3442" w:rsidRPr="00CA76F1" w:rsidRDefault="00FD3442" w:rsidP="00FD3442">
      <w:pPr>
        <w:rPr>
          <w:iCs/>
          <w:color w:val="C00000"/>
        </w:rPr>
      </w:pPr>
      <w:r w:rsidRPr="00CA76F1">
        <w:rPr>
          <w:iCs/>
          <w:color w:val="C00000"/>
        </w:rPr>
        <w:t xml:space="preserve">Singh, GK. Area Deprivation </w:t>
      </w:r>
      <w:r>
        <w:rPr>
          <w:iCs/>
          <w:color w:val="C00000"/>
        </w:rPr>
        <w:t>a</w:t>
      </w:r>
      <w:r w:rsidRPr="00CA76F1">
        <w:rPr>
          <w:iCs/>
          <w:color w:val="C00000"/>
        </w:rPr>
        <w:t xml:space="preserve">nd Widening Inequalities </w:t>
      </w:r>
      <w:proofErr w:type="gramStart"/>
      <w:r w:rsidRPr="00CA76F1">
        <w:rPr>
          <w:iCs/>
          <w:color w:val="C00000"/>
        </w:rPr>
        <w:t>In</w:t>
      </w:r>
      <w:proofErr w:type="gramEnd"/>
      <w:r w:rsidRPr="00CA76F1">
        <w:rPr>
          <w:iCs/>
          <w:color w:val="C00000"/>
        </w:rPr>
        <w:t xml:space="preserve"> US Mortality, 1969–1998. Am J Public Health. 2003; 93(7):1137–1143.</w:t>
      </w:r>
    </w:p>
    <w:p w14:paraId="15045A28" w14:textId="77777777" w:rsidR="00FD3442" w:rsidRDefault="00FD3442" w:rsidP="00FD3442">
      <w:r w:rsidRPr="00156159">
        <w:rPr>
          <w:color w:val="C00000"/>
        </w:rPr>
        <w:t xml:space="preserve">University of Wisconsin School of Medicine Public Health. 2015 Area Deprivation Index v2.0. Downloaded from </w:t>
      </w:r>
      <w:hyperlink r:id="rId17" w:history="1">
        <w:r w:rsidRPr="00B93091">
          <w:rPr>
            <w:rStyle w:val="Hyperlink"/>
          </w:rPr>
          <w:t>https://www.neighborhoodatlas.medicine.wisc.edu</w:t>
        </w:r>
      </w:hyperlink>
      <w:r>
        <w:t>10/31/2018</w:t>
      </w:r>
      <w:r w:rsidRPr="00156159">
        <w:rPr>
          <w:color w:val="C00000"/>
        </w:rPr>
        <w:t xml:space="preserve">.   </w:t>
      </w:r>
    </w:p>
    <w:p w14:paraId="630377F9" w14:textId="77777777" w:rsidR="00FD3442" w:rsidRPr="00CA76F1" w:rsidRDefault="00FD3442" w:rsidP="00FD3442">
      <w:pPr>
        <w:rPr>
          <w:iCs/>
          <w:color w:val="C00000"/>
        </w:rPr>
      </w:pPr>
      <w:r w:rsidRPr="00CA76F1">
        <w:rPr>
          <w:iCs/>
          <w:color w:val="C00000"/>
        </w:rPr>
        <w:t xml:space="preserve">Williams D. “Race, Socioeconomic Status, and Health: The Added Effects of Racism and Discrimination. Annals of the New York Academy of Sciences. Volume 896, Issue 1, Article first published online: 6 FEB 2006.  </w:t>
      </w:r>
    </w:p>
    <w:p w14:paraId="171E7FF0" w14:textId="77777777" w:rsidR="00FD3442" w:rsidRPr="00CA76F1" w:rsidRDefault="00FD3442" w:rsidP="00FD3442">
      <w:pPr>
        <w:rPr>
          <w:iCs/>
          <w:color w:val="C00000"/>
        </w:rPr>
      </w:pPr>
      <w:r w:rsidRPr="00CA76F1">
        <w:rPr>
          <w:iCs/>
          <w:color w:val="C00000"/>
        </w:rPr>
        <w:t xml:space="preserve">Williams D, and Collins C, Racial Residential Segregation: A Fundamental Cause of Racial Disparities in Health. Public Health </w:t>
      </w:r>
      <w:proofErr w:type="gramStart"/>
      <w:r w:rsidRPr="00CA76F1">
        <w:rPr>
          <w:iCs/>
          <w:color w:val="C00000"/>
        </w:rPr>
        <w:t>Reports  /</w:t>
      </w:r>
      <w:proofErr w:type="gramEnd"/>
      <w:r w:rsidRPr="00CA76F1">
        <w:rPr>
          <w:iCs/>
          <w:color w:val="C00000"/>
        </w:rPr>
        <w:t xml:space="preserve">  September–October 2001. Volume 116. 404-416.</w:t>
      </w:r>
    </w:p>
    <w:p w14:paraId="081EC859" w14:textId="77777777" w:rsidR="00FD3442" w:rsidRPr="00CA76F1" w:rsidRDefault="00FD3442" w:rsidP="00FD3442">
      <w:pPr>
        <w:rPr>
          <w:iCs/>
          <w:color w:val="C00000"/>
        </w:rPr>
      </w:pPr>
      <w:r w:rsidRPr="00CA76F1">
        <w:rPr>
          <w:iCs/>
          <w:color w:val="C00000"/>
        </w:rPr>
        <w:t xml:space="preserve">Whittle JC, </w:t>
      </w:r>
      <w:proofErr w:type="spellStart"/>
      <w:r w:rsidRPr="00CA76F1">
        <w:rPr>
          <w:iCs/>
          <w:color w:val="C00000"/>
        </w:rPr>
        <w:t>Whelton</w:t>
      </w:r>
      <w:proofErr w:type="spellEnd"/>
      <w:r w:rsidRPr="00CA76F1">
        <w:rPr>
          <w:iCs/>
          <w:color w:val="C00000"/>
        </w:rPr>
        <w:t xml:space="preserve"> PK, </w:t>
      </w:r>
      <w:proofErr w:type="spellStart"/>
      <w:r w:rsidRPr="00CA76F1">
        <w:rPr>
          <w:iCs/>
          <w:color w:val="C00000"/>
        </w:rPr>
        <w:t>Seidler</w:t>
      </w:r>
      <w:proofErr w:type="spellEnd"/>
      <w:r w:rsidRPr="00CA76F1">
        <w:rPr>
          <w:iCs/>
          <w:color w:val="C00000"/>
        </w:rPr>
        <w:t xml:space="preserve"> AJ, </w:t>
      </w:r>
      <w:proofErr w:type="spellStart"/>
      <w:proofErr w:type="gramStart"/>
      <w:r w:rsidRPr="00CA76F1">
        <w:rPr>
          <w:iCs/>
          <w:color w:val="C00000"/>
        </w:rPr>
        <w:t>Klag</w:t>
      </w:r>
      <w:proofErr w:type="spellEnd"/>
      <w:proofErr w:type="gramEnd"/>
      <w:r w:rsidRPr="00CA76F1">
        <w:rPr>
          <w:iCs/>
          <w:color w:val="C00000"/>
        </w:rPr>
        <w:t xml:space="preserve"> MJ. Does Racial Variation In Risk Factors Explain Black-White Differences In The Incidence Of Hypertensive End-Stage Renal Disease? Arch Intern Med. 1991 Jul</w:t>
      </w:r>
      <w:proofErr w:type="gramStart"/>
      <w:r w:rsidRPr="00CA76F1">
        <w:rPr>
          <w:iCs/>
          <w:color w:val="C00000"/>
        </w:rPr>
        <w:t>;151</w:t>
      </w:r>
      <w:proofErr w:type="gramEnd"/>
      <w:r w:rsidRPr="00CA76F1">
        <w:rPr>
          <w:iCs/>
          <w:color w:val="C00000"/>
        </w:rPr>
        <w:t>(7):1359-64.</w:t>
      </w:r>
    </w:p>
    <w:p w14:paraId="1FF8AD9D" w14:textId="77777777" w:rsidR="00FD3442" w:rsidRPr="00CA76F1" w:rsidRDefault="00FD3442" w:rsidP="00FD3442">
      <w:pPr>
        <w:rPr>
          <w:iCs/>
          <w:color w:val="C00000"/>
        </w:rPr>
      </w:pPr>
      <w:r w:rsidRPr="00CA76F1">
        <w:rPr>
          <w:iCs/>
          <w:color w:val="C00000"/>
        </w:rPr>
        <w:t xml:space="preserve">Wright B, Potter A, and </w:t>
      </w:r>
      <w:proofErr w:type="gramStart"/>
      <w:r w:rsidRPr="00CA76F1">
        <w:rPr>
          <w:iCs/>
          <w:color w:val="C00000"/>
        </w:rPr>
        <w:t>Trivedi  A</w:t>
      </w:r>
      <w:proofErr w:type="gramEnd"/>
      <w:r w:rsidRPr="00CA76F1">
        <w:rPr>
          <w:iCs/>
          <w:color w:val="C00000"/>
        </w:rPr>
        <w:t xml:space="preserve">. Federally Qualified Health Center Use Among Dual </w:t>
      </w:r>
      <w:proofErr w:type="spellStart"/>
      <w:r w:rsidRPr="00CA76F1">
        <w:rPr>
          <w:iCs/>
          <w:color w:val="C00000"/>
        </w:rPr>
        <w:t>Eligibles</w:t>
      </w:r>
      <w:proofErr w:type="spellEnd"/>
      <w:r w:rsidRPr="00CA76F1">
        <w:rPr>
          <w:iCs/>
          <w:color w:val="C00000"/>
        </w:rPr>
        <w:t xml:space="preserve">: Rates Of Hospitalizations And Emergency Department Visits Health Affairs, 34, no.7 (2015):1147-1155.  </w:t>
      </w:r>
    </w:p>
    <w:p w14:paraId="22292B1E" w14:textId="77777777" w:rsidR="00FD3442" w:rsidRPr="00CA76F1" w:rsidRDefault="00FD3442" w:rsidP="00FD3442">
      <w:pPr>
        <w:rPr>
          <w:iCs/>
          <w:color w:val="C00000"/>
        </w:rPr>
      </w:pPr>
      <w:r w:rsidRPr="00CA76F1">
        <w:rPr>
          <w:iCs/>
          <w:color w:val="C00000"/>
        </w:rPr>
        <w:t xml:space="preserve">Yan G, Norris K, Greene T, Yu A, Ma J, Yu W, and Cheung A. Race/Ethnicity, Age, and Risk of Hospital Admission and Length of Stay during the First Year of Maintenance Hemodialysis. </w:t>
      </w:r>
      <w:proofErr w:type="spellStart"/>
      <w:r w:rsidRPr="00CA76F1">
        <w:rPr>
          <w:iCs/>
          <w:color w:val="C00000"/>
        </w:rPr>
        <w:t>Clin</w:t>
      </w:r>
      <w:proofErr w:type="spellEnd"/>
      <w:r w:rsidRPr="00CA76F1">
        <w:rPr>
          <w:iCs/>
          <w:color w:val="C00000"/>
        </w:rPr>
        <w:t xml:space="preserve"> J Am </w:t>
      </w:r>
      <w:proofErr w:type="spellStart"/>
      <w:r w:rsidRPr="00CA76F1">
        <w:rPr>
          <w:iCs/>
          <w:color w:val="C00000"/>
        </w:rPr>
        <w:t>Soc</w:t>
      </w:r>
      <w:proofErr w:type="spellEnd"/>
      <w:r w:rsidRPr="00CA76F1">
        <w:rPr>
          <w:iCs/>
          <w:color w:val="C00000"/>
        </w:rPr>
        <w:t xml:space="preserve"> </w:t>
      </w:r>
      <w:proofErr w:type="spellStart"/>
      <w:r w:rsidRPr="00CA76F1">
        <w:rPr>
          <w:iCs/>
          <w:color w:val="C00000"/>
        </w:rPr>
        <w:t>Nephrol</w:t>
      </w:r>
      <w:proofErr w:type="spellEnd"/>
      <w:r w:rsidRPr="00CA76F1">
        <w:rPr>
          <w:iCs/>
          <w:color w:val="C00000"/>
        </w:rPr>
        <w:t xml:space="preserve"> 9: </w:t>
      </w:r>
      <w:proofErr w:type="spellStart"/>
      <w:r w:rsidRPr="00CA76F1">
        <w:rPr>
          <w:iCs/>
          <w:color w:val="C00000"/>
        </w:rPr>
        <w:t>epub</w:t>
      </w:r>
      <w:proofErr w:type="spellEnd"/>
      <w:r w:rsidRPr="00CA76F1">
        <w:rPr>
          <w:iCs/>
          <w:color w:val="C00000"/>
        </w:rPr>
        <w:t xml:space="preserve"> (June), 2014.</w:t>
      </w:r>
    </w:p>
    <w:p w14:paraId="08AE68CB" w14:textId="77777777" w:rsidR="008E0BF1" w:rsidRDefault="009C7513" w:rsidP="00DD72DD">
      <w:pPr>
        <w:pStyle w:val="BodyText"/>
        <w:ind w:right="154"/>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r w:rsidR="008E0BF1">
        <w:t>As described above, all risk factors included in the model have face validity, and all but four—being respirator-dependent, experiencing a hip fracture/dislocation or having rheumatoid arthritis at some point in the year leading up to hospitalization, and being within 2 years of ESRD incidence—are also significantly predictive of readmission (Table 2). As the ROC curve demonstrates, the model’s accuracy is fair (Figure 2); c-statistic = 0.6359.</w:t>
      </w:r>
    </w:p>
    <w:p w14:paraId="25F6E4AD" w14:textId="18C7AC95" w:rsidR="008E0BF1" w:rsidRDefault="008E0BF1" w:rsidP="008E0BF1">
      <w:pPr>
        <w:pStyle w:val="BodyText"/>
        <w:spacing w:before="11"/>
        <w:rPr>
          <w:sz w:val="19"/>
        </w:rPr>
      </w:pPr>
    </w:p>
    <w:p w14:paraId="4A67AE6C" w14:textId="77777777" w:rsidR="0062648C" w:rsidRDefault="0062648C" w:rsidP="00FC6074">
      <w:pPr>
        <w:ind w:left="720" w:hanging="720"/>
        <w:rPr>
          <w:b/>
        </w:rPr>
      </w:pPr>
    </w:p>
    <w:p w14:paraId="0BAF8BC8" w14:textId="2774E451" w:rsidR="008E0BF1" w:rsidRPr="008E0BF1" w:rsidRDefault="00FC6074" w:rsidP="00FC6074">
      <w:pPr>
        <w:ind w:left="720" w:hanging="720"/>
        <w:rPr>
          <w:b/>
        </w:rPr>
      </w:pPr>
      <w:r>
        <w:rPr>
          <w:b/>
        </w:rPr>
        <w:t>T</w:t>
      </w:r>
      <w:r w:rsidR="008E0BF1" w:rsidRPr="008E0BF1">
        <w:rPr>
          <w:b/>
        </w:rPr>
        <w:t>able 2. Covariates Included in the SRR Model</w:t>
      </w:r>
    </w:p>
    <w:p w14:paraId="68921D58" w14:textId="77777777" w:rsidR="008E0BF1" w:rsidRDefault="008E0BF1" w:rsidP="008E0BF1">
      <w:pPr>
        <w:pStyle w:val="BodyText"/>
        <w:spacing w:before="8" w:after="1"/>
        <w:rPr>
          <w:b/>
          <w:sz w:val="8"/>
        </w:rPr>
      </w:pPr>
    </w:p>
    <w:tbl>
      <w:tblPr>
        <w:tblStyle w:val="TableGrid"/>
        <w:tblW w:w="0" w:type="auto"/>
        <w:tblLayout w:type="fixed"/>
        <w:tblLook w:val="01E0" w:firstRow="1" w:lastRow="1" w:firstColumn="1" w:lastColumn="1" w:noHBand="0" w:noVBand="0"/>
        <w:tblDescription w:val="Table 2. Covariates Included in the SRR Model"/>
      </w:tblPr>
      <w:tblGrid>
        <w:gridCol w:w="5220"/>
        <w:gridCol w:w="991"/>
        <w:gridCol w:w="989"/>
        <w:gridCol w:w="1082"/>
      </w:tblGrid>
      <w:tr w:rsidR="00DD72DD" w14:paraId="34E9A0BF" w14:textId="77777777" w:rsidTr="00FC6074">
        <w:trPr>
          <w:trHeight w:hRule="exact" w:val="288"/>
          <w:tblHeader/>
        </w:trPr>
        <w:tc>
          <w:tcPr>
            <w:tcW w:w="5220" w:type="dxa"/>
          </w:tcPr>
          <w:p w14:paraId="47810EA5" w14:textId="77777777" w:rsidR="00DD72DD" w:rsidRPr="00FC6074" w:rsidRDefault="00DD72DD" w:rsidP="00BD25D4">
            <w:pPr>
              <w:pStyle w:val="TableParagraph"/>
              <w:spacing w:before="16"/>
              <w:ind w:left="103"/>
              <w:jc w:val="left"/>
              <w:rPr>
                <w:b/>
                <w:sz w:val="20"/>
              </w:rPr>
            </w:pPr>
            <w:r w:rsidRPr="00FC6074">
              <w:rPr>
                <w:b/>
                <w:sz w:val="20"/>
              </w:rPr>
              <w:t>Risk Factor</w:t>
            </w:r>
          </w:p>
        </w:tc>
        <w:tc>
          <w:tcPr>
            <w:tcW w:w="991" w:type="dxa"/>
          </w:tcPr>
          <w:p w14:paraId="3D1BA56F" w14:textId="77777777" w:rsidR="00DD72DD" w:rsidRPr="00FC6074" w:rsidRDefault="00DD72DD" w:rsidP="00BD25D4">
            <w:pPr>
              <w:pStyle w:val="TableParagraph"/>
              <w:spacing w:before="16"/>
              <w:ind w:left="297"/>
              <w:jc w:val="left"/>
              <w:rPr>
                <w:b/>
                <w:sz w:val="20"/>
              </w:rPr>
            </w:pPr>
            <w:r w:rsidRPr="00FC6074">
              <w:rPr>
                <w:b/>
                <w:sz w:val="20"/>
              </w:rPr>
              <w:t>Beta</w:t>
            </w:r>
          </w:p>
        </w:tc>
        <w:tc>
          <w:tcPr>
            <w:tcW w:w="989" w:type="dxa"/>
          </w:tcPr>
          <w:p w14:paraId="68A676D4" w14:textId="77777777" w:rsidR="00DD72DD" w:rsidRPr="00FC6074" w:rsidRDefault="00DD72DD" w:rsidP="00BD25D4">
            <w:pPr>
              <w:pStyle w:val="TableParagraph"/>
              <w:spacing w:before="16"/>
              <w:ind w:left="377" w:right="370"/>
              <w:jc w:val="center"/>
              <w:rPr>
                <w:b/>
                <w:sz w:val="20"/>
              </w:rPr>
            </w:pPr>
            <w:r w:rsidRPr="00FC6074">
              <w:rPr>
                <w:b/>
                <w:sz w:val="20"/>
              </w:rPr>
              <w:t>SE</w:t>
            </w:r>
          </w:p>
        </w:tc>
        <w:tc>
          <w:tcPr>
            <w:tcW w:w="1082" w:type="dxa"/>
          </w:tcPr>
          <w:p w14:paraId="5529853F" w14:textId="77777777" w:rsidR="00DD72DD" w:rsidRPr="00FC6074" w:rsidRDefault="00DD72DD" w:rsidP="00BD25D4">
            <w:pPr>
              <w:pStyle w:val="TableParagraph"/>
              <w:spacing w:before="16"/>
              <w:ind w:left="5"/>
              <w:jc w:val="center"/>
              <w:rPr>
                <w:b/>
                <w:i/>
                <w:sz w:val="20"/>
              </w:rPr>
            </w:pPr>
            <w:r w:rsidRPr="00FC6074">
              <w:rPr>
                <w:b/>
                <w:i/>
                <w:w w:val="98"/>
                <w:sz w:val="20"/>
              </w:rPr>
              <w:t>p</w:t>
            </w:r>
          </w:p>
        </w:tc>
      </w:tr>
      <w:tr w:rsidR="00DD72DD" w14:paraId="709F5737" w14:textId="77777777" w:rsidTr="00FC6074">
        <w:trPr>
          <w:trHeight w:hRule="exact" w:val="228"/>
        </w:trPr>
        <w:tc>
          <w:tcPr>
            <w:tcW w:w="5220" w:type="dxa"/>
          </w:tcPr>
          <w:p w14:paraId="01C89795" w14:textId="77777777" w:rsidR="00DD72DD" w:rsidRDefault="00DD72DD" w:rsidP="00BD25D4">
            <w:pPr>
              <w:pStyle w:val="TableParagraph"/>
              <w:spacing w:before="6"/>
              <w:ind w:left="103"/>
              <w:jc w:val="left"/>
              <w:rPr>
                <w:b/>
                <w:sz w:val="18"/>
              </w:rPr>
            </w:pPr>
            <w:r>
              <w:rPr>
                <w:b/>
                <w:sz w:val="18"/>
              </w:rPr>
              <w:t>Age (y)</w:t>
            </w:r>
          </w:p>
        </w:tc>
        <w:tc>
          <w:tcPr>
            <w:tcW w:w="991" w:type="dxa"/>
          </w:tcPr>
          <w:p w14:paraId="076BDA97" w14:textId="77777777" w:rsidR="00DD72DD" w:rsidRDefault="00DD72DD" w:rsidP="00BD25D4"/>
        </w:tc>
        <w:tc>
          <w:tcPr>
            <w:tcW w:w="989" w:type="dxa"/>
          </w:tcPr>
          <w:p w14:paraId="4FAD93D2" w14:textId="77777777" w:rsidR="00DD72DD" w:rsidRDefault="00DD72DD" w:rsidP="00BD25D4"/>
        </w:tc>
        <w:tc>
          <w:tcPr>
            <w:tcW w:w="1082" w:type="dxa"/>
          </w:tcPr>
          <w:p w14:paraId="510CBC44" w14:textId="77777777" w:rsidR="00DD72DD" w:rsidRDefault="00DD72DD" w:rsidP="00BD25D4"/>
        </w:tc>
      </w:tr>
      <w:tr w:rsidR="00DD72DD" w14:paraId="50CBD220" w14:textId="77777777" w:rsidTr="00FC6074">
        <w:trPr>
          <w:trHeight w:hRule="exact" w:val="228"/>
        </w:trPr>
        <w:tc>
          <w:tcPr>
            <w:tcW w:w="5220" w:type="dxa"/>
          </w:tcPr>
          <w:p w14:paraId="2BE1C301" w14:textId="77777777" w:rsidR="00DD72DD" w:rsidRDefault="00DD72DD" w:rsidP="00BD25D4">
            <w:pPr>
              <w:pStyle w:val="TableParagraph"/>
              <w:spacing w:before="1"/>
              <w:ind w:left="263"/>
              <w:jc w:val="left"/>
              <w:rPr>
                <w:sz w:val="18"/>
              </w:rPr>
            </w:pPr>
            <w:r>
              <w:rPr>
                <w:sz w:val="18"/>
              </w:rPr>
              <w:t>&lt;25</w:t>
            </w:r>
          </w:p>
        </w:tc>
        <w:tc>
          <w:tcPr>
            <w:tcW w:w="991" w:type="dxa"/>
          </w:tcPr>
          <w:p w14:paraId="0F02D81B" w14:textId="77777777" w:rsidR="00DD72DD" w:rsidRDefault="00DD72DD" w:rsidP="00BD25D4">
            <w:pPr>
              <w:pStyle w:val="TableParagraph"/>
              <w:spacing w:line="219" w:lineRule="exact"/>
              <w:ind w:right="19"/>
              <w:rPr>
                <w:sz w:val="18"/>
              </w:rPr>
            </w:pPr>
            <w:r>
              <w:rPr>
                <w:sz w:val="18"/>
              </w:rPr>
              <w:t>0.33</w:t>
            </w:r>
          </w:p>
        </w:tc>
        <w:tc>
          <w:tcPr>
            <w:tcW w:w="989" w:type="dxa"/>
          </w:tcPr>
          <w:p w14:paraId="7B293602" w14:textId="77777777" w:rsidR="00DD72DD" w:rsidRDefault="00DD72DD" w:rsidP="00BD25D4">
            <w:pPr>
              <w:pStyle w:val="TableParagraph"/>
              <w:spacing w:line="219" w:lineRule="exact"/>
              <w:ind w:right="17"/>
              <w:rPr>
                <w:sz w:val="18"/>
              </w:rPr>
            </w:pPr>
            <w:r>
              <w:rPr>
                <w:sz w:val="18"/>
              </w:rPr>
              <w:t>0.03</w:t>
            </w:r>
          </w:p>
        </w:tc>
        <w:tc>
          <w:tcPr>
            <w:tcW w:w="1082" w:type="dxa"/>
          </w:tcPr>
          <w:p w14:paraId="7709DF63" w14:textId="77777777" w:rsidR="00DD72DD" w:rsidRDefault="00DD72DD" w:rsidP="00BD25D4">
            <w:pPr>
              <w:pStyle w:val="TableParagraph"/>
              <w:spacing w:line="219" w:lineRule="exact"/>
              <w:ind w:right="17"/>
              <w:rPr>
                <w:sz w:val="18"/>
              </w:rPr>
            </w:pPr>
            <w:r>
              <w:rPr>
                <w:sz w:val="18"/>
              </w:rPr>
              <w:t>&lt;.0001</w:t>
            </w:r>
          </w:p>
        </w:tc>
      </w:tr>
      <w:tr w:rsidR="00DD72DD" w14:paraId="54DDDBFA" w14:textId="77777777" w:rsidTr="00FC6074">
        <w:trPr>
          <w:trHeight w:hRule="exact" w:val="228"/>
        </w:trPr>
        <w:tc>
          <w:tcPr>
            <w:tcW w:w="5220" w:type="dxa"/>
          </w:tcPr>
          <w:p w14:paraId="3648E487" w14:textId="77777777" w:rsidR="00DD72DD" w:rsidRDefault="00DD72DD" w:rsidP="00BD25D4">
            <w:pPr>
              <w:pStyle w:val="TableParagraph"/>
              <w:spacing w:before="1"/>
              <w:ind w:left="263"/>
              <w:jc w:val="left"/>
              <w:rPr>
                <w:sz w:val="18"/>
              </w:rPr>
            </w:pPr>
            <w:r>
              <w:rPr>
                <w:sz w:val="18"/>
              </w:rPr>
              <w:t>25–45</w:t>
            </w:r>
          </w:p>
        </w:tc>
        <w:tc>
          <w:tcPr>
            <w:tcW w:w="991" w:type="dxa"/>
          </w:tcPr>
          <w:p w14:paraId="2573CCC9" w14:textId="77777777" w:rsidR="00DD72DD" w:rsidRDefault="00DD72DD" w:rsidP="00BD25D4">
            <w:pPr>
              <w:pStyle w:val="TableParagraph"/>
              <w:spacing w:line="219" w:lineRule="exact"/>
              <w:ind w:right="19"/>
              <w:rPr>
                <w:sz w:val="18"/>
              </w:rPr>
            </w:pPr>
            <w:r>
              <w:rPr>
                <w:sz w:val="18"/>
              </w:rPr>
              <w:t>0.18</w:t>
            </w:r>
          </w:p>
        </w:tc>
        <w:tc>
          <w:tcPr>
            <w:tcW w:w="989" w:type="dxa"/>
          </w:tcPr>
          <w:p w14:paraId="66840845" w14:textId="77777777" w:rsidR="00DD72DD" w:rsidRDefault="00DD72DD" w:rsidP="00BD25D4">
            <w:pPr>
              <w:pStyle w:val="TableParagraph"/>
              <w:spacing w:line="219" w:lineRule="exact"/>
              <w:ind w:right="17"/>
              <w:rPr>
                <w:sz w:val="18"/>
              </w:rPr>
            </w:pPr>
            <w:r>
              <w:rPr>
                <w:sz w:val="18"/>
              </w:rPr>
              <w:t>0.01</w:t>
            </w:r>
          </w:p>
        </w:tc>
        <w:tc>
          <w:tcPr>
            <w:tcW w:w="1082" w:type="dxa"/>
          </w:tcPr>
          <w:p w14:paraId="723E2351" w14:textId="77777777" w:rsidR="00DD72DD" w:rsidRDefault="00DD72DD" w:rsidP="00BD25D4">
            <w:pPr>
              <w:pStyle w:val="TableParagraph"/>
              <w:spacing w:line="219" w:lineRule="exact"/>
              <w:ind w:right="17"/>
              <w:rPr>
                <w:sz w:val="18"/>
              </w:rPr>
            </w:pPr>
            <w:r>
              <w:rPr>
                <w:sz w:val="18"/>
              </w:rPr>
              <w:t>&lt;.0001</w:t>
            </w:r>
          </w:p>
        </w:tc>
      </w:tr>
      <w:tr w:rsidR="00DD72DD" w14:paraId="738D23BD" w14:textId="77777777" w:rsidTr="00FC6074">
        <w:trPr>
          <w:trHeight w:hRule="exact" w:val="228"/>
        </w:trPr>
        <w:tc>
          <w:tcPr>
            <w:tcW w:w="5220" w:type="dxa"/>
          </w:tcPr>
          <w:p w14:paraId="5E4CE1E8" w14:textId="77777777" w:rsidR="00DD72DD" w:rsidRDefault="00DD72DD" w:rsidP="00BD25D4">
            <w:pPr>
              <w:pStyle w:val="TableParagraph"/>
              <w:spacing w:before="4"/>
              <w:ind w:left="263"/>
              <w:jc w:val="left"/>
              <w:rPr>
                <w:sz w:val="18"/>
              </w:rPr>
            </w:pPr>
            <w:r>
              <w:rPr>
                <w:sz w:val="18"/>
              </w:rPr>
              <w:t>45–60 (ref)</w:t>
            </w:r>
          </w:p>
        </w:tc>
        <w:tc>
          <w:tcPr>
            <w:tcW w:w="991" w:type="dxa"/>
          </w:tcPr>
          <w:p w14:paraId="46836430" w14:textId="77777777" w:rsidR="00DD72DD" w:rsidRDefault="00DD72DD" w:rsidP="00BD25D4">
            <w:pPr>
              <w:pStyle w:val="TableParagraph"/>
              <w:spacing w:before="4"/>
              <w:ind w:right="103"/>
              <w:rPr>
                <w:sz w:val="18"/>
              </w:rPr>
            </w:pPr>
            <w:r>
              <w:rPr>
                <w:sz w:val="18"/>
              </w:rPr>
              <w:t>—</w:t>
            </w:r>
          </w:p>
        </w:tc>
        <w:tc>
          <w:tcPr>
            <w:tcW w:w="989" w:type="dxa"/>
          </w:tcPr>
          <w:p w14:paraId="39A75649" w14:textId="77777777" w:rsidR="00DD72DD" w:rsidRDefault="00DD72DD" w:rsidP="00BD25D4">
            <w:pPr>
              <w:pStyle w:val="TableParagraph"/>
              <w:spacing w:before="4"/>
              <w:ind w:right="101"/>
              <w:rPr>
                <w:sz w:val="18"/>
              </w:rPr>
            </w:pPr>
            <w:r>
              <w:rPr>
                <w:sz w:val="18"/>
              </w:rPr>
              <w:t>—</w:t>
            </w:r>
          </w:p>
        </w:tc>
        <w:tc>
          <w:tcPr>
            <w:tcW w:w="1082" w:type="dxa"/>
          </w:tcPr>
          <w:p w14:paraId="63A607FB" w14:textId="77777777" w:rsidR="00DD72DD" w:rsidRDefault="00DD72DD" w:rsidP="00BD25D4">
            <w:pPr>
              <w:pStyle w:val="TableParagraph"/>
              <w:spacing w:before="4"/>
              <w:ind w:right="101"/>
              <w:rPr>
                <w:sz w:val="18"/>
              </w:rPr>
            </w:pPr>
            <w:r>
              <w:rPr>
                <w:sz w:val="18"/>
              </w:rPr>
              <w:t>—</w:t>
            </w:r>
          </w:p>
        </w:tc>
      </w:tr>
      <w:tr w:rsidR="00DD72DD" w14:paraId="0E38D876" w14:textId="77777777" w:rsidTr="00FC6074">
        <w:trPr>
          <w:trHeight w:hRule="exact" w:val="228"/>
        </w:trPr>
        <w:tc>
          <w:tcPr>
            <w:tcW w:w="5220" w:type="dxa"/>
          </w:tcPr>
          <w:p w14:paraId="08A0F7A9" w14:textId="77777777" w:rsidR="00DD72DD" w:rsidRDefault="00DD72DD" w:rsidP="00BD25D4">
            <w:pPr>
              <w:pStyle w:val="TableParagraph"/>
              <w:spacing w:before="4"/>
              <w:ind w:left="263"/>
              <w:jc w:val="left"/>
              <w:rPr>
                <w:sz w:val="18"/>
              </w:rPr>
            </w:pPr>
            <w:r>
              <w:rPr>
                <w:sz w:val="18"/>
              </w:rPr>
              <w:t>60–75</w:t>
            </w:r>
          </w:p>
        </w:tc>
        <w:tc>
          <w:tcPr>
            <w:tcW w:w="991" w:type="dxa"/>
          </w:tcPr>
          <w:p w14:paraId="2249B463" w14:textId="77777777" w:rsidR="00DD72DD" w:rsidRDefault="00DD72DD" w:rsidP="00BD25D4">
            <w:pPr>
              <w:pStyle w:val="TableParagraph"/>
              <w:spacing w:before="1"/>
              <w:ind w:right="19"/>
              <w:rPr>
                <w:sz w:val="18"/>
              </w:rPr>
            </w:pPr>
            <w:r>
              <w:rPr>
                <w:sz w:val="18"/>
              </w:rPr>
              <w:t>-0.03</w:t>
            </w:r>
          </w:p>
        </w:tc>
        <w:tc>
          <w:tcPr>
            <w:tcW w:w="989" w:type="dxa"/>
          </w:tcPr>
          <w:p w14:paraId="0099F0F7" w14:textId="77777777" w:rsidR="00DD72DD" w:rsidRDefault="00DD72DD" w:rsidP="00BD25D4">
            <w:pPr>
              <w:pStyle w:val="TableParagraph"/>
              <w:spacing w:before="1"/>
              <w:ind w:right="17"/>
              <w:rPr>
                <w:sz w:val="18"/>
              </w:rPr>
            </w:pPr>
            <w:r>
              <w:rPr>
                <w:sz w:val="18"/>
              </w:rPr>
              <w:t>0.01</w:t>
            </w:r>
          </w:p>
        </w:tc>
        <w:tc>
          <w:tcPr>
            <w:tcW w:w="1082" w:type="dxa"/>
          </w:tcPr>
          <w:p w14:paraId="2CBDF3A5" w14:textId="77777777" w:rsidR="00DD72DD" w:rsidRDefault="00DD72DD" w:rsidP="00BD25D4">
            <w:pPr>
              <w:pStyle w:val="TableParagraph"/>
              <w:spacing w:line="218" w:lineRule="exact"/>
              <w:ind w:right="17"/>
              <w:rPr>
                <w:sz w:val="18"/>
              </w:rPr>
            </w:pPr>
            <w:r>
              <w:rPr>
                <w:sz w:val="18"/>
              </w:rPr>
              <w:t>&lt;.0001</w:t>
            </w:r>
          </w:p>
        </w:tc>
      </w:tr>
      <w:tr w:rsidR="00DD72DD" w14:paraId="42853455" w14:textId="77777777" w:rsidTr="00FC6074">
        <w:trPr>
          <w:trHeight w:hRule="exact" w:val="230"/>
        </w:trPr>
        <w:tc>
          <w:tcPr>
            <w:tcW w:w="5220" w:type="dxa"/>
          </w:tcPr>
          <w:p w14:paraId="35D4EBD7" w14:textId="77777777" w:rsidR="00DD72DD" w:rsidRDefault="00DD72DD" w:rsidP="00BD25D4">
            <w:pPr>
              <w:pStyle w:val="TableParagraph"/>
              <w:spacing w:before="4"/>
              <w:ind w:left="263"/>
              <w:jc w:val="left"/>
              <w:rPr>
                <w:sz w:val="18"/>
              </w:rPr>
            </w:pPr>
            <w:r>
              <w:rPr>
                <w:sz w:val="18"/>
              </w:rPr>
              <w:t>&gt;75</w:t>
            </w:r>
          </w:p>
        </w:tc>
        <w:tc>
          <w:tcPr>
            <w:tcW w:w="991" w:type="dxa"/>
          </w:tcPr>
          <w:p w14:paraId="44686571" w14:textId="77777777" w:rsidR="00DD72DD" w:rsidRDefault="00DD72DD" w:rsidP="00BD25D4">
            <w:pPr>
              <w:pStyle w:val="TableParagraph"/>
              <w:spacing w:before="1"/>
              <w:ind w:right="19"/>
              <w:rPr>
                <w:sz w:val="18"/>
              </w:rPr>
            </w:pPr>
            <w:r>
              <w:rPr>
                <w:sz w:val="18"/>
              </w:rPr>
              <w:t>0.06</w:t>
            </w:r>
          </w:p>
        </w:tc>
        <w:tc>
          <w:tcPr>
            <w:tcW w:w="989" w:type="dxa"/>
          </w:tcPr>
          <w:p w14:paraId="74088966" w14:textId="77777777" w:rsidR="00DD72DD" w:rsidRDefault="00DD72DD" w:rsidP="00BD25D4">
            <w:pPr>
              <w:pStyle w:val="TableParagraph"/>
              <w:spacing w:before="1"/>
              <w:ind w:right="17"/>
              <w:rPr>
                <w:sz w:val="18"/>
              </w:rPr>
            </w:pPr>
            <w:r>
              <w:rPr>
                <w:sz w:val="18"/>
              </w:rPr>
              <w:t>0.01</w:t>
            </w:r>
          </w:p>
        </w:tc>
        <w:tc>
          <w:tcPr>
            <w:tcW w:w="1082" w:type="dxa"/>
          </w:tcPr>
          <w:p w14:paraId="068BF6BC" w14:textId="77777777" w:rsidR="00DD72DD" w:rsidRDefault="00DD72DD" w:rsidP="00BD25D4">
            <w:pPr>
              <w:pStyle w:val="TableParagraph"/>
              <w:spacing w:before="1"/>
              <w:ind w:right="17"/>
              <w:rPr>
                <w:sz w:val="18"/>
              </w:rPr>
            </w:pPr>
            <w:r>
              <w:rPr>
                <w:sz w:val="18"/>
              </w:rPr>
              <w:t>&lt;.0001</w:t>
            </w:r>
          </w:p>
        </w:tc>
      </w:tr>
      <w:tr w:rsidR="00DD72DD" w14:paraId="6C529F18" w14:textId="77777777" w:rsidTr="00FC6074">
        <w:trPr>
          <w:trHeight w:hRule="exact" w:val="230"/>
        </w:trPr>
        <w:tc>
          <w:tcPr>
            <w:tcW w:w="5220" w:type="dxa"/>
          </w:tcPr>
          <w:p w14:paraId="0B3576E6" w14:textId="77777777" w:rsidR="00DD72DD" w:rsidRDefault="00DD72DD" w:rsidP="00BD25D4">
            <w:pPr>
              <w:pStyle w:val="TableParagraph"/>
              <w:spacing w:before="1"/>
              <w:ind w:left="103"/>
              <w:jc w:val="left"/>
              <w:rPr>
                <w:b/>
                <w:sz w:val="18"/>
              </w:rPr>
            </w:pPr>
            <w:r>
              <w:rPr>
                <w:b/>
                <w:sz w:val="18"/>
              </w:rPr>
              <w:t>BMI</w:t>
            </w:r>
          </w:p>
        </w:tc>
        <w:tc>
          <w:tcPr>
            <w:tcW w:w="991" w:type="dxa"/>
          </w:tcPr>
          <w:p w14:paraId="1D1F1D1D" w14:textId="77777777" w:rsidR="00DD72DD" w:rsidRDefault="00DD72DD" w:rsidP="00BD25D4"/>
        </w:tc>
        <w:tc>
          <w:tcPr>
            <w:tcW w:w="989" w:type="dxa"/>
          </w:tcPr>
          <w:p w14:paraId="4DACA6EB" w14:textId="77777777" w:rsidR="00DD72DD" w:rsidRDefault="00DD72DD" w:rsidP="00BD25D4"/>
        </w:tc>
        <w:tc>
          <w:tcPr>
            <w:tcW w:w="1082" w:type="dxa"/>
          </w:tcPr>
          <w:p w14:paraId="738C66DA" w14:textId="77777777" w:rsidR="00DD72DD" w:rsidRDefault="00DD72DD" w:rsidP="00BD25D4"/>
        </w:tc>
      </w:tr>
      <w:tr w:rsidR="00DD72DD" w14:paraId="0E83147B" w14:textId="77777777" w:rsidTr="00FC6074">
        <w:trPr>
          <w:trHeight w:hRule="exact" w:val="228"/>
        </w:trPr>
        <w:tc>
          <w:tcPr>
            <w:tcW w:w="5220" w:type="dxa"/>
          </w:tcPr>
          <w:p w14:paraId="38AE5D1F" w14:textId="77777777" w:rsidR="00DD72DD" w:rsidRDefault="00DD72DD" w:rsidP="00BD25D4">
            <w:pPr>
              <w:pStyle w:val="TableParagraph"/>
              <w:spacing w:before="1"/>
              <w:ind w:left="263"/>
              <w:jc w:val="left"/>
              <w:rPr>
                <w:sz w:val="18"/>
              </w:rPr>
            </w:pPr>
            <w:r>
              <w:rPr>
                <w:sz w:val="18"/>
              </w:rPr>
              <w:t>Underweight</w:t>
            </w:r>
          </w:p>
        </w:tc>
        <w:tc>
          <w:tcPr>
            <w:tcW w:w="991" w:type="dxa"/>
          </w:tcPr>
          <w:p w14:paraId="14373C6A" w14:textId="77777777" w:rsidR="00DD72DD" w:rsidRDefault="00DD72DD" w:rsidP="00BD25D4">
            <w:pPr>
              <w:pStyle w:val="TableParagraph"/>
              <w:spacing w:line="219" w:lineRule="exact"/>
              <w:ind w:right="19"/>
              <w:rPr>
                <w:sz w:val="18"/>
              </w:rPr>
            </w:pPr>
            <w:r>
              <w:rPr>
                <w:sz w:val="18"/>
              </w:rPr>
              <w:t>0.08</w:t>
            </w:r>
          </w:p>
        </w:tc>
        <w:tc>
          <w:tcPr>
            <w:tcW w:w="989" w:type="dxa"/>
          </w:tcPr>
          <w:p w14:paraId="2615734B" w14:textId="77777777" w:rsidR="00DD72DD" w:rsidRDefault="00DD72DD" w:rsidP="00BD25D4">
            <w:pPr>
              <w:pStyle w:val="TableParagraph"/>
              <w:spacing w:line="219" w:lineRule="exact"/>
              <w:ind w:right="17"/>
              <w:rPr>
                <w:sz w:val="18"/>
              </w:rPr>
            </w:pPr>
            <w:r>
              <w:rPr>
                <w:sz w:val="18"/>
              </w:rPr>
              <w:t>0.01</w:t>
            </w:r>
          </w:p>
        </w:tc>
        <w:tc>
          <w:tcPr>
            <w:tcW w:w="1082" w:type="dxa"/>
          </w:tcPr>
          <w:p w14:paraId="1FF4D459" w14:textId="77777777" w:rsidR="00DD72DD" w:rsidRDefault="00DD72DD" w:rsidP="00BD25D4">
            <w:pPr>
              <w:pStyle w:val="TableParagraph"/>
              <w:spacing w:before="1"/>
              <w:ind w:right="-1"/>
              <w:rPr>
                <w:sz w:val="18"/>
              </w:rPr>
            </w:pPr>
            <w:r>
              <w:rPr>
                <w:sz w:val="18"/>
              </w:rPr>
              <w:t>&lt;.0001</w:t>
            </w:r>
          </w:p>
        </w:tc>
      </w:tr>
      <w:tr w:rsidR="00DD72DD" w14:paraId="28130451" w14:textId="77777777" w:rsidTr="00FC6074">
        <w:trPr>
          <w:trHeight w:hRule="exact" w:val="230"/>
        </w:trPr>
        <w:tc>
          <w:tcPr>
            <w:tcW w:w="5220" w:type="dxa"/>
          </w:tcPr>
          <w:p w14:paraId="55B5645C" w14:textId="77777777" w:rsidR="00DD72DD" w:rsidRDefault="00DD72DD" w:rsidP="00BD25D4">
            <w:pPr>
              <w:pStyle w:val="TableParagraph"/>
              <w:spacing w:before="1"/>
              <w:ind w:left="263"/>
              <w:jc w:val="left"/>
              <w:rPr>
                <w:sz w:val="18"/>
              </w:rPr>
            </w:pPr>
            <w:r>
              <w:rPr>
                <w:sz w:val="18"/>
              </w:rPr>
              <w:t>Normal Weight (ref)</w:t>
            </w:r>
          </w:p>
        </w:tc>
        <w:tc>
          <w:tcPr>
            <w:tcW w:w="991" w:type="dxa"/>
          </w:tcPr>
          <w:p w14:paraId="2AD807AC" w14:textId="77777777" w:rsidR="00DD72DD" w:rsidRDefault="00DD72DD" w:rsidP="00BD25D4">
            <w:pPr>
              <w:pStyle w:val="TableParagraph"/>
              <w:spacing w:before="1"/>
              <w:ind w:right="103"/>
              <w:rPr>
                <w:sz w:val="18"/>
              </w:rPr>
            </w:pPr>
            <w:r>
              <w:rPr>
                <w:sz w:val="18"/>
              </w:rPr>
              <w:t>—</w:t>
            </w:r>
          </w:p>
        </w:tc>
        <w:tc>
          <w:tcPr>
            <w:tcW w:w="989" w:type="dxa"/>
          </w:tcPr>
          <w:p w14:paraId="3CAB1AB1" w14:textId="77777777" w:rsidR="00DD72DD" w:rsidRDefault="00DD72DD" w:rsidP="00BD25D4">
            <w:pPr>
              <w:pStyle w:val="TableParagraph"/>
              <w:spacing w:before="1"/>
              <w:ind w:right="101"/>
              <w:rPr>
                <w:sz w:val="18"/>
              </w:rPr>
            </w:pPr>
            <w:r>
              <w:rPr>
                <w:sz w:val="18"/>
              </w:rPr>
              <w:t>—</w:t>
            </w:r>
          </w:p>
        </w:tc>
        <w:tc>
          <w:tcPr>
            <w:tcW w:w="1082" w:type="dxa"/>
          </w:tcPr>
          <w:p w14:paraId="0B2BBD8A" w14:textId="77777777" w:rsidR="00DD72DD" w:rsidRDefault="00DD72DD" w:rsidP="00BD25D4">
            <w:pPr>
              <w:pStyle w:val="TableParagraph"/>
              <w:spacing w:before="1"/>
              <w:ind w:right="101"/>
              <w:rPr>
                <w:sz w:val="18"/>
              </w:rPr>
            </w:pPr>
            <w:r>
              <w:rPr>
                <w:sz w:val="18"/>
              </w:rPr>
              <w:t>—</w:t>
            </w:r>
          </w:p>
        </w:tc>
      </w:tr>
      <w:tr w:rsidR="00DD72DD" w14:paraId="7187CD2C" w14:textId="77777777" w:rsidTr="00FC6074">
        <w:trPr>
          <w:trHeight w:hRule="exact" w:val="230"/>
        </w:trPr>
        <w:tc>
          <w:tcPr>
            <w:tcW w:w="5220" w:type="dxa"/>
          </w:tcPr>
          <w:p w14:paraId="7C995F34" w14:textId="77777777" w:rsidR="00DD72DD" w:rsidRDefault="00DD72DD" w:rsidP="00BD25D4">
            <w:pPr>
              <w:pStyle w:val="TableParagraph"/>
              <w:spacing w:before="1"/>
              <w:ind w:left="263"/>
              <w:jc w:val="left"/>
              <w:rPr>
                <w:sz w:val="18"/>
              </w:rPr>
            </w:pPr>
            <w:r>
              <w:rPr>
                <w:sz w:val="18"/>
              </w:rPr>
              <w:t>Overweight</w:t>
            </w:r>
          </w:p>
        </w:tc>
        <w:tc>
          <w:tcPr>
            <w:tcW w:w="991" w:type="dxa"/>
          </w:tcPr>
          <w:p w14:paraId="22E64E8B" w14:textId="77777777" w:rsidR="00DD72DD" w:rsidRDefault="00DD72DD" w:rsidP="00BD25D4">
            <w:pPr>
              <w:pStyle w:val="TableParagraph"/>
              <w:spacing w:line="219" w:lineRule="exact"/>
              <w:ind w:right="19"/>
              <w:rPr>
                <w:sz w:val="18"/>
              </w:rPr>
            </w:pPr>
            <w:r>
              <w:rPr>
                <w:sz w:val="18"/>
              </w:rPr>
              <w:t>-0.05</w:t>
            </w:r>
          </w:p>
        </w:tc>
        <w:tc>
          <w:tcPr>
            <w:tcW w:w="989" w:type="dxa"/>
          </w:tcPr>
          <w:p w14:paraId="785FFFB0" w14:textId="77777777" w:rsidR="00DD72DD" w:rsidRDefault="00DD72DD" w:rsidP="00BD25D4">
            <w:pPr>
              <w:pStyle w:val="TableParagraph"/>
              <w:spacing w:line="219" w:lineRule="exact"/>
              <w:ind w:right="17"/>
              <w:rPr>
                <w:sz w:val="18"/>
              </w:rPr>
            </w:pPr>
            <w:r>
              <w:rPr>
                <w:sz w:val="18"/>
              </w:rPr>
              <w:t>0.01</w:t>
            </w:r>
          </w:p>
        </w:tc>
        <w:tc>
          <w:tcPr>
            <w:tcW w:w="1082" w:type="dxa"/>
          </w:tcPr>
          <w:p w14:paraId="15E0F0EF" w14:textId="77777777" w:rsidR="00DD72DD" w:rsidRDefault="00DD72DD" w:rsidP="00BD25D4">
            <w:pPr>
              <w:pStyle w:val="TableParagraph"/>
              <w:spacing w:line="219" w:lineRule="exact"/>
              <w:ind w:right="17"/>
              <w:rPr>
                <w:sz w:val="18"/>
              </w:rPr>
            </w:pPr>
            <w:r>
              <w:rPr>
                <w:sz w:val="18"/>
              </w:rPr>
              <w:t>&lt;.0001</w:t>
            </w:r>
          </w:p>
        </w:tc>
      </w:tr>
      <w:tr w:rsidR="00DD72DD" w14:paraId="286649EF" w14:textId="77777777" w:rsidTr="00FC6074">
        <w:trPr>
          <w:trHeight w:hRule="exact" w:val="230"/>
        </w:trPr>
        <w:tc>
          <w:tcPr>
            <w:tcW w:w="5220" w:type="dxa"/>
          </w:tcPr>
          <w:p w14:paraId="01D714B6" w14:textId="77777777" w:rsidR="00DD72DD" w:rsidRDefault="00DD72DD" w:rsidP="00BD25D4">
            <w:pPr>
              <w:pStyle w:val="TableParagraph"/>
              <w:spacing w:before="1"/>
              <w:ind w:left="263"/>
              <w:jc w:val="left"/>
              <w:rPr>
                <w:sz w:val="18"/>
              </w:rPr>
            </w:pPr>
            <w:r>
              <w:rPr>
                <w:sz w:val="18"/>
              </w:rPr>
              <w:t>Obese</w:t>
            </w:r>
          </w:p>
        </w:tc>
        <w:tc>
          <w:tcPr>
            <w:tcW w:w="991" w:type="dxa"/>
          </w:tcPr>
          <w:p w14:paraId="33424A2F" w14:textId="77777777" w:rsidR="00DD72DD" w:rsidRDefault="00DD72DD" w:rsidP="00BD25D4">
            <w:pPr>
              <w:pStyle w:val="TableParagraph"/>
              <w:spacing w:line="219" w:lineRule="exact"/>
              <w:ind w:right="19"/>
              <w:rPr>
                <w:sz w:val="18"/>
              </w:rPr>
            </w:pPr>
            <w:r>
              <w:rPr>
                <w:sz w:val="18"/>
              </w:rPr>
              <w:t>-0.12</w:t>
            </w:r>
          </w:p>
        </w:tc>
        <w:tc>
          <w:tcPr>
            <w:tcW w:w="989" w:type="dxa"/>
          </w:tcPr>
          <w:p w14:paraId="1124AC2B" w14:textId="77777777" w:rsidR="00DD72DD" w:rsidRDefault="00DD72DD" w:rsidP="00BD25D4">
            <w:pPr>
              <w:pStyle w:val="TableParagraph"/>
              <w:spacing w:line="219" w:lineRule="exact"/>
              <w:ind w:right="17"/>
              <w:rPr>
                <w:sz w:val="18"/>
              </w:rPr>
            </w:pPr>
            <w:r>
              <w:rPr>
                <w:sz w:val="18"/>
              </w:rPr>
              <w:t>0.01</w:t>
            </w:r>
          </w:p>
        </w:tc>
        <w:tc>
          <w:tcPr>
            <w:tcW w:w="1082" w:type="dxa"/>
          </w:tcPr>
          <w:p w14:paraId="46EDB5DA" w14:textId="77777777" w:rsidR="00DD72DD" w:rsidRDefault="00DD72DD" w:rsidP="00BD25D4">
            <w:pPr>
              <w:pStyle w:val="TableParagraph"/>
              <w:spacing w:line="219" w:lineRule="exact"/>
              <w:ind w:right="17"/>
              <w:rPr>
                <w:sz w:val="18"/>
              </w:rPr>
            </w:pPr>
            <w:r>
              <w:rPr>
                <w:sz w:val="18"/>
              </w:rPr>
              <w:t>&lt;.0001</w:t>
            </w:r>
          </w:p>
        </w:tc>
      </w:tr>
      <w:tr w:rsidR="00DD72DD" w14:paraId="65A3685C" w14:textId="77777777" w:rsidTr="00FC6074">
        <w:trPr>
          <w:trHeight w:hRule="exact" w:val="228"/>
        </w:trPr>
        <w:tc>
          <w:tcPr>
            <w:tcW w:w="5220" w:type="dxa"/>
          </w:tcPr>
          <w:p w14:paraId="772F1237" w14:textId="77777777" w:rsidR="00DD72DD" w:rsidRDefault="00DD72DD" w:rsidP="00BD25D4">
            <w:pPr>
              <w:pStyle w:val="TableParagraph"/>
              <w:spacing w:before="1"/>
              <w:ind w:left="103"/>
              <w:jc w:val="left"/>
              <w:rPr>
                <w:sz w:val="18"/>
              </w:rPr>
            </w:pPr>
            <w:r>
              <w:rPr>
                <w:sz w:val="18"/>
              </w:rPr>
              <w:t>Cause of ESRD: Diabetes</w:t>
            </w:r>
          </w:p>
        </w:tc>
        <w:tc>
          <w:tcPr>
            <w:tcW w:w="991" w:type="dxa"/>
          </w:tcPr>
          <w:p w14:paraId="63DAB141" w14:textId="77777777" w:rsidR="00DD72DD" w:rsidRDefault="00DD72DD" w:rsidP="00BD25D4">
            <w:pPr>
              <w:pStyle w:val="TableParagraph"/>
              <w:spacing w:line="219" w:lineRule="exact"/>
              <w:ind w:right="19"/>
              <w:rPr>
                <w:sz w:val="18"/>
              </w:rPr>
            </w:pPr>
            <w:r>
              <w:rPr>
                <w:sz w:val="18"/>
              </w:rPr>
              <w:t>0.05</w:t>
            </w:r>
          </w:p>
        </w:tc>
        <w:tc>
          <w:tcPr>
            <w:tcW w:w="989" w:type="dxa"/>
          </w:tcPr>
          <w:p w14:paraId="57CEEC65" w14:textId="77777777" w:rsidR="00DD72DD" w:rsidRDefault="00DD72DD" w:rsidP="00BD25D4">
            <w:pPr>
              <w:pStyle w:val="TableParagraph"/>
              <w:spacing w:line="219" w:lineRule="exact"/>
              <w:ind w:right="17"/>
              <w:rPr>
                <w:sz w:val="18"/>
              </w:rPr>
            </w:pPr>
            <w:r>
              <w:rPr>
                <w:sz w:val="18"/>
              </w:rPr>
              <w:t>0.01</w:t>
            </w:r>
          </w:p>
        </w:tc>
        <w:tc>
          <w:tcPr>
            <w:tcW w:w="1082" w:type="dxa"/>
          </w:tcPr>
          <w:p w14:paraId="384FBA1B" w14:textId="77777777" w:rsidR="00DD72DD" w:rsidRDefault="00DD72DD" w:rsidP="00BD25D4">
            <w:pPr>
              <w:pStyle w:val="TableParagraph"/>
              <w:spacing w:before="1"/>
              <w:ind w:right="-1"/>
              <w:rPr>
                <w:sz w:val="18"/>
              </w:rPr>
            </w:pPr>
            <w:r>
              <w:rPr>
                <w:sz w:val="18"/>
              </w:rPr>
              <w:t>&lt;.0001</w:t>
            </w:r>
          </w:p>
        </w:tc>
      </w:tr>
      <w:tr w:rsidR="00DD72DD" w14:paraId="48E650C5" w14:textId="77777777" w:rsidTr="00FC6074">
        <w:trPr>
          <w:trHeight w:hRule="exact" w:val="228"/>
        </w:trPr>
        <w:tc>
          <w:tcPr>
            <w:tcW w:w="5220" w:type="dxa"/>
          </w:tcPr>
          <w:p w14:paraId="48E7875C" w14:textId="77777777" w:rsidR="00DD72DD" w:rsidRDefault="00DD72DD" w:rsidP="00BD25D4">
            <w:pPr>
              <w:pStyle w:val="TableParagraph"/>
              <w:spacing w:before="1"/>
              <w:ind w:left="103"/>
              <w:jc w:val="left"/>
              <w:rPr>
                <w:b/>
                <w:sz w:val="18"/>
              </w:rPr>
            </w:pPr>
            <w:r>
              <w:rPr>
                <w:b/>
                <w:sz w:val="18"/>
              </w:rPr>
              <w:t>Comorbidity (past year)</w:t>
            </w:r>
          </w:p>
        </w:tc>
        <w:tc>
          <w:tcPr>
            <w:tcW w:w="991" w:type="dxa"/>
          </w:tcPr>
          <w:p w14:paraId="7540AA83" w14:textId="77777777" w:rsidR="00DD72DD" w:rsidRDefault="00DD72DD" w:rsidP="00BD25D4"/>
        </w:tc>
        <w:tc>
          <w:tcPr>
            <w:tcW w:w="989" w:type="dxa"/>
          </w:tcPr>
          <w:p w14:paraId="4CDA587A" w14:textId="77777777" w:rsidR="00DD72DD" w:rsidRDefault="00DD72DD" w:rsidP="00BD25D4"/>
        </w:tc>
        <w:tc>
          <w:tcPr>
            <w:tcW w:w="1082" w:type="dxa"/>
          </w:tcPr>
          <w:p w14:paraId="6F8127F2" w14:textId="77777777" w:rsidR="00DD72DD" w:rsidRDefault="00DD72DD" w:rsidP="00BD25D4"/>
        </w:tc>
      </w:tr>
      <w:tr w:rsidR="00DD72DD" w14:paraId="3C28B168" w14:textId="77777777" w:rsidTr="00FC6074">
        <w:trPr>
          <w:trHeight w:hRule="exact" w:val="230"/>
        </w:trPr>
        <w:tc>
          <w:tcPr>
            <w:tcW w:w="5220" w:type="dxa"/>
          </w:tcPr>
          <w:p w14:paraId="46B57819" w14:textId="77777777" w:rsidR="00DD72DD" w:rsidRDefault="00DD72DD" w:rsidP="00BD25D4">
            <w:pPr>
              <w:pStyle w:val="TableParagraph"/>
              <w:spacing w:before="4"/>
              <w:ind w:left="263"/>
              <w:jc w:val="left"/>
              <w:rPr>
                <w:sz w:val="18"/>
              </w:rPr>
            </w:pPr>
            <w:r>
              <w:rPr>
                <w:sz w:val="18"/>
              </w:rPr>
              <w:t>Amputation status</w:t>
            </w:r>
          </w:p>
        </w:tc>
        <w:tc>
          <w:tcPr>
            <w:tcW w:w="991" w:type="dxa"/>
          </w:tcPr>
          <w:p w14:paraId="3ACD2B74" w14:textId="77777777" w:rsidR="00DD72DD" w:rsidRDefault="00DD72DD" w:rsidP="00BD25D4">
            <w:pPr>
              <w:pStyle w:val="TableParagraph"/>
              <w:spacing w:before="1"/>
              <w:ind w:right="19"/>
              <w:rPr>
                <w:sz w:val="18"/>
              </w:rPr>
            </w:pPr>
            <w:r>
              <w:rPr>
                <w:sz w:val="18"/>
              </w:rPr>
              <w:t>0.06</w:t>
            </w:r>
          </w:p>
        </w:tc>
        <w:tc>
          <w:tcPr>
            <w:tcW w:w="989" w:type="dxa"/>
          </w:tcPr>
          <w:p w14:paraId="6C08C8D8" w14:textId="77777777" w:rsidR="00DD72DD" w:rsidRDefault="00DD72DD" w:rsidP="00BD25D4">
            <w:pPr>
              <w:pStyle w:val="TableParagraph"/>
              <w:spacing w:before="1"/>
              <w:ind w:right="17"/>
              <w:rPr>
                <w:sz w:val="18"/>
              </w:rPr>
            </w:pPr>
            <w:r>
              <w:rPr>
                <w:sz w:val="18"/>
              </w:rPr>
              <w:t>0.01</w:t>
            </w:r>
          </w:p>
        </w:tc>
        <w:tc>
          <w:tcPr>
            <w:tcW w:w="1082" w:type="dxa"/>
          </w:tcPr>
          <w:p w14:paraId="280E0027" w14:textId="77777777" w:rsidR="00DD72DD" w:rsidRDefault="00DD72DD" w:rsidP="00BD25D4">
            <w:pPr>
              <w:pStyle w:val="TableParagraph"/>
              <w:spacing w:before="4"/>
              <w:ind w:right="-1"/>
              <w:rPr>
                <w:sz w:val="18"/>
              </w:rPr>
            </w:pPr>
            <w:r>
              <w:rPr>
                <w:sz w:val="18"/>
              </w:rPr>
              <w:t>&lt;.0001</w:t>
            </w:r>
          </w:p>
        </w:tc>
      </w:tr>
      <w:tr w:rsidR="00DD72DD" w14:paraId="30137ECD" w14:textId="77777777" w:rsidTr="00FC6074">
        <w:trPr>
          <w:trHeight w:hRule="exact" w:val="230"/>
        </w:trPr>
        <w:tc>
          <w:tcPr>
            <w:tcW w:w="5220" w:type="dxa"/>
          </w:tcPr>
          <w:p w14:paraId="002AC970" w14:textId="77777777" w:rsidR="00DD72DD" w:rsidRDefault="00DD72DD" w:rsidP="00BD25D4">
            <w:pPr>
              <w:pStyle w:val="TableParagraph"/>
              <w:spacing w:before="1"/>
              <w:ind w:left="263"/>
              <w:jc w:val="left"/>
              <w:rPr>
                <w:sz w:val="18"/>
              </w:rPr>
            </w:pPr>
            <w:r>
              <w:rPr>
                <w:sz w:val="18"/>
              </w:rPr>
              <w:t>COPD</w:t>
            </w:r>
          </w:p>
        </w:tc>
        <w:tc>
          <w:tcPr>
            <w:tcW w:w="991" w:type="dxa"/>
          </w:tcPr>
          <w:p w14:paraId="047E7B53" w14:textId="77777777" w:rsidR="00DD72DD" w:rsidRDefault="00DD72DD" w:rsidP="00BD25D4">
            <w:pPr>
              <w:pStyle w:val="TableParagraph"/>
              <w:spacing w:line="219" w:lineRule="exact"/>
              <w:ind w:right="19"/>
              <w:rPr>
                <w:sz w:val="18"/>
              </w:rPr>
            </w:pPr>
            <w:r>
              <w:rPr>
                <w:sz w:val="18"/>
              </w:rPr>
              <w:t>0.22</w:t>
            </w:r>
          </w:p>
        </w:tc>
        <w:tc>
          <w:tcPr>
            <w:tcW w:w="989" w:type="dxa"/>
          </w:tcPr>
          <w:p w14:paraId="034DC406" w14:textId="77777777" w:rsidR="00DD72DD" w:rsidRDefault="00DD72DD" w:rsidP="00BD25D4">
            <w:pPr>
              <w:pStyle w:val="TableParagraph"/>
              <w:spacing w:line="219" w:lineRule="exact"/>
              <w:ind w:right="17"/>
              <w:rPr>
                <w:sz w:val="18"/>
              </w:rPr>
            </w:pPr>
            <w:r>
              <w:rPr>
                <w:sz w:val="18"/>
              </w:rPr>
              <w:t>0.01</w:t>
            </w:r>
          </w:p>
        </w:tc>
        <w:tc>
          <w:tcPr>
            <w:tcW w:w="1082" w:type="dxa"/>
          </w:tcPr>
          <w:p w14:paraId="5965C3C0" w14:textId="77777777" w:rsidR="00DD72DD" w:rsidRDefault="00DD72DD" w:rsidP="00BD25D4">
            <w:pPr>
              <w:pStyle w:val="TableParagraph"/>
              <w:spacing w:before="1"/>
              <w:ind w:right="-1"/>
              <w:rPr>
                <w:sz w:val="18"/>
              </w:rPr>
            </w:pPr>
            <w:r>
              <w:rPr>
                <w:sz w:val="18"/>
              </w:rPr>
              <w:t>&lt;.0001</w:t>
            </w:r>
          </w:p>
        </w:tc>
      </w:tr>
      <w:tr w:rsidR="00DD72DD" w14:paraId="5774121A" w14:textId="77777777" w:rsidTr="00FC6074">
        <w:trPr>
          <w:trHeight w:hRule="exact" w:val="228"/>
        </w:trPr>
        <w:tc>
          <w:tcPr>
            <w:tcW w:w="5220" w:type="dxa"/>
          </w:tcPr>
          <w:p w14:paraId="76F45756" w14:textId="77777777" w:rsidR="00DD72DD" w:rsidRDefault="00DD72DD" w:rsidP="00BD25D4">
            <w:pPr>
              <w:pStyle w:val="TableParagraph"/>
              <w:spacing w:before="1"/>
              <w:ind w:left="263"/>
              <w:jc w:val="left"/>
              <w:rPr>
                <w:sz w:val="18"/>
              </w:rPr>
            </w:pPr>
            <w:r>
              <w:rPr>
                <w:sz w:val="18"/>
              </w:rPr>
              <w:t>Cardiorespiratory failure/shock</w:t>
            </w:r>
          </w:p>
        </w:tc>
        <w:tc>
          <w:tcPr>
            <w:tcW w:w="991" w:type="dxa"/>
          </w:tcPr>
          <w:p w14:paraId="16C7686B" w14:textId="77777777" w:rsidR="00DD72DD" w:rsidRDefault="00DD72DD" w:rsidP="00BD25D4">
            <w:pPr>
              <w:pStyle w:val="TableParagraph"/>
              <w:spacing w:line="219" w:lineRule="exact"/>
              <w:ind w:right="19"/>
              <w:rPr>
                <w:sz w:val="18"/>
              </w:rPr>
            </w:pPr>
            <w:r>
              <w:rPr>
                <w:sz w:val="18"/>
              </w:rPr>
              <w:t>0.23</w:t>
            </w:r>
          </w:p>
        </w:tc>
        <w:tc>
          <w:tcPr>
            <w:tcW w:w="989" w:type="dxa"/>
          </w:tcPr>
          <w:p w14:paraId="7AFD932E" w14:textId="77777777" w:rsidR="00DD72DD" w:rsidRDefault="00DD72DD" w:rsidP="00BD25D4">
            <w:pPr>
              <w:pStyle w:val="TableParagraph"/>
              <w:spacing w:line="219" w:lineRule="exact"/>
              <w:ind w:right="17"/>
              <w:rPr>
                <w:sz w:val="18"/>
              </w:rPr>
            </w:pPr>
            <w:r>
              <w:rPr>
                <w:sz w:val="18"/>
              </w:rPr>
              <w:t>0.01</w:t>
            </w:r>
          </w:p>
        </w:tc>
        <w:tc>
          <w:tcPr>
            <w:tcW w:w="1082" w:type="dxa"/>
          </w:tcPr>
          <w:p w14:paraId="6D044265" w14:textId="77777777" w:rsidR="00DD72DD" w:rsidRDefault="00DD72DD" w:rsidP="00BD25D4">
            <w:pPr>
              <w:pStyle w:val="TableParagraph"/>
              <w:spacing w:before="1"/>
              <w:ind w:right="-1"/>
              <w:rPr>
                <w:sz w:val="18"/>
              </w:rPr>
            </w:pPr>
            <w:r>
              <w:rPr>
                <w:sz w:val="18"/>
              </w:rPr>
              <w:t>&lt;.0001</w:t>
            </w:r>
          </w:p>
        </w:tc>
      </w:tr>
      <w:tr w:rsidR="00DD72DD" w14:paraId="2ED415DA" w14:textId="77777777" w:rsidTr="00FC6074">
        <w:trPr>
          <w:trHeight w:hRule="exact" w:val="230"/>
        </w:trPr>
        <w:tc>
          <w:tcPr>
            <w:tcW w:w="5220" w:type="dxa"/>
          </w:tcPr>
          <w:p w14:paraId="1AE76190" w14:textId="77777777" w:rsidR="00DD72DD" w:rsidRDefault="00DD72DD" w:rsidP="00BD25D4">
            <w:pPr>
              <w:pStyle w:val="TableParagraph"/>
              <w:spacing w:before="1"/>
              <w:ind w:right="410"/>
              <w:rPr>
                <w:sz w:val="18"/>
              </w:rPr>
            </w:pPr>
            <w:r>
              <w:rPr>
                <w:sz w:val="18"/>
              </w:rPr>
              <w:t>Coagulation defects &amp; other specified hematological disorders</w:t>
            </w:r>
          </w:p>
        </w:tc>
        <w:tc>
          <w:tcPr>
            <w:tcW w:w="991" w:type="dxa"/>
          </w:tcPr>
          <w:p w14:paraId="39969D4A" w14:textId="77777777" w:rsidR="00DD72DD" w:rsidRDefault="00DD72DD" w:rsidP="00BD25D4">
            <w:pPr>
              <w:pStyle w:val="TableParagraph"/>
              <w:spacing w:line="219" w:lineRule="exact"/>
              <w:ind w:right="19"/>
              <w:rPr>
                <w:sz w:val="18"/>
              </w:rPr>
            </w:pPr>
            <w:r>
              <w:rPr>
                <w:sz w:val="18"/>
              </w:rPr>
              <w:t>0.13</w:t>
            </w:r>
          </w:p>
        </w:tc>
        <w:tc>
          <w:tcPr>
            <w:tcW w:w="989" w:type="dxa"/>
          </w:tcPr>
          <w:p w14:paraId="621D00C3" w14:textId="77777777" w:rsidR="00DD72DD" w:rsidRDefault="00DD72DD" w:rsidP="00BD25D4">
            <w:pPr>
              <w:pStyle w:val="TableParagraph"/>
              <w:spacing w:line="219" w:lineRule="exact"/>
              <w:ind w:right="17"/>
              <w:rPr>
                <w:sz w:val="18"/>
              </w:rPr>
            </w:pPr>
            <w:r>
              <w:rPr>
                <w:sz w:val="18"/>
              </w:rPr>
              <w:t>0.01</w:t>
            </w:r>
          </w:p>
        </w:tc>
        <w:tc>
          <w:tcPr>
            <w:tcW w:w="1082" w:type="dxa"/>
          </w:tcPr>
          <w:p w14:paraId="0DB333BA" w14:textId="77777777" w:rsidR="00DD72DD" w:rsidRDefault="00DD72DD" w:rsidP="00BD25D4">
            <w:pPr>
              <w:pStyle w:val="TableParagraph"/>
              <w:spacing w:before="1"/>
              <w:ind w:right="-1"/>
              <w:rPr>
                <w:sz w:val="18"/>
              </w:rPr>
            </w:pPr>
            <w:r>
              <w:rPr>
                <w:sz w:val="18"/>
              </w:rPr>
              <w:t>&lt;.0001</w:t>
            </w:r>
          </w:p>
        </w:tc>
      </w:tr>
      <w:tr w:rsidR="00DD72DD" w14:paraId="64A23F5A" w14:textId="77777777" w:rsidTr="00FC6074">
        <w:trPr>
          <w:trHeight w:hRule="exact" w:val="230"/>
        </w:trPr>
        <w:tc>
          <w:tcPr>
            <w:tcW w:w="5220" w:type="dxa"/>
          </w:tcPr>
          <w:p w14:paraId="19571747" w14:textId="77777777" w:rsidR="00DD72DD" w:rsidRDefault="00DD72DD" w:rsidP="00BD25D4">
            <w:pPr>
              <w:pStyle w:val="TableParagraph"/>
              <w:spacing w:before="1"/>
              <w:ind w:left="263"/>
              <w:jc w:val="left"/>
              <w:rPr>
                <w:sz w:val="18"/>
              </w:rPr>
            </w:pPr>
            <w:r>
              <w:rPr>
                <w:sz w:val="18"/>
              </w:rPr>
              <w:t>Drug and alcohol disorders</w:t>
            </w:r>
          </w:p>
        </w:tc>
        <w:tc>
          <w:tcPr>
            <w:tcW w:w="991" w:type="dxa"/>
          </w:tcPr>
          <w:p w14:paraId="3D24B26B" w14:textId="77777777" w:rsidR="00DD72DD" w:rsidRDefault="00DD72DD" w:rsidP="00BD25D4">
            <w:pPr>
              <w:pStyle w:val="TableParagraph"/>
              <w:spacing w:line="219" w:lineRule="exact"/>
              <w:ind w:right="19"/>
              <w:rPr>
                <w:sz w:val="18"/>
              </w:rPr>
            </w:pPr>
            <w:r>
              <w:rPr>
                <w:sz w:val="18"/>
              </w:rPr>
              <w:t>0.32</w:t>
            </w:r>
          </w:p>
        </w:tc>
        <w:tc>
          <w:tcPr>
            <w:tcW w:w="989" w:type="dxa"/>
          </w:tcPr>
          <w:p w14:paraId="43DD927B" w14:textId="77777777" w:rsidR="00DD72DD" w:rsidRDefault="00DD72DD" w:rsidP="00BD25D4">
            <w:pPr>
              <w:pStyle w:val="TableParagraph"/>
              <w:spacing w:line="219" w:lineRule="exact"/>
              <w:ind w:right="17"/>
              <w:rPr>
                <w:sz w:val="18"/>
              </w:rPr>
            </w:pPr>
            <w:r>
              <w:rPr>
                <w:sz w:val="18"/>
              </w:rPr>
              <w:t>0.02</w:t>
            </w:r>
          </w:p>
        </w:tc>
        <w:tc>
          <w:tcPr>
            <w:tcW w:w="1082" w:type="dxa"/>
          </w:tcPr>
          <w:p w14:paraId="264949D5" w14:textId="77777777" w:rsidR="00DD72DD" w:rsidRDefault="00DD72DD" w:rsidP="00BD25D4">
            <w:pPr>
              <w:pStyle w:val="TableParagraph"/>
              <w:spacing w:before="1"/>
              <w:ind w:right="-1"/>
              <w:rPr>
                <w:sz w:val="18"/>
              </w:rPr>
            </w:pPr>
            <w:r>
              <w:rPr>
                <w:sz w:val="18"/>
              </w:rPr>
              <w:t>&lt;.0001</w:t>
            </w:r>
          </w:p>
        </w:tc>
      </w:tr>
      <w:tr w:rsidR="00DD72DD" w14:paraId="5E3FE56A" w14:textId="77777777" w:rsidTr="00FC6074">
        <w:trPr>
          <w:trHeight w:hRule="exact" w:val="228"/>
        </w:trPr>
        <w:tc>
          <w:tcPr>
            <w:tcW w:w="5220" w:type="dxa"/>
          </w:tcPr>
          <w:p w14:paraId="3F654AC5" w14:textId="77777777" w:rsidR="00DD72DD" w:rsidRDefault="00DD72DD" w:rsidP="00BD25D4">
            <w:pPr>
              <w:pStyle w:val="TableParagraph"/>
              <w:spacing w:before="1"/>
              <w:ind w:left="263"/>
              <w:jc w:val="left"/>
              <w:rPr>
                <w:sz w:val="18"/>
              </w:rPr>
            </w:pPr>
            <w:r>
              <w:rPr>
                <w:sz w:val="18"/>
              </w:rPr>
              <w:t>End-Stage Liver Disease</w:t>
            </w:r>
          </w:p>
        </w:tc>
        <w:tc>
          <w:tcPr>
            <w:tcW w:w="991" w:type="dxa"/>
          </w:tcPr>
          <w:p w14:paraId="2BF230B3" w14:textId="77777777" w:rsidR="00DD72DD" w:rsidRDefault="00DD72DD" w:rsidP="00BD25D4">
            <w:pPr>
              <w:pStyle w:val="TableParagraph"/>
              <w:spacing w:line="219" w:lineRule="exact"/>
              <w:ind w:right="19"/>
              <w:rPr>
                <w:sz w:val="18"/>
              </w:rPr>
            </w:pPr>
            <w:r>
              <w:rPr>
                <w:sz w:val="18"/>
              </w:rPr>
              <w:t>0.27</w:t>
            </w:r>
          </w:p>
        </w:tc>
        <w:tc>
          <w:tcPr>
            <w:tcW w:w="989" w:type="dxa"/>
          </w:tcPr>
          <w:p w14:paraId="0543014C" w14:textId="77777777" w:rsidR="00DD72DD" w:rsidRDefault="00DD72DD" w:rsidP="00BD25D4">
            <w:pPr>
              <w:pStyle w:val="TableParagraph"/>
              <w:spacing w:line="219" w:lineRule="exact"/>
              <w:ind w:right="17"/>
              <w:rPr>
                <w:sz w:val="18"/>
              </w:rPr>
            </w:pPr>
            <w:r>
              <w:rPr>
                <w:sz w:val="18"/>
              </w:rPr>
              <w:t>0.02</w:t>
            </w:r>
          </w:p>
        </w:tc>
        <w:tc>
          <w:tcPr>
            <w:tcW w:w="1082" w:type="dxa"/>
          </w:tcPr>
          <w:p w14:paraId="769571E9" w14:textId="77777777" w:rsidR="00DD72DD" w:rsidRDefault="00DD72DD" w:rsidP="00BD25D4">
            <w:pPr>
              <w:pStyle w:val="TableParagraph"/>
              <w:spacing w:before="1"/>
              <w:ind w:right="-1"/>
              <w:rPr>
                <w:sz w:val="18"/>
              </w:rPr>
            </w:pPr>
            <w:r>
              <w:rPr>
                <w:sz w:val="18"/>
              </w:rPr>
              <w:t>&lt;.0001</w:t>
            </w:r>
          </w:p>
        </w:tc>
      </w:tr>
      <w:tr w:rsidR="00DD72DD" w14:paraId="1B725149" w14:textId="77777777" w:rsidTr="00FC6074">
        <w:trPr>
          <w:trHeight w:hRule="exact" w:val="230"/>
        </w:trPr>
        <w:tc>
          <w:tcPr>
            <w:tcW w:w="5220" w:type="dxa"/>
          </w:tcPr>
          <w:p w14:paraId="5450F164" w14:textId="77777777" w:rsidR="00DD72DD" w:rsidRDefault="00DD72DD" w:rsidP="00BD25D4">
            <w:pPr>
              <w:pStyle w:val="TableParagraph"/>
              <w:spacing w:before="1"/>
              <w:ind w:left="263"/>
              <w:jc w:val="left"/>
              <w:rPr>
                <w:sz w:val="18"/>
              </w:rPr>
            </w:pPr>
            <w:r>
              <w:rPr>
                <w:sz w:val="18"/>
              </w:rPr>
              <w:t>Fibrosis of lung or other chronic lung disorders</w:t>
            </w:r>
          </w:p>
        </w:tc>
        <w:tc>
          <w:tcPr>
            <w:tcW w:w="991" w:type="dxa"/>
          </w:tcPr>
          <w:p w14:paraId="40497A05" w14:textId="77777777" w:rsidR="00DD72DD" w:rsidRDefault="00DD72DD" w:rsidP="00BD25D4">
            <w:pPr>
              <w:pStyle w:val="TableParagraph"/>
              <w:spacing w:line="219" w:lineRule="exact"/>
              <w:ind w:right="19"/>
              <w:rPr>
                <w:sz w:val="18"/>
              </w:rPr>
            </w:pPr>
            <w:r>
              <w:rPr>
                <w:sz w:val="18"/>
              </w:rPr>
              <w:t>0.04</w:t>
            </w:r>
          </w:p>
        </w:tc>
        <w:tc>
          <w:tcPr>
            <w:tcW w:w="989" w:type="dxa"/>
          </w:tcPr>
          <w:p w14:paraId="5DDAF2D9" w14:textId="77777777" w:rsidR="00DD72DD" w:rsidRDefault="00DD72DD" w:rsidP="00BD25D4">
            <w:pPr>
              <w:pStyle w:val="TableParagraph"/>
              <w:spacing w:line="219" w:lineRule="exact"/>
              <w:ind w:right="17"/>
              <w:rPr>
                <w:sz w:val="18"/>
              </w:rPr>
            </w:pPr>
            <w:r>
              <w:rPr>
                <w:sz w:val="18"/>
              </w:rPr>
              <w:t>0.02</w:t>
            </w:r>
          </w:p>
        </w:tc>
        <w:tc>
          <w:tcPr>
            <w:tcW w:w="1082" w:type="dxa"/>
          </w:tcPr>
          <w:p w14:paraId="33A3514A" w14:textId="77777777" w:rsidR="00DD72DD" w:rsidRDefault="00DD72DD" w:rsidP="00BD25D4">
            <w:pPr>
              <w:pStyle w:val="TableParagraph"/>
              <w:spacing w:line="219" w:lineRule="exact"/>
              <w:ind w:right="17"/>
              <w:rPr>
                <w:sz w:val="18"/>
              </w:rPr>
            </w:pPr>
            <w:r>
              <w:rPr>
                <w:sz w:val="18"/>
              </w:rPr>
              <w:t>0.01</w:t>
            </w:r>
          </w:p>
        </w:tc>
      </w:tr>
      <w:tr w:rsidR="00DD72DD" w14:paraId="7D7F32CE" w14:textId="77777777" w:rsidTr="00FC6074">
        <w:trPr>
          <w:trHeight w:hRule="exact" w:val="228"/>
        </w:trPr>
        <w:tc>
          <w:tcPr>
            <w:tcW w:w="5220" w:type="dxa"/>
          </w:tcPr>
          <w:p w14:paraId="0BA5295A" w14:textId="77777777" w:rsidR="00DD72DD" w:rsidRDefault="00DD72DD" w:rsidP="00BD25D4">
            <w:pPr>
              <w:pStyle w:val="TableParagraph"/>
              <w:spacing w:before="1"/>
              <w:ind w:left="263"/>
              <w:jc w:val="left"/>
              <w:rPr>
                <w:sz w:val="18"/>
              </w:rPr>
            </w:pPr>
            <w:r>
              <w:rPr>
                <w:sz w:val="18"/>
              </w:rPr>
              <w:t>Hemiplegia, paraplegia, paralysis</w:t>
            </w:r>
          </w:p>
        </w:tc>
        <w:tc>
          <w:tcPr>
            <w:tcW w:w="991" w:type="dxa"/>
          </w:tcPr>
          <w:p w14:paraId="5A300E47" w14:textId="77777777" w:rsidR="00DD72DD" w:rsidRDefault="00DD72DD" w:rsidP="00BD25D4">
            <w:pPr>
              <w:pStyle w:val="TableParagraph"/>
              <w:spacing w:line="219" w:lineRule="exact"/>
              <w:ind w:right="19"/>
              <w:rPr>
                <w:sz w:val="18"/>
              </w:rPr>
            </w:pPr>
            <w:r>
              <w:rPr>
                <w:sz w:val="18"/>
              </w:rPr>
              <w:t>0.08</w:t>
            </w:r>
          </w:p>
        </w:tc>
        <w:tc>
          <w:tcPr>
            <w:tcW w:w="989" w:type="dxa"/>
          </w:tcPr>
          <w:p w14:paraId="00A0968F" w14:textId="77777777" w:rsidR="00DD72DD" w:rsidRDefault="00DD72DD" w:rsidP="00BD25D4">
            <w:pPr>
              <w:pStyle w:val="TableParagraph"/>
              <w:spacing w:line="219" w:lineRule="exact"/>
              <w:ind w:right="17"/>
              <w:rPr>
                <w:sz w:val="18"/>
              </w:rPr>
            </w:pPr>
            <w:r>
              <w:rPr>
                <w:sz w:val="18"/>
              </w:rPr>
              <w:t>0.01</w:t>
            </w:r>
          </w:p>
        </w:tc>
        <w:tc>
          <w:tcPr>
            <w:tcW w:w="1082" w:type="dxa"/>
          </w:tcPr>
          <w:p w14:paraId="2BBC9A7B" w14:textId="77777777" w:rsidR="00DD72DD" w:rsidRDefault="00DD72DD" w:rsidP="00BD25D4">
            <w:pPr>
              <w:pStyle w:val="TableParagraph"/>
              <w:spacing w:before="1"/>
              <w:ind w:right="-1"/>
              <w:rPr>
                <w:sz w:val="18"/>
              </w:rPr>
            </w:pPr>
            <w:r>
              <w:rPr>
                <w:sz w:val="18"/>
              </w:rPr>
              <w:t>&lt;.0001</w:t>
            </w:r>
          </w:p>
        </w:tc>
      </w:tr>
      <w:tr w:rsidR="00DD72DD" w14:paraId="65723B37" w14:textId="77777777" w:rsidTr="00FC6074">
        <w:trPr>
          <w:trHeight w:hRule="exact" w:val="230"/>
        </w:trPr>
        <w:tc>
          <w:tcPr>
            <w:tcW w:w="5220" w:type="dxa"/>
          </w:tcPr>
          <w:p w14:paraId="13CCF12D" w14:textId="77777777" w:rsidR="00DD72DD" w:rsidRDefault="00DD72DD" w:rsidP="00BD25D4">
            <w:pPr>
              <w:pStyle w:val="TableParagraph"/>
              <w:spacing w:before="4"/>
              <w:ind w:left="263"/>
              <w:jc w:val="left"/>
              <w:rPr>
                <w:sz w:val="18"/>
              </w:rPr>
            </w:pPr>
            <w:r>
              <w:rPr>
                <w:sz w:val="18"/>
              </w:rPr>
              <w:t>Hip fracture/dislocation</w:t>
            </w:r>
          </w:p>
        </w:tc>
        <w:tc>
          <w:tcPr>
            <w:tcW w:w="991" w:type="dxa"/>
          </w:tcPr>
          <w:p w14:paraId="384D0F9C" w14:textId="77777777" w:rsidR="00DD72DD" w:rsidRDefault="00DD72DD" w:rsidP="00BD25D4">
            <w:pPr>
              <w:pStyle w:val="TableParagraph"/>
              <w:spacing w:before="1"/>
              <w:ind w:right="19"/>
              <w:rPr>
                <w:sz w:val="18"/>
              </w:rPr>
            </w:pPr>
            <w:r>
              <w:rPr>
                <w:sz w:val="18"/>
              </w:rPr>
              <w:t>0.01</w:t>
            </w:r>
          </w:p>
        </w:tc>
        <w:tc>
          <w:tcPr>
            <w:tcW w:w="989" w:type="dxa"/>
          </w:tcPr>
          <w:p w14:paraId="7F5C995A" w14:textId="77777777" w:rsidR="00DD72DD" w:rsidRDefault="00DD72DD" w:rsidP="00BD25D4">
            <w:pPr>
              <w:pStyle w:val="TableParagraph"/>
              <w:spacing w:before="1"/>
              <w:ind w:right="17"/>
              <w:rPr>
                <w:sz w:val="18"/>
              </w:rPr>
            </w:pPr>
            <w:r>
              <w:rPr>
                <w:sz w:val="18"/>
              </w:rPr>
              <w:t>0.02</w:t>
            </w:r>
          </w:p>
        </w:tc>
        <w:tc>
          <w:tcPr>
            <w:tcW w:w="1082" w:type="dxa"/>
          </w:tcPr>
          <w:p w14:paraId="1E740F0D" w14:textId="77777777" w:rsidR="00DD72DD" w:rsidRDefault="00DD72DD" w:rsidP="00BD25D4">
            <w:pPr>
              <w:pStyle w:val="TableParagraph"/>
              <w:spacing w:before="1"/>
              <w:ind w:right="17"/>
              <w:rPr>
                <w:sz w:val="18"/>
              </w:rPr>
            </w:pPr>
            <w:r>
              <w:rPr>
                <w:sz w:val="18"/>
              </w:rPr>
              <w:t>0.17</w:t>
            </w:r>
          </w:p>
        </w:tc>
      </w:tr>
      <w:tr w:rsidR="00DD72DD" w14:paraId="0B8364D2" w14:textId="77777777" w:rsidTr="00FC6074">
        <w:trPr>
          <w:trHeight w:hRule="exact" w:val="228"/>
        </w:trPr>
        <w:tc>
          <w:tcPr>
            <w:tcW w:w="5220" w:type="dxa"/>
          </w:tcPr>
          <w:p w14:paraId="6A56907C" w14:textId="77777777" w:rsidR="00DD72DD" w:rsidRDefault="00DD72DD" w:rsidP="00BD25D4">
            <w:pPr>
              <w:pStyle w:val="TableParagraph"/>
              <w:spacing w:before="1"/>
              <w:ind w:left="263"/>
              <w:jc w:val="left"/>
              <w:rPr>
                <w:sz w:val="18"/>
              </w:rPr>
            </w:pPr>
            <w:r>
              <w:rPr>
                <w:sz w:val="18"/>
              </w:rPr>
              <w:t>Major organ transplants (excl. kidney)</w:t>
            </w:r>
          </w:p>
        </w:tc>
        <w:tc>
          <w:tcPr>
            <w:tcW w:w="991" w:type="dxa"/>
          </w:tcPr>
          <w:p w14:paraId="15F1C748" w14:textId="77777777" w:rsidR="00DD72DD" w:rsidRDefault="00DD72DD" w:rsidP="00BD25D4">
            <w:pPr>
              <w:pStyle w:val="TableParagraph"/>
              <w:spacing w:line="219" w:lineRule="exact"/>
              <w:ind w:right="19"/>
              <w:rPr>
                <w:sz w:val="18"/>
              </w:rPr>
            </w:pPr>
            <w:r>
              <w:rPr>
                <w:sz w:val="18"/>
              </w:rPr>
              <w:t>-0.04</w:t>
            </w:r>
          </w:p>
        </w:tc>
        <w:tc>
          <w:tcPr>
            <w:tcW w:w="989" w:type="dxa"/>
          </w:tcPr>
          <w:p w14:paraId="7776CDA6" w14:textId="77777777" w:rsidR="00DD72DD" w:rsidRDefault="00DD72DD" w:rsidP="00BD25D4">
            <w:pPr>
              <w:pStyle w:val="TableParagraph"/>
              <w:spacing w:line="219" w:lineRule="exact"/>
              <w:ind w:right="17"/>
              <w:rPr>
                <w:sz w:val="18"/>
              </w:rPr>
            </w:pPr>
            <w:r>
              <w:rPr>
                <w:sz w:val="18"/>
              </w:rPr>
              <w:t>0.03</w:t>
            </w:r>
          </w:p>
        </w:tc>
        <w:tc>
          <w:tcPr>
            <w:tcW w:w="1082" w:type="dxa"/>
          </w:tcPr>
          <w:p w14:paraId="23BC57DC" w14:textId="77777777" w:rsidR="00DD72DD" w:rsidRDefault="00DD72DD" w:rsidP="00BD25D4">
            <w:pPr>
              <w:pStyle w:val="TableParagraph"/>
              <w:spacing w:line="219" w:lineRule="exact"/>
              <w:ind w:right="17"/>
              <w:rPr>
                <w:sz w:val="18"/>
              </w:rPr>
            </w:pPr>
            <w:r>
              <w:rPr>
                <w:sz w:val="18"/>
              </w:rPr>
              <w:t>0.04</w:t>
            </w:r>
          </w:p>
        </w:tc>
      </w:tr>
      <w:tr w:rsidR="00DD72DD" w14:paraId="7F192572" w14:textId="77777777" w:rsidTr="00FC6074">
        <w:trPr>
          <w:trHeight w:hRule="exact" w:val="230"/>
        </w:trPr>
        <w:tc>
          <w:tcPr>
            <w:tcW w:w="5220" w:type="dxa"/>
          </w:tcPr>
          <w:p w14:paraId="4ABF9438" w14:textId="77777777" w:rsidR="00DD72DD" w:rsidRDefault="00DD72DD" w:rsidP="00BD25D4">
            <w:pPr>
              <w:pStyle w:val="TableParagraph"/>
              <w:spacing w:before="1"/>
              <w:ind w:left="263"/>
              <w:jc w:val="left"/>
              <w:rPr>
                <w:sz w:val="18"/>
              </w:rPr>
            </w:pPr>
            <w:r>
              <w:rPr>
                <w:sz w:val="18"/>
              </w:rPr>
              <w:t>Metastatic cancer/acute leukemia</w:t>
            </w:r>
          </w:p>
        </w:tc>
        <w:tc>
          <w:tcPr>
            <w:tcW w:w="991" w:type="dxa"/>
          </w:tcPr>
          <w:p w14:paraId="32A61092" w14:textId="77777777" w:rsidR="00DD72DD" w:rsidRDefault="00DD72DD" w:rsidP="00BD25D4">
            <w:pPr>
              <w:pStyle w:val="TableParagraph"/>
              <w:spacing w:line="219" w:lineRule="exact"/>
              <w:ind w:right="19"/>
              <w:rPr>
                <w:sz w:val="18"/>
              </w:rPr>
            </w:pPr>
            <w:r>
              <w:rPr>
                <w:sz w:val="18"/>
              </w:rPr>
              <w:t>0.29</w:t>
            </w:r>
          </w:p>
        </w:tc>
        <w:tc>
          <w:tcPr>
            <w:tcW w:w="989" w:type="dxa"/>
          </w:tcPr>
          <w:p w14:paraId="27D67DEB" w14:textId="77777777" w:rsidR="00DD72DD" w:rsidRDefault="00DD72DD" w:rsidP="00BD25D4">
            <w:pPr>
              <w:pStyle w:val="TableParagraph"/>
              <w:spacing w:line="219" w:lineRule="exact"/>
              <w:ind w:right="17"/>
              <w:rPr>
                <w:sz w:val="18"/>
              </w:rPr>
            </w:pPr>
            <w:r>
              <w:rPr>
                <w:sz w:val="18"/>
              </w:rPr>
              <w:t>0.04</w:t>
            </w:r>
          </w:p>
        </w:tc>
        <w:tc>
          <w:tcPr>
            <w:tcW w:w="1082" w:type="dxa"/>
          </w:tcPr>
          <w:p w14:paraId="6AA961C8" w14:textId="77777777" w:rsidR="00DD72DD" w:rsidRDefault="00DD72DD" w:rsidP="00BD25D4">
            <w:pPr>
              <w:pStyle w:val="TableParagraph"/>
              <w:spacing w:before="1"/>
              <w:ind w:right="-1"/>
              <w:rPr>
                <w:sz w:val="18"/>
              </w:rPr>
            </w:pPr>
            <w:r>
              <w:rPr>
                <w:sz w:val="18"/>
              </w:rPr>
              <w:t>&lt;.0001</w:t>
            </w:r>
          </w:p>
        </w:tc>
      </w:tr>
      <w:tr w:rsidR="00DD72DD" w14:paraId="1A0BEDAB" w14:textId="77777777" w:rsidTr="00FC6074">
        <w:trPr>
          <w:trHeight w:hRule="exact" w:val="230"/>
        </w:trPr>
        <w:tc>
          <w:tcPr>
            <w:tcW w:w="5220" w:type="dxa"/>
          </w:tcPr>
          <w:p w14:paraId="02BE86EC" w14:textId="77777777" w:rsidR="00DD72DD" w:rsidRDefault="00DD72DD" w:rsidP="00BD25D4">
            <w:pPr>
              <w:pStyle w:val="TableParagraph"/>
              <w:spacing w:before="1"/>
              <w:ind w:left="263"/>
              <w:jc w:val="left"/>
              <w:rPr>
                <w:sz w:val="18"/>
              </w:rPr>
            </w:pPr>
            <w:r>
              <w:rPr>
                <w:sz w:val="18"/>
              </w:rPr>
              <w:t>Other hematological disorders</w:t>
            </w:r>
          </w:p>
        </w:tc>
        <w:tc>
          <w:tcPr>
            <w:tcW w:w="991" w:type="dxa"/>
          </w:tcPr>
          <w:p w14:paraId="624AACA0" w14:textId="77777777" w:rsidR="00DD72DD" w:rsidRDefault="00DD72DD" w:rsidP="00BD25D4">
            <w:pPr>
              <w:pStyle w:val="TableParagraph"/>
              <w:spacing w:line="219" w:lineRule="exact"/>
              <w:ind w:right="31"/>
              <w:rPr>
                <w:sz w:val="18"/>
              </w:rPr>
            </w:pPr>
            <w:r>
              <w:rPr>
                <w:sz w:val="18"/>
              </w:rPr>
              <w:t>0.18</w:t>
            </w:r>
          </w:p>
        </w:tc>
        <w:tc>
          <w:tcPr>
            <w:tcW w:w="989" w:type="dxa"/>
          </w:tcPr>
          <w:p w14:paraId="65CD6C5D" w14:textId="77777777" w:rsidR="00DD72DD" w:rsidRDefault="00DD72DD" w:rsidP="00BD25D4">
            <w:pPr>
              <w:pStyle w:val="TableParagraph"/>
              <w:spacing w:line="219" w:lineRule="exact"/>
              <w:ind w:right="29"/>
              <w:rPr>
                <w:sz w:val="18"/>
              </w:rPr>
            </w:pPr>
            <w:r>
              <w:rPr>
                <w:sz w:val="18"/>
              </w:rPr>
              <w:t>0.02</w:t>
            </w:r>
          </w:p>
        </w:tc>
        <w:tc>
          <w:tcPr>
            <w:tcW w:w="1082" w:type="dxa"/>
          </w:tcPr>
          <w:p w14:paraId="14C30E65" w14:textId="77777777" w:rsidR="00DD72DD" w:rsidRDefault="00DD72DD" w:rsidP="00BD25D4">
            <w:pPr>
              <w:pStyle w:val="TableParagraph"/>
              <w:spacing w:before="1"/>
              <w:ind w:right="9"/>
              <w:rPr>
                <w:sz w:val="18"/>
              </w:rPr>
            </w:pPr>
            <w:r>
              <w:rPr>
                <w:sz w:val="18"/>
              </w:rPr>
              <w:t>&lt;.0001</w:t>
            </w:r>
          </w:p>
        </w:tc>
      </w:tr>
      <w:tr w:rsidR="00DD72DD" w14:paraId="540C66F1" w14:textId="77777777" w:rsidTr="00FC6074">
        <w:trPr>
          <w:trHeight w:hRule="exact" w:val="228"/>
        </w:trPr>
        <w:tc>
          <w:tcPr>
            <w:tcW w:w="5220" w:type="dxa"/>
          </w:tcPr>
          <w:p w14:paraId="56A97CB5" w14:textId="77777777" w:rsidR="00DD72DD" w:rsidRDefault="00DD72DD" w:rsidP="00BD25D4">
            <w:pPr>
              <w:pStyle w:val="TableParagraph"/>
              <w:spacing w:before="1"/>
              <w:ind w:left="263"/>
              <w:jc w:val="left"/>
              <w:rPr>
                <w:sz w:val="18"/>
              </w:rPr>
            </w:pPr>
            <w:r>
              <w:rPr>
                <w:sz w:val="18"/>
              </w:rPr>
              <w:t>Other infectious disease &amp; pneumonias</w:t>
            </w:r>
          </w:p>
        </w:tc>
        <w:tc>
          <w:tcPr>
            <w:tcW w:w="991" w:type="dxa"/>
          </w:tcPr>
          <w:p w14:paraId="3F21FF73" w14:textId="77777777" w:rsidR="00DD72DD" w:rsidRDefault="00DD72DD" w:rsidP="00BD25D4">
            <w:pPr>
              <w:pStyle w:val="TableParagraph"/>
              <w:spacing w:line="219" w:lineRule="exact"/>
              <w:ind w:right="31"/>
              <w:rPr>
                <w:sz w:val="18"/>
              </w:rPr>
            </w:pPr>
            <w:r>
              <w:rPr>
                <w:sz w:val="18"/>
              </w:rPr>
              <w:t>0.15</w:t>
            </w:r>
          </w:p>
        </w:tc>
        <w:tc>
          <w:tcPr>
            <w:tcW w:w="989" w:type="dxa"/>
          </w:tcPr>
          <w:p w14:paraId="1651B480" w14:textId="77777777" w:rsidR="00DD72DD" w:rsidRDefault="00DD72DD" w:rsidP="00BD25D4">
            <w:pPr>
              <w:pStyle w:val="TableParagraph"/>
              <w:spacing w:line="219" w:lineRule="exact"/>
              <w:ind w:right="29"/>
              <w:rPr>
                <w:sz w:val="18"/>
              </w:rPr>
            </w:pPr>
            <w:r>
              <w:rPr>
                <w:sz w:val="18"/>
              </w:rPr>
              <w:t>0.01</w:t>
            </w:r>
          </w:p>
        </w:tc>
        <w:tc>
          <w:tcPr>
            <w:tcW w:w="1082" w:type="dxa"/>
          </w:tcPr>
          <w:p w14:paraId="57863E2F" w14:textId="77777777" w:rsidR="00DD72DD" w:rsidRDefault="00DD72DD" w:rsidP="00BD25D4">
            <w:pPr>
              <w:pStyle w:val="TableParagraph"/>
              <w:spacing w:before="1"/>
              <w:ind w:right="9"/>
              <w:rPr>
                <w:sz w:val="18"/>
              </w:rPr>
            </w:pPr>
            <w:r>
              <w:rPr>
                <w:sz w:val="18"/>
              </w:rPr>
              <w:t>&lt;.0001</w:t>
            </w:r>
          </w:p>
        </w:tc>
      </w:tr>
      <w:tr w:rsidR="00DD72DD" w14:paraId="633EF919" w14:textId="77777777" w:rsidTr="00FC6074">
        <w:trPr>
          <w:trHeight w:hRule="exact" w:val="230"/>
        </w:trPr>
        <w:tc>
          <w:tcPr>
            <w:tcW w:w="5220" w:type="dxa"/>
          </w:tcPr>
          <w:p w14:paraId="7AD60B88" w14:textId="77777777" w:rsidR="00DD72DD" w:rsidRDefault="00DD72DD" w:rsidP="00BD25D4">
            <w:pPr>
              <w:pStyle w:val="TableParagraph"/>
              <w:spacing w:before="1"/>
              <w:ind w:left="263"/>
              <w:jc w:val="left"/>
              <w:rPr>
                <w:sz w:val="18"/>
              </w:rPr>
            </w:pPr>
            <w:r>
              <w:rPr>
                <w:sz w:val="18"/>
              </w:rPr>
              <w:t>Other major cancers</w:t>
            </w:r>
          </w:p>
        </w:tc>
        <w:tc>
          <w:tcPr>
            <w:tcW w:w="991" w:type="dxa"/>
          </w:tcPr>
          <w:p w14:paraId="00855466" w14:textId="77777777" w:rsidR="00DD72DD" w:rsidRDefault="00DD72DD" w:rsidP="00BD25D4">
            <w:pPr>
              <w:pStyle w:val="TableParagraph"/>
              <w:spacing w:line="219" w:lineRule="exact"/>
              <w:ind w:right="31"/>
              <w:rPr>
                <w:sz w:val="18"/>
              </w:rPr>
            </w:pPr>
            <w:r>
              <w:rPr>
                <w:sz w:val="18"/>
              </w:rPr>
              <w:t>0.02</w:t>
            </w:r>
          </w:p>
        </w:tc>
        <w:tc>
          <w:tcPr>
            <w:tcW w:w="989" w:type="dxa"/>
          </w:tcPr>
          <w:p w14:paraId="1603876D" w14:textId="77777777" w:rsidR="00DD72DD" w:rsidRDefault="00DD72DD" w:rsidP="00BD25D4">
            <w:pPr>
              <w:pStyle w:val="TableParagraph"/>
              <w:spacing w:line="219" w:lineRule="exact"/>
              <w:ind w:right="29"/>
              <w:rPr>
                <w:sz w:val="18"/>
              </w:rPr>
            </w:pPr>
            <w:r>
              <w:rPr>
                <w:sz w:val="18"/>
              </w:rPr>
              <w:t>0.01</w:t>
            </w:r>
          </w:p>
        </w:tc>
        <w:tc>
          <w:tcPr>
            <w:tcW w:w="1082" w:type="dxa"/>
          </w:tcPr>
          <w:p w14:paraId="206F272F" w14:textId="77777777" w:rsidR="00DD72DD" w:rsidRDefault="00DD72DD" w:rsidP="00BD25D4">
            <w:pPr>
              <w:pStyle w:val="TableParagraph"/>
              <w:spacing w:line="219" w:lineRule="exact"/>
              <w:ind w:right="31"/>
              <w:rPr>
                <w:sz w:val="18"/>
              </w:rPr>
            </w:pPr>
            <w:r>
              <w:rPr>
                <w:sz w:val="18"/>
              </w:rPr>
              <w:t>0.04</w:t>
            </w:r>
          </w:p>
        </w:tc>
      </w:tr>
      <w:tr w:rsidR="00DD72DD" w14:paraId="6DA343E5" w14:textId="77777777" w:rsidTr="00FC6074">
        <w:trPr>
          <w:trHeight w:hRule="exact" w:val="230"/>
        </w:trPr>
        <w:tc>
          <w:tcPr>
            <w:tcW w:w="5220" w:type="dxa"/>
          </w:tcPr>
          <w:p w14:paraId="01E70D10" w14:textId="77777777" w:rsidR="00DD72DD" w:rsidRDefault="00DD72DD" w:rsidP="00BD25D4">
            <w:pPr>
              <w:pStyle w:val="TableParagraph"/>
              <w:spacing w:before="1"/>
              <w:ind w:left="263"/>
              <w:jc w:val="left"/>
              <w:rPr>
                <w:sz w:val="18"/>
              </w:rPr>
            </w:pPr>
            <w:r>
              <w:rPr>
                <w:sz w:val="18"/>
              </w:rPr>
              <w:t>Pancreatic disease</w:t>
            </w:r>
          </w:p>
        </w:tc>
        <w:tc>
          <w:tcPr>
            <w:tcW w:w="991" w:type="dxa"/>
          </w:tcPr>
          <w:p w14:paraId="17ECD9DC" w14:textId="77777777" w:rsidR="00DD72DD" w:rsidRDefault="00DD72DD" w:rsidP="00BD25D4">
            <w:pPr>
              <w:pStyle w:val="TableParagraph"/>
              <w:spacing w:line="219" w:lineRule="exact"/>
              <w:ind w:right="31"/>
              <w:rPr>
                <w:sz w:val="18"/>
              </w:rPr>
            </w:pPr>
            <w:r>
              <w:rPr>
                <w:sz w:val="18"/>
              </w:rPr>
              <w:t>0.21</w:t>
            </w:r>
          </w:p>
        </w:tc>
        <w:tc>
          <w:tcPr>
            <w:tcW w:w="989" w:type="dxa"/>
          </w:tcPr>
          <w:p w14:paraId="746E857E" w14:textId="77777777" w:rsidR="00DD72DD" w:rsidRDefault="00DD72DD" w:rsidP="00BD25D4">
            <w:pPr>
              <w:pStyle w:val="TableParagraph"/>
              <w:spacing w:line="219" w:lineRule="exact"/>
              <w:ind w:right="29"/>
              <w:rPr>
                <w:sz w:val="18"/>
              </w:rPr>
            </w:pPr>
            <w:r>
              <w:rPr>
                <w:sz w:val="18"/>
              </w:rPr>
              <w:t>0.01</w:t>
            </w:r>
          </w:p>
        </w:tc>
        <w:tc>
          <w:tcPr>
            <w:tcW w:w="1082" w:type="dxa"/>
          </w:tcPr>
          <w:p w14:paraId="4F0428EF" w14:textId="77777777" w:rsidR="00DD72DD" w:rsidRDefault="00DD72DD" w:rsidP="00BD25D4">
            <w:pPr>
              <w:pStyle w:val="TableParagraph"/>
              <w:spacing w:before="1"/>
              <w:ind w:right="9"/>
              <w:rPr>
                <w:sz w:val="18"/>
              </w:rPr>
            </w:pPr>
            <w:r>
              <w:rPr>
                <w:sz w:val="18"/>
              </w:rPr>
              <w:t>&lt;.0001</w:t>
            </w:r>
          </w:p>
        </w:tc>
      </w:tr>
      <w:tr w:rsidR="00DD72DD" w14:paraId="5C12D0DE" w14:textId="77777777" w:rsidTr="00FC6074">
        <w:trPr>
          <w:trHeight w:hRule="exact" w:val="228"/>
        </w:trPr>
        <w:tc>
          <w:tcPr>
            <w:tcW w:w="5220" w:type="dxa"/>
          </w:tcPr>
          <w:p w14:paraId="2B7097B0" w14:textId="77777777" w:rsidR="00DD72DD" w:rsidRDefault="00DD72DD" w:rsidP="00BD25D4">
            <w:pPr>
              <w:pStyle w:val="TableParagraph"/>
              <w:spacing w:before="1"/>
              <w:ind w:left="263"/>
              <w:jc w:val="left"/>
              <w:rPr>
                <w:sz w:val="18"/>
              </w:rPr>
            </w:pPr>
            <w:r>
              <w:rPr>
                <w:sz w:val="18"/>
              </w:rPr>
              <w:t>Psychiatric comorbidity</w:t>
            </w:r>
          </w:p>
        </w:tc>
        <w:tc>
          <w:tcPr>
            <w:tcW w:w="991" w:type="dxa"/>
          </w:tcPr>
          <w:p w14:paraId="1977F935" w14:textId="77777777" w:rsidR="00DD72DD" w:rsidRDefault="00DD72DD" w:rsidP="00BD25D4">
            <w:pPr>
              <w:pStyle w:val="TableParagraph"/>
              <w:spacing w:line="219" w:lineRule="exact"/>
              <w:ind w:right="31"/>
              <w:rPr>
                <w:sz w:val="18"/>
              </w:rPr>
            </w:pPr>
            <w:r>
              <w:rPr>
                <w:sz w:val="18"/>
              </w:rPr>
              <w:t>0.19</w:t>
            </w:r>
          </w:p>
        </w:tc>
        <w:tc>
          <w:tcPr>
            <w:tcW w:w="989" w:type="dxa"/>
          </w:tcPr>
          <w:p w14:paraId="2AA0178F" w14:textId="77777777" w:rsidR="00DD72DD" w:rsidRDefault="00DD72DD" w:rsidP="00BD25D4">
            <w:pPr>
              <w:pStyle w:val="TableParagraph"/>
              <w:spacing w:line="219" w:lineRule="exact"/>
              <w:ind w:right="29"/>
              <w:rPr>
                <w:sz w:val="18"/>
              </w:rPr>
            </w:pPr>
            <w:r>
              <w:rPr>
                <w:sz w:val="18"/>
              </w:rPr>
              <w:t>0.01</w:t>
            </w:r>
          </w:p>
        </w:tc>
        <w:tc>
          <w:tcPr>
            <w:tcW w:w="1082" w:type="dxa"/>
          </w:tcPr>
          <w:p w14:paraId="5AB4905B" w14:textId="77777777" w:rsidR="00DD72DD" w:rsidRDefault="00DD72DD" w:rsidP="00BD25D4">
            <w:pPr>
              <w:pStyle w:val="TableParagraph"/>
              <w:spacing w:before="1"/>
              <w:ind w:right="9"/>
              <w:rPr>
                <w:sz w:val="18"/>
              </w:rPr>
            </w:pPr>
            <w:r>
              <w:rPr>
                <w:sz w:val="18"/>
              </w:rPr>
              <w:t>&lt;.0001</w:t>
            </w:r>
          </w:p>
        </w:tc>
      </w:tr>
      <w:tr w:rsidR="00DD72DD" w14:paraId="10BC67FB" w14:textId="77777777" w:rsidTr="00FC6074">
        <w:trPr>
          <w:trHeight w:hRule="exact" w:val="228"/>
        </w:trPr>
        <w:tc>
          <w:tcPr>
            <w:tcW w:w="5220" w:type="dxa"/>
          </w:tcPr>
          <w:p w14:paraId="58E3BE5F" w14:textId="77777777" w:rsidR="00DD72DD" w:rsidRDefault="00DD72DD" w:rsidP="00BD25D4">
            <w:pPr>
              <w:pStyle w:val="TableParagraph"/>
              <w:spacing w:before="4"/>
              <w:ind w:left="263"/>
              <w:jc w:val="left"/>
              <w:rPr>
                <w:sz w:val="18"/>
              </w:rPr>
            </w:pPr>
            <w:r>
              <w:rPr>
                <w:sz w:val="18"/>
              </w:rPr>
              <w:t>Respirator dependence/tracheostomy status</w:t>
            </w:r>
          </w:p>
        </w:tc>
        <w:tc>
          <w:tcPr>
            <w:tcW w:w="991" w:type="dxa"/>
          </w:tcPr>
          <w:p w14:paraId="340B27AA" w14:textId="77777777" w:rsidR="00DD72DD" w:rsidRDefault="00DD72DD" w:rsidP="00BD25D4">
            <w:pPr>
              <w:pStyle w:val="TableParagraph"/>
              <w:spacing w:before="1"/>
              <w:ind w:right="31"/>
              <w:rPr>
                <w:sz w:val="18"/>
              </w:rPr>
            </w:pPr>
            <w:r>
              <w:rPr>
                <w:sz w:val="18"/>
              </w:rPr>
              <w:t>-0.03</w:t>
            </w:r>
          </w:p>
        </w:tc>
        <w:tc>
          <w:tcPr>
            <w:tcW w:w="989" w:type="dxa"/>
          </w:tcPr>
          <w:p w14:paraId="2AFD86D7" w14:textId="77777777" w:rsidR="00DD72DD" w:rsidRDefault="00DD72DD" w:rsidP="00BD25D4">
            <w:pPr>
              <w:pStyle w:val="TableParagraph"/>
              <w:spacing w:before="1"/>
              <w:ind w:right="29"/>
              <w:rPr>
                <w:sz w:val="18"/>
              </w:rPr>
            </w:pPr>
            <w:r>
              <w:rPr>
                <w:sz w:val="18"/>
              </w:rPr>
              <w:t>0.04</w:t>
            </w:r>
          </w:p>
        </w:tc>
        <w:tc>
          <w:tcPr>
            <w:tcW w:w="1082" w:type="dxa"/>
          </w:tcPr>
          <w:p w14:paraId="5B2AB707" w14:textId="77777777" w:rsidR="00DD72DD" w:rsidRDefault="00DD72DD" w:rsidP="00BD25D4">
            <w:pPr>
              <w:pStyle w:val="TableParagraph"/>
              <w:spacing w:before="1"/>
              <w:ind w:right="31"/>
              <w:rPr>
                <w:sz w:val="18"/>
              </w:rPr>
            </w:pPr>
            <w:r>
              <w:rPr>
                <w:sz w:val="18"/>
              </w:rPr>
              <w:t>0.11</w:t>
            </w:r>
          </w:p>
        </w:tc>
      </w:tr>
      <w:tr w:rsidR="00DD72DD" w14:paraId="29091480" w14:textId="77777777" w:rsidTr="00FC6074">
        <w:trPr>
          <w:trHeight w:hRule="exact" w:val="230"/>
        </w:trPr>
        <w:tc>
          <w:tcPr>
            <w:tcW w:w="5220" w:type="dxa"/>
          </w:tcPr>
          <w:p w14:paraId="26EDB2E5" w14:textId="77777777" w:rsidR="00DD72DD" w:rsidRDefault="00DD72DD" w:rsidP="00BD25D4">
            <w:pPr>
              <w:pStyle w:val="TableParagraph"/>
              <w:spacing w:before="4"/>
              <w:ind w:right="360"/>
              <w:rPr>
                <w:sz w:val="18"/>
              </w:rPr>
            </w:pPr>
            <w:r>
              <w:rPr>
                <w:sz w:val="18"/>
              </w:rPr>
              <w:t>Rheumatoid arthritis &amp; inflammatory connective tissue disease</w:t>
            </w:r>
          </w:p>
        </w:tc>
        <w:tc>
          <w:tcPr>
            <w:tcW w:w="991" w:type="dxa"/>
          </w:tcPr>
          <w:p w14:paraId="07F4C334" w14:textId="77777777" w:rsidR="00DD72DD" w:rsidRDefault="00DD72DD" w:rsidP="00BD25D4">
            <w:pPr>
              <w:pStyle w:val="TableParagraph"/>
              <w:spacing w:before="1"/>
              <w:ind w:right="31"/>
              <w:rPr>
                <w:sz w:val="18"/>
              </w:rPr>
            </w:pPr>
            <w:r>
              <w:rPr>
                <w:sz w:val="18"/>
              </w:rPr>
              <w:t>0.02</w:t>
            </w:r>
          </w:p>
        </w:tc>
        <w:tc>
          <w:tcPr>
            <w:tcW w:w="989" w:type="dxa"/>
          </w:tcPr>
          <w:p w14:paraId="53F1445B" w14:textId="77777777" w:rsidR="00DD72DD" w:rsidRDefault="00DD72DD" w:rsidP="00BD25D4">
            <w:pPr>
              <w:pStyle w:val="TableParagraph"/>
              <w:spacing w:before="1"/>
              <w:ind w:right="29"/>
              <w:rPr>
                <w:sz w:val="18"/>
              </w:rPr>
            </w:pPr>
            <w:r>
              <w:rPr>
                <w:sz w:val="18"/>
              </w:rPr>
              <w:t>0.02</w:t>
            </w:r>
          </w:p>
        </w:tc>
        <w:tc>
          <w:tcPr>
            <w:tcW w:w="1082" w:type="dxa"/>
          </w:tcPr>
          <w:p w14:paraId="69D8462D" w14:textId="77777777" w:rsidR="00DD72DD" w:rsidRDefault="00DD72DD" w:rsidP="00BD25D4">
            <w:pPr>
              <w:pStyle w:val="TableParagraph"/>
              <w:spacing w:before="1"/>
              <w:ind w:right="31"/>
              <w:rPr>
                <w:sz w:val="18"/>
              </w:rPr>
            </w:pPr>
            <w:r>
              <w:rPr>
                <w:sz w:val="18"/>
              </w:rPr>
              <w:t>0.06</w:t>
            </w:r>
          </w:p>
        </w:tc>
      </w:tr>
      <w:tr w:rsidR="00DD72DD" w14:paraId="642DDAB8" w14:textId="77777777" w:rsidTr="00FC6074">
        <w:trPr>
          <w:trHeight w:hRule="exact" w:val="230"/>
        </w:trPr>
        <w:tc>
          <w:tcPr>
            <w:tcW w:w="5220" w:type="dxa"/>
          </w:tcPr>
          <w:p w14:paraId="5C643868" w14:textId="77777777" w:rsidR="00DD72DD" w:rsidRDefault="00DD72DD" w:rsidP="00BD25D4">
            <w:pPr>
              <w:pStyle w:val="TableParagraph"/>
              <w:spacing w:before="1"/>
              <w:ind w:left="263"/>
              <w:jc w:val="left"/>
              <w:rPr>
                <w:sz w:val="18"/>
              </w:rPr>
            </w:pPr>
            <w:r>
              <w:rPr>
                <w:sz w:val="18"/>
              </w:rPr>
              <w:t>Seizure disorders &amp; convulsions</w:t>
            </w:r>
          </w:p>
        </w:tc>
        <w:tc>
          <w:tcPr>
            <w:tcW w:w="991" w:type="dxa"/>
          </w:tcPr>
          <w:p w14:paraId="0BD4D9AE" w14:textId="77777777" w:rsidR="00DD72DD" w:rsidRDefault="00DD72DD" w:rsidP="00BD25D4">
            <w:pPr>
              <w:pStyle w:val="TableParagraph"/>
              <w:spacing w:line="219" w:lineRule="exact"/>
              <w:ind w:right="31"/>
              <w:rPr>
                <w:sz w:val="18"/>
              </w:rPr>
            </w:pPr>
            <w:r>
              <w:rPr>
                <w:sz w:val="18"/>
              </w:rPr>
              <w:t>0.10</w:t>
            </w:r>
          </w:p>
        </w:tc>
        <w:tc>
          <w:tcPr>
            <w:tcW w:w="989" w:type="dxa"/>
          </w:tcPr>
          <w:p w14:paraId="7FAFB143" w14:textId="77777777" w:rsidR="00DD72DD" w:rsidRDefault="00DD72DD" w:rsidP="00BD25D4">
            <w:pPr>
              <w:pStyle w:val="TableParagraph"/>
              <w:spacing w:line="219" w:lineRule="exact"/>
              <w:ind w:right="29"/>
              <w:rPr>
                <w:sz w:val="18"/>
              </w:rPr>
            </w:pPr>
            <w:r>
              <w:rPr>
                <w:sz w:val="18"/>
              </w:rPr>
              <w:t>0.01</w:t>
            </w:r>
          </w:p>
        </w:tc>
        <w:tc>
          <w:tcPr>
            <w:tcW w:w="1082" w:type="dxa"/>
          </w:tcPr>
          <w:p w14:paraId="12305B5E" w14:textId="77777777" w:rsidR="00DD72DD" w:rsidRDefault="00DD72DD" w:rsidP="00BD25D4">
            <w:pPr>
              <w:pStyle w:val="TableParagraph"/>
              <w:spacing w:before="1"/>
              <w:ind w:right="9"/>
              <w:rPr>
                <w:sz w:val="18"/>
              </w:rPr>
            </w:pPr>
            <w:r>
              <w:rPr>
                <w:sz w:val="18"/>
              </w:rPr>
              <w:t>&lt;.0001</w:t>
            </w:r>
          </w:p>
        </w:tc>
      </w:tr>
      <w:tr w:rsidR="00DD72DD" w14:paraId="0ED25283" w14:textId="77777777" w:rsidTr="00FC6074">
        <w:trPr>
          <w:trHeight w:hRule="exact" w:val="228"/>
        </w:trPr>
        <w:tc>
          <w:tcPr>
            <w:tcW w:w="5220" w:type="dxa"/>
          </w:tcPr>
          <w:p w14:paraId="4E2CC02D" w14:textId="77777777" w:rsidR="00DD72DD" w:rsidRDefault="00DD72DD" w:rsidP="00BD25D4">
            <w:pPr>
              <w:pStyle w:val="TableParagraph"/>
              <w:spacing w:before="1"/>
              <w:ind w:left="263"/>
              <w:jc w:val="left"/>
              <w:rPr>
                <w:sz w:val="18"/>
              </w:rPr>
            </w:pPr>
            <w:r>
              <w:rPr>
                <w:sz w:val="18"/>
              </w:rPr>
              <w:t>Septicemia/shock</w:t>
            </w:r>
          </w:p>
        </w:tc>
        <w:tc>
          <w:tcPr>
            <w:tcW w:w="991" w:type="dxa"/>
          </w:tcPr>
          <w:p w14:paraId="25D55770" w14:textId="77777777" w:rsidR="00DD72DD" w:rsidRDefault="00DD72DD" w:rsidP="00BD25D4">
            <w:pPr>
              <w:pStyle w:val="TableParagraph"/>
              <w:spacing w:line="219" w:lineRule="exact"/>
              <w:ind w:right="31"/>
              <w:rPr>
                <w:sz w:val="18"/>
              </w:rPr>
            </w:pPr>
            <w:r>
              <w:rPr>
                <w:sz w:val="18"/>
              </w:rPr>
              <w:t>0.13</w:t>
            </w:r>
          </w:p>
        </w:tc>
        <w:tc>
          <w:tcPr>
            <w:tcW w:w="989" w:type="dxa"/>
          </w:tcPr>
          <w:p w14:paraId="04883C68" w14:textId="77777777" w:rsidR="00DD72DD" w:rsidRDefault="00DD72DD" w:rsidP="00BD25D4">
            <w:pPr>
              <w:pStyle w:val="TableParagraph"/>
              <w:spacing w:line="219" w:lineRule="exact"/>
              <w:ind w:right="29"/>
              <w:rPr>
                <w:sz w:val="18"/>
              </w:rPr>
            </w:pPr>
            <w:r>
              <w:rPr>
                <w:sz w:val="18"/>
              </w:rPr>
              <w:t>0.01</w:t>
            </w:r>
          </w:p>
        </w:tc>
        <w:tc>
          <w:tcPr>
            <w:tcW w:w="1082" w:type="dxa"/>
          </w:tcPr>
          <w:p w14:paraId="798217A7" w14:textId="77777777" w:rsidR="00DD72DD" w:rsidRDefault="00DD72DD" w:rsidP="00BD25D4">
            <w:pPr>
              <w:pStyle w:val="TableParagraph"/>
              <w:spacing w:before="1"/>
              <w:ind w:right="9"/>
              <w:rPr>
                <w:sz w:val="18"/>
              </w:rPr>
            </w:pPr>
            <w:r>
              <w:rPr>
                <w:sz w:val="18"/>
              </w:rPr>
              <w:t>&lt;.0001</w:t>
            </w:r>
          </w:p>
        </w:tc>
      </w:tr>
      <w:tr w:rsidR="00DD72DD" w14:paraId="4DF06F5F" w14:textId="77777777" w:rsidTr="00FC6074">
        <w:trPr>
          <w:trHeight w:hRule="exact" w:val="230"/>
        </w:trPr>
        <w:tc>
          <w:tcPr>
            <w:tcW w:w="5220" w:type="dxa"/>
          </w:tcPr>
          <w:p w14:paraId="35B43459" w14:textId="77777777" w:rsidR="00DD72DD" w:rsidRDefault="00DD72DD" w:rsidP="00BD25D4">
            <w:pPr>
              <w:pStyle w:val="TableParagraph"/>
              <w:spacing w:before="1"/>
              <w:ind w:left="263"/>
              <w:jc w:val="left"/>
              <w:rPr>
                <w:sz w:val="18"/>
              </w:rPr>
            </w:pPr>
            <w:r>
              <w:rPr>
                <w:sz w:val="18"/>
              </w:rPr>
              <w:t>Severe cancer</w:t>
            </w:r>
          </w:p>
        </w:tc>
        <w:tc>
          <w:tcPr>
            <w:tcW w:w="991" w:type="dxa"/>
          </w:tcPr>
          <w:p w14:paraId="5D48FC1E" w14:textId="77777777" w:rsidR="00DD72DD" w:rsidRDefault="00DD72DD" w:rsidP="00BD25D4">
            <w:pPr>
              <w:pStyle w:val="TableParagraph"/>
              <w:spacing w:line="219" w:lineRule="exact"/>
              <w:ind w:right="31"/>
              <w:rPr>
                <w:sz w:val="18"/>
              </w:rPr>
            </w:pPr>
            <w:r>
              <w:rPr>
                <w:sz w:val="18"/>
              </w:rPr>
              <w:t>0.15</w:t>
            </w:r>
          </w:p>
        </w:tc>
        <w:tc>
          <w:tcPr>
            <w:tcW w:w="989" w:type="dxa"/>
          </w:tcPr>
          <w:p w14:paraId="53FCF72B" w14:textId="77777777" w:rsidR="00DD72DD" w:rsidRDefault="00DD72DD" w:rsidP="00BD25D4">
            <w:pPr>
              <w:pStyle w:val="TableParagraph"/>
              <w:spacing w:line="219" w:lineRule="exact"/>
              <w:ind w:right="29"/>
              <w:rPr>
                <w:sz w:val="18"/>
              </w:rPr>
            </w:pPr>
            <w:r>
              <w:rPr>
                <w:sz w:val="18"/>
              </w:rPr>
              <w:t>0.02</w:t>
            </w:r>
          </w:p>
        </w:tc>
        <w:tc>
          <w:tcPr>
            <w:tcW w:w="1082" w:type="dxa"/>
          </w:tcPr>
          <w:p w14:paraId="2AA31885" w14:textId="77777777" w:rsidR="00DD72DD" w:rsidRDefault="00DD72DD" w:rsidP="00BD25D4">
            <w:pPr>
              <w:pStyle w:val="TableParagraph"/>
              <w:spacing w:before="1"/>
              <w:ind w:right="9"/>
              <w:rPr>
                <w:sz w:val="18"/>
              </w:rPr>
            </w:pPr>
            <w:r>
              <w:rPr>
                <w:sz w:val="18"/>
              </w:rPr>
              <w:t>&lt;.0001</w:t>
            </w:r>
          </w:p>
        </w:tc>
      </w:tr>
      <w:tr w:rsidR="00DD72DD" w14:paraId="0CD56EFF" w14:textId="77777777" w:rsidTr="00FC6074">
        <w:trPr>
          <w:trHeight w:hRule="exact" w:val="230"/>
        </w:trPr>
        <w:tc>
          <w:tcPr>
            <w:tcW w:w="5220" w:type="dxa"/>
          </w:tcPr>
          <w:p w14:paraId="1BED6D2D" w14:textId="77777777" w:rsidR="00DD72DD" w:rsidRDefault="00DD72DD" w:rsidP="00BD25D4">
            <w:pPr>
              <w:pStyle w:val="TableParagraph"/>
              <w:spacing w:before="1"/>
              <w:ind w:left="263"/>
              <w:jc w:val="left"/>
              <w:rPr>
                <w:sz w:val="18"/>
              </w:rPr>
            </w:pPr>
            <w:r>
              <w:rPr>
                <w:sz w:val="18"/>
              </w:rPr>
              <w:t>Severe infection</w:t>
            </w:r>
          </w:p>
        </w:tc>
        <w:tc>
          <w:tcPr>
            <w:tcW w:w="991" w:type="dxa"/>
          </w:tcPr>
          <w:p w14:paraId="7E820CC5" w14:textId="77777777" w:rsidR="00DD72DD" w:rsidRDefault="00DD72DD" w:rsidP="00BD25D4">
            <w:pPr>
              <w:pStyle w:val="TableParagraph"/>
              <w:spacing w:line="219" w:lineRule="exact"/>
              <w:ind w:right="31"/>
              <w:rPr>
                <w:sz w:val="18"/>
              </w:rPr>
            </w:pPr>
            <w:r>
              <w:rPr>
                <w:sz w:val="18"/>
              </w:rPr>
              <w:t>0.06</w:t>
            </w:r>
          </w:p>
        </w:tc>
        <w:tc>
          <w:tcPr>
            <w:tcW w:w="989" w:type="dxa"/>
          </w:tcPr>
          <w:p w14:paraId="5E30CEF6" w14:textId="77777777" w:rsidR="00DD72DD" w:rsidRDefault="00DD72DD" w:rsidP="00BD25D4">
            <w:pPr>
              <w:pStyle w:val="TableParagraph"/>
              <w:spacing w:line="219" w:lineRule="exact"/>
              <w:ind w:right="29"/>
              <w:rPr>
                <w:sz w:val="18"/>
              </w:rPr>
            </w:pPr>
            <w:r>
              <w:rPr>
                <w:sz w:val="18"/>
              </w:rPr>
              <w:t>0.02</w:t>
            </w:r>
          </w:p>
        </w:tc>
        <w:tc>
          <w:tcPr>
            <w:tcW w:w="1082" w:type="dxa"/>
          </w:tcPr>
          <w:p w14:paraId="118094B4" w14:textId="77777777" w:rsidR="00DD72DD" w:rsidRDefault="00DD72DD" w:rsidP="00BD25D4">
            <w:pPr>
              <w:pStyle w:val="TableParagraph"/>
              <w:spacing w:line="219" w:lineRule="exact"/>
              <w:ind w:right="31"/>
              <w:rPr>
                <w:sz w:val="18"/>
              </w:rPr>
            </w:pPr>
            <w:r>
              <w:rPr>
                <w:sz w:val="18"/>
              </w:rPr>
              <w:t>0.0002</w:t>
            </w:r>
          </w:p>
        </w:tc>
      </w:tr>
      <w:tr w:rsidR="00DD72DD" w14:paraId="00BFF205" w14:textId="77777777" w:rsidTr="00FC6074">
        <w:trPr>
          <w:trHeight w:hRule="exact" w:val="230"/>
        </w:trPr>
        <w:tc>
          <w:tcPr>
            <w:tcW w:w="5220" w:type="dxa"/>
          </w:tcPr>
          <w:p w14:paraId="730FE98D" w14:textId="77777777" w:rsidR="00DD72DD" w:rsidRDefault="00DD72DD" w:rsidP="00BD25D4">
            <w:pPr>
              <w:pStyle w:val="TableParagraph"/>
              <w:spacing w:before="1"/>
              <w:ind w:left="263"/>
              <w:jc w:val="left"/>
              <w:rPr>
                <w:sz w:val="18"/>
              </w:rPr>
            </w:pPr>
            <w:r>
              <w:rPr>
                <w:sz w:val="18"/>
              </w:rPr>
              <w:t>Ulcers</w:t>
            </w:r>
          </w:p>
        </w:tc>
        <w:tc>
          <w:tcPr>
            <w:tcW w:w="991" w:type="dxa"/>
          </w:tcPr>
          <w:p w14:paraId="447FB9E9" w14:textId="77777777" w:rsidR="00DD72DD" w:rsidRDefault="00DD72DD" w:rsidP="00BD25D4">
            <w:pPr>
              <w:pStyle w:val="TableParagraph"/>
              <w:spacing w:line="219" w:lineRule="exact"/>
              <w:ind w:right="31"/>
              <w:rPr>
                <w:sz w:val="18"/>
              </w:rPr>
            </w:pPr>
            <w:r>
              <w:rPr>
                <w:sz w:val="18"/>
              </w:rPr>
              <w:t>0.10</w:t>
            </w:r>
          </w:p>
        </w:tc>
        <w:tc>
          <w:tcPr>
            <w:tcW w:w="989" w:type="dxa"/>
          </w:tcPr>
          <w:p w14:paraId="730C0ADD" w14:textId="77777777" w:rsidR="00DD72DD" w:rsidRDefault="00DD72DD" w:rsidP="00BD25D4">
            <w:pPr>
              <w:pStyle w:val="TableParagraph"/>
              <w:spacing w:line="219" w:lineRule="exact"/>
              <w:ind w:right="29"/>
              <w:rPr>
                <w:sz w:val="18"/>
              </w:rPr>
            </w:pPr>
            <w:r>
              <w:rPr>
                <w:sz w:val="18"/>
              </w:rPr>
              <w:t>0.01</w:t>
            </w:r>
          </w:p>
        </w:tc>
        <w:tc>
          <w:tcPr>
            <w:tcW w:w="1082" w:type="dxa"/>
          </w:tcPr>
          <w:p w14:paraId="3009BDB7" w14:textId="77777777" w:rsidR="00DD72DD" w:rsidRDefault="00DD72DD" w:rsidP="00BD25D4">
            <w:pPr>
              <w:pStyle w:val="TableParagraph"/>
              <w:spacing w:before="1"/>
              <w:ind w:right="9"/>
              <w:rPr>
                <w:sz w:val="18"/>
              </w:rPr>
            </w:pPr>
            <w:r>
              <w:rPr>
                <w:sz w:val="18"/>
              </w:rPr>
              <w:t>&lt;.0001</w:t>
            </w:r>
          </w:p>
        </w:tc>
      </w:tr>
      <w:tr w:rsidR="00DD72DD" w14:paraId="14FF6DD3" w14:textId="77777777" w:rsidTr="00FC6074">
        <w:trPr>
          <w:trHeight w:hRule="exact" w:val="228"/>
        </w:trPr>
        <w:tc>
          <w:tcPr>
            <w:tcW w:w="5220" w:type="dxa"/>
          </w:tcPr>
          <w:p w14:paraId="5EB469CE" w14:textId="77777777" w:rsidR="00DD72DD" w:rsidRDefault="00DD72DD" w:rsidP="00BD25D4">
            <w:pPr>
              <w:pStyle w:val="TableParagraph"/>
              <w:spacing w:before="1"/>
              <w:ind w:left="103"/>
              <w:jc w:val="left"/>
              <w:rPr>
                <w:b/>
                <w:sz w:val="18"/>
              </w:rPr>
            </w:pPr>
            <w:r>
              <w:rPr>
                <w:b/>
                <w:sz w:val="18"/>
              </w:rPr>
              <w:t>Length of Index Hospitalization (days)</w:t>
            </w:r>
          </w:p>
        </w:tc>
        <w:tc>
          <w:tcPr>
            <w:tcW w:w="991" w:type="dxa"/>
          </w:tcPr>
          <w:p w14:paraId="4A4BE252" w14:textId="77777777" w:rsidR="00DD72DD" w:rsidRDefault="00DD72DD" w:rsidP="00BD25D4"/>
        </w:tc>
        <w:tc>
          <w:tcPr>
            <w:tcW w:w="989" w:type="dxa"/>
          </w:tcPr>
          <w:p w14:paraId="5C364AF7" w14:textId="77777777" w:rsidR="00DD72DD" w:rsidRDefault="00DD72DD" w:rsidP="00BD25D4"/>
        </w:tc>
        <w:tc>
          <w:tcPr>
            <w:tcW w:w="1082" w:type="dxa"/>
          </w:tcPr>
          <w:p w14:paraId="29E6C424" w14:textId="77777777" w:rsidR="00DD72DD" w:rsidRDefault="00DD72DD" w:rsidP="00BD25D4"/>
        </w:tc>
      </w:tr>
      <w:tr w:rsidR="00DD72DD" w14:paraId="71CE26EC" w14:textId="77777777" w:rsidTr="00FC6074">
        <w:trPr>
          <w:trHeight w:hRule="exact" w:val="228"/>
        </w:trPr>
        <w:tc>
          <w:tcPr>
            <w:tcW w:w="5220" w:type="dxa"/>
          </w:tcPr>
          <w:p w14:paraId="2624FBD7" w14:textId="77777777" w:rsidR="00DD72DD" w:rsidRDefault="00DD72DD" w:rsidP="00BD25D4">
            <w:pPr>
              <w:pStyle w:val="TableParagraph"/>
              <w:spacing w:before="1"/>
              <w:ind w:left="263"/>
              <w:jc w:val="left"/>
              <w:rPr>
                <w:sz w:val="18"/>
              </w:rPr>
            </w:pPr>
            <w:r>
              <w:rPr>
                <w:sz w:val="18"/>
              </w:rPr>
              <w:t>Quartile 1 (ref)</w:t>
            </w:r>
          </w:p>
        </w:tc>
        <w:tc>
          <w:tcPr>
            <w:tcW w:w="991" w:type="dxa"/>
          </w:tcPr>
          <w:p w14:paraId="73DE25D1" w14:textId="77777777" w:rsidR="00DD72DD" w:rsidRDefault="00DD72DD" w:rsidP="00BD25D4">
            <w:pPr>
              <w:pStyle w:val="TableParagraph"/>
              <w:spacing w:before="1"/>
              <w:ind w:right="118"/>
              <w:rPr>
                <w:sz w:val="18"/>
              </w:rPr>
            </w:pPr>
            <w:r>
              <w:rPr>
                <w:sz w:val="18"/>
              </w:rPr>
              <w:t>—</w:t>
            </w:r>
          </w:p>
        </w:tc>
        <w:tc>
          <w:tcPr>
            <w:tcW w:w="989" w:type="dxa"/>
          </w:tcPr>
          <w:p w14:paraId="2C5DC467" w14:textId="77777777" w:rsidR="00DD72DD" w:rsidRDefault="00DD72DD" w:rsidP="00BD25D4">
            <w:pPr>
              <w:pStyle w:val="TableParagraph"/>
              <w:spacing w:before="1"/>
              <w:ind w:right="115"/>
              <w:rPr>
                <w:sz w:val="18"/>
              </w:rPr>
            </w:pPr>
            <w:r>
              <w:rPr>
                <w:sz w:val="18"/>
              </w:rPr>
              <w:t>—</w:t>
            </w:r>
          </w:p>
        </w:tc>
        <w:tc>
          <w:tcPr>
            <w:tcW w:w="1082" w:type="dxa"/>
          </w:tcPr>
          <w:p w14:paraId="24447877" w14:textId="77777777" w:rsidR="00DD72DD" w:rsidRDefault="00DD72DD" w:rsidP="00BD25D4">
            <w:pPr>
              <w:pStyle w:val="TableParagraph"/>
              <w:spacing w:before="1"/>
              <w:ind w:right="115"/>
              <w:rPr>
                <w:sz w:val="18"/>
              </w:rPr>
            </w:pPr>
            <w:r>
              <w:rPr>
                <w:sz w:val="18"/>
              </w:rPr>
              <w:t>—</w:t>
            </w:r>
          </w:p>
        </w:tc>
      </w:tr>
      <w:tr w:rsidR="00DD72DD" w14:paraId="45AF2A02" w14:textId="77777777" w:rsidTr="00FC6074">
        <w:trPr>
          <w:trHeight w:hRule="exact" w:val="230"/>
        </w:trPr>
        <w:tc>
          <w:tcPr>
            <w:tcW w:w="5220" w:type="dxa"/>
          </w:tcPr>
          <w:p w14:paraId="0CB826B2" w14:textId="77777777" w:rsidR="00DD72DD" w:rsidRDefault="00DD72DD" w:rsidP="00BD25D4">
            <w:pPr>
              <w:pStyle w:val="TableParagraph"/>
              <w:spacing w:before="4"/>
              <w:ind w:left="263"/>
              <w:jc w:val="left"/>
              <w:rPr>
                <w:sz w:val="18"/>
              </w:rPr>
            </w:pPr>
            <w:r>
              <w:rPr>
                <w:sz w:val="18"/>
              </w:rPr>
              <w:t>Quartile 2</w:t>
            </w:r>
          </w:p>
        </w:tc>
        <w:tc>
          <w:tcPr>
            <w:tcW w:w="991" w:type="dxa"/>
          </w:tcPr>
          <w:p w14:paraId="0FB130FE" w14:textId="77777777" w:rsidR="00DD72DD" w:rsidRDefault="00DD72DD" w:rsidP="00BD25D4">
            <w:pPr>
              <w:pStyle w:val="TableParagraph"/>
              <w:spacing w:before="1"/>
              <w:ind w:right="31"/>
              <w:rPr>
                <w:sz w:val="18"/>
              </w:rPr>
            </w:pPr>
            <w:r>
              <w:rPr>
                <w:sz w:val="18"/>
              </w:rPr>
              <w:t>0.12</w:t>
            </w:r>
          </w:p>
        </w:tc>
        <w:tc>
          <w:tcPr>
            <w:tcW w:w="989" w:type="dxa"/>
          </w:tcPr>
          <w:p w14:paraId="1BB127D7" w14:textId="77777777" w:rsidR="00DD72DD" w:rsidRDefault="00DD72DD" w:rsidP="00BD25D4">
            <w:pPr>
              <w:pStyle w:val="TableParagraph"/>
              <w:spacing w:before="1"/>
              <w:ind w:right="29"/>
              <w:rPr>
                <w:sz w:val="18"/>
              </w:rPr>
            </w:pPr>
            <w:r>
              <w:rPr>
                <w:sz w:val="18"/>
              </w:rPr>
              <w:t>0.01</w:t>
            </w:r>
          </w:p>
        </w:tc>
        <w:tc>
          <w:tcPr>
            <w:tcW w:w="1082" w:type="dxa"/>
          </w:tcPr>
          <w:p w14:paraId="765212FB" w14:textId="77777777" w:rsidR="00DD72DD" w:rsidRDefault="00DD72DD" w:rsidP="00BD25D4">
            <w:pPr>
              <w:pStyle w:val="TableParagraph"/>
              <w:spacing w:before="1"/>
              <w:ind w:right="31"/>
              <w:rPr>
                <w:sz w:val="18"/>
              </w:rPr>
            </w:pPr>
            <w:r>
              <w:rPr>
                <w:sz w:val="18"/>
              </w:rPr>
              <w:t>&lt;.0001</w:t>
            </w:r>
          </w:p>
        </w:tc>
      </w:tr>
      <w:tr w:rsidR="00DD72DD" w14:paraId="3983C80D" w14:textId="77777777" w:rsidTr="00FC6074">
        <w:trPr>
          <w:trHeight w:hRule="exact" w:val="230"/>
        </w:trPr>
        <w:tc>
          <w:tcPr>
            <w:tcW w:w="5220" w:type="dxa"/>
          </w:tcPr>
          <w:p w14:paraId="6BEB6E42" w14:textId="77777777" w:rsidR="00DD72DD" w:rsidRDefault="00DD72DD" w:rsidP="00BD25D4">
            <w:pPr>
              <w:pStyle w:val="TableParagraph"/>
              <w:spacing w:before="1"/>
              <w:ind w:left="263"/>
              <w:jc w:val="left"/>
              <w:rPr>
                <w:sz w:val="18"/>
              </w:rPr>
            </w:pPr>
            <w:r>
              <w:rPr>
                <w:sz w:val="18"/>
              </w:rPr>
              <w:t>Quartile 3</w:t>
            </w:r>
          </w:p>
        </w:tc>
        <w:tc>
          <w:tcPr>
            <w:tcW w:w="991" w:type="dxa"/>
          </w:tcPr>
          <w:p w14:paraId="41F1CA85" w14:textId="77777777" w:rsidR="00DD72DD" w:rsidRDefault="00DD72DD" w:rsidP="00BD25D4">
            <w:pPr>
              <w:pStyle w:val="TableParagraph"/>
              <w:spacing w:line="219" w:lineRule="exact"/>
              <w:ind w:right="31"/>
              <w:rPr>
                <w:sz w:val="18"/>
              </w:rPr>
            </w:pPr>
            <w:r>
              <w:rPr>
                <w:sz w:val="18"/>
              </w:rPr>
              <w:t>0.23</w:t>
            </w:r>
          </w:p>
        </w:tc>
        <w:tc>
          <w:tcPr>
            <w:tcW w:w="989" w:type="dxa"/>
          </w:tcPr>
          <w:p w14:paraId="73F3238F" w14:textId="77777777" w:rsidR="00DD72DD" w:rsidRDefault="00DD72DD" w:rsidP="00BD25D4">
            <w:pPr>
              <w:pStyle w:val="TableParagraph"/>
              <w:spacing w:line="219" w:lineRule="exact"/>
              <w:ind w:right="29"/>
              <w:rPr>
                <w:sz w:val="18"/>
              </w:rPr>
            </w:pPr>
            <w:r>
              <w:rPr>
                <w:sz w:val="18"/>
              </w:rPr>
              <w:t>0.01</w:t>
            </w:r>
          </w:p>
        </w:tc>
        <w:tc>
          <w:tcPr>
            <w:tcW w:w="1082" w:type="dxa"/>
          </w:tcPr>
          <w:p w14:paraId="51A81D95" w14:textId="77777777" w:rsidR="00DD72DD" w:rsidRDefault="00DD72DD" w:rsidP="00BD25D4">
            <w:pPr>
              <w:pStyle w:val="TableParagraph"/>
              <w:spacing w:line="219" w:lineRule="exact"/>
              <w:ind w:right="31"/>
              <w:rPr>
                <w:sz w:val="18"/>
              </w:rPr>
            </w:pPr>
            <w:r>
              <w:rPr>
                <w:sz w:val="18"/>
              </w:rPr>
              <w:t>&lt;.0001</w:t>
            </w:r>
          </w:p>
        </w:tc>
      </w:tr>
      <w:tr w:rsidR="00DD72DD" w14:paraId="264E0F45" w14:textId="77777777" w:rsidTr="00FC6074">
        <w:trPr>
          <w:trHeight w:hRule="exact" w:val="228"/>
        </w:trPr>
        <w:tc>
          <w:tcPr>
            <w:tcW w:w="5220" w:type="dxa"/>
          </w:tcPr>
          <w:p w14:paraId="0F9E7C48" w14:textId="77777777" w:rsidR="00DD72DD" w:rsidRDefault="00DD72DD" w:rsidP="00BD25D4">
            <w:pPr>
              <w:pStyle w:val="TableParagraph"/>
              <w:spacing w:before="1"/>
              <w:ind w:left="263"/>
              <w:jc w:val="left"/>
              <w:rPr>
                <w:sz w:val="18"/>
              </w:rPr>
            </w:pPr>
            <w:r>
              <w:rPr>
                <w:sz w:val="18"/>
              </w:rPr>
              <w:t>Quartile 4</w:t>
            </w:r>
          </w:p>
        </w:tc>
        <w:tc>
          <w:tcPr>
            <w:tcW w:w="991" w:type="dxa"/>
          </w:tcPr>
          <w:p w14:paraId="4E129CAA" w14:textId="77777777" w:rsidR="00DD72DD" w:rsidRDefault="00DD72DD" w:rsidP="00BD25D4">
            <w:pPr>
              <w:pStyle w:val="TableParagraph"/>
              <w:spacing w:line="219" w:lineRule="exact"/>
              <w:ind w:right="31"/>
              <w:rPr>
                <w:sz w:val="18"/>
              </w:rPr>
            </w:pPr>
            <w:r>
              <w:rPr>
                <w:sz w:val="18"/>
              </w:rPr>
              <w:t>0.44</w:t>
            </w:r>
          </w:p>
        </w:tc>
        <w:tc>
          <w:tcPr>
            <w:tcW w:w="989" w:type="dxa"/>
          </w:tcPr>
          <w:p w14:paraId="3B10FCAD" w14:textId="77777777" w:rsidR="00DD72DD" w:rsidRDefault="00DD72DD" w:rsidP="00BD25D4">
            <w:pPr>
              <w:pStyle w:val="TableParagraph"/>
              <w:spacing w:line="219" w:lineRule="exact"/>
              <w:ind w:right="29"/>
              <w:rPr>
                <w:sz w:val="18"/>
              </w:rPr>
            </w:pPr>
            <w:r>
              <w:rPr>
                <w:sz w:val="18"/>
              </w:rPr>
              <w:t>0.01</w:t>
            </w:r>
          </w:p>
        </w:tc>
        <w:tc>
          <w:tcPr>
            <w:tcW w:w="1082" w:type="dxa"/>
          </w:tcPr>
          <w:p w14:paraId="15BA474D" w14:textId="77777777" w:rsidR="00DD72DD" w:rsidRDefault="00DD72DD" w:rsidP="00BD25D4">
            <w:pPr>
              <w:pStyle w:val="TableParagraph"/>
              <w:spacing w:line="219" w:lineRule="exact"/>
              <w:ind w:right="31"/>
              <w:rPr>
                <w:sz w:val="18"/>
              </w:rPr>
            </w:pPr>
            <w:r>
              <w:rPr>
                <w:sz w:val="18"/>
              </w:rPr>
              <w:t>&lt;.0001</w:t>
            </w:r>
          </w:p>
        </w:tc>
      </w:tr>
      <w:tr w:rsidR="00DD72DD" w14:paraId="4F5203F4" w14:textId="77777777" w:rsidTr="00FC6074">
        <w:trPr>
          <w:trHeight w:hRule="exact" w:val="230"/>
        </w:trPr>
        <w:tc>
          <w:tcPr>
            <w:tcW w:w="5220" w:type="dxa"/>
          </w:tcPr>
          <w:p w14:paraId="1BAC89AF" w14:textId="77777777" w:rsidR="00DD72DD" w:rsidRDefault="00DD72DD" w:rsidP="00BD25D4">
            <w:pPr>
              <w:pStyle w:val="TableParagraph"/>
              <w:spacing w:before="1"/>
              <w:ind w:left="103"/>
              <w:jc w:val="left"/>
              <w:rPr>
                <w:sz w:val="18"/>
              </w:rPr>
            </w:pPr>
            <w:r>
              <w:rPr>
                <w:sz w:val="18"/>
              </w:rPr>
              <w:t>Presence of high-risk diagnosis at index discharge</w:t>
            </w:r>
          </w:p>
        </w:tc>
        <w:tc>
          <w:tcPr>
            <w:tcW w:w="991" w:type="dxa"/>
          </w:tcPr>
          <w:p w14:paraId="452ABA38" w14:textId="77777777" w:rsidR="00DD72DD" w:rsidRDefault="00DD72DD" w:rsidP="00BD25D4">
            <w:pPr>
              <w:pStyle w:val="TableParagraph"/>
              <w:spacing w:line="219" w:lineRule="exact"/>
              <w:ind w:right="31"/>
              <w:rPr>
                <w:sz w:val="18"/>
              </w:rPr>
            </w:pPr>
            <w:r>
              <w:rPr>
                <w:sz w:val="18"/>
              </w:rPr>
              <w:t>0.49</w:t>
            </w:r>
          </w:p>
        </w:tc>
        <w:tc>
          <w:tcPr>
            <w:tcW w:w="989" w:type="dxa"/>
          </w:tcPr>
          <w:p w14:paraId="1336C04D" w14:textId="77777777" w:rsidR="00DD72DD" w:rsidRDefault="00DD72DD" w:rsidP="00BD25D4">
            <w:pPr>
              <w:pStyle w:val="TableParagraph"/>
              <w:spacing w:line="219" w:lineRule="exact"/>
              <w:ind w:right="29"/>
              <w:rPr>
                <w:sz w:val="18"/>
              </w:rPr>
            </w:pPr>
            <w:r>
              <w:rPr>
                <w:sz w:val="18"/>
              </w:rPr>
              <w:t>0.03</w:t>
            </w:r>
          </w:p>
        </w:tc>
        <w:tc>
          <w:tcPr>
            <w:tcW w:w="1082" w:type="dxa"/>
          </w:tcPr>
          <w:p w14:paraId="367C082A" w14:textId="77777777" w:rsidR="00DD72DD" w:rsidRDefault="00DD72DD" w:rsidP="00BD25D4">
            <w:pPr>
              <w:pStyle w:val="TableParagraph"/>
              <w:spacing w:before="1"/>
              <w:ind w:right="9"/>
              <w:rPr>
                <w:sz w:val="18"/>
              </w:rPr>
            </w:pPr>
            <w:r>
              <w:rPr>
                <w:sz w:val="18"/>
              </w:rPr>
              <w:t>&lt;.0001</w:t>
            </w:r>
          </w:p>
        </w:tc>
      </w:tr>
      <w:tr w:rsidR="00DD72DD" w14:paraId="4D328E90" w14:textId="77777777" w:rsidTr="00FC6074">
        <w:trPr>
          <w:trHeight w:hRule="exact" w:val="230"/>
        </w:trPr>
        <w:tc>
          <w:tcPr>
            <w:tcW w:w="5220" w:type="dxa"/>
          </w:tcPr>
          <w:p w14:paraId="186E9989" w14:textId="77777777" w:rsidR="00DD72DD" w:rsidRDefault="00DD72DD" w:rsidP="00BD25D4">
            <w:pPr>
              <w:pStyle w:val="TableParagraph"/>
              <w:spacing w:before="1"/>
              <w:ind w:left="103"/>
              <w:jc w:val="left"/>
              <w:rPr>
                <w:sz w:val="18"/>
              </w:rPr>
            </w:pPr>
            <w:r>
              <w:rPr>
                <w:sz w:val="18"/>
              </w:rPr>
              <w:t>Sex: Female</w:t>
            </w:r>
          </w:p>
        </w:tc>
        <w:tc>
          <w:tcPr>
            <w:tcW w:w="991" w:type="dxa"/>
          </w:tcPr>
          <w:p w14:paraId="6604D3D7" w14:textId="77777777" w:rsidR="00DD72DD" w:rsidRDefault="00DD72DD" w:rsidP="00BD25D4">
            <w:pPr>
              <w:pStyle w:val="TableParagraph"/>
              <w:spacing w:line="219" w:lineRule="exact"/>
              <w:ind w:right="31"/>
              <w:rPr>
                <w:sz w:val="18"/>
              </w:rPr>
            </w:pPr>
            <w:r>
              <w:rPr>
                <w:sz w:val="18"/>
              </w:rPr>
              <w:t>0.06</w:t>
            </w:r>
          </w:p>
        </w:tc>
        <w:tc>
          <w:tcPr>
            <w:tcW w:w="989" w:type="dxa"/>
          </w:tcPr>
          <w:p w14:paraId="623FCC59" w14:textId="77777777" w:rsidR="00DD72DD" w:rsidRDefault="00DD72DD" w:rsidP="00BD25D4">
            <w:pPr>
              <w:pStyle w:val="TableParagraph"/>
              <w:spacing w:line="219" w:lineRule="exact"/>
              <w:ind w:right="29"/>
              <w:rPr>
                <w:sz w:val="18"/>
              </w:rPr>
            </w:pPr>
            <w:r>
              <w:rPr>
                <w:sz w:val="18"/>
              </w:rPr>
              <w:t>0.01</w:t>
            </w:r>
          </w:p>
        </w:tc>
        <w:tc>
          <w:tcPr>
            <w:tcW w:w="1082" w:type="dxa"/>
          </w:tcPr>
          <w:p w14:paraId="448F6C17" w14:textId="77777777" w:rsidR="00DD72DD" w:rsidRDefault="00DD72DD" w:rsidP="00BD25D4">
            <w:pPr>
              <w:pStyle w:val="TableParagraph"/>
              <w:spacing w:before="1"/>
              <w:ind w:right="9"/>
              <w:rPr>
                <w:sz w:val="18"/>
              </w:rPr>
            </w:pPr>
            <w:r>
              <w:rPr>
                <w:sz w:val="18"/>
              </w:rPr>
              <w:t>&lt;.0001</w:t>
            </w:r>
          </w:p>
        </w:tc>
      </w:tr>
      <w:tr w:rsidR="00DD72DD" w14:paraId="3F1BDA36" w14:textId="77777777" w:rsidTr="00FC6074">
        <w:trPr>
          <w:trHeight w:hRule="exact" w:val="228"/>
        </w:trPr>
        <w:tc>
          <w:tcPr>
            <w:tcW w:w="5220" w:type="dxa"/>
          </w:tcPr>
          <w:p w14:paraId="27940CD8" w14:textId="77777777" w:rsidR="00DD72DD" w:rsidRDefault="00DD72DD" w:rsidP="00BD25D4">
            <w:pPr>
              <w:pStyle w:val="TableParagraph"/>
              <w:spacing w:before="1"/>
              <w:ind w:left="103"/>
              <w:jc w:val="left"/>
              <w:rPr>
                <w:b/>
                <w:sz w:val="18"/>
              </w:rPr>
            </w:pPr>
            <w:r>
              <w:rPr>
                <w:b/>
                <w:sz w:val="18"/>
              </w:rPr>
              <w:t>Time on ESRD (y)</w:t>
            </w:r>
          </w:p>
        </w:tc>
        <w:tc>
          <w:tcPr>
            <w:tcW w:w="991" w:type="dxa"/>
          </w:tcPr>
          <w:p w14:paraId="75BD8ED6" w14:textId="77777777" w:rsidR="00DD72DD" w:rsidRDefault="00DD72DD" w:rsidP="00BD25D4"/>
        </w:tc>
        <w:tc>
          <w:tcPr>
            <w:tcW w:w="989" w:type="dxa"/>
          </w:tcPr>
          <w:p w14:paraId="041D95D1" w14:textId="77777777" w:rsidR="00DD72DD" w:rsidRDefault="00DD72DD" w:rsidP="00BD25D4"/>
        </w:tc>
        <w:tc>
          <w:tcPr>
            <w:tcW w:w="1082" w:type="dxa"/>
          </w:tcPr>
          <w:p w14:paraId="7E091FF4" w14:textId="77777777" w:rsidR="00DD72DD" w:rsidRDefault="00DD72DD" w:rsidP="00BD25D4"/>
        </w:tc>
      </w:tr>
      <w:tr w:rsidR="00DD72DD" w14:paraId="1875EB06" w14:textId="77777777" w:rsidTr="00FC6074">
        <w:trPr>
          <w:trHeight w:hRule="exact" w:val="230"/>
        </w:trPr>
        <w:tc>
          <w:tcPr>
            <w:tcW w:w="5220" w:type="dxa"/>
          </w:tcPr>
          <w:p w14:paraId="2A8F2C26" w14:textId="77777777" w:rsidR="00DD72DD" w:rsidRDefault="00DD72DD" w:rsidP="00BD25D4">
            <w:pPr>
              <w:pStyle w:val="TableParagraph"/>
              <w:spacing w:before="1"/>
              <w:ind w:left="263"/>
              <w:jc w:val="left"/>
              <w:rPr>
                <w:sz w:val="18"/>
              </w:rPr>
            </w:pPr>
            <w:r>
              <w:rPr>
                <w:sz w:val="18"/>
              </w:rPr>
              <w:t>&lt;1 (ref)</w:t>
            </w:r>
          </w:p>
        </w:tc>
        <w:tc>
          <w:tcPr>
            <w:tcW w:w="991" w:type="dxa"/>
          </w:tcPr>
          <w:p w14:paraId="519D822C" w14:textId="77777777" w:rsidR="00DD72DD" w:rsidRDefault="00DD72DD" w:rsidP="00BD25D4">
            <w:pPr>
              <w:pStyle w:val="TableParagraph"/>
              <w:spacing w:before="1"/>
              <w:ind w:right="118"/>
              <w:rPr>
                <w:sz w:val="18"/>
              </w:rPr>
            </w:pPr>
            <w:r>
              <w:rPr>
                <w:sz w:val="18"/>
              </w:rPr>
              <w:t>—</w:t>
            </w:r>
          </w:p>
        </w:tc>
        <w:tc>
          <w:tcPr>
            <w:tcW w:w="989" w:type="dxa"/>
          </w:tcPr>
          <w:p w14:paraId="2297C00E" w14:textId="77777777" w:rsidR="00DD72DD" w:rsidRDefault="00DD72DD" w:rsidP="00BD25D4">
            <w:pPr>
              <w:pStyle w:val="TableParagraph"/>
              <w:spacing w:before="1"/>
              <w:ind w:right="115"/>
              <w:rPr>
                <w:sz w:val="18"/>
              </w:rPr>
            </w:pPr>
            <w:r>
              <w:rPr>
                <w:sz w:val="18"/>
              </w:rPr>
              <w:t>—</w:t>
            </w:r>
          </w:p>
        </w:tc>
        <w:tc>
          <w:tcPr>
            <w:tcW w:w="1082" w:type="dxa"/>
          </w:tcPr>
          <w:p w14:paraId="32AFAC68" w14:textId="77777777" w:rsidR="00DD72DD" w:rsidRDefault="00DD72DD" w:rsidP="00BD25D4">
            <w:pPr>
              <w:pStyle w:val="TableParagraph"/>
              <w:spacing w:before="1"/>
              <w:ind w:right="115"/>
              <w:rPr>
                <w:sz w:val="18"/>
              </w:rPr>
            </w:pPr>
            <w:r>
              <w:rPr>
                <w:sz w:val="18"/>
              </w:rPr>
              <w:t>—</w:t>
            </w:r>
          </w:p>
        </w:tc>
      </w:tr>
      <w:tr w:rsidR="00DD72DD" w14:paraId="4BB62DD8" w14:textId="77777777" w:rsidTr="00FC6074">
        <w:trPr>
          <w:trHeight w:hRule="exact" w:val="228"/>
        </w:trPr>
        <w:tc>
          <w:tcPr>
            <w:tcW w:w="5220" w:type="dxa"/>
          </w:tcPr>
          <w:p w14:paraId="7EC60577" w14:textId="77777777" w:rsidR="00DD72DD" w:rsidRDefault="00DD72DD" w:rsidP="00BD25D4">
            <w:pPr>
              <w:pStyle w:val="TableParagraph"/>
              <w:spacing w:before="1"/>
              <w:ind w:left="263"/>
              <w:jc w:val="left"/>
              <w:rPr>
                <w:sz w:val="18"/>
              </w:rPr>
            </w:pPr>
            <w:r>
              <w:rPr>
                <w:sz w:val="18"/>
              </w:rPr>
              <w:t>1–2</w:t>
            </w:r>
          </w:p>
        </w:tc>
        <w:tc>
          <w:tcPr>
            <w:tcW w:w="991" w:type="dxa"/>
          </w:tcPr>
          <w:p w14:paraId="0DCCA097" w14:textId="77777777" w:rsidR="00DD72DD" w:rsidRDefault="00DD72DD" w:rsidP="00BD25D4">
            <w:pPr>
              <w:pStyle w:val="TableParagraph"/>
              <w:spacing w:line="219" w:lineRule="exact"/>
              <w:ind w:right="31"/>
              <w:rPr>
                <w:sz w:val="18"/>
              </w:rPr>
            </w:pPr>
            <w:r>
              <w:rPr>
                <w:sz w:val="18"/>
              </w:rPr>
              <w:t>0.00</w:t>
            </w:r>
          </w:p>
        </w:tc>
        <w:tc>
          <w:tcPr>
            <w:tcW w:w="989" w:type="dxa"/>
          </w:tcPr>
          <w:p w14:paraId="7E398C28" w14:textId="77777777" w:rsidR="00DD72DD" w:rsidRDefault="00DD72DD" w:rsidP="00BD25D4">
            <w:pPr>
              <w:pStyle w:val="TableParagraph"/>
              <w:spacing w:line="219" w:lineRule="exact"/>
              <w:ind w:right="29"/>
              <w:rPr>
                <w:sz w:val="18"/>
              </w:rPr>
            </w:pPr>
            <w:r>
              <w:rPr>
                <w:sz w:val="18"/>
              </w:rPr>
              <w:t>0.01</w:t>
            </w:r>
          </w:p>
        </w:tc>
        <w:tc>
          <w:tcPr>
            <w:tcW w:w="1082" w:type="dxa"/>
          </w:tcPr>
          <w:p w14:paraId="00C2C96E" w14:textId="77777777" w:rsidR="00DD72DD" w:rsidRDefault="00DD72DD" w:rsidP="00BD25D4">
            <w:pPr>
              <w:pStyle w:val="TableParagraph"/>
              <w:spacing w:line="219" w:lineRule="exact"/>
              <w:ind w:right="31"/>
              <w:rPr>
                <w:sz w:val="18"/>
              </w:rPr>
            </w:pPr>
            <w:r>
              <w:rPr>
                <w:sz w:val="18"/>
              </w:rPr>
              <w:t>0.25</w:t>
            </w:r>
          </w:p>
        </w:tc>
      </w:tr>
      <w:tr w:rsidR="00DD72DD" w14:paraId="6D21AFF3" w14:textId="77777777" w:rsidTr="00FC6074">
        <w:trPr>
          <w:trHeight w:hRule="exact" w:val="230"/>
        </w:trPr>
        <w:tc>
          <w:tcPr>
            <w:tcW w:w="5220" w:type="dxa"/>
          </w:tcPr>
          <w:p w14:paraId="270989BE" w14:textId="77777777" w:rsidR="00DD72DD" w:rsidRDefault="00DD72DD" w:rsidP="00BD25D4">
            <w:pPr>
              <w:pStyle w:val="TableParagraph"/>
              <w:spacing w:before="4"/>
              <w:ind w:left="263"/>
              <w:jc w:val="left"/>
              <w:rPr>
                <w:sz w:val="18"/>
              </w:rPr>
            </w:pPr>
            <w:r>
              <w:rPr>
                <w:sz w:val="18"/>
              </w:rPr>
              <w:t>2–3</w:t>
            </w:r>
          </w:p>
        </w:tc>
        <w:tc>
          <w:tcPr>
            <w:tcW w:w="991" w:type="dxa"/>
          </w:tcPr>
          <w:p w14:paraId="33F60DE6" w14:textId="77777777" w:rsidR="00DD72DD" w:rsidRDefault="00DD72DD" w:rsidP="00BD25D4">
            <w:pPr>
              <w:pStyle w:val="TableParagraph"/>
              <w:spacing w:before="1"/>
              <w:ind w:right="31"/>
              <w:rPr>
                <w:sz w:val="18"/>
              </w:rPr>
            </w:pPr>
            <w:r>
              <w:rPr>
                <w:sz w:val="18"/>
              </w:rPr>
              <w:t>-0.32</w:t>
            </w:r>
          </w:p>
        </w:tc>
        <w:tc>
          <w:tcPr>
            <w:tcW w:w="989" w:type="dxa"/>
          </w:tcPr>
          <w:p w14:paraId="017FFC29" w14:textId="77777777" w:rsidR="00DD72DD" w:rsidRDefault="00DD72DD" w:rsidP="00BD25D4">
            <w:pPr>
              <w:pStyle w:val="TableParagraph"/>
              <w:spacing w:before="1"/>
              <w:ind w:right="29"/>
              <w:rPr>
                <w:sz w:val="18"/>
              </w:rPr>
            </w:pPr>
            <w:r>
              <w:rPr>
                <w:sz w:val="18"/>
              </w:rPr>
              <w:t>0.01</w:t>
            </w:r>
          </w:p>
        </w:tc>
        <w:tc>
          <w:tcPr>
            <w:tcW w:w="1082" w:type="dxa"/>
          </w:tcPr>
          <w:p w14:paraId="25F96EF0" w14:textId="77777777" w:rsidR="00DD72DD" w:rsidRDefault="00DD72DD" w:rsidP="00BD25D4">
            <w:pPr>
              <w:pStyle w:val="TableParagraph"/>
              <w:spacing w:before="1"/>
              <w:ind w:right="31"/>
              <w:rPr>
                <w:sz w:val="18"/>
              </w:rPr>
            </w:pPr>
            <w:r>
              <w:rPr>
                <w:sz w:val="18"/>
              </w:rPr>
              <w:t>&lt;.0001</w:t>
            </w:r>
          </w:p>
        </w:tc>
      </w:tr>
      <w:tr w:rsidR="00DD72DD" w14:paraId="619B268B" w14:textId="77777777" w:rsidTr="00FC6074">
        <w:trPr>
          <w:trHeight w:hRule="exact" w:val="228"/>
        </w:trPr>
        <w:tc>
          <w:tcPr>
            <w:tcW w:w="5220" w:type="dxa"/>
          </w:tcPr>
          <w:p w14:paraId="4067DC8D" w14:textId="77777777" w:rsidR="00DD72DD" w:rsidRDefault="00DD72DD" w:rsidP="00BD25D4">
            <w:pPr>
              <w:pStyle w:val="TableParagraph"/>
              <w:spacing w:before="1"/>
              <w:ind w:left="263"/>
              <w:jc w:val="left"/>
              <w:rPr>
                <w:sz w:val="18"/>
              </w:rPr>
            </w:pPr>
            <w:r>
              <w:rPr>
                <w:sz w:val="18"/>
              </w:rPr>
              <w:t>3–6</w:t>
            </w:r>
          </w:p>
        </w:tc>
        <w:tc>
          <w:tcPr>
            <w:tcW w:w="991" w:type="dxa"/>
          </w:tcPr>
          <w:p w14:paraId="6B84D23B" w14:textId="77777777" w:rsidR="00DD72DD" w:rsidRDefault="00DD72DD" w:rsidP="00BD25D4">
            <w:pPr>
              <w:pStyle w:val="TableParagraph"/>
              <w:spacing w:line="219" w:lineRule="exact"/>
              <w:ind w:right="31"/>
              <w:rPr>
                <w:sz w:val="18"/>
              </w:rPr>
            </w:pPr>
            <w:r>
              <w:rPr>
                <w:sz w:val="18"/>
              </w:rPr>
              <w:t>-0.35</w:t>
            </w:r>
          </w:p>
        </w:tc>
        <w:tc>
          <w:tcPr>
            <w:tcW w:w="989" w:type="dxa"/>
          </w:tcPr>
          <w:p w14:paraId="6182066F" w14:textId="77777777" w:rsidR="00DD72DD" w:rsidRDefault="00DD72DD" w:rsidP="00BD25D4">
            <w:pPr>
              <w:pStyle w:val="TableParagraph"/>
              <w:spacing w:line="219" w:lineRule="exact"/>
              <w:ind w:right="29"/>
              <w:rPr>
                <w:sz w:val="18"/>
              </w:rPr>
            </w:pPr>
            <w:r>
              <w:rPr>
                <w:sz w:val="18"/>
              </w:rPr>
              <w:t>0.01</w:t>
            </w:r>
          </w:p>
        </w:tc>
        <w:tc>
          <w:tcPr>
            <w:tcW w:w="1082" w:type="dxa"/>
          </w:tcPr>
          <w:p w14:paraId="543DCAD5" w14:textId="77777777" w:rsidR="00DD72DD" w:rsidRDefault="00DD72DD" w:rsidP="00BD25D4">
            <w:pPr>
              <w:pStyle w:val="TableParagraph"/>
              <w:spacing w:line="219" w:lineRule="exact"/>
              <w:ind w:right="31"/>
              <w:rPr>
                <w:sz w:val="18"/>
              </w:rPr>
            </w:pPr>
            <w:r>
              <w:rPr>
                <w:sz w:val="18"/>
              </w:rPr>
              <w:t>&lt;.0001</w:t>
            </w:r>
          </w:p>
        </w:tc>
      </w:tr>
      <w:tr w:rsidR="00DD72DD" w14:paraId="7F46E98F" w14:textId="77777777" w:rsidTr="00FC6074">
        <w:trPr>
          <w:trHeight w:hRule="exact" w:val="230"/>
        </w:trPr>
        <w:tc>
          <w:tcPr>
            <w:tcW w:w="5220" w:type="dxa"/>
          </w:tcPr>
          <w:p w14:paraId="1822822F" w14:textId="77777777" w:rsidR="00DD72DD" w:rsidRDefault="00DD72DD" w:rsidP="00BD25D4">
            <w:pPr>
              <w:pStyle w:val="TableParagraph"/>
              <w:spacing w:before="1"/>
              <w:ind w:left="263"/>
              <w:jc w:val="left"/>
              <w:rPr>
                <w:sz w:val="18"/>
              </w:rPr>
            </w:pPr>
            <w:r>
              <w:rPr>
                <w:sz w:val="18"/>
              </w:rPr>
              <w:t>&gt;6</w:t>
            </w:r>
          </w:p>
        </w:tc>
        <w:tc>
          <w:tcPr>
            <w:tcW w:w="991" w:type="dxa"/>
          </w:tcPr>
          <w:p w14:paraId="7EE8F6D3" w14:textId="77777777" w:rsidR="00DD72DD" w:rsidRDefault="00DD72DD" w:rsidP="00BD25D4">
            <w:pPr>
              <w:pStyle w:val="TableParagraph"/>
              <w:spacing w:line="219" w:lineRule="exact"/>
              <w:ind w:right="31"/>
              <w:rPr>
                <w:sz w:val="18"/>
              </w:rPr>
            </w:pPr>
            <w:r>
              <w:rPr>
                <w:sz w:val="18"/>
              </w:rPr>
              <w:t>-0.38</w:t>
            </w:r>
          </w:p>
        </w:tc>
        <w:tc>
          <w:tcPr>
            <w:tcW w:w="989" w:type="dxa"/>
          </w:tcPr>
          <w:p w14:paraId="4A51EDDE" w14:textId="77777777" w:rsidR="00DD72DD" w:rsidRDefault="00DD72DD" w:rsidP="00BD25D4">
            <w:pPr>
              <w:pStyle w:val="TableParagraph"/>
              <w:spacing w:line="219" w:lineRule="exact"/>
              <w:ind w:right="29"/>
              <w:rPr>
                <w:sz w:val="18"/>
              </w:rPr>
            </w:pPr>
            <w:r>
              <w:rPr>
                <w:sz w:val="18"/>
              </w:rPr>
              <w:t>0.01</w:t>
            </w:r>
          </w:p>
        </w:tc>
        <w:tc>
          <w:tcPr>
            <w:tcW w:w="1082" w:type="dxa"/>
          </w:tcPr>
          <w:p w14:paraId="441F492C" w14:textId="77777777" w:rsidR="00DD72DD" w:rsidRDefault="00DD72DD" w:rsidP="00BD25D4">
            <w:pPr>
              <w:pStyle w:val="TableParagraph"/>
              <w:spacing w:line="219" w:lineRule="exact"/>
              <w:ind w:right="31"/>
              <w:rPr>
                <w:sz w:val="18"/>
              </w:rPr>
            </w:pPr>
            <w:r>
              <w:rPr>
                <w:sz w:val="18"/>
              </w:rPr>
              <w:t>&lt;.0001</w:t>
            </w:r>
          </w:p>
        </w:tc>
      </w:tr>
    </w:tbl>
    <w:p w14:paraId="0187B5AF" w14:textId="77777777" w:rsidR="008E0BF1" w:rsidRDefault="008E0BF1" w:rsidP="008E0BF1">
      <w:pPr>
        <w:spacing w:before="1"/>
        <w:ind w:left="100"/>
        <w:rPr>
          <w:sz w:val="18"/>
        </w:rPr>
      </w:pPr>
      <w:r>
        <w:rPr>
          <w:b/>
          <w:i/>
          <w:sz w:val="18"/>
        </w:rPr>
        <w:t>Note</w:t>
      </w:r>
      <w:r>
        <w:rPr>
          <w:b/>
          <w:sz w:val="18"/>
        </w:rPr>
        <w:t xml:space="preserve">. </w:t>
      </w:r>
      <w:r>
        <w:rPr>
          <w:sz w:val="18"/>
        </w:rPr>
        <w:t>Discharge diagnoses that were relatively rare but led to a 30-day unplanned readmission in at least 40% of cases.</w:t>
      </w:r>
    </w:p>
    <w:p w14:paraId="1A969039" w14:textId="3CE41ACA" w:rsidR="008E0BF1" w:rsidRPr="008E0BF1" w:rsidRDefault="008E0BF1" w:rsidP="008E0BF1">
      <w:pPr>
        <w:rPr>
          <w:b/>
        </w:rPr>
      </w:pPr>
      <w:r w:rsidRPr="008E0BF1">
        <w:rPr>
          <w:b/>
        </w:rPr>
        <w:t>Figure 2. ROC curve for SRR model (c-statistic = 0.6359).</w:t>
      </w:r>
    </w:p>
    <w:p w14:paraId="24879952" w14:textId="77777777" w:rsidR="008E0BF1" w:rsidRDefault="008E0BF1" w:rsidP="008E0BF1">
      <w:pPr>
        <w:pStyle w:val="BodyText"/>
        <w:ind w:left="125"/>
        <w:rPr>
          <w:sz w:val="20"/>
        </w:rPr>
      </w:pPr>
      <w:r>
        <w:rPr>
          <w:noProof/>
          <w:sz w:val="20"/>
        </w:rPr>
        <w:drawing>
          <wp:inline distT="0" distB="0" distL="0" distR="0" wp14:anchorId="7907B325" wp14:editId="0AFAD19A">
            <wp:extent cx="3020695" cy="2738814"/>
            <wp:effectExtent l="0" t="0" r="8255" b="4445"/>
            <wp:docPr id="5" name="image3.png" descr="Figure 2. ROC curve for SRR model (c-statistic = 0.6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3.png"/>
                    <pic:cNvPicPr/>
                  </pic:nvPicPr>
                  <pic:blipFill>
                    <a:blip r:embed="rId18" cstate="print"/>
                    <a:stretch>
                      <a:fillRect/>
                    </a:stretch>
                  </pic:blipFill>
                  <pic:spPr>
                    <a:xfrm>
                      <a:off x="0" y="0"/>
                      <a:ext cx="3029391" cy="2746698"/>
                    </a:xfrm>
                    <a:prstGeom prst="rect">
                      <a:avLst/>
                    </a:prstGeom>
                  </pic:spPr>
                </pic:pic>
              </a:graphicData>
            </a:graphic>
          </wp:inline>
        </w:drawing>
      </w:r>
    </w:p>
    <w:p w14:paraId="0111B602" w14:textId="77777777" w:rsidR="008E0BF1" w:rsidRDefault="008E0BF1" w:rsidP="008E0BF1">
      <w:pPr>
        <w:pStyle w:val="BodyText"/>
        <w:spacing w:before="2"/>
        <w:rPr>
          <w:b/>
          <w:sz w:val="13"/>
        </w:rPr>
      </w:pPr>
    </w:p>
    <w:p w14:paraId="1F802EB0" w14:textId="6311616C" w:rsidR="008E0BF1" w:rsidRPr="008E0BF1" w:rsidRDefault="008E0BF1" w:rsidP="008E0BF1">
      <w:pPr>
        <w:rPr>
          <w:b/>
        </w:rPr>
      </w:pPr>
      <w:r w:rsidRPr="008E0BF1">
        <w:rPr>
          <w:b/>
        </w:rPr>
        <w:t>Figure 3. A plot of the logit of the observed proportion of admissions against the logit of model estimated probabilities to assess overall model fit.</w:t>
      </w:r>
    </w:p>
    <w:p w14:paraId="138BE61D" w14:textId="77777777" w:rsidR="008E0BF1" w:rsidRDefault="008E0BF1" w:rsidP="008E0BF1">
      <w:pPr>
        <w:pStyle w:val="BodyText"/>
        <w:ind w:left="120"/>
        <w:rPr>
          <w:sz w:val="20"/>
        </w:rPr>
      </w:pPr>
      <w:r>
        <w:rPr>
          <w:noProof/>
          <w:sz w:val="20"/>
        </w:rPr>
        <w:drawing>
          <wp:inline distT="0" distB="0" distL="0" distR="0" wp14:anchorId="76057695" wp14:editId="79729954">
            <wp:extent cx="3767402" cy="2870791"/>
            <wp:effectExtent l="0" t="0" r="5080" b="6350"/>
            <wp:docPr id="7" name="image4.png" descr="Figure 3. A plot of the logit of the observed proportion of admissions against the logit of model estimated probabilities to assess overall model f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4.png"/>
                    <pic:cNvPicPr/>
                  </pic:nvPicPr>
                  <pic:blipFill>
                    <a:blip r:embed="rId19" cstate="print"/>
                    <a:stretch>
                      <a:fillRect/>
                    </a:stretch>
                  </pic:blipFill>
                  <pic:spPr>
                    <a:xfrm>
                      <a:off x="0" y="0"/>
                      <a:ext cx="3773775" cy="2875647"/>
                    </a:xfrm>
                    <a:prstGeom prst="rect">
                      <a:avLst/>
                    </a:prstGeom>
                  </pic:spPr>
                </pic:pic>
              </a:graphicData>
            </a:graphic>
          </wp:inline>
        </w:drawing>
      </w:r>
    </w:p>
    <w:p w14:paraId="0CABCFF7" w14:textId="59EF1889" w:rsidR="00092566" w:rsidRDefault="00092566" w:rsidP="00001D73">
      <w:pPr>
        <w:autoSpaceDE w:val="0"/>
        <w:autoSpaceDN w:val="0"/>
        <w:adjustRightInd w:val="0"/>
        <w:spacing w:after="0" w:line="240" w:lineRule="auto"/>
        <w:rPr>
          <w:rFonts w:cstheme="minorHAnsi"/>
          <w:b/>
          <w:bCs/>
        </w:rPr>
      </w:pPr>
    </w:p>
    <w:p w14:paraId="7BB18B3A" w14:textId="2F2D02DE" w:rsidR="00DD72DD" w:rsidRPr="00FC6074" w:rsidRDefault="00DD72DD" w:rsidP="00DD72DD">
      <w:pPr>
        <w:pStyle w:val="BodyText"/>
        <w:spacing w:before="11"/>
        <w:rPr>
          <w:rFonts w:cstheme="minorHAnsi"/>
          <w:b/>
          <w:bCs/>
          <w:color w:val="C00000"/>
          <w:u w:val="single"/>
        </w:rPr>
      </w:pPr>
      <w:r w:rsidRPr="00FC6074">
        <w:rPr>
          <w:rFonts w:cstheme="minorHAnsi"/>
          <w:b/>
          <w:bCs/>
          <w:color w:val="C00000"/>
          <w:u w:val="single"/>
        </w:rPr>
        <w:t>2019 Submission</w:t>
      </w:r>
    </w:p>
    <w:p w14:paraId="6CD3BE56" w14:textId="27743C77" w:rsidR="00B43854" w:rsidRPr="00013662" w:rsidRDefault="00A94A9A" w:rsidP="00DD72DD">
      <w:pPr>
        <w:pStyle w:val="BodyText"/>
        <w:spacing w:before="11"/>
        <w:rPr>
          <w:color w:val="C00000"/>
          <w:sz w:val="19"/>
        </w:rPr>
      </w:pPr>
      <w:r>
        <w:rPr>
          <w:color w:val="C00000"/>
        </w:rPr>
        <w:t>A</w:t>
      </w:r>
      <w:r w:rsidR="00B43854" w:rsidRPr="00FC6074">
        <w:rPr>
          <w:color w:val="C00000"/>
        </w:rPr>
        <w:t xml:space="preserve">ll but </w:t>
      </w:r>
      <w:r w:rsidR="00093B3B" w:rsidRPr="00FC6074">
        <w:rPr>
          <w:color w:val="C00000"/>
        </w:rPr>
        <w:t>three</w:t>
      </w:r>
      <w:r>
        <w:rPr>
          <w:color w:val="C00000"/>
        </w:rPr>
        <w:t xml:space="preserve"> risk factors included in the model</w:t>
      </w:r>
      <w:r w:rsidR="00B43854" w:rsidRPr="00FC6074">
        <w:rPr>
          <w:color w:val="C00000"/>
        </w:rPr>
        <w:t xml:space="preserve">—being </w:t>
      </w:r>
      <w:r w:rsidR="00787F65" w:rsidRPr="00FC6074">
        <w:rPr>
          <w:color w:val="C00000"/>
        </w:rPr>
        <w:t xml:space="preserve">age spline 0-13, age spline 60+, </w:t>
      </w:r>
      <w:r w:rsidR="00093B3B" w:rsidRPr="00FC6074">
        <w:rPr>
          <w:color w:val="C00000"/>
        </w:rPr>
        <w:t xml:space="preserve">and </w:t>
      </w:r>
      <w:r w:rsidR="00787F65" w:rsidRPr="00FC6074">
        <w:rPr>
          <w:color w:val="C00000"/>
        </w:rPr>
        <w:t>un</w:t>
      </w:r>
      <w:r w:rsidR="00093B3B" w:rsidRPr="00FC6074">
        <w:rPr>
          <w:color w:val="C00000"/>
        </w:rPr>
        <w:t>der</w:t>
      </w:r>
      <w:r w:rsidR="00787F65" w:rsidRPr="00FC6074">
        <w:rPr>
          <w:color w:val="C00000"/>
        </w:rPr>
        <w:t>weight BMI</w:t>
      </w:r>
      <w:r w:rsidR="00B43854" w:rsidRPr="00FC6074">
        <w:rPr>
          <w:color w:val="C00000"/>
        </w:rPr>
        <w:t>—are also significantly predictive of readmission</w:t>
      </w:r>
      <w:r w:rsidR="00D955A1">
        <w:rPr>
          <w:color w:val="C00000"/>
        </w:rPr>
        <w:t xml:space="preserve"> (Table 1</w:t>
      </w:r>
      <w:r w:rsidR="00B43854" w:rsidRPr="00FC6074">
        <w:rPr>
          <w:color w:val="C00000"/>
        </w:rPr>
        <w:t xml:space="preserve">). As the ROC curve demonstrates, the </w:t>
      </w:r>
      <w:r w:rsidR="00B43854" w:rsidRPr="00013662">
        <w:rPr>
          <w:color w:val="C00000"/>
        </w:rPr>
        <w:t>model’s accuracy is fair (</w:t>
      </w:r>
      <w:r w:rsidR="007E6BF8">
        <w:rPr>
          <w:color w:val="C00000"/>
        </w:rPr>
        <w:t xml:space="preserve">see section </w:t>
      </w:r>
      <w:r w:rsidR="00434486" w:rsidRPr="00434486">
        <w:rPr>
          <w:color w:val="C00000"/>
        </w:rPr>
        <w:t>2b3.6</w:t>
      </w:r>
      <w:r w:rsidR="00B43854" w:rsidRPr="00013662">
        <w:rPr>
          <w:color w:val="C00000"/>
        </w:rPr>
        <w:t>); c-statistic = 0.6</w:t>
      </w:r>
      <w:r w:rsidR="00190758" w:rsidRPr="00013662">
        <w:rPr>
          <w:color w:val="C00000"/>
        </w:rPr>
        <w:t>768</w:t>
      </w:r>
      <w:r w:rsidR="00B43854" w:rsidRPr="00013662">
        <w:rPr>
          <w:color w:val="C00000"/>
        </w:rPr>
        <w:t>.</w:t>
      </w:r>
    </w:p>
    <w:p w14:paraId="6C6EBAA0" w14:textId="4F061FA7" w:rsidR="00DD72DD" w:rsidRPr="00013662" w:rsidRDefault="00DD72DD" w:rsidP="00001D73">
      <w:pPr>
        <w:autoSpaceDE w:val="0"/>
        <w:autoSpaceDN w:val="0"/>
        <w:adjustRightInd w:val="0"/>
        <w:spacing w:after="0" w:line="240" w:lineRule="auto"/>
        <w:rPr>
          <w:rFonts w:cstheme="minorHAnsi"/>
          <w:b/>
          <w:bCs/>
          <w:color w:val="C00000"/>
        </w:rPr>
      </w:pPr>
    </w:p>
    <w:p w14:paraId="64456B22" w14:textId="77777777" w:rsidR="0062648C" w:rsidRDefault="0062648C" w:rsidP="00B43854">
      <w:pPr>
        <w:spacing w:after="0"/>
        <w:rPr>
          <w:b/>
          <w:bCs/>
          <w:color w:val="C00000"/>
          <w:sz w:val="20"/>
          <w:szCs w:val="20"/>
        </w:rPr>
      </w:pPr>
    </w:p>
    <w:p w14:paraId="24D36DE9" w14:textId="7D348E56" w:rsidR="00B43854" w:rsidRPr="0062648C" w:rsidRDefault="00B43854" w:rsidP="00B43854">
      <w:pPr>
        <w:spacing w:after="0"/>
        <w:rPr>
          <w:b/>
          <w:bCs/>
          <w:color w:val="C00000"/>
          <w:szCs w:val="20"/>
        </w:rPr>
      </w:pPr>
      <w:r w:rsidRPr="0062648C">
        <w:rPr>
          <w:b/>
          <w:bCs/>
          <w:color w:val="C00000"/>
          <w:szCs w:val="20"/>
        </w:rPr>
        <w:t xml:space="preserve">Table </w:t>
      </w:r>
      <w:r w:rsidR="00D955A1" w:rsidRPr="0062648C">
        <w:rPr>
          <w:b/>
          <w:bCs/>
          <w:color w:val="C00000"/>
          <w:szCs w:val="20"/>
        </w:rPr>
        <w:t>1</w:t>
      </w:r>
      <w:r w:rsidRPr="0062648C">
        <w:rPr>
          <w:b/>
          <w:bCs/>
          <w:color w:val="C00000"/>
          <w:szCs w:val="20"/>
        </w:rPr>
        <w:t>. Effects of Patient Characteristics on Readmission Rates for Medicare-Covered Dialysis Patients, 2018</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75"/>
        <w:gridCol w:w="1620"/>
        <w:gridCol w:w="1260"/>
        <w:gridCol w:w="1890"/>
      </w:tblGrid>
      <w:tr w:rsidR="00B43854" w:rsidRPr="00013662" w14:paraId="1042D358" w14:textId="77777777" w:rsidTr="007E4F84">
        <w:trPr>
          <w:trHeight w:val="140"/>
          <w:tblHeader/>
        </w:trPr>
        <w:tc>
          <w:tcPr>
            <w:tcW w:w="5575" w:type="dxa"/>
          </w:tcPr>
          <w:p w14:paraId="5E2C56D1" w14:textId="77777777" w:rsidR="00B43854" w:rsidRPr="00013662" w:rsidRDefault="00B43854" w:rsidP="00D25018">
            <w:pPr>
              <w:autoSpaceDE w:val="0"/>
              <w:autoSpaceDN w:val="0"/>
              <w:adjustRightInd w:val="0"/>
              <w:spacing w:after="0" w:line="240" w:lineRule="auto"/>
              <w:rPr>
                <w:rFonts w:eastAsiaTheme="minorHAnsi" w:cs="Calibri"/>
                <w:color w:val="C00000"/>
              </w:rPr>
            </w:pPr>
            <w:r w:rsidRPr="00013662">
              <w:rPr>
                <w:rFonts w:eastAsiaTheme="minorHAnsi" w:cs="Calibri"/>
                <w:b/>
                <w:bCs/>
                <w:color w:val="C00000"/>
              </w:rPr>
              <w:t xml:space="preserve">Patient Characteristic </w:t>
            </w:r>
          </w:p>
        </w:tc>
        <w:tc>
          <w:tcPr>
            <w:tcW w:w="1620" w:type="dxa"/>
            <w:vAlign w:val="center"/>
          </w:tcPr>
          <w:p w14:paraId="660B723B" w14:textId="77777777" w:rsidR="00B43854" w:rsidRPr="00013662" w:rsidRDefault="00B43854" w:rsidP="00D25018">
            <w:pPr>
              <w:autoSpaceDE w:val="0"/>
              <w:autoSpaceDN w:val="0"/>
              <w:adjustRightInd w:val="0"/>
              <w:spacing w:after="0" w:line="240" w:lineRule="auto"/>
              <w:jc w:val="right"/>
              <w:rPr>
                <w:rFonts w:eastAsiaTheme="minorHAnsi" w:cs="Calibri"/>
                <w:color w:val="C00000"/>
              </w:rPr>
            </w:pPr>
            <w:r w:rsidRPr="00013662">
              <w:rPr>
                <w:rFonts w:eastAsiaTheme="minorHAnsi" w:cs="Calibri"/>
                <w:b/>
                <w:bCs/>
                <w:color w:val="C00000"/>
              </w:rPr>
              <w:t xml:space="preserve">Beta </w:t>
            </w:r>
          </w:p>
        </w:tc>
        <w:tc>
          <w:tcPr>
            <w:tcW w:w="1260" w:type="dxa"/>
            <w:vAlign w:val="center"/>
          </w:tcPr>
          <w:p w14:paraId="602A2742" w14:textId="77777777" w:rsidR="00B43854" w:rsidRPr="00013662" w:rsidRDefault="00B43854" w:rsidP="00D25018">
            <w:pPr>
              <w:autoSpaceDE w:val="0"/>
              <w:autoSpaceDN w:val="0"/>
              <w:adjustRightInd w:val="0"/>
              <w:spacing w:after="0" w:line="240" w:lineRule="auto"/>
              <w:jc w:val="right"/>
              <w:rPr>
                <w:rFonts w:eastAsiaTheme="minorHAnsi" w:cs="Calibri"/>
                <w:color w:val="C00000"/>
              </w:rPr>
            </w:pPr>
            <w:r w:rsidRPr="00013662">
              <w:rPr>
                <w:rFonts w:eastAsiaTheme="minorHAnsi" w:cs="Calibri"/>
                <w:b/>
                <w:bCs/>
                <w:color w:val="C00000"/>
              </w:rPr>
              <w:t xml:space="preserve">SE </w:t>
            </w:r>
          </w:p>
        </w:tc>
        <w:tc>
          <w:tcPr>
            <w:tcW w:w="1890" w:type="dxa"/>
            <w:vAlign w:val="center"/>
          </w:tcPr>
          <w:p w14:paraId="4C310969" w14:textId="77777777" w:rsidR="00B43854" w:rsidRPr="00013662" w:rsidRDefault="00B43854" w:rsidP="00D25018">
            <w:pPr>
              <w:autoSpaceDE w:val="0"/>
              <w:autoSpaceDN w:val="0"/>
              <w:adjustRightInd w:val="0"/>
              <w:spacing w:after="0" w:line="240" w:lineRule="auto"/>
              <w:jc w:val="right"/>
              <w:rPr>
                <w:rFonts w:eastAsiaTheme="minorHAnsi" w:cs="Calibri"/>
                <w:color w:val="C00000"/>
              </w:rPr>
            </w:pPr>
            <w:r w:rsidRPr="00013662">
              <w:rPr>
                <w:rFonts w:eastAsiaTheme="minorHAnsi" w:cs="Calibri"/>
                <w:b/>
                <w:bCs/>
                <w:i/>
                <w:iCs/>
                <w:color w:val="C00000"/>
              </w:rPr>
              <w:t xml:space="preserve">p </w:t>
            </w:r>
          </w:p>
        </w:tc>
      </w:tr>
      <w:tr w:rsidR="00FC6074" w:rsidRPr="00013662" w14:paraId="6CE181BC" w14:textId="77777777" w:rsidTr="007E4F84">
        <w:trPr>
          <w:trHeight w:val="114"/>
        </w:trPr>
        <w:tc>
          <w:tcPr>
            <w:tcW w:w="5575" w:type="dxa"/>
          </w:tcPr>
          <w:p w14:paraId="6EB29468" w14:textId="13CD416B"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Age Spline</w:t>
            </w:r>
            <w:r w:rsidRPr="00013662">
              <w:rPr>
                <w:rFonts w:eastAsiaTheme="minorHAnsi" w:cs="Calibri"/>
                <w:color w:val="C00000"/>
                <w:vertAlign w:val="superscript"/>
              </w:rPr>
              <w:t>*</w:t>
            </w:r>
            <w:r w:rsidRPr="00013662">
              <w:rPr>
                <w:rFonts w:eastAsiaTheme="minorHAnsi" w:cs="Calibri"/>
                <w:color w:val="C00000"/>
              </w:rPr>
              <w:t xml:space="preserve"> (0-13)</w:t>
            </w:r>
          </w:p>
        </w:tc>
        <w:tc>
          <w:tcPr>
            <w:tcW w:w="1620" w:type="dxa"/>
            <w:vAlign w:val="center"/>
          </w:tcPr>
          <w:p w14:paraId="53F457E2" w14:textId="445360E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260" w:type="dxa"/>
            <w:vAlign w:val="center"/>
          </w:tcPr>
          <w:p w14:paraId="5FDC6DEA" w14:textId="4DB9CFF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26718AAB" w14:textId="6C6B2FB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0.3639</w:t>
            </w:r>
          </w:p>
        </w:tc>
      </w:tr>
      <w:tr w:rsidR="00FC6074" w:rsidRPr="00013662" w14:paraId="5426867E" w14:textId="77777777" w:rsidTr="007E4F84">
        <w:trPr>
          <w:trHeight w:val="114"/>
        </w:trPr>
        <w:tc>
          <w:tcPr>
            <w:tcW w:w="5575" w:type="dxa"/>
          </w:tcPr>
          <w:p w14:paraId="223AEB4E" w14:textId="65424B6D"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Age Spline</w:t>
            </w:r>
            <w:r w:rsidRPr="00013662">
              <w:rPr>
                <w:rFonts w:eastAsiaTheme="minorHAnsi" w:cs="Calibri"/>
                <w:color w:val="C00000"/>
                <w:vertAlign w:val="superscript"/>
              </w:rPr>
              <w:t>*</w:t>
            </w:r>
            <w:r w:rsidRPr="00013662">
              <w:rPr>
                <w:rFonts w:eastAsiaTheme="minorHAnsi" w:cs="Calibri"/>
                <w:color w:val="C00000"/>
              </w:rPr>
              <w:t xml:space="preserve"> (14-59)</w:t>
            </w:r>
          </w:p>
        </w:tc>
        <w:tc>
          <w:tcPr>
            <w:tcW w:w="1620" w:type="dxa"/>
            <w:vAlign w:val="center"/>
          </w:tcPr>
          <w:p w14:paraId="4961D94A" w14:textId="3B54822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260" w:type="dxa"/>
            <w:vAlign w:val="center"/>
          </w:tcPr>
          <w:p w14:paraId="49D9D070" w14:textId="5C09FF6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1317CB" w:rsidRPr="00013662">
              <w:rPr>
                <w:rFonts w:ascii="Calibri" w:hAnsi="Calibri" w:cs="Calibri"/>
                <w:color w:val="C00000"/>
              </w:rPr>
              <w:t>.0008</w:t>
            </w:r>
          </w:p>
        </w:tc>
        <w:tc>
          <w:tcPr>
            <w:tcW w:w="1890" w:type="dxa"/>
            <w:vAlign w:val="center"/>
          </w:tcPr>
          <w:p w14:paraId="441E2963" w14:textId="208EBC0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08131497" w14:textId="77777777" w:rsidTr="007E4F84">
        <w:trPr>
          <w:trHeight w:val="114"/>
        </w:trPr>
        <w:tc>
          <w:tcPr>
            <w:tcW w:w="5575" w:type="dxa"/>
          </w:tcPr>
          <w:p w14:paraId="65026D35" w14:textId="234E39CF"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Age Spline</w:t>
            </w:r>
            <w:r w:rsidRPr="00013662">
              <w:rPr>
                <w:rFonts w:eastAsiaTheme="minorHAnsi" w:cs="Calibri"/>
                <w:color w:val="C00000"/>
                <w:vertAlign w:val="superscript"/>
              </w:rPr>
              <w:t>*</w:t>
            </w:r>
            <w:r w:rsidRPr="00013662">
              <w:rPr>
                <w:rFonts w:eastAsiaTheme="minorHAnsi" w:cs="Calibri"/>
                <w:color w:val="C00000"/>
              </w:rPr>
              <w:t xml:space="preserve"> (60+)</w:t>
            </w:r>
          </w:p>
        </w:tc>
        <w:tc>
          <w:tcPr>
            <w:tcW w:w="1620" w:type="dxa"/>
            <w:vAlign w:val="center"/>
          </w:tcPr>
          <w:p w14:paraId="29247780" w14:textId="55559D7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1317CB" w:rsidRPr="00013662">
              <w:rPr>
                <w:rFonts w:ascii="Calibri" w:hAnsi="Calibri" w:cs="Calibri"/>
                <w:color w:val="C00000"/>
              </w:rPr>
              <w:t>.0009</w:t>
            </w:r>
          </w:p>
        </w:tc>
        <w:tc>
          <w:tcPr>
            <w:tcW w:w="1260" w:type="dxa"/>
            <w:vAlign w:val="center"/>
          </w:tcPr>
          <w:p w14:paraId="77093CE4" w14:textId="7D1A57D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1317CB" w:rsidRPr="00013662">
              <w:rPr>
                <w:rFonts w:ascii="Calibri" w:hAnsi="Calibri" w:cs="Calibri"/>
                <w:color w:val="C00000"/>
              </w:rPr>
              <w:t>.0007</w:t>
            </w:r>
          </w:p>
        </w:tc>
        <w:tc>
          <w:tcPr>
            <w:tcW w:w="1890" w:type="dxa"/>
            <w:vAlign w:val="center"/>
          </w:tcPr>
          <w:p w14:paraId="3871FD66" w14:textId="2189D26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0.2038</w:t>
            </w:r>
          </w:p>
        </w:tc>
      </w:tr>
      <w:tr w:rsidR="00FC6074" w:rsidRPr="00013662" w14:paraId="5CB67527" w14:textId="77777777" w:rsidTr="007E4F84">
        <w:trPr>
          <w:trHeight w:val="114"/>
        </w:trPr>
        <w:tc>
          <w:tcPr>
            <w:tcW w:w="5575" w:type="dxa"/>
          </w:tcPr>
          <w:p w14:paraId="5F0992DC" w14:textId="617D43D9"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Cause of ESRD: Diabetes</w:t>
            </w:r>
          </w:p>
        </w:tc>
        <w:tc>
          <w:tcPr>
            <w:tcW w:w="1620" w:type="dxa"/>
            <w:vAlign w:val="center"/>
          </w:tcPr>
          <w:p w14:paraId="0D53EFFF" w14:textId="1DA0D0F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-0.04</w:t>
            </w:r>
          </w:p>
        </w:tc>
        <w:tc>
          <w:tcPr>
            <w:tcW w:w="1260" w:type="dxa"/>
            <w:vAlign w:val="center"/>
          </w:tcPr>
          <w:p w14:paraId="682AB697" w14:textId="3D7CAA1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9ABBE75" w14:textId="7295BD1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0.0083</w:t>
            </w:r>
          </w:p>
        </w:tc>
      </w:tr>
      <w:tr w:rsidR="00FC6074" w:rsidRPr="00013662" w14:paraId="46F9DFA0" w14:textId="77777777" w:rsidTr="007E4F84">
        <w:trPr>
          <w:trHeight w:val="114"/>
        </w:trPr>
        <w:tc>
          <w:tcPr>
            <w:tcW w:w="5575" w:type="dxa"/>
          </w:tcPr>
          <w:p w14:paraId="5EB95386" w14:textId="6788E386" w:rsidR="001D7B5A" w:rsidRPr="00013662" w:rsidRDefault="001D7B5A" w:rsidP="001D7B5A">
            <w:pPr>
              <w:autoSpaceDE w:val="0"/>
              <w:autoSpaceDN w:val="0"/>
              <w:adjustRightInd w:val="0"/>
              <w:spacing w:after="0" w:line="240" w:lineRule="auto"/>
              <w:rPr>
                <w:rFonts w:eastAsiaTheme="minorHAnsi" w:cs="Calibri"/>
                <w:color w:val="C00000"/>
              </w:rPr>
            </w:pPr>
            <w:proofErr w:type="spellStart"/>
            <w:r w:rsidRPr="00013662">
              <w:rPr>
                <w:rFonts w:eastAsiaTheme="minorHAnsi" w:cs="Calibri"/>
                <w:color w:val="C00000"/>
              </w:rPr>
              <w:t>Diabetes</w:t>
            </w:r>
            <w:r w:rsidRPr="00013662">
              <w:rPr>
                <w:rFonts w:eastAsiaTheme="minorHAnsi" w:cstheme="minorHAnsi"/>
                <w:color w:val="C00000"/>
                <w:vertAlign w:val="superscript"/>
              </w:rPr>
              <w:t>ŧ</w:t>
            </w:r>
            <w:proofErr w:type="spellEnd"/>
            <w:r w:rsidRPr="00013662">
              <w:rPr>
                <w:rFonts w:eastAsiaTheme="minorHAnsi" w:cs="Calibri"/>
                <w:color w:val="C00000"/>
              </w:rPr>
              <w:t xml:space="preserve"> </w:t>
            </w:r>
            <w:r w:rsidRPr="00013662">
              <w:rPr>
                <w:rFonts w:eastAsiaTheme="minorHAnsi" w:cstheme="minorHAnsi"/>
                <w:color w:val="C00000"/>
              </w:rPr>
              <w:t>×</w:t>
            </w:r>
            <w:r w:rsidRPr="00013662">
              <w:rPr>
                <w:rFonts w:eastAsiaTheme="minorHAnsi" w:cs="Calibri"/>
                <w:color w:val="C00000"/>
              </w:rPr>
              <w:t xml:space="preserve"> Age Spline</w:t>
            </w:r>
            <w:r w:rsidRPr="00013662">
              <w:rPr>
                <w:rFonts w:eastAsiaTheme="minorHAnsi" w:cs="Calibri"/>
                <w:color w:val="C00000"/>
                <w:vertAlign w:val="superscript"/>
              </w:rPr>
              <w:t>*</w:t>
            </w:r>
            <w:r w:rsidRPr="00013662">
              <w:rPr>
                <w:rFonts w:eastAsiaTheme="minorHAnsi" w:cs="Calibri"/>
                <w:color w:val="C00000"/>
              </w:rPr>
              <w:t xml:space="preserve"> (14-59)</w:t>
            </w:r>
          </w:p>
        </w:tc>
        <w:tc>
          <w:tcPr>
            <w:tcW w:w="1620" w:type="dxa"/>
            <w:vAlign w:val="center"/>
          </w:tcPr>
          <w:p w14:paraId="06C62D46" w14:textId="2931411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C965B9" w:rsidRPr="00423A4F">
              <w:rPr>
                <w:rFonts w:ascii="Calibri" w:hAnsi="Calibri" w:cs="Calibri"/>
                <w:color w:val="C00000"/>
              </w:rPr>
              <w:t>-0.003</w:t>
            </w:r>
          </w:p>
        </w:tc>
        <w:tc>
          <w:tcPr>
            <w:tcW w:w="1260" w:type="dxa"/>
            <w:vAlign w:val="center"/>
          </w:tcPr>
          <w:p w14:paraId="7BC397FD" w14:textId="2C543AD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C965B9" w:rsidRPr="00423A4F">
              <w:rPr>
                <w:rFonts w:ascii="Calibri" w:hAnsi="Calibri" w:cs="Calibri"/>
                <w:color w:val="C00000"/>
              </w:rPr>
              <w:t>.001</w:t>
            </w:r>
          </w:p>
        </w:tc>
        <w:tc>
          <w:tcPr>
            <w:tcW w:w="1890" w:type="dxa"/>
            <w:vAlign w:val="center"/>
          </w:tcPr>
          <w:p w14:paraId="19AAC2A4" w14:textId="108AFEE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0.0268</w:t>
            </w:r>
          </w:p>
        </w:tc>
      </w:tr>
      <w:tr w:rsidR="00FC6074" w:rsidRPr="00013662" w14:paraId="131F19B1" w14:textId="77777777" w:rsidTr="007E4F84">
        <w:trPr>
          <w:trHeight w:val="114"/>
        </w:trPr>
        <w:tc>
          <w:tcPr>
            <w:tcW w:w="5575" w:type="dxa"/>
          </w:tcPr>
          <w:p w14:paraId="7B04D2FD" w14:textId="365F41B9" w:rsidR="001D7B5A" w:rsidRPr="00013662" w:rsidRDefault="001D7B5A" w:rsidP="001D7B5A">
            <w:pPr>
              <w:autoSpaceDE w:val="0"/>
              <w:autoSpaceDN w:val="0"/>
              <w:adjustRightInd w:val="0"/>
              <w:spacing w:after="0" w:line="240" w:lineRule="auto"/>
              <w:rPr>
                <w:rFonts w:eastAsiaTheme="minorHAnsi" w:cs="Calibri"/>
                <w:color w:val="C00000"/>
              </w:rPr>
            </w:pPr>
            <w:proofErr w:type="spellStart"/>
            <w:r w:rsidRPr="00013662">
              <w:rPr>
                <w:rFonts w:eastAsiaTheme="minorHAnsi" w:cs="Calibri"/>
                <w:color w:val="C00000"/>
              </w:rPr>
              <w:t>Diabetes</w:t>
            </w:r>
            <w:r w:rsidRPr="00013662">
              <w:rPr>
                <w:rFonts w:eastAsiaTheme="minorHAnsi" w:cstheme="minorHAnsi"/>
                <w:color w:val="C00000"/>
                <w:vertAlign w:val="superscript"/>
              </w:rPr>
              <w:t>ŧ</w:t>
            </w:r>
            <w:proofErr w:type="spellEnd"/>
            <w:r w:rsidRPr="00013662">
              <w:rPr>
                <w:rFonts w:eastAsiaTheme="minorHAnsi" w:cs="Calibri"/>
                <w:color w:val="C00000"/>
              </w:rPr>
              <w:t xml:space="preserve"> </w:t>
            </w:r>
            <w:r w:rsidRPr="00013662">
              <w:rPr>
                <w:rFonts w:eastAsiaTheme="minorHAnsi" w:cstheme="minorHAnsi"/>
                <w:color w:val="C00000"/>
              </w:rPr>
              <w:t>×</w:t>
            </w:r>
            <w:r w:rsidRPr="00013662">
              <w:rPr>
                <w:rFonts w:eastAsiaTheme="minorHAnsi" w:cs="Calibri"/>
                <w:color w:val="C00000"/>
              </w:rPr>
              <w:t xml:space="preserve"> Age Spline</w:t>
            </w:r>
            <w:r w:rsidRPr="00013662">
              <w:rPr>
                <w:rFonts w:eastAsiaTheme="minorHAnsi" w:cs="Calibri"/>
                <w:color w:val="C00000"/>
                <w:vertAlign w:val="superscript"/>
              </w:rPr>
              <w:t>*</w:t>
            </w:r>
            <w:r w:rsidRPr="00013662">
              <w:rPr>
                <w:rFonts w:eastAsiaTheme="minorHAnsi" w:cs="Calibri"/>
                <w:color w:val="C00000"/>
              </w:rPr>
              <w:t xml:space="preserve"> (60)</w:t>
            </w:r>
          </w:p>
        </w:tc>
        <w:tc>
          <w:tcPr>
            <w:tcW w:w="1620" w:type="dxa"/>
            <w:vAlign w:val="center"/>
          </w:tcPr>
          <w:p w14:paraId="031F3A43" w14:textId="6581864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C965B9" w:rsidRPr="00423A4F">
              <w:rPr>
                <w:rFonts w:ascii="Calibri" w:hAnsi="Calibri" w:cs="Calibri"/>
                <w:color w:val="C00000"/>
              </w:rPr>
              <w:t>.002</w:t>
            </w:r>
          </w:p>
        </w:tc>
        <w:tc>
          <w:tcPr>
            <w:tcW w:w="1260" w:type="dxa"/>
            <w:vAlign w:val="center"/>
          </w:tcPr>
          <w:p w14:paraId="600AC3AD" w14:textId="70241C6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w:t>
            </w:r>
            <w:r w:rsidR="00C965B9" w:rsidRPr="00423A4F">
              <w:rPr>
                <w:rFonts w:ascii="Calibri" w:hAnsi="Calibri" w:cs="Calibri"/>
                <w:color w:val="C00000"/>
              </w:rPr>
              <w:t>.001</w:t>
            </w:r>
          </w:p>
        </w:tc>
        <w:tc>
          <w:tcPr>
            <w:tcW w:w="1890" w:type="dxa"/>
            <w:vAlign w:val="center"/>
          </w:tcPr>
          <w:p w14:paraId="1801AB8E" w14:textId="63DD97E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0.0447</w:t>
            </w:r>
          </w:p>
        </w:tc>
      </w:tr>
      <w:tr w:rsidR="00FC6074" w:rsidRPr="00013662" w14:paraId="452B8749" w14:textId="77777777" w:rsidTr="007E4F84">
        <w:trPr>
          <w:trHeight w:val="114"/>
        </w:trPr>
        <w:tc>
          <w:tcPr>
            <w:tcW w:w="5575" w:type="dxa"/>
          </w:tcPr>
          <w:p w14:paraId="2B294A22" w14:textId="43F5C564"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Sex: Female</w:t>
            </w:r>
          </w:p>
        </w:tc>
        <w:tc>
          <w:tcPr>
            <w:tcW w:w="1620" w:type="dxa"/>
            <w:vAlign w:val="center"/>
          </w:tcPr>
          <w:p w14:paraId="6A0DC1FB" w14:textId="46A253F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2CD7ACE6" w14:textId="5C7CCF6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910D0EA" w14:textId="3B2D68A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FA16E5E" w14:textId="77777777" w:rsidTr="007E4F84">
        <w:trPr>
          <w:trHeight w:val="114"/>
        </w:trPr>
        <w:tc>
          <w:tcPr>
            <w:tcW w:w="5575" w:type="dxa"/>
          </w:tcPr>
          <w:p w14:paraId="31F1D309" w14:textId="22E7D19F"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Presence of high-risk diagnosis at index discharge</w:t>
            </w:r>
            <w:r w:rsidR="00A94A9A" w:rsidRPr="00013662">
              <w:rPr>
                <w:rFonts w:eastAsiaTheme="minorHAnsi" w:cs="Calibri"/>
                <w:color w:val="C00000"/>
              </w:rPr>
              <w:t>**</w:t>
            </w:r>
          </w:p>
        </w:tc>
        <w:tc>
          <w:tcPr>
            <w:tcW w:w="1620" w:type="dxa"/>
            <w:vAlign w:val="center"/>
          </w:tcPr>
          <w:p w14:paraId="2539E01B" w14:textId="297023C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0.49</w:t>
            </w:r>
          </w:p>
        </w:tc>
        <w:tc>
          <w:tcPr>
            <w:tcW w:w="1260" w:type="dxa"/>
            <w:vAlign w:val="center"/>
          </w:tcPr>
          <w:p w14:paraId="38572B80" w14:textId="4E18E3E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0.03</w:t>
            </w:r>
          </w:p>
        </w:tc>
        <w:tc>
          <w:tcPr>
            <w:tcW w:w="1890" w:type="dxa"/>
            <w:vAlign w:val="center"/>
          </w:tcPr>
          <w:p w14:paraId="032C901E" w14:textId="2BEBFC9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1D7B5A" w:rsidRPr="00013662" w14:paraId="4B147072" w14:textId="77777777" w:rsidTr="007E4F84">
        <w:trPr>
          <w:trHeight w:val="114"/>
        </w:trPr>
        <w:tc>
          <w:tcPr>
            <w:tcW w:w="10345" w:type="dxa"/>
            <w:gridSpan w:val="4"/>
          </w:tcPr>
          <w:p w14:paraId="4F13F114" w14:textId="1EF8C2F8"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b/>
                <w:bCs/>
                <w:color w:val="C00000"/>
              </w:rPr>
              <w:t xml:space="preserve">Time on ESRD (y) </w:t>
            </w:r>
          </w:p>
        </w:tc>
      </w:tr>
      <w:tr w:rsidR="00FC6074" w:rsidRPr="00013662" w14:paraId="22BA20E8" w14:textId="77777777" w:rsidTr="007E4F84">
        <w:trPr>
          <w:trHeight w:val="114"/>
        </w:trPr>
        <w:tc>
          <w:tcPr>
            <w:tcW w:w="5575" w:type="dxa"/>
          </w:tcPr>
          <w:p w14:paraId="6A2A99A2" w14:textId="1C7DEC59"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&lt;1 (ref) </w:t>
            </w:r>
          </w:p>
        </w:tc>
        <w:tc>
          <w:tcPr>
            <w:tcW w:w="1620" w:type="dxa"/>
            <w:vAlign w:val="center"/>
          </w:tcPr>
          <w:p w14:paraId="7F54BBFB" w14:textId="3CA3D5C4" w:rsidR="001D7B5A" w:rsidRPr="00013662" w:rsidRDefault="001D7B5A" w:rsidP="00787F65">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260" w:type="dxa"/>
            <w:vAlign w:val="center"/>
          </w:tcPr>
          <w:p w14:paraId="70BC8E1B" w14:textId="3973AD08" w:rsidR="001D7B5A" w:rsidRPr="00013662" w:rsidRDefault="001D7B5A" w:rsidP="008524AC">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890" w:type="dxa"/>
            <w:vAlign w:val="center"/>
          </w:tcPr>
          <w:p w14:paraId="0CA4A0D1" w14:textId="1955B08C" w:rsidR="001D7B5A" w:rsidRPr="00013662" w:rsidRDefault="001D7B5A">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r>
      <w:tr w:rsidR="00FC6074" w:rsidRPr="00013662" w14:paraId="52328AF9" w14:textId="77777777" w:rsidTr="007E4F84">
        <w:trPr>
          <w:trHeight w:val="114"/>
        </w:trPr>
        <w:tc>
          <w:tcPr>
            <w:tcW w:w="5575" w:type="dxa"/>
          </w:tcPr>
          <w:p w14:paraId="598D39D9" w14:textId="6D7DD99E"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1–2 </w:t>
            </w:r>
          </w:p>
        </w:tc>
        <w:tc>
          <w:tcPr>
            <w:tcW w:w="1620" w:type="dxa"/>
            <w:vAlign w:val="center"/>
          </w:tcPr>
          <w:p w14:paraId="19F1244F" w14:textId="10127F4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0.14</w:t>
            </w:r>
          </w:p>
        </w:tc>
        <w:tc>
          <w:tcPr>
            <w:tcW w:w="1260" w:type="dxa"/>
            <w:vAlign w:val="center"/>
          </w:tcPr>
          <w:p w14:paraId="530AA272" w14:textId="30AAA56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A06CEA6" w14:textId="1D97767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29C8AB6" w14:textId="77777777" w:rsidTr="007E4F84">
        <w:trPr>
          <w:trHeight w:val="114"/>
        </w:trPr>
        <w:tc>
          <w:tcPr>
            <w:tcW w:w="5575" w:type="dxa"/>
          </w:tcPr>
          <w:p w14:paraId="780A5609" w14:textId="21E43065"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2–3 </w:t>
            </w:r>
          </w:p>
        </w:tc>
        <w:tc>
          <w:tcPr>
            <w:tcW w:w="1620" w:type="dxa"/>
            <w:vAlign w:val="center"/>
          </w:tcPr>
          <w:p w14:paraId="3F938078" w14:textId="4A214D0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0.14</w:t>
            </w:r>
          </w:p>
        </w:tc>
        <w:tc>
          <w:tcPr>
            <w:tcW w:w="1260" w:type="dxa"/>
            <w:vAlign w:val="center"/>
          </w:tcPr>
          <w:p w14:paraId="18B45656" w14:textId="7A96256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960D371" w14:textId="6D25719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89DD559" w14:textId="77777777" w:rsidTr="007E4F84">
        <w:trPr>
          <w:trHeight w:val="114"/>
        </w:trPr>
        <w:tc>
          <w:tcPr>
            <w:tcW w:w="5575" w:type="dxa"/>
          </w:tcPr>
          <w:p w14:paraId="7A826133" w14:textId="4D6A2AB2"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3–6 </w:t>
            </w:r>
          </w:p>
        </w:tc>
        <w:tc>
          <w:tcPr>
            <w:tcW w:w="1620" w:type="dxa"/>
            <w:vAlign w:val="center"/>
          </w:tcPr>
          <w:p w14:paraId="76D7CFBE" w14:textId="7CF4D3F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0.12</w:t>
            </w:r>
          </w:p>
        </w:tc>
        <w:tc>
          <w:tcPr>
            <w:tcW w:w="1260" w:type="dxa"/>
            <w:vAlign w:val="center"/>
          </w:tcPr>
          <w:p w14:paraId="5049B3B8" w14:textId="57749AB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368071E3" w14:textId="2F61808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3A1D0D4" w14:textId="77777777" w:rsidTr="007E4F84">
        <w:trPr>
          <w:trHeight w:val="114"/>
        </w:trPr>
        <w:tc>
          <w:tcPr>
            <w:tcW w:w="5575" w:type="dxa"/>
          </w:tcPr>
          <w:p w14:paraId="5A0EA6E6" w14:textId="6DDF085C"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&gt;6 </w:t>
            </w:r>
          </w:p>
        </w:tc>
        <w:tc>
          <w:tcPr>
            <w:tcW w:w="1620" w:type="dxa"/>
            <w:vAlign w:val="center"/>
          </w:tcPr>
          <w:p w14:paraId="7F25B139" w14:textId="20509D5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640CD895" w14:textId="4FB01BD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BDDB627" w14:textId="32290B2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1D7B5A" w:rsidRPr="00013662" w14:paraId="7EF6E53D" w14:textId="77777777" w:rsidTr="007E4F84">
        <w:trPr>
          <w:trHeight w:val="114"/>
        </w:trPr>
        <w:tc>
          <w:tcPr>
            <w:tcW w:w="10345" w:type="dxa"/>
            <w:gridSpan w:val="4"/>
          </w:tcPr>
          <w:p w14:paraId="51D54CFA" w14:textId="7968B552"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b/>
                <w:bCs/>
                <w:color w:val="C00000"/>
              </w:rPr>
              <w:t xml:space="preserve">BMI </w:t>
            </w:r>
          </w:p>
        </w:tc>
      </w:tr>
      <w:tr w:rsidR="00FD3442" w:rsidRPr="00013662" w14:paraId="055F9A01" w14:textId="77777777" w:rsidTr="007E4F84">
        <w:trPr>
          <w:trHeight w:val="114"/>
        </w:trPr>
        <w:tc>
          <w:tcPr>
            <w:tcW w:w="5575" w:type="dxa"/>
          </w:tcPr>
          <w:p w14:paraId="60C54DDE" w14:textId="7257DD74" w:rsidR="00FD3442" w:rsidRPr="00013662" w:rsidRDefault="00FD3442" w:rsidP="00FD3442">
            <w:pPr>
              <w:autoSpaceDE w:val="0"/>
              <w:autoSpaceDN w:val="0"/>
              <w:adjustRightInd w:val="0"/>
              <w:spacing w:after="0" w:line="240" w:lineRule="auto"/>
              <w:rPr>
                <w:rFonts w:eastAsiaTheme="minorHAnsi" w:cs="Calibri"/>
                <w:color w:val="C00000"/>
              </w:rPr>
            </w:pPr>
            <w:r w:rsidRPr="00013662">
              <w:rPr>
                <w:rFonts w:cstheme="minorHAnsi"/>
                <w:bCs/>
                <w:color w:val="C00000"/>
              </w:rPr>
              <w:t>&lt; 18.5)</w:t>
            </w:r>
          </w:p>
        </w:tc>
        <w:tc>
          <w:tcPr>
            <w:tcW w:w="1620" w:type="dxa"/>
            <w:vAlign w:val="center"/>
          </w:tcPr>
          <w:p w14:paraId="0C492F78" w14:textId="61C9F13D"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0.03</w:t>
            </w:r>
          </w:p>
        </w:tc>
        <w:tc>
          <w:tcPr>
            <w:tcW w:w="1260" w:type="dxa"/>
            <w:vAlign w:val="center"/>
          </w:tcPr>
          <w:p w14:paraId="6EAEBEB2" w14:textId="1B38A0BB"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40D6A408" w14:textId="667AEB2A"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0.1554</w:t>
            </w:r>
          </w:p>
        </w:tc>
      </w:tr>
      <w:tr w:rsidR="00FD3442" w:rsidRPr="00013662" w14:paraId="5DCE8453" w14:textId="77777777" w:rsidTr="007E4F84">
        <w:trPr>
          <w:trHeight w:val="114"/>
        </w:trPr>
        <w:tc>
          <w:tcPr>
            <w:tcW w:w="5575" w:type="dxa"/>
          </w:tcPr>
          <w:p w14:paraId="3FA3DCB3" w14:textId="2FD79B16" w:rsidR="00FD3442" w:rsidRPr="00013662" w:rsidRDefault="00FD3442" w:rsidP="00FD3442">
            <w:pPr>
              <w:autoSpaceDE w:val="0"/>
              <w:autoSpaceDN w:val="0"/>
              <w:adjustRightInd w:val="0"/>
              <w:spacing w:after="0" w:line="240" w:lineRule="auto"/>
              <w:rPr>
                <w:rFonts w:eastAsiaTheme="minorHAnsi" w:cs="Calibri"/>
                <w:color w:val="C00000"/>
              </w:rPr>
            </w:pPr>
            <w:r w:rsidRPr="00013662">
              <w:rPr>
                <w:rFonts w:cstheme="minorHAnsi"/>
                <w:bCs/>
                <w:color w:val="C00000"/>
              </w:rPr>
              <w:t>18.5 - 24.9</w:t>
            </w:r>
            <w:r w:rsidRPr="00013662">
              <w:rPr>
                <w:rFonts w:eastAsiaTheme="minorHAnsi" w:cs="Calibri"/>
                <w:color w:val="C00000"/>
              </w:rPr>
              <w:t>(ref)</w:t>
            </w:r>
          </w:p>
        </w:tc>
        <w:tc>
          <w:tcPr>
            <w:tcW w:w="1620" w:type="dxa"/>
            <w:vAlign w:val="center"/>
          </w:tcPr>
          <w:p w14:paraId="0C568BAF" w14:textId="14A06EE0"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260" w:type="dxa"/>
            <w:vAlign w:val="center"/>
          </w:tcPr>
          <w:p w14:paraId="6F396514" w14:textId="103A781C"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890" w:type="dxa"/>
            <w:vAlign w:val="center"/>
          </w:tcPr>
          <w:p w14:paraId="07E7AC6D" w14:textId="633FD58B"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r>
      <w:tr w:rsidR="00FD3442" w:rsidRPr="00013662" w14:paraId="51327E9B" w14:textId="77777777" w:rsidTr="007E4F84">
        <w:trPr>
          <w:trHeight w:val="114"/>
        </w:trPr>
        <w:tc>
          <w:tcPr>
            <w:tcW w:w="5575" w:type="dxa"/>
          </w:tcPr>
          <w:p w14:paraId="56B73CDE" w14:textId="7D655CDA" w:rsidR="00FD3442" w:rsidRPr="00013662" w:rsidRDefault="00FD3442" w:rsidP="00FD3442">
            <w:pPr>
              <w:autoSpaceDE w:val="0"/>
              <w:autoSpaceDN w:val="0"/>
              <w:adjustRightInd w:val="0"/>
              <w:spacing w:after="0" w:line="240" w:lineRule="auto"/>
              <w:rPr>
                <w:rFonts w:eastAsiaTheme="minorHAnsi" w:cs="Calibri"/>
                <w:color w:val="C00000"/>
              </w:rPr>
            </w:pPr>
            <w:r w:rsidRPr="00013662">
              <w:rPr>
                <w:rFonts w:cstheme="minorHAnsi"/>
                <w:bCs/>
                <w:color w:val="C00000"/>
              </w:rPr>
              <w:t>25-29.9</w:t>
            </w:r>
          </w:p>
        </w:tc>
        <w:tc>
          <w:tcPr>
            <w:tcW w:w="1620" w:type="dxa"/>
            <w:vAlign w:val="center"/>
          </w:tcPr>
          <w:p w14:paraId="4EA6ECE2" w14:textId="39EA02B8"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74DA8AF1" w14:textId="617729D4"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F112E84" w14:textId="338C93D1"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D3442" w:rsidRPr="00013662" w14:paraId="3DF688D8" w14:textId="77777777" w:rsidTr="007E4F84">
        <w:trPr>
          <w:trHeight w:val="114"/>
        </w:trPr>
        <w:tc>
          <w:tcPr>
            <w:tcW w:w="5575" w:type="dxa"/>
          </w:tcPr>
          <w:p w14:paraId="192FD581" w14:textId="34A80A70" w:rsidR="00FD3442" w:rsidRPr="00013662" w:rsidRDefault="00FD3442" w:rsidP="00FD3442">
            <w:pPr>
              <w:autoSpaceDE w:val="0"/>
              <w:autoSpaceDN w:val="0"/>
              <w:adjustRightInd w:val="0"/>
              <w:spacing w:after="0" w:line="240" w:lineRule="auto"/>
              <w:rPr>
                <w:rFonts w:eastAsiaTheme="minorHAnsi" w:cs="Calibri"/>
                <w:color w:val="C00000"/>
              </w:rPr>
            </w:pPr>
            <w:r w:rsidRPr="00013662">
              <w:rPr>
                <w:rFonts w:cstheme="minorHAnsi"/>
                <w:bCs/>
                <w:color w:val="C00000"/>
              </w:rPr>
              <w:t>30+</w:t>
            </w:r>
          </w:p>
        </w:tc>
        <w:tc>
          <w:tcPr>
            <w:tcW w:w="1620" w:type="dxa"/>
            <w:vAlign w:val="center"/>
          </w:tcPr>
          <w:p w14:paraId="5B1E7D7E" w14:textId="4EEEA211"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3BC13D7D" w14:textId="33CC432A"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F60C1C4" w14:textId="3E3965B2" w:rsidR="00FD3442" w:rsidRPr="00013662" w:rsidRDefault="00FD3442" w:rsidP="00FD3442">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1D7B5A" w:rsidRPr="00013662" w14:paraId="51788C40" w14:textId="77777777" w:rsidTr="007E4F84">
        <w:trPr>
          <w:trHeight w:val="114"/>
        </w:trPr>
        <w:tc>
          <w:tcPr>
            <w:tcW w:w="10345" w:type="dxa"/>
            <w:gridSpan w:val="4"/>
          </w:tcPr>
          <w:p w14:paraId="35EC9E10" w14:textId="68FEC431"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b/>
                <w:bCs/>
                <w:color w:val="C00000"/>
              </w:rPr>
              <w:t xml:space="preserve">Length of Index Hospitalization (days) </w:t>
            </w:r>
          </w:p>
        </w:tc>
      </w:tr>
      <w:tr w:rsidR="00FC6074" w:rsidRPr="00013662" w14:paraId="02CB5B55" w14:textId="77777777" w:rsidTr="007E4F84">
        <w:trPr>
          <w:trHeight w:val="114"/>
        </w:trPr>
        <w:tc>
          <w:tcPr>
            <w:tcW w:w="5575" w:type="dxa"/>
          </w:tcPr>
          <w:p w14:paraId="18A9552F" w14:textId="37F522C7"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Quartile 1 (ref) </w:t>
            </w:r>
          </w:p>
        </w:tc>
        <w:tc>
          <w:tcPr>
            <w:tcW w:w="1620" w:type="dxa"/>
            <w:vAlign w:val="center"/>
          </w:tcPr>
          <w:p w14:paraId="3335AF10" w14:textId="18050882" w:rsidR="001D7B5A" w:rsidRPr="00013662" w:rsidRDefault="001D7B5A" w:rsidP="00787F65">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260" w:type="dxa"/>
            <w:vAlign w:val="center"/>
          </w:tcPr>
          <w:p w14:paraId="2D89BB20" w14:textId="48178299" w:rsidR="001D7B5A" w:rsidRPr="00013662" w:rsidRDefault="001D7B5A" w:rsidP="008524AC">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890" w:type="dxa"/>
            <w:vAlign w:val="center"/>
          </w:tcPr>
          <w:p w14:paraId="17DC8AF3" w14:textId="37E1F741" w:rsidR="001D7B5A" w:rsidRPr="00013662" w:rsidRDefault="001D7B5A">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r>
      <w:tr w:rsidR="00FC6074" w:rsidRPr="00013662" w14:paraId="5DF9C08E" w14:textId="77777777" w:rsidTr="007E4F84">
        <w:trPr>
          <w:trHeight w:val="114"/>
        </w:trPr>
        <w:tc>
          <w:tcPr>
            <w:tcW w:w="5575" w:type="dxa"/>
          </w:tcPr>
          <w:p w14:paraId="4E7B7131" w14:textId="49C23AF8"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Quartile 2 </w:t>
            </w:r>
          </w:p>
        </w:tc>
        <w:tc>
          <w:tcPr>
            <w:tcW w:w="1620" w:type="dxa"/>
            <w:vAlign w:val="center"/>
          </w:tcPr>
          <w:p w14:paraId="70B2502C" w14:textId="3B5D078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03BAA3FF" w14:textId="7AF75C5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2A32126E" w14:textId="7E9DCD8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9D095AD" w14:textId="77777777" w:rsidTr="007E4F84">
        <w:trPr>
          <w:trHeight w:val="114"/>
        </w:trPr>
        <w:tc>
          <w:tcPr>
            <w:tcW w:w="5575" w:type="dxa"/>
          </w:tcPr>
          <w:p w14:paraId="515CE313" w14:textId="2FE7B8EB"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Quartile 3 </w:t>
            </w:r>
          </w:p>
        </w:tc>
        <w:tc>
          <w:tcPr>
            <w:tcW w:w="1620" w:type="dxa"/>
            <w:vAlign w:val="center"/>
          </w:tcPr>
          <w:p w14:paraId="7380216C" w14:textId="67ADE2F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0.13</w:t>
            </w:r>
          </w:p>
        </w:tc>
        <w:tc>
          <w:tcPr>
            <w:tcW w:w="1260" w:type="dxa"/>
            <w:vAlign w:val="center"/>
          </w:tcPr>
          <w:p w14:paraId="158F1E0E" w14:textId="14E9F90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2E80AF44" w14:textId="6F03315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4B87184" w14:textId="77777777" w:rsidTr="007E4F84">
        <w:trPr>
          <w:trHeight w:val="114"/>
        </w:trPr>
        <w:tc>
          <w:tcPr>
            <w:tcW w:w="5575" w:type="dxa"/>
          </w:tcPr>
          <w:p w14:paraId="720ADCBF" w14:textId="69BE9A3B"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 xml:space="preserve">Quartile 4 </w:t>
            </w:r>
          </w:p>
        </w:tc>
        <w:tc>
          <w:tcPr>
            <w:tcW w:w="1620" w:type="dxa"/>
            <w:vAlign w:val="center"/>
          </w:tcPr>
          <w:p w14:paraId="25C36F7E" w14:textId="502FB2A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0.27</w:t>
            </w:r>
          </w:p>
        </w:tc>
        <w:tc>
          <w:tcPr>
            <w:tcW w:w="1260" w:type="dxa"/>
            <w:vAlign w:val="center"/>
          </w:tcPr>
          <w:p w14:paraId="55990206" w14:textId="50E4CB9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9EF846E" w14:textId="7463386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C375834" w14:textId="77777777" w:rsidTr="007E4F84">
        <w:trPr>
          <w:trHeight w:val="114"/>
        </w:trPr>
        <w:tc>
          <w:tcPr>
            <w:tcW w:w="5575" w:type="dxa"/>
          </w:tcPr>
          <w:p w14:paraId="52E78A9A" w14:textId="2C763B91"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Medicare Advantage</w:t>
            </w:r>
          </w:p>
        </w:tc>
        <w:tc>
          <w:tcPr>
            <w:tcW w:w="1620" w:type="dxa"/>
            <w:vAlign w:val="center"/>
          </w:tcPr>
          <w:p w14:paraId="17BD11E3" w14:textId="4ED7F88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4B63E012" w14:textId="4E6523A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197EBA1" w14:textId="1914F59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2BFE48B" w14:textId="77777777" w:rsidTr="007E4F84">
        <w:trPr>
          <w:trHeight w:val="114"/>
        </w:trPr>
        <w:tc>
          <w:tcPr>
            <w:tcW w:w="5575" w:type="dxa"/>
          </w:tcPr>
          <w:p w14:paraId="023F9F22" w14:textId="2C3D9E39" w:rsidR="001D7B5A" w:rsidRPr="00013662" w:rsidRDefault="001D7B5A" w:rsidP="001D7B5A">
            <w:pPr>
              <w:autoSpaceDE w:val="0"/>
              <w:autoSpaceDN w:val="0"/>
              <w:adjustRightInd w:val="0"/>
              <w:spacing w:after="0" w:line="240" w:lineRule="auto"/>
              <w:rPr>
                <w:rFonts w:eastAsiaTheme="minorHAnsi" w:cs="Calibri"/>
                <w:b/>
                <w:color w:val="C00000"/>
              </w:rPr>
            </w:pPr>
            <w:r w:rsidRPr="00013662">
              <w:rPr>
                <w:rFonts w:eastAsiaTheme="minorHAnsi" w:cs="Calibri"/>
                <w:b/>
                <w:color w:val="C00000"/>
              </w:rPr>
              <w:t>Nursing Home Status (past year)</w:t>
            </w:r>
          </w:p>
        </w:tc>
        <w:tc>
          <w:tcPr>
            <w:tcW w:w="1620" w:type="dxa"/>
            <w:vAlign w:val="center"/>
          </w:tcPr>
          <w:p w14:paraId="5DC87F77" w14:textId="77777777" w:rsidR="001D7B5A" w:rsidRPr="00013662" w:rsidRDefault="001D7B5A" w:rsidP="001D7B5A">
            <w:pPr>
              <w:autoSpaceDE w:val="0"/>
              <w:autoSpaceDN w:val="0"/>
              <w:adjustRightInd w:val="0"/>
              <w:spacing w:after="0" w:line="240" w:lineRule="auto"/>
              <w:rPr>
                <w:rFonts w:eastAsiaTheme="minorHAnsi" w:cs="Calibri"/>
                <w:color w:val="C00000"/>
              </w:rPr>
            </w:pPr>
          </w:p>
        </w:tc>
        <w:tc>
          <w:tcPr>
            <w:tcW w:w="1260" w:type="dxa"/>
            <w:vAlign w:val="center"/>
          </w:tcPr>
          <w:p w14:paraId="6FCEE733" w14:textId="77777777" w:rsidR="001D7B5A" w:rsidRPr="00013662" w:rsidRDefault="001D7B5A" w:rsidP="001D7B5A">
            <w:pPr>
              <w:autoSpaceDE w:val="0"/>
              <w:autoSpaceDN w:val="0"/>
              <w:adjustRightInd w:val="0"/>
              <w:spacing w:after="0" w:line="240" w:lineRule="auto"/>
              <w:rPr>
                <w:rFonts w:eastAsiaTheme="minorHAnsi" w:cs="Calibri"/>
                <w:color w:val="C00000"/>
              </w:rPr>
            </w:pPr>
          </w:p>
        </w:tc>
        <w:tc>
          <w:tcPr>
            <w:tcW w:w="1890" w:type="dxa"/>
            <w:vAlign w:val="center"/>
          </w:tcPr>
          <w:p w14:paraId="6F8880BE" w14:textId="77777777" w:rsidR="001D7B5A" w:rsidRPr="00013662" w:rsidRDefault="001D7B5A" w:rsidP="001D7B5A">
            <w:pPr>
              <w:autoSpaceDE w:val="0"/>
              <w:autoSpaceDN w:val="0"/>
              <w:adjustRightInd w:val="0"/>
              <w:spacing w:after="0" w:line="240" w:lineRule="auto"/>
              <w:rPr>
                <w:rFonts w:eastAsiaTheme="minorHAnsi" w:cs="Calibri"/>
                <w:color w:val="C00000"/>
              </w:rPr>
            </w:pPr>
          </w:p>
        </w:tc>
      </w:tr>
      <w:tr w:rsidR="00FC6074" w:rsidRPr="00013662" w14:paraId="3875D0AC" w14:textId="77777777" w:rsidTr="007E4F84">
        <w:trPr>
          <w:trHeight w:val="114"/>
        </w:trPr>
        <w:tc>
          <w:tcPr>
            <w:tcW w:w="5575" w:type="dxa"/>
          </w:tcPr>
          <w:p w14:paraId="76AF9B82" w14:textId="3870496F"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No days spent in nursing home</w:t>
            </w:r>
          </w:p>
        </w:tc>
        <w:tc>
          <w:tcPr>
            <w:tcW w:w="1620" w:type="dxa"/>
            <w:vAlign w:val="center"/>
          </w:tcPr>
          <w:p w14:paraId="49EDC376" w14:textId="7E68662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260" w:type="dxa"/>
            <w:vAlign w:val="center"/>
          </w:tcPr>
          <w:p w14:paraId="41705BCF" w14:textId="2E76EC2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c>
          <w:tcPr>
            <w:tcW w:w="1890" w:type="dxa"/>
            <w:vAlign w:val="center"/>
          </w:tcPr>
          <w:p w14:paraId="0E7EFB27" w14:textId="0E52E8C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eastAsiaTheme="minorHAnsi" w:cs="Calibri"/>
                <w:color w:val="C00000"/>
              </w:rPr>
              <w:t xml:space="preserve">— </w:t>
            </w:r>
          </w:p>
        </w:tc>
      </w:tr>
      <w:tr w:rsidR="00FC6074" w:rsidRPr="00013662" w14:paraId="7E01C240" w14:textId="77777777" w:rsidTr="007E4F84">
        <w:trPr>
          <w:trHeight w:val="114"/>
        </w:trPr>
        <w:tc>
          <w:tcPr>
            <w:tcW w:w="5575" w:type="dxa"/>
          </w:tcPr>
          <w:p w14:paraId="1AD33798" w14:textId="58920F85"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1 to 89 days spent in nursing home</w:t>
            </w:r>
          </w:p>
        </w:tc>
        <w:tc>
          <w:tcPr>
            <w:tcW w:w="1620" w:type="dxa"/>
            <w:vAlign w:val="center"/>
          </w:tcPr>
          <w:p w14:paraId="34088548" w14:textId="766A33E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45EDE470" w14:textId="63556BB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26168E4" w14:textId="5F1367F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253FF86" w14:textId="77777777" w:rsidTr="007E4F84">
        <w:trPr>
          <w:trHeight w:val="114"/>
        </w:trPr>
        <w:tc>
          <w:tcPr>
            <w:tcW w:w="5575" w:type="dxa"/>
          </w:tcPr>
          <w:p w14:paraId="2485FFC5" w14:textId="2F308174"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color w:val="C00000"/>
              </w:rPr>
              <w:t>90 or more days spent in nursing home</w:t>
            </w:r>
          </w:p>
        </w:tc>
        <w:tc>
          <w:tcPr>
            <w:tcW w:w="1620" w:type="dxa"/>
            <w:vAlign w:val="center"/>
          </w:tcPr>
          <w:p w14:paraId="43B1FF69" w14:textId="72E30F5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-0.03</w:t>
            </w:r>
          </w:p>
        </w:tc>
        <w:tc>
          <w:tcPr>
            <w:tcW w:w="1260" w:type="dxa"/>
            <w:vAlign w:val="center"/>
          </w:tcPr>
          <w:p w14:paraId="1EA026A1" w14:textId="0BCF578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0F6ACE8" w14:textId="2C5E1D2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0.0205</w:t>
            </w:r>
          </w:p>
        </w:tc>
      </w:tr>
      <w:tr w:rsidR="001D7B5A" w:rsidRPr="00013662" w14:paraId="7DA22687" w14:textId="77777777" w:rsidTr="007E4F84">
        <w:trPr>
          <w:trHeight w:val="114"/>
        </w:trPr>
        <w:tc>
          <w:tcPr>
            <w:tcW w:w="10345" w:type="dxa"/>
            <w:gridSpan w:val="4"/>
          </w:tcPr>
          <w:p w14:paraId="3B7E76D9" w14:textId="06E293E9" w:rsidR="001D7B5A" w:rsidRPr="00013662" w:rsidRDefault="001D7B5A" w:rsidP="001D7B5A">
            <w:pPr>
              <w:autoSpaceDE w:val="0"/>
              <w:autoSpaceDN w:val="0"/>
              <w:adjustRightInd w:val="0"/>
              <w:spacing w:after="0" w:line="240" w:lineRule="auto"/>
              <w:rPr>
                <w:rFonts w:eastAsiaTheme="minorHAnsi" w:cs="Calibri"/>
                <w:color w:val="C00000"/>
              </w:rPr>
            </w:pPr>
            <w:r w:rsidRPr="00013662">
              <w:rPr>
                <w:rFonts w:eastAsiaTheme="minorHAnsi" w:cs="Calibri"/>
                <w:b/>
                <w:bCs/>
                <w:color w:val="C00000"/>
              </w:rPr>
              <w:t xml:space="preserve">Comorbidity (past year) </w:t>
            </w:r>
          </w:p>
        </w:tc>
      </w:tr>
      <w:tr w:rsidR="00FC6074" w:rsidRPr="00013662" w14:paraId="24A9C9B4" w14:textId="77777777" w:rsidTr="007E4F84">
        <w:trPr>
          <w:trHeight w:val="114"/>
        </w:trPr>
        <w:tc>
          <w:tcPr>
            <w:tcW w:w="5575" w:type="dxa"/>
            <w:vAlign w:val="bottom"/>
          </w:tcPr>
          <w:p w14:paraId="50ACFA55" w14:textId="24128CC1"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6: Hepatitis</w:t>
            </w:r>
          </w:p>
        </w:tc>
        <w:tc>
          <w:tcPr>
            <w:tcW w:w="1620" w:type="dxa"/>
            <w:vAlign w:val="center"/>
          </w:tcPr>
          <w:p w14:paraId="170C814C" w14:textId="0146CED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55C90218" w14:textId="1479368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B62497C" w14:textId="092D32D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C352DB3" w14:textId="77777777" w:rsidTr="007E4F84">
        <w:trPr>
          <w:trHeight w:val="114"/>
        </w:trPr>
        <w:tc>
          <w:tcPr>
            <w:tcW w:w="5575" w:type="dxa"/>
            <w:vAlign w:val="bottom"/>
          </w:tcPr>
          <w:p w14:paraId="20ABC5F3" w14:textId="76AE9ECD"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 Immunizations and screening for infectious disease</w:t>
            </w:r>
          </w:p>
        </w:tc>
        <w:tc>
          <w:tcPr>
            <w:tcW w:w="1620" w:type="dxa"/>
            <w:vAlign w:val="center"/>
          </w:tcPr>
          <w:p w14:paraId="78D5C0A8" w14:textId="5ADD5DB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3B4CF4E0" w14:textId="79609CD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25B1B5B" w14:textId="0A6D541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0.0003</w:t>
            </w:r>
          </w:p>
        </w:tc>
      </w:tr>
      <w:tr w:rsidR="00FC6074" w:rsidRPr="00013662" w14:paraId="11C8CDA4" w14:textId="77777777" w:rsidTr="007E4F84">
        <w:trPr>
          <w:trHeight w:val="114"/>
        </w:trPr>
        <w:tc>
          <w:tcPr>
            <w:tcW w:w="5575" w:type="dxa"/>
            <w:vAlign w:val="bottom"/>
          </w:tcPr>
          <w:p w14:paraId="2F271C59" w14:textId="240F24BF"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42: Secondary malignancies</w:t>
            </w:r>
          </w:p>
        </w:tc>
        <w:tc>
          <w:tcPr>
            <w:tcW w:w="1620" w:type="dxa"/>
            <w:vAlign w:val="center"/>
          </w:tcPr>
          <w:p w14:paraId="0A774087" w14:textId="5583269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0.34</w:t>
            </w:r>
          </w:p>
        </w:tc>
        <w:tc>
          <w:tcPr>
            <w:tcW w:w="1260" w:type="dxa"/>
            <w:vAlign w:val="center"/>
          </w:tcPr>
          <w:p w14:paraId="1BF32561" w14:textId="236CA34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0.03</w:t>
            </w:r>
          </w:p>
        </w:tc>
        <w:tc>
          <w:tcPr>
            <w:tcW w:w="1890" w:type="dxa"/>
            <w:vAlign w:val="center"/>
          </w:tcPr>
          <w:p w14:paraId="59EDC5C4" w14:textId="19C0E9F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A45A0B2" w14:textId="77777777" w:rsidTr="007E4F84">
        <w:trPr>
          <w:trHeight w:val="114"/>
        </w:trPr>
        <w:tc>
          <w:tcPr>
            <w:tcW w:w="5575" w:type="dxa"/>
            <w:vAlign w:val="bottom"/>
          </w:tcPr>
          <w:p w14:paraId="5F85D375" w14:textId="74017A0B"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50: Diabetes mellitus with complications</w:t>
            </w:r>
          </w:p>
        </w:tc>
        <w:tc>
          <w:tcPr>
            <w:tcW w:w="1620" w:type="dxa"/>
            <w:vAlign w:val="center"/>
          </w:tcPr>
          <w:p w14:paraId="2C0E2944" w14:textId="09D4632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3651CF8C" w14:textId="33EBF3A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B941063" w14:textId="7DF03C5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D7D4995" w14:textId="77777777" w:rsidTr="007E4F84">
        <w:trPr>
          <w:trHeight w:val="114"/>
        </w:trPr>
        <w:tc>
          <w:tcPr>
            <w:tcW w:w="5575" w:type="dxa"/>
            <w:vAlign w:val="bottom"/>
          </w:tcPr>
          <w:p w14:paraId="5C32BAE2" w14:textId="77B3DCD9"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51: Other endocrine disorders</w:t>
            </w:r>
          </w:p>
        </w:tc>
        <w:tc>
          <w:tcPr>
            <w:tcW w:w="1620" w:type="dxa"/>
            <w:vAlign w:val="center"/>
          </w:tcPr>
          <w:p w14:paraId="21385170" w14:textId="2483D42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0898E74B" w14:textId="706F03D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CEDE529" w14:textId="6DF3D60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C33B0FA" w14:textId="77777777" w:rsidTr="007E4F84">
        <w:trPr>
          <w:trHeight w:val="114"/>
        </w:trPr>
        <w:tc>
          <w:tcPr>
            <w:tcW w:w="5575" w:type="dxa"/>
            <w:vAlign w:val="bottom"/>
          </w:tcPr>
          <w:p w14:paraId="4A7CC45A" w14:textId="4A2C5D8D"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52: Nutritional deficiencies</w:t>
            </w:r>
          </w:p>
        </w:tc>
        <w:tc>
          <w:tcPr>
            <w:tcW w:w="1620" w:type="dxa"/>
            <w:vAlign w:val="center"/>
          </w:tcPr>
          <w:p w14:paraId="2F8587D7" w14:textId="25B5035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w:t>
            </w:r>
            <w:r w:rsidR="001317CB" w:rsidRPr="00013662">
              <w:rPr>
                <w:rFonts w:ascii="Calibri" w:hAnsi="Calibri" w:cs="Calibri"/>
                <w:color w:val="C00000"/>
              </w:rPr>
              <w:t>0</w:t>
            </w:r>
          </w:p>
        </w:tc>
        <w:tc>
          <w:tcPr>
            <w:tcW w:w="1260" w:type="dxa"/>
            <w:vAlign w:val="center"/>
          </w:tcPr>
          <w:p w14:paraId="30B90019" w14:textId="417C32B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4459360" w14:textId="54B3767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17B2BDD" w14:textId="77777777" w:rsidTr="007E4F84">
        <w:trPr>
          <w:trHeight w:val="114"/>
        </w:trPr>
        <w:tc>
          <w:tcPr>
            <w:tcW w:w="5575" w:type="dxa"/>
            <w:vAlign w:val="bottom"/>
          </w:tcPr>
          <w:p w14:paraId="26193E43" w14:textId="230DD9A5"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55: Fluid and electrolyte disorders</w:t>
            </w:r>
          </w:p>
        </w:tc>
        <w:tc>
          <w:tcPr>
            <w:tcW w:w="1620" w:type="dxa"/>
            <w:vAlign w:val="center"/>
          </w:tcPr>
          <w:p w14:paraId="31766935" w14:textId="650BB2A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0.15</w:t>
            </w:r>
          </w:p>
        </w:tc>
        <w:tc>
          <w:tcPr>
            <w:tcW w:w="1260" w:type="dxa"/>
            <w:vAlign w:val="center"/>
          </w:tcPr>
          <w:p w14:paraId="26AEDA11" w14:textId="0CD2A7C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CF0806A" w14:textId="087AA28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0A719E0" w14:textId="77777777" w:rsidTr="007E4F84">
        <w:trPr>
          <w:trHeight w:val="114"/>
        </w:trPr>
        <w:tc>
          <w:tcPr>
            <w:tcW w:w="5575" w:type="dxa"/>
            <w:vAlign w:val="bottom"/>
          </w:tcPr>
          <w:p w14:paraId="7D4E9074" w14:textId="6563463D"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59: Deficiency and other anemia</w:t>
            </w:r>
          </w:p>
        </w:tc>
        <w:tc>
          <w:tcPr>
            <w:tcW w:w="1620" w:type="dxa"/>
            <w:vAlign w:val="center"/>
          </w:tcPr>
          <w:p w14:paraId="4A08A3CE" w14:textId="3943769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488104CE" w14:textId="6C29A02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18A22D0D" w14:textId="13F2BAF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13ECCEA" w14:textId="77777777" w:rsidTr="007E4F84">
        <w:trPr>
          <w:trHeight w:val="114"/>
        </w:trPr>
        <w:tc>
          <w:tcPr>
            <w:tcW w:w="5575" w:type="dxa"/>
            <w:vAlign w:val="bottom"/>
          </w:tcPr>
          <w:p w14:paraId="45986B29" w14:textId="2C8A6DF3"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64: Other hematologic conditions</w:t>
            </w:r>
          </w:p>
        </w:tc>
        <w:tc>
          <w:tcPr>
            <w:tcW w:w="1620" w:type="dxa"/>
            <w:vAlign w:val="center"/>
          </w:tcPr>
          <w:p w14:paraId="0353D3FF" w14:textId="6367EC0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0.11</w:t>
            </w:r>
          </w:p>
        </w:tc>
        <w:tc>
          <w:tcPr>
            <w:tcW w:w="1260" w:type="dxa"/>
            <w:vAlign w:val="center"/>
          </w:tcPr>
          <w:p w14:paraId="41F897C8" w14:textId="24D71E9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78E3ABB2" w14:textId="6BBE44D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D551976" w14:textId="77777777" w:rsidTr="007E4F84">
        <w:trPr>
          <w:trHeight w:val="114"/>
        </w:trPr>
        <w:tc>
          <w:tcPr>
            <w:tcW w:w="5575" w:type="dxa"/>
            <w:vAlign w:val="bottom"/>
          </w:tcPr>
          <w:p w14:paraId="71481395" w14:textId="55A8CA4F"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95: Other nervous system disorders</w:t>
            </w:r>
          </w:p>
        </w:tc>
        <w:tc>
          <w:tcPr>
            <w:tcW w:w="1620" w:type="dxa"/>
            <w:vAlign w:val="center"/>
          </w:tcPr>
          <w:p w14:paraId="75242E84" w14:textId="29DA087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0.11</w:t>
            </w:r>
          </w:p>
        </w:tc>
        <w:tc>
          <w:tcPr>
            <w:tcW w:w="1260" w:type="dxa"/>
            <w:vAlign w:val="center"/>
          </w:tcPr>
          <w:p w14:paraId="081973AB" w14:textId="2C82DE5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3772862" w14:textId="3399BE0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C7AED8D" w14:textId="77777777" w:rsidTr="007E4F84">
        <w:trPr>
          <w:trHeight w:val="114"/>
        </w:trPr>
        <w:tc>
          <w:tcPr>
            <w:tcW w:w="5575" w:type="dxa"/>
            <w:vAlign w:val="bottom"/>
          </w:tcPr>
          <w:p w14:paraId="64BE7FE2" w14:textId="47661A08"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96: Heart valve disorders</w:t>
            </w:r>
          </w:p>
        </w:tc>
        <w:tc>
          <w:tcPr>
            <w:tcW w:w="1620" w:type="dxa"/>
            <w:vAlign w:val="center"/>
          </w:tcPr>
          <w:p w14:paraId="7B3CEDE5" w14:textId="55B1CC4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6B7F6080" w14:textId="20F72C4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0A60783" w14:textId="456A106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C1EEBE6" w14:textId="77777777" w:rsidTr="007E4F84">
        <w:trPr>
          <w:trHeight w:val="114"/>
        </w:trPr>
        <w:tc>
          <w:tcPr>
            <w:tcW w:w="5575" w:type="dxa"/>
            <w:vAlign w:val="bottom"/>
          </w:tcPr>
          <w:p w14:paraId="22F82692" w14:textId="33017CE0"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97: </w:t>
            </w:r>
            <w:proofErr w:type="spellStart"/>
            <w:r w:rsidR="001D7B5A" w:rsidRPr="00013662">
              <w:rPr>
                <w:rFonts w:ascii="Calibri" w:hAnsi="Calibri" w:cs="Calibri"/>
                <w:color w:val="C00000"/>
              </w:rPr>
              <w:t>Peri</w:t>
            </w:r>
            <w:proofErr w:type="spellEnd"/>
            <w:r w:rsidR="001D7B5A" w:rsidRPr="00013662">
              <w:rPr>
                <w:rFonts w:ascii="Calibri" w:hAnsi="Calibri" w:cs="Calibri"/>
                <w:color w:val="C00000"/>
              </w:rPr>
              <w:t>-; endo-; and myocarditis; cardiomyopathy (except that caused by tuberculosis or sexually transmitted disease)</w:t>
            </w:r>
          </w:p>
        </w:tc>
        <w:tc>
          <w:tcPr>
            <w:tcW w:w="1620" w:type="dxa"/>
            <w:vAlign w:val="center"/>
          </w:tcPr>
          <w:p w14:paraId="24EC7B8B" w14:textId="22464F1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1F4C486F" w14:textId="7E549FE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C8381FF" w14:textId="0F86975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07EA403" w14:textId="77777777" w:rsidTr="007E4F84">
        <w:trPr>
          <w:trHeight w:val="114"/>
        </w:trPr>
        <w:tc>
          <w:tcPr>
            <w:tcW w:w="5575" w:type="dxa"/>
            <w:vAlign w:val="bottom"/>
          </w:tcPr>
          <w:p w14:paraId="794CD5B4" w14:textId="5B205A4A"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100: Acute myocardial infarction</w:t>
            </w:r>
          </w:p>
        </w:tc>
        <w:tc>
          <w:tcPr>
            <w:tcW w:w="1620" w:type="dxa"/>
            <w:vAlign w:val="center"/>
          </w:tcPr>
          <w:p w14:paraId="13AF6409" w14:textId="13047AF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4A9D7AAC" w14:textId="2DED1DB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677E451" w14:textId="7C998CC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363C577" w14:textId="77777777" w:rsidTr="007E4F84">
        <w:trPr>
          <w:trHeight w:val="114"/>
        </w:trPr>
        <w:tc>
          <w:tcPr>
            <w:tcW w:w="5575" w:type="dxa"/>
            <w:vAlign w:val="bottom"/>
          </w:tcPr>
          <w:p w14:paraId="6566BD7C" w14:textId="0334BC93"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101: Coronary atherosclerosis and other heart disease</w:t>
            </w:r>
          </w:p>
        </w:tc>
        <w:tc>
          <w:tcPr>
            <w:tcW w:w="1620" w:type="dxa"/>
            <w:vAlign w:val="center"/>
          </w:tcPr>
          <w:p w14:paraId="3180394E" w14:textId="31C78A7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1F233776" w14:textId="4F16C71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25136058" w14:textId="37DFFC5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3D0FC38" w14:textId="77777777" w:rsidTr="007E4F84">
        <w:trPr>
          <w:trHeight w:val="114"/>
        </w:trPr>
        <w:tc>
          <w:tcPr>
            <w:tcW w:w="5575" w:type="dxa"/>
            <w:vAlign w:val="bottom"/>
          </w:tcPr>
          <w:p w14:paraId="559B5A98" w14:textId="19331844"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102: Nonspecific chest pain</w:t>
            </w:r>
          </w:p>
        </w:tc>
        <w:tc>
          <w:tcPr>
            <w:tcW w:w="1620" w:type="dxa"/>
            <w:vAlign w:val="center"/>
          </w:tcPr>
          <w:p w14:paraId="43EF5681" w14:textId="4619ECC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4FD6722C" w14:textId="6B9E6EA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0E6DD9E" w14:textId="3808ECD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4CCA24C" w14:textId="77777777" w:rsidTr="007E4F84">
        <w:trPr>
          <w:trHeight w:val="114"/>
        </w:trPr>
        <w:tc>
          <w:tcPr>
            <w:tcW w:w="5575" w:type="dxa"/>
            <w:vAlign w:val="bottom"/>
          </w:tcPr>
          <w:p w14:paraId="6368DA11" w14:textId="58369968"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106: Cardiac dysrhythmias</w:t>
            </w:r>
          </w:p>
        </w:tc>
        <w:tc>
          <w:tcPr>
            <w:tcW w:w="1620" w:type="dxa"/>
            <w:vAlign w:val="center"/>
          </w:tcPr>
          <w:p w14:paraId="4882A354" w14:textId="2C0CB13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56C0AF98" w14:textId="7DF6BD2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391D5181" w14:textId="7DC27F6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C9F4A69" w14:textId="77777777" w:rsidTr="007E4F84">
        <w:trPr>
          <w:trHeight w:val="114"/>
        </w:trPr>
        <w:tc>
          <w:tcPr>
            <w:tcW w:w="5575" w:type="dxa"/>
            <w:vAlign w:val="bottom"/>
          </w:tcPr>
          <w:p w14:paraId="297B0EAF" w14:textId="41A81E2C"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107: Cardiac arrest and ventricular fibrillation</w:t>
            </w:r>
          </w:p>
        </w:tc>
        <w:tc>
          <w:tcPr>
            <w:tcW w:w="1620" w:type="dxa"/>
            <w:vAlign w:val="center"/>
          </w:tcPr>
          <w:p w14:paraId="70EF1794" w14:textId="4206303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1F6877F6" w14:textId="027404B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05CEE120" w14:textId="37E4F74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0.0006</w:t>
            </w:r>
          </w:p>
        </w:tc>
      </w:tr>
      <w:tr w:rsidR="00FC6074" w:rsidRPr="00013662" w14:paraId="582DEC68" w14:textId="77777777" w:rsidTr="007E4F84">
        <w:trPr>
          <w:trHeight w:val="114"/>
        </w:trPr>
        <w:tc>
          <w:tcPr>
            <w:tcW w:w="5575" w:type="dxa"/>
            <w:vAlign w:val="bottom"/>
          </w:tcPr>
          <w:p w14:paraId="35F68A6B" w14:textId="699A4D55"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108: Congestive heart failure; </w:t>
            </w:r>
            <w:proofErr w:type="spellStart"/>
            <w:r w:rsidR="001D7B5A" w:rsidRPr="00013662">
              <w:rPr>
                <w:rFonts w:ascii="Calibri" w:hAnsi="Calibri" w:cs="Calibri"/>
                <w:color w:val="C00000"/>
              </w:rPr>
              <w:t>nonhypertensive</w:t>
            </w:r>
            <w:proofErr w:type="spellEnd"/>
          </w:p>
        </w:tc>
        <w:tc>
          <w:tcPr>
            <w:tcW w:w="1620" w:type="dxa"/>
            <w:vAlign w:val="center"/>
          </w:tcPr>
          <w:p w14:paraId="4E28F07B" w14:textId="4B4EE7B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139E6EB6" w14:textId="2D1B889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009EF4B" w14:textId="14538BB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D1BED79" w14:textId="77777777" w:rsidTr="007E4F84">
        <w:trPr>
          <w:trHeight w:val="114"/>
        </w:trPr>
        <w:tc>
          <w:tcPr>
            <w:tcW w:w="5575" w:type="dxa"/>
            <w:vAlign w:val="bottom"/>
          </w:tcPr>
          <w:p w14:paraId="74D33BA7" w14:textId="5F959D6E"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117: Other circulatory disease</w:t>
            </w:r>
          </w:p>
        </w:tc>
        <w:tc>
          <w:tcPr>
            <w:tcW w:w="1620" w:type="dxa"/>
            <w:vAlign w:val="center"/>
          </w:tcPr>
          <w:p w14:paraId="66A468C1" w14:textId="0089FDA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4C53B451" w14:textId="48D5449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2395919" w14:textId="38B61D6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2F2F70E" w14:textId="77777777" w:rsidTr="007E4F84">
        <w:trPr>
          <w:trHeight w:val="114"/>
        </w:trPr>
        <w:tc>
          <w:tcPr>
            <w:tcW w:w="5575" w:type="dxa"/>
            <w:vAlign w:val="bottom"/>
          </w:tcPr>
          <w:p w14:paraId="2372092F" w14:textId="09C55FDA"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118: Phlebitis; thrombophlebitis and thromboembolism</w:t>
            </w:r>
          </w:p>
        </w:tc>
        <w:tc>
          <w:tcPr>
            <w:tcW w:w="1620" w:type="dxa"/>
            <w:vAlign w:val="center"/>
          </w:tcPr>
          <w:p w14:paraId="68D71BD3" w14:textId="279D50A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1F535FFF" w14:textId="592C4B2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C967428" w14:textId="134CA06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CDACE98" w14:textId="77777777" w:rsidTr="007E4F84">
        <w:trPr>
          <w:trHeight w:val="114"/>
        </w:trPr>
        <w:tc>
          <w:tcPr>
            <w:tcW w:w="5575" w:type="dxa"/>
            <w:vAlign w:val="bottom"/>
          </w:tcPr>
          <w:p w14:paraId="0DFC835E" w14:textId="73FAEE55"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120: Hemorrhoids</w:t>
            </w:r>
          </w:p>
        </w:tc>
        <w:tc>
          <w:tcPr>
            <w:tcW w:w="1620" w:type="dxa"/>
            <w:vAlign w:val="center"/>
          </w:tcPr>
          <w:p w14:paraId="2B48783A" w14:textId="7071EB7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16392310" w14:textId="5D6311E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2902D60F" w14:textId="3CB233C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0A3AB83" w14:textId="77777777" w:rsidTr="007E4F84">
        <w:trPr>
          <w:trHeight w:val="114"/>
        </w:trPr>
        <w:tc>
          <w:tcPr>
            <w:tcW w:w="5575" w:type="dxa"/>
            <w:vAlign w:val="bottom"/>
          </w:tcPr>
          <w:p w14:paraId="2134928F" w14:textId="7C961F4C"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121: Other diseases of veins and lymphatics</w:t>
            </w:r>
          </w:p>
        </w:tc>
        <w:tc>
          <w:tcPr>
            <w:tcW w:w="1620" w:type="dxa"/>
            <w:vAlign w:val="center"/>
          </w:tcPr>
          <w:p w14:paraId="78E73CCE" w14:textId="0CBF919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5A14A844" w14:textId="2C4236A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588153D" w14:textId="0336ECB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A4FCD61" w14:textId="77777777" w:rsidTr="007E4F84">
        <w:trPr>
          <w:trHeight w:val="114"/>
        </w:trPr>
        <w:tc>
          <w:tcPr>
            <w:tcW w:w="5575" w:type="dxa"/>
            <w:vAlign w:val="bottom"/>
          </w:tcPr>
          <w:p w14:paraId="11F79F14" w14:textId="263BA085"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122: Pneumonia (except that caused by tuberculosis or sexually transmitted disease)</w:t>
            </w:r>
          </w:p>
        </w:tc>
        <w:tc>
          <w:tcPr>
            <w:tcW w:w="1620" w:type="dxa"/>
            <w:vAlign w:val="center"/>
          </w:tcPr>
          <w:p w14:paraId="639E779D" w14:textId="4983F3E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515FA876" w14:textId="662FF80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DCE9C52" w14:textId="594BC11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A2B91DD" w14:textId="77777777" w:rsidTr="007E4F84">
        <w:trPr>
          <w:trHeight w:val="114"/>
        </w:trPr>
        <w:tc>
          <w:tcPr>
            <w:tcW w:w="5575" w:type="dxa"/>
            <w:vAlign w:val="bottom"/>
          </w:tcPr>
          <w:p w14:paraId="4286E90A" w14:textId="5889D62C"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127: Chronic obstructive pulmonary disease and bronchiectasis</w:t>
            </w:r>
          </w:p>
        </w:tc>
        <w:tc>
          <w:tcPr>
            <w:tcW w:w="1620" w:type="dxa"/>
            <w:vAlign w:val="center"/>
          </w:tcPr>
          <w:p w14:paraId="4CA70690" w14:textId="2B11EAB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0.12</w:t>
            </w:r>
          </w:p>
        </w:tc>
        <w:tc>
          <w:tcPr>
            <w:tcW w:w="1260" w:type="dxa"/>
            <w:vAlign w:val="center"/>
          </w:tcPr>
          <w:p w14:paraId="3EB3ABA9" w14:textId="6966AF9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DCD5B13" w14:textId="236A514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008D8AF" w14:textId="77777777" w:rsidTr="007E4F84">
        <w:trPr>
          <w:trHeight w:val="114"/>
        </w:trPr>
        <w:tc>
          <w:tcPr>
            <w:tcW w:w="5575" w:type="dxa"/>
            <w:vAlign w:val="bottom"/>
          </w:tcPr>
          <w:p w14:paraId="14879A56" w14:textId="3AEA373E"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130: Pleurisy; pneumothorax; pulmonary collapse</w:t>
            </w:r>
          </w:p>
        </w:tc>
        <w:tc>
          <w:tcPr>
            <w:tcW w:w="1620" w:type="dxa"/>
            <w:vAlign w:val="center"/>
          </w:tcPr>
          <w:p w14:paraId="3138A0EC" w14:textId="64F5A21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648242BE" w14:textId="3E5945F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4475806" w14:textId="01DF241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D14D828" w14:textId="77777777" w:rsidTr="007E4F84">
        <w:trPr>
          <w:trHeight w:val="114"/>
        </w:trPr>
        <w:tc>
          <w:tcPr>
            <w:tcW w:w="5575" w:type="dxa"/>
            <w:vAlign w:val="bottom"/>
          </w:tcPr>
          <w:p w14:paraId="1E6DB12E" w14:textId="46561685"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131: Respiratory failure; insufficiency; arrest (adult)</w:t>
            </w:r>
          </w:p>
        </w:tc>
        <w:tc>
          <w:tcPr>
            <w:tcW w:w="1620" w:type="dxa"/>
            <w:vAlign w:val="center"/>
          </w:tcPr>
          <w:p w14:paraId="7132F212" w14:textId="74AD411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0.11</w:t>
            </w:r>
          </w:p>
        </w:tc>
        <w:tc>
          <w:tcPr>
            <w:tcW w:w="1260" w:type="dxa"/>
            <w:vAlign w:val="center"/>
          </w:tcPr>
          <w:p w14:paraId="4A7D9DDD" w14:textId="35A6A3A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01E14E8" w14:textId="54E16CE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2B14D25" w14:textId="77777777" w:rsidTr="007E4F84">
        <w:trPr>
          <w:trHeight w:val="114"/>
        </w:trPr>
        <w:tc>
          <w:tcPr>
            <w:tcW w:w="5575" w:type="dxa"/>
            <w:vAlign w:val="bottom"/>
          </w:tcPr>
          <w:p w14:paraId="13B54223" w14:textId="6FAAD3B7"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133: Other lower respiratory disease</w:t>
            </w:r>
          </w:p>
        </w:tc>
        <w:tc>
          <w:tcPr>
            <w:tcW w:w="1620" w:type="dxa"/>
            <w:vAlign w:val="center"/>
          </w:tcPr>
          <w:p w14:paraId="2BB6F6C2" w14:textId="00EB684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2525333D" w14:textId="620CDE7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F2B7EEF" w14:textId="22C021B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A9238BC" w14:textId="77777777" w:rsidTr="007E4F84">
        <w:trPr>
          <w:trHeight w:val="114"/>
        </w:trPr>
        <w:tc>
          <w:tcPr>
            <w:tcW w:w="5575" w:type="dxa"/>
            <w:vAlign w:val="bottom"/>
          </w:tcPr>
          <w:p w14:paraId="46E978BB" w14:textId="078906CD"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134: Other upper respiratory disease</w:t>
            </w:r>
          </w:p>
        </w:tc>
        <w:tc>
          <w:tcPr>
            <w:tcW w:w="1620" w:type="dxa"/>
            <w:vAlign w:val="center"/>
          </w:tcPr>
          <w:p w14:paraId="05C9742E" w14:textId="0B66D7F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1C7ABED0" w14:textId="03787C2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2BF6EA96" w14:textId="403F679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B3911A8" w14:textId="77777777" w:rsidTr="007E4F84">
        <w:trPr>
          <w:trHeight w:val="114"/>
        </w:trPr>
        <w:tc>
          <w:tcPr>
            <w:tcW w:w="5575" w:type="dxa"/>
            <w:vAlign w:val="bottom"/>
          </w:tcPr>
          <w:p w14:paraId="16975FA3" w14:textId="2ED68891"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135: Intestinal infection</w:t>
            </w:r>
          </w:p>
        </w:tc>
        <w:tc>
          <w:tcPr>
            <w:tcW w:w="1620" w:type="dxa"/>
            <w:vAlign w:val="center"/>
          </w:tcPr>
          <w:p w14:paraId="483CB3CD" w14:textId="50A73BF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0.13</w:t>
            </w:r>
          </w:p>
        </w:tc>
        <w:tc>
          <w:tcPr>
            <w:tcW w:w="1260" w:type="dxa"/>
            <w:vAlign w:val="center"/>
          </w:tcPr>
          <w:p w14:paraId="5BCA932B" w14:textId="3AB3DD9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57CAE58" w14:textId="21492E3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21F772A" w14:textId="77777777" w:rsidTr="007E4F84">
        <w:trPr>
          <w:trHeight w:val="114"/>
        </w:trPr>
        <w:tc>
          <w:tcPr>
            <w:tcW w:w="5575" w:type="dxa"/>
            <w:vAlign w:val="bottom"/>
          </w:tcPr>
          <w:p w14:paraId="77670988" w14:textId="7741EEF3"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138: Esophageal disorders</w:t>
            </w:r>
          </w:p>
        </w:tc>
        <w:tc>
          <w:tcPr>
            <w:tcW w:w="1620" w:type="dxa"/>
            <w:vAlign w:val="center"/>
          </w:tcPr>
          <w:p w14:paraId="46E5ACC1" w14:textId="4B179E6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742135D0" w14:textId="6424FFB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391A5444" w14:textId="7A737DC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21974E1" w14:textId="77777777" w:rsidTr="007E4F84">
        <w:trPr>
          <w:trHeight w:val="114"/>
        </w:trPr>
        <w:tc>
          <w:tcPr>
            <w:tcW w:w="5575" w:type="dxa"/>
            <w:vAlign w:val="bottom"/>
          </w:tcPr>
          <w:p w14:paraId="4C2B6484" w14:textId="3778DD09"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140: Gastritis and </w:t>
            </w:r>
            <w:proofErr w:type="spellStart"/>
            <w:r w:rsidR="001D7B5A" w:rsidRPr="00013662">
              <w:rPr>
                <w:rFonts w:ascii="Calibri" w:hAnsi="Calibri" w:cs="Calibri"/>
                <w:color w:val="C00000"/>
              </w:rPr>
              <w:t>duodenitis</w:t>
            </w:r>
            <w:proofErr w:type="spellEnd"/>
          </w:p>
        </w:tc>
        <w:tc>
          <w:tcPr>
            <w:tcW w:w="1620" w:type="dxa"/>
            <w:vAlign w:val="center"/>
          </w:tcPr>
          <w:p w14:paraId="37BC0920" w14:textId="2CD55BC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0.05</w:t>
            </w:r>
          </w:p>
        </w:tc>
        <w:tc>
          <w:tcPr>
            <w:tcW w:w="1260" w:type="dxa"/>
            <w:vAlign w:val="center"/>
          </w:tcPr>
          <w:p w14:paraId="43B6DD0D" w14:textId="102DC88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94B200D" w14:textId="47723BC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8D638EF" w14:textId="77777777" w:rsidTr="007E4F84">
        <w:trPr>
          <w:trHeight w:val="114"/>
        </w:trPr>
        <w:tc>
          <w:tcPr>
            <w:tcW w:w="5575" w:type="dxa"/>
            <w:vAlign w:val="bottom"/>
          </w:tcPr>
          <w:p w14:paraId="15A5B3A2" w14:textId="32C46661"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141: Other disorders of stomach and duodenum</w:t>
            </w:r>
          </w:p>
        </w:tc>
        <w:tc>
          <w:tcPr>
            <w:tcW w:w="1620" w:type="dxa"/>
            <w:vAlign w:val="center"/>
          </w:tcPr>
          <w:p w14:paraId="10E903CE" w14:textId="72A1AEA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0.18</w:t>
            </w:r>
          </w:p>
        </w:tc>
        <w:tc>
          <w:tcPr>
            <w:tcW w:w="1260" w:type="dxa"/>
            <w:vAlign w:val="center"/>
          </w:tcPr>
          <w:p w14:paraId="5643A0EB" w14:textId="3FB5E86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B814237" w14:textId="40A27A6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681F0F2" w14:textId="77777777" w:rsidTr="007E4F84">
        <w:trPr>
          <w:trHeight w:val="114"/>
        </w:trPr>
        <w:tc>
          <w:tcPr>
            <w:tcW w:w="5575" w:type="dxa"/>
            <w:vAlign w:val="bottom"/>
          </w:tcPr>
          <w:p w14:paraId="3D52F387" w14:textId="33987559"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151: Other liver diseases</w:t>
            </w:r>
          </w:p>
        </w:tc>
        <w:tc>
          <w:tcPr>
            <w:tcW w:w="1620" w:type="dxa"/>
            <w:vAlign w:val="center"/>
          </w:tcPr>
          <w:p w14:paraId="32555F8E" w14:textId="3BE598E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0.12</w:t>
            </w:r>
          </w:p>
        </w:tc>
        <w:tc>
          <w:tcPr>
            <w:tcW w:w="1260" w:type="dxa"/>
            <w:vAlign w:val="center"/>
          </w:tcPr>
          <w:p w14:paraId="103F9871" w14:textId="722787E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72C7CFF5" w14:textId="71953BF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0CCDCB1E" w14:textId="77777777" w:rsidTr="007E4F84">
        <w:trPr>
          <w:trHeight w:val="114"/>
        </w:trPr>
        <w:tc>
          <w:tcPr>
            <w:tcW w:w="5575" w:type="dxa"/>
            <w:vAlign w:val="bottom"/>
          </w:tcPr>
          <w:p w14:paraId="7205795C" w14:textId="7ADAB690"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152: Pancreatic disorders (not diabetes)</w:t>
            </w:r>
          </w:p>
        </w:tc>
        <w:tc>
          <w:tcPr>
            <w:tcW w:w="1620" w:type="dxa"/>
            <w:vAlign w:val="center"/>
          </w:tcPr>
          <w:p w14:paraId="570DAB97" w14:textId="6A01FD6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0.14</w:t>
            </w:r>
          </w:p>
        </w:tc>
        <w:tc>
          <w:tcPr>
            <w:tcW w:w="1260" w:type="dxa"/>
            <w:vAlign w:val="center"/>
          </w:tcPr>
          <w:p w14:paraId="427CB2B9" w14:textId="696423A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44E12824" w14:textId="41B97EF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0B0A5354" w14:textId="77777777" w:rsidTr="007E4F84">
        <w:trPr>
          <w:trHeight w:val="114"/>
        </w:trPr>
        <w:tc>
          <w:tcPr>
            <w:tcW w:w="5575" w:type="dxa"/>
            <w:vAlign w:val="bottom"/>
          </w:tcPr>
          <w:p w14:paraId="4DF5EFCD" w14:textId="339AAD59"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153: Gastrointestinal hemorrhage</w:t>
            </w:r>
          </w:p>
        </w:tc>
        <w:tc>
          <w:tcPr>
            <w:tcW w:w="1620" w:type="dxa"/>
            <w:vAlign w:val="center"/>
          </w:tcPr>
          <w:p w14:paraId="6EFD6443" w14:textId="690408B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0.14</w:t>
            </w:r>
          </w:p>
        </w:tc>
        <w:tc>
          <w:tcPr>
            <w:tcW w:w="1260" w:type="dxa"/>
            <w:vAlign w:val="center"/>
          </w:tcPr>
          <w:p w14:paraId="09FC418C" w14:textId="5ACFE23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2D6B5E38" w14:textId="74267AF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CA14A71" w14:textId="77777777" w:rsidTr="007E4F84">
        <w:trPr>
          <w:trHeight w:val="114"/>
        </w:trPr>
        <w:tc>
          <w:tcPr>
            <w:tcW w:w="5575" w:type="dxa"/>
            <w:vAlign w:val="bottom"/>
          </w:tcPr>
          <w:p w14:paraId="262B6DD9" w14:textId="4FF8ECB3"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154: Noninfectious gastroenteritis</w:t>
            </w:r>
          </w:p>
        </w:tc>
        <w:tc>
          <w:tcPr>
            <w:tcW w:w="1620" w:type="dxa"/>
            <w:vAlign w:val="center"/>
          </w:tcPr>
          <w:p w14:paraId="6B21D760" w14:textId="6CE5CA5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0C506AE6" w14:textId="46907C2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0421B820" w14:textId="2FF759C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CDA84E3" w14:textId="77777777" w:rsidTr="007E4F84">
        <w:trPr>
          <w:trHeight w:val="114"/>
        </w:trPr>
        <w:tc>
          <w:tcPr>
            <w:tcW w:w="5575" w:type="dxa"/>
            <w:vAlign w:val="bottom"/>
          </w:tcPr>
          <w:p w14:paraId="72B187F8" w14:textId="1B9D5FCD"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155: Other gastrointestinal disorders</w:t>
            </w:r>
          </w:p>
        </w:tc>
        <w:tc>
          <w:tcPr>
            <w:tcW w:w="1620" w:type="dxa"/>
            <w:vAlign w:val="center"/>
          </w:tcPr>
          <w:p w14:paraId="1FBA3AC5" w14:textId="4940525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466D4CD7" w14:textId="43A3989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A29B390" w14:textId="7622A40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D07F077" w14:textId="77777777" w:rsidTr="007E4F84">
        <w:trPr>
          <w:trHeight w:val="114"/>
        </w:trPr>
        <w:tc>
          <w:tcPr>
            <w:tcW w:w="5575" w:type="dxa"/>
            <w:vAlign w:val="bottom"/>
          </w:tcPr>
          <w:p w14:paraId="4628CFAE" w14:textId="7F710DF7"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158: Chronic kidney disease</w:t>
            </w:r>
          </w:p>
        </w:tc>
        <w:tc>
          <w:tcPr>
            <w:tcW w:w="1620" w:type="dxa"/>
            <w:vAlign w:val="center"/>
          </w:tcPr>
          <w:p w14:paraId="26B43089" w14:textId="370E9DB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-0.3</w:t>
            </w:r>
            <w:r w:rsidR="001317CB" w:rsidRPr="00013662">
              <w:rPr>
                <w:rFonts w:ascii="Calibri" w:hAnsi="Calibri" w:cs="Calibri"/>
                <w:color w:val="C00000"/>
              </w:rPr>
              <w:t>0</w:t>
            </w:r>
          </w:p>
        </w:tc>
        <w:tc>
          <w:tcPr>
            <w:tcW w:w="1260" w:type="dxa"/>
            <w:vAlign w:val="center"/>
          </w:tcPr>
          <w:p w14:paraId="69B6C7F1" w14:textId="53F9017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890" w:type="dxa"/>
            <w:vAlign w:val="center"/>
          </w:tcPr>
          <w:p w14:paraId="24215007" w14:textId="12B93DA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7B8601F" w14:textId="77777777" w:rsidTr="007E4F84">
        <w:trPr>
          <w:trHeight w:val="114"/>
        </w:trPr>
        <w:tc>
          <w:tcPr>
            <w:tcW w:w="5575" w:type="dxa"/>
            <w:vAlign w:val="bottom"/>
          </w:tcPr>
          <w:p w14:paraId="24A0C97E" w14:textId="2F31BC69"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159: Urinary tract infections</w:t>
            </w:r>
          </w:p>
        </w:tc>
        <w:tc>
          <w:tcPr>
            <w:tcW w:w="1620" w:type="dxa"/>
            <w:vAlign w:val="center"/>
          </w:tcPr>
          <w:p w14:paraId="475EAC75" w14:textId="59D0695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0.06</w:t>
            </w:r>
          </w:p>
        </w:tc>
        <w:tc>
          <w:tcPr>
            <w:tcW w:w="1260" w:type="dxa"/>
            <w:vAlign w:val="center"/>
          </w:tcPr>
          <w:p w14:paraId="160ADB80" w14:textId="2B65A9D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39936C8E" w14:textId="76305DE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231DE7A0" w14:textId="77777777" w:rsidTr="007E4F84">
        <w:trPr>
          <w:trHeight w:val="114"/>
        </w:trPr>
        <w:tc>
          <w:tcPr>
            <w:tcW w:w="5575" w:type="dxa"/>
            <w:vAlign w:val="bottom"/>
          </w:tcPr>
          <w:p w14:paraId="274C6B9E" w14:textId="2215CF67"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197: Skin and subcutaneous tissue infections</w:t>
            </w:r>
          </w:p>
        </w:tc>
        <w:tc>
          <w:tcPr>
            <w:tcW w:w="1620" w:type="dxa"/>
            <w:vAlign w:val="center"/>
          </w:tcPr>
          <w:p w14:paraId="39C94485" w14:textId="585F559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0.04</w:t>
            </w:r>
          </w:p>
        </w:tc>
        <w:tc>
          <w:tcPr>
            <w:tcW w:w="1260" w:type="dxa"/>
            <w:vAlign w:val="center"/>
          </w:tcPr>
          <w:p w14:paraId="79567E07" w14:textId="5C64890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62DB8F9" w14:textId="17EAC53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1746DAAD" w14:textId="77777777" w:rsidTr="007E4F84">
        <w:trPr>
          <w:trHeight w:val="114"/>
        </w:trPr>
        <w:tc>
          <w:tcPr>
            <w:tcW w:w="5575" w:type="dxa"/>
            <w:vAlign w:val="bottom"/>
          </w:tcPr>
          <w:p w14:paraId="4D4B9D52" w14:textId="39C2724B" w:rsidR="001D7B5A" w:rsidRPr="00013662" w:rsidRDefault="000943C5" w:rsidP="001D7B5A">
            <w:pPr>
              <w:autoSpaceDE w:val="0"/>
              <w:autoSpaceDN w:val="0"/>
              <w:adjustRightInd w:val="0"/>
              <w:spacing w:after="0" w:line="240" w:lineRule="auto"/>
              <w:rPr>
                <w:rFonts w:ascii="Calibri" w:eastAsiaTheme="minorHAnsi" w:hAnsi="Calibri" w:cs="Calibri"/>
                <w:color w:val="C00000"/>
              </w:rPr>
            </w:pPr>
            <w:r w:rsidRPr="00013662">
              <w:rPr>
                <w:rFonts w:ascii="Calibri" w:hAnsi="Calibri" w:cs="Calibri"/>
                <w:color w:val="C00000"/>
              </w:rPr>
              <w:t>CCS</w:t>
            </w:r>
            <w:r w:rsidR="001D7B5A" w:rsidRPr="00013662">
              <w:rPr>
                <w:rFonts w:ascii="Calibri" w:hAnsi="Calibri" w:cs="Calibri"/>
                <w:color w:val="C00000"/>
              </w:rPr>
              <w:t xml:space="preserve"> 198: Other inflammatory condition of skin</w:t>
            </w:r>
          </w:p>
        </w:tc>
        <w:tc>
          <w:tcPr>
            <w:tcW w:w="1620" w:type="dxa"/>
            <w:vAlign w:val="center"/>
          </w:tcPr>
          <w:p w14:paraId="68DF3578" w14:textId="5849BA8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0.16</w:t>
            </w:r>
          </w:p>
        </w:tc>
        <w:tc>
          <w:tcPr>
            <w:tcW w:w="1260" w:type="dxa"/>
            <w:vAlign w:val="center"/>
          </w:tcPr>
          <w:p w14:paraId="56131EE6" w14:textId="1F84955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36954362" w14:textId="3C62A5E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DDB79C4" w14:textId="77777777" w:rsidTr="007E4F84">
        <w:trPr>
          <w:trHeight w:val="114"/>
        </w:trPr>
        <w:tc>
          <w:tcPr>
            <w:tcW w:w="5575" w:type="dxa"/>
            <w:vAlign w:val="bottom"/>
          </w:tcPr>
          <w:p w14:paraId="143FCAAF" w14:textId="73A772D9"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199: Chronic ulcer of skin</w:t>
            </w:r>
          </w:p>
        </w:tc>
        <w:tc>
          <w:tcPr>
            <w:tcW w:w="1620" w:type="dxa"/>
            <w:vAlign w:val="center"/>
          </w:tcPr>
          <w:p w14:paraId="6E4F5903" w14:textId="5CED86C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0.11</w:t>
            </w:r>
          </w:p>
        </w:tc>
        <w:tc>
          <w:tcPr>
            <w:tcW w:w="1260" w:type="dxa"/>
            <w:vAlign w:val="center"/>
          </w:tcPr>
          <w:p w14:paraId="7516C631" w14:textId="1F58C60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5BE3A9E" w14:textId="2BB1E1C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97A7A2E" w14:textId="77777777" w:rsidTr="007E4F84">
        <w:trPr>
          <w:trHeight w:val="114"/>
        </w:trPr>
        <w:tc>
          <w:tcPr>
            <w:tcW w:w="5575" w:type="dxa"/>
            <w:vAlign w:val="bottom"/>
          </w:tcPr>
          <w:p w14:paraId="17DB4127" w14:textId="79EDD33C"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201: Infective arthritis and osteomyelitis (except that caused by tuberculosis or sexually transmitted disease)</w:t>
            </w:r>
          </w:p>
        </w:tc>
        <w:tc>
          <w:tcPr>
            <w:tcW w:w="1620" w:type="dxa"/>
            <w:vAlign w:val="center"/>
          </w:tcPr>
          <w:p w14:paraId="515F2CD7" w14:textId="11B505D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4B480C5F" w14:textId="68ACB7C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260F714E" w14:textId="451253FC"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5E0B0D1" w14:textId="77777777" w:rsidTr="007E4F84">
        <w:trPr>
          <w:trHeight w:val="114"/>
        </w:trPr>
        <w:tc>
          <w:tcPr>
            <w:tcW w:w="5575" w:type="dxa"/>
            <w:vAlign w:val="bottom"/>
          </w:tcPr>
          <w:p w14:paraId="2AADFD12" w14:textId="33CD8DEC"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237: Complication of device; implant or graft</w:t>
            </w:r>
          </w:p>
        </w:tc>
        <w:tc>
          <w:tcPr>
            <w:tcW w:w="1620" w:type="dxa"/>
            <w:vAlign w:val="center"/>
          </w:tcPr>
          <w:p w14:paraId="6FD26484" w14:textId="311AB3F2"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0.07</w:t>
            </w:r>
          </w:p>
        </w:tc>
        <w:tc>
          <w:tcPr>
            <w:tcW w:w="1260" w:type="dxa"/>
            <w:vAlign w:val="center"/>
          </w:tcPr>
          <w:p w14:paraId="75671901" w14:textId="6876117F"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F3741B7" w14:textId="148A130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3BFE78FA" w14:textId="77777777" w:rsidTr="007E4F84">
        <w:trPr>
          <w:trHeight w:val="114"/>
        </w:trPr>
        <w:tc>
          <w:tcPr>
            <w:tcW w:w="5575" w:type="dxa"/>
            <w:vAlign w:val="bottom"/>
          </w:tcPr>
          <w:p w14:paraId="27EC29A1" w14:textId="6FCA6A94"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244: Other injuries and conditions due to external causes</w:t>
            </w:r>
          </w:p>
        </w:tc>
        <w:tc>
          <w:tcPr>
            <w:tcW w:w="1620" w:type="dxa"/>
            <w:vAlign w:val="center"/>
          </w:tcPr>
          <w:p w14:paraId="2A05C7F4" w14:textId="233E8CB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3AD4938A" w14:textId="31A9876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82CDBF2" w14:textId="4FBC2700"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F29E733" w14:textId="77777777" w:rsidTr="007E4F84">
        <w:trPr>
          <w:trHeight w:val="114"/>
        </w:trPr>
        <w:tc>
          <w:tcPr>
            <w:tcW w:w="5575" w:type="dxa"/>
            <w:vAlign w:val="bottom"/>
          </w:tcPr>
          <w:p w14:paraId="2C73F327" w14:textId="4367936C"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251: Abdominal pain</w:t>
            </w:r>
          </w:p>
        </w:tc>
        <w:tc>
          <w:tcPr>
            <w:tcW w:w="1620" w:type="dxa"/>
            <w:vAlign w:val="center"/>
          </w:tcPr>
          <w:p w14:paraId="7743DAF5" w14:textId="4907366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0.14</w:t>
            </w:r>
          </w:p>
        </w:tc>
        <w:tc>
          <w:tcPr>
            <w:tcW w:w="1260" w:type="dxa"/>
            <w:vAlign w:val="center"/>
          </w:tcPr>
          <w:p w14:paraId="0133E743" w14:textId="34BF921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3F3BAB5D" w14:textId="345479C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147915D" w14:textId="77777777" w:rsidTr="007E4F84">
        <w:trPr>
          <w:trHeight w:val="114"/>
        </w:trPr>
        <w:tc>
          <w:tcPr>
            <w:tcW w:w="5575" w:type="dxa"/>
            <w:vAlign w:val="bottom"/>
          </w:tcPr>
          <w:p w14:paraId="359781B8" w14:textId="778F602F"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253: Allergic reactions</w:t>
            </w:r>
          </w:p>
        </w:tc>
        <w:tc>
          <w:tcPr>
            <w:tcW w:w="1620" w:type="dxa"/>
            <w:vAlign w:val="center"/>
          </w:tcPr>
          <w:p w14:paraId="105842CB" w14:textId="40F8CAE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25071C25" w14:textId="238C67C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1CCF8C56" w14:textId="5C769DD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1312E16" w14:textId="77777777" w:rsidTr="007E4F84">
        <w:trPr>
          <w:trHeight w:val="114"/>
        </w:trPr>
        <w:tc>
          <w:tcPr>
            <w:tcW w:w="5575" w:type="dxa"/>
            <w:vAlign w:val="bottom"/>
          </w:tcPr>
          <w:p w14:paraId="11A079A0" w14:textId="5269F5FE"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255: Administrative/social admission</w:t>
            </w:r>
          </w:p>
        </w:tc>
        <w:tc>
          <w:tcPr>
            <w:tcW w:w="1620" w:type="dxa"/>
            <w:vAlign w:val="center"/>
          </w:tcPr>
          <w:p w14:paraId="5466A49F" w14:textId="398F8BD7"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0.15</w:t>
            </w:r>
          </w:p>
        </w:tc>
        <w:tc>
          <w:tcPr>
            <w:tcW w:w="1260" w:type="dxa"/>
            <w:vAlign w:val="center"/>
          </w:tcPr>
          <w:p w14:paraId="00C65C21" w14:textId="52F480E9"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54C914D6" w14:textId="0902414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513FEB46" w14:textId="77777777" w:rsidTr="007E4F84">
        <w:trPr>
          <w:trHeight w:val="114"/>
        </w:trPr>
        <w:tc>
          <w:tcPr>
            <w:tcW w:w="5575" w:type="dxa"/>
            <w:vAlign w:val="bottom"/>
          </w:tcPr>
          <w:p w14:paraId="16C1C6DB" w14:textId="460EE21F"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259: Residual codes; unclassified</w:t>
            </w:r>
          </w:p>
        </w:tc>
        <w:tc>
          <w:tcPr>
            <w:tcW w:w="1620" w:type="dxa"/>
            <w:vAlign w:val="center"/>
          </w:tcPr>
          <w:p w14:paraId="22F67044" w14:textId="7D1BF94D"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0.09</w:t>
            </w:r>
          </w:p>
        </w:tc>
        <w:tc>
          <w:tcPr>
            <w:tcW w:w="1260" w:type="dxa"/>
            <w:vAlign w:val="center"/>
          </w:tcPr>
          <w:p w14:paraId="633D96B9" w14:textId="3537EF1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4CCC35FC" w14:textId="3DDB2ED3"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6BCC7EA3" w14:textId="77777777" w:rsidTr="007E4F84">
        <w:trPr>
          <w:trHeight w:val="114"/>
        </w:trPr>
        <w:tc>
          <w:tcPr>
            <w:tcW w:w="5575" w:type="dxa"/>
            <w:vAlign w:val="bottom"/>
          </w:tcPr>
          <w:p w14:paraId="1C31B765" w14:textId="440598BA"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651: Anxiety disorders</w:t>
            </w:r>
          </w:p>
        </w:tc>
        <w:tc>
          <w:tcPr>
            <w:tcW w:w="1620" w:type="dxa"/>
            <w:vAlign w:val="center"/>
          </w:tcPr>
          <w:p w14:paraId="3A5564CD" w14:textId="3DC1DD1A"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0.08</w:t>
            </w:r>
          </w:p>
        </w:tc>
        <w:tc>
          <w:tcPr>
            <w:tcW w:w="1260" w:type="dxa"/>
            <w:vAlign w:val="center"/>
          </w:tcPr>
          <w:p w14:paraId="7908CE68" w14:textId="514C0CC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61E365FD" w14:textId="6D93226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45342ACF" w14:textId="77777777" w:rsidTr="007E4F84">
        <w:trPr>
          <w:trHeight w:val="114"/>
        </w:trPr>
        <w:tc>
          <w:tcPr>
            <w:tcW w:w="5575" w:type="dxa"/>
            <w:vAlign w:val="bottom"/>
          </w:tcPr>
          <w:p w14:paraId="1F232A5A" w14:textId="25C0ECC4"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659: Schizophrenia and other psychotic disorders</w:t>
            </w:r>
          </w:p>
        </w:tc>
        <w:tc>
          <w:tcPr>
            <w:tcW w:w="1620" w:type="dxa"/>
            <w:vAlign w:val="center"/>
          </w:tcPr>
          <w:p w14:paraId="231C9158" w14:textId="07B154D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0.19</w:t>
            </w:r>
          </w:p>
        </w:tc>
        <w:tc>
          <w:tcPr>
            <w:tcW w:w="1260" w:type="dxa"/>
            <w:vAlign w:val="center"/>
          </w:tcPr>
          <w:p w14:paraId="1A009DDC" w14:textId="391180D8"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24B4BFF0" w14:textId="6F88C126"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013662" w14:paraId="7C11F1C5" w14:textId="77777777" w:rsidTr="007E4F84">
        <w:trPr>
          <w:trHeight w:val="114"/>
        </w:trPr>
        <w:tc>
          <w:tcPr>
            <w:tcW w:w="5575" w:type="dxa"/>
            <w:vAlign w:val="bottom"/>
          </w:tcPr>
          <w:p w14:paraId="7D5B321E" w14:textId="7547E2D5"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660: Alcohol-related disorders</w:t>
            </w:r>
          </w:p>
        </w:tc>
        <w:tc>
          <w:tcPr>
            <w:tcW w:w="1620" w:type="dxa"/>
            <w:vAlign w:val="center"/>
          </w:tcPr>
          <w:p w14:paraId="2E9EB0D2" w14:textId="76208524"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0.16</w:t>
            </w:r>
          </w:p>
        </w:tc>
        <w:tc>
          <w:tcPr>
            <w:tcW w:w="1260" w:type="dxa"/>
            <w:vAlign w:val="center"/>
          </w:tcPr>
          <w:p w14:paraId="18F22EF3" w14:textId="58A0B59B"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0.02</w:t>
            </w:r>
          </w:p>
        </w:tc>
        <w:tc>
          <w:tcPr>
            <w:tcW w:w="1890" w:type="dxa"/>
            <w:vAlign w:val="center"/>
          </w:tcPr>
          <w:p w14:paraId="1DFFDEC5" w14:textId="2863DB25"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r w:rsidR="00FC6074" w:rsidRPr="00FC6074" w14:paraId="720ADCCC" w14:textId="77777777" w:rsidTr="007E4F84">
        <w:trPr>
          <w:trHeight w:val="114"/>
        </w:trPr>
        <w:tc>
          <w:tcPr>
            <w:tcW w:w="5575" w:type="dxa"/>
            <w:vAlign w:val="bottom"/>
          </w:tcPr>
          <w:p w14:paraId="57751A56" w14:textId="61D5F818" w:rsidR="001D7B5A" w:rsidRPr="00013662" w:rsidRDefault="000943C5" w:rsidP="001D7B5A">
            <w:pPr>
              <w:autoSpaceDE w:val="0"/>
              <w:autoSpaceDN w:val="0"/>
              <w:adjustRightInd w:val="0"/>
              <w:spacing w:after="0" w:line="240" w:lineRule="auto"/>
              <w:rPr>
                <w:rFonts w:eastAsiaTheme="minorHAnsi" w:cs="Calibri"/>
                <w:color w:val="C00000"/>
              </w:rPr>
            </w:pPr>
            <w:r w:rsidRPr="00013662">
              <w:rPr>
                <w:rFonts w:ascii="Calibri" w:hAnsi="Calibri" w:cs="Calibri"/>
                <w:color w:val="C00000"/>
              </w:rPr>
              <w:t>CCS</w:t>
            </w:r>
            <w:r w:rsidR="001D7B5A" w:rsidRPr="00013662">
              <w:rPr>
                <w:rFonts w:ascii="Calibri" w:hAnsi="Calibri" w:cs="Calibri"/>
                <w:color w:val="C00000"/>
              </w:rPr>
              <w:t xml:space="preserve"> 661: Substance-related disorders</w:t>
            </w:r>
          </w:p>
        </w:tc>
        <w:tc>
          <w:tcPr>
            <w:tcW w:w="1620" w:type="dxa"/>
            <w:vAlign w:val="center"/>
          </w:tcPr>
          <w:p w14:paraId="4280342D" w14:textId="1CD12591"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0.18</w:t>
            </w:r>
          </w:p>
        </w:tc>
        <w:tc>
          <w:tcPr>
            <w:tcW w:w="1260" w:type="dxa"/>
            <w:vAlign w:val="center"/>
          </w:tcPr>
          <w:p w14:paraId="4B5E8182" w14:textId="1E9AEA3E" w:rsidR="001D7B5A" w:rsidRPr="00013662"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0.01</w:t>
            </w:r>
          </w:p>
        </w:tc>
        <w:tc>
          <w:tcPr>
            <w:tcW w:w="1890" w:type="dxa"/>
            <w:vAlign w:val="center"/>
          </w:tcPr>
          <w:p w14:paraId="039B25EE" w14:textId="381919B3" w:rsidR="001D7B5A" w:rsidRPr="00FC6074" w:rsidRDefault="001D7B5A" w:rsidP="00FC6074">
            <w:pPr>
              <w:autoSpaceDE w:val="0"/>
              <w:autoSpaceDN w:val="0"/>
              <w:adjustRightInd w:val="0"/>
              <w:spacing w:after="0" w:line="240" w:lineRule="auto"/>
              <w:jc w:val="right"/>
              <w:rPr>
                <w:rFonts w:eastAsiaTheme="minorHAnsi" w:cs="Calibri"/>
                <w:color w:val="C00000"/>
              </w:rPr>
            </w:pPr>
            <w:r w:rsidRPr="00013662">
              <w:rPr>
                <w:rFonts w:ascii="Calibri" w:hAnsi="Calibri" w:cs="Calibri"/>
                <w:color w:val="C00000"/>
              </w:rPr>
              <w:t>&lt;0.0001</w:t>
            </w:r>
          </w:p>
        </w:tc>
      </w:tr>
    </w:tbl>
    <w:p w14:paraId="25C566F0" w14:textId="3AC6F618" w:rsidR="00B43854" w:rsidRPr="00423A4F" w:rsidRDefault="00B43854" w:rsidP="00B43854">
      <w:pPr>
        <w:spacing w:after="0" w:line="240" w:lineRule="auto"/>
        <w:rPr>
          <w:rFonts w:cs="Calibri"/>
          <w:color w:val="C00000"/>
          <w:sz w:val="18"/>
          <w:szCs w:val="18"/>
        </w:rPr>
      </w:pPr>
      <w:r w:rsidRPr="00423A4F">
        <w:rPr>
          <w:rFonts w:cs="Calibri"/>
          <w:color w:val="C00000"/>
          <w:sz w:val="18"/>
          <w:szCs w:val="18"/>
        </w:rPr>
        <w:t xml:space="preserve">* </w:t>
      </w:r>
      <w:r w:rsidR="009B4244">
        <w:rPr>
          <w:rFonts w:cs="Calibri"/>
          <w:color w:val="C00000"/>
          <w:sz w:val="18"/>
          <w:szCs w:val="18"/>
        </w:rPr>
        <w:t>Three a</w:t>
      </w:r>
      <w:r w:rsidR="009B4244" w:rsidRPr="00423A4F">
        <w:rPr>
          <w:rFonts w:cs="Calibri"/>
          <w:color w:val="C00000"/>
          <w:sz w:val="18"/>
          <w:szCs w:val="18"/>
        </w:rPr>
        <w:t xml:space="preserve">ge </w:t>
      </w:r>
      <w:r w:rsidRPr="00423A4F">
        <w:rPr>
          <w:rFonts w:cs="Calibri"/>
          <w:color w:val="C00000"/>
          <w:sz w:val="18"/>
          <w:szCs w:val="18"/>
        </w:rPr>
        <w:t>spline variables centered at 60</w:t>
      </w:r>
      <w:r w:rsidR="009B4244">
        <w:rPr>
          <w:rFonts w:cs="Calibri"/>
          <w:color w:val="C00000"/>
          <w:sz w:val="18"/>
          <w:szCs w:val="18"/>
        </w:rPr>
        <w:t xml:space="preserve"> are defined as </w:t>
      </w:r>
      <w:r w:rsidR="009B4244" w:rsidRPr="009B4244">
        <w:rPr>
          <w:rFonts w:cs="Calibri"/>
          <w:color w:val="C00000"/>
          <w:sz w:val="18"/>
          <w:szCs w:val="18"/>
        </w:rPr>
        <w:t>(age-14)</w:t>
      </w:r>
      <w:r w:rsidR="009B4244">
        <w:rPr>
          <w:rFonts w:cs="Calibri"/>
          <w:color w:val="C00000"/>
          <w:sz w:val="18"/>
          <w:szCs w:val="18"/>
        </w:rPr>
        <w:t xml:space="preserve"> </w:t>
      </w:r>
      <w:r w:rsidR="009B4244" w:rsidRPr="009B4244">
        <w:rPr>
          <w:rFonts w:cs="Calibri"/>
          <w:color w:val="C00000"/>
          <w:sz w:val="18"/>
          <w:szCs w:val="18"/>
        </w:rPr>
        <w:t>*</w:t>
      </w:r>
      <w:r w:rsidR="009B4244">
        <w:rPr>
          <w:rFonts w:cs="Calibri"/>
          <w:color w:val="C00000"/>
          <w:sz w:val="18"/>
          <w:szCs w:val="18"/>
        </w:rPr>
        <w:t xml:space="preserve"> </w:t>
      </w:r>
      <w:proofErr w:type="gramStart"/>
      <w:r w:rsidR="009B4244" w:rsidRPr="009B4244">
        <w:rPr>
          <w:rFonts w:cs="Calibri"/>
          <w:color w:val="C00000"/>
          <w:sz w:val="18"/>
          <w:szCs w:val="18"/>
        </w:rPr>
        <w:t>I(</w:t>
      </w:r>
      <w:proofErr w:type="gramEnd"/>
      <w:r w:rsidR="009B4244" w:rsidRPr="009B4244">
        <w:rPr>
          <w:rFonts w:cs="Calibri"/>
          <w:color w:val="C00000"/>
          <w:sz w:val="18"/>
          <w:szCs w:val="18"/>
        </w:rPr>
        <w:t>age &lt; 14), max(age-60,-46)</w:t>
      </w:r>
      <w:r w:rsidR="009B4244">
        <w:rPr>
          <w:rFonts w:cs="Calibri"/>
          <w:color w:val="C00000"/>
          <w:sz w:val="18"/>
          <w:szCs w:val="18"/>
        </w:rPr>
        <w:t xml:space="preserve"> </w:t>
      </w:r>
      <w:r w:rsidR="009B4244" w:rsidRPr="009B4244">
        <w:rPr>
          <w:rFonts w:cs="Calibri"/>
          <w:color w:val="C00000"/>
          <w:sz w:val="18"/>
          <w:szCs w:val="18"/>
        </w:rPr>
        <w:t>*</w:t>
      </w:r>
      <w:r w:rsidR="009B4244">
        <w:rPr>
          <w:rFonts w:cs="Calibri"/>
          <w:color w:val="C00000"/>
          <w:sz w:val="18"/>
          <w:szCs w:val="18"/>
        </w:rPr>
        <w:t xml:space="preserve"> </w:t>
      </w:r>
      <w:r w:rsidR="009B4244" w:rsidRPr="009B4244">
        <w:rPr>
          <w:rFonts w:cs="Calibri"/>
          <w:color w:val="C00000"/>
          <w:sz w:val="18"/>
          <w:szCs w:val="18"/>
        </w:rPr>
        <w:t xml:space="preserve">I(age&lt;60), </w:t>
      </w:r>
      <w:r w:rsidR="009B4244">
        <w:rPr>
          <w:rFonts w:cs="Calibri"/>
          <w:color w:val="C00000"/>
          <w:sz w:val="18"/>
          <w:szCs w:val="18"/>
        </w:rPr>
        <w:t xml:space="preserve">and (age-60) </w:t>
      </w:r>
      <w:r w:rsidR="009B4244" w:rsidRPr="009B4244">
        <w:rPr>
          <w:rFonts w:cs="Calibri"/>
          <w:color w:val="C00000"/>
          <w:sz w:val="18"/>
          <w:szCs w:val="18"/>
        </w:rPr>
        <w:t>*</w:t>
      </w:r>
      <w:r w:rsidR="009B4244">
        <w:rPr>
          <w:rFonts w:cs="Calibri"/>
          <w:color w:val="C00000"/>
          <w:sz w:val="18"/>
          <w:szCs w:val="18"/>
        </w:rPr>
        <w:t xml:space="preserve"> </w:t>
      </w:r>
      <w:r w:rsidR="009B4244" w:rsidRPr="009B4244">
        <w:rPr>
          <w:rFonts w:cs="Calibri"/>
          <w:color w:val="C00000"/>
          <w:sz w:val="18"/>
          <w:szCs w:val="18"/>
        </w:rPr>
        <w:t>I(age&gt;=60), where I(•) denotes an indicator</w:t>
      </w:r>
      <w:r w:rsidRPr="00423A4F">
        <w:rPr>
          <w:rFonts w:cs="Calibri"/>
          <w:color w:val="C00000"/>
          <w:sz w:val="18"/>
          <w:szCs w:val="18"/>
        </w:rPr>
        <w:t>.</w:t>
      </w:r>
    </w:p>
    <w:p w14:paraId="210ABD29" w14:textId="77777777" w:rsidR="00B43854" w:rsidRPr="00423A4F" w:rsidRDefault="00B43854" w:rsidP="00423A4F">
      <w:pPr>
        <w:spacing w:after="0"/>
        <w:rPr>
          <w:color w:val="C00000"/>
          <w:sz w:val="18"/>
          <w:szCs w:val="18"/>
        </w:rPr>
      </w:pPr>
      <w:proofErr w:type="gramStart"/>
      <w:r w:rsidRPr="00423A4F">
        <w:rPr>
          <w:rFonts w:eastAsiaTheme="minorHAnsi" w:cstheme="minorHAnsi"/>
          <w:color w:val="C00000"/>
          <w:sz w:val="18"/>
          <w:szCs w:val="18"/>
          <w:vertAlign w:val="superscript"/>
        </w:rPr>
        <w:t>ŧ</w:t>
      </w:r>
      <w:proofErr w:type="gramEnd"/>
      <w:r w:rsidRPr="00423A4F">
        <w:rPr>
          <w:rFonts w:eastAsiaTheme="minorHAnsi" w:cstheme="minorHAnsi"/>
          <w:color w:val="C00000"/>
          <w:sz w:val="18"/>
          <w:szCs w:val="18"/>
        </w:rPr>
        <w:t xml:space="preserve"> Diabetes as a cause of ESRD </w:t>
      </w:r>
      <w:r w:rsidRPr="00423A4F">
        <w:rPr>
          <w:rFonts w:cs="Calibri"/>
          <w:color w:val="C00000"/>
          <w:sz w:val="18"/>
          <w:szCs w:val="18"/>
        </w:rPr>
        <w:t xml:space="preserve">                                                                                                        </w:t>
      </w:r>
    </w:p>
    <w:p w14:paraId="2495C10D" w14:textId="743BD6DC" w:rsidR="00C22C45" w:rsidRPr="00C965B9" w:rsidRDefault="00C965B9" w:rsidP="00C22C45">
      <w:pPr>
        <w:spacing w:before="1"/>
        <w:ind w:left="100"/>
        <w:rPr>
          <w:color w:val="C00000"/>
          <w:sz w:val="18"/>
          <w:szCs w:val="18"/>
        </w:rPr>
      </w:pPr>
      <w:r w:rsidRPr="00C965B9">
        <w:rPr>
          <w:b/>
          <w:color w:val="C00000"/>
          <w:sz w:val="18"/>
          <w:szCs w:val="18"/>
        </w:rPr>
        <w:t>**</w:t>
      </w:r>
      <w:r>
        <w:rPr>
          <w:b/>
          <w:color w:val="C00000"/>
          <w:sz w:val="18"/>
          <w:szCs w:val="18"/>
        </w:rPr>
        <w:t xml:space="preserve"> </w:t>
      </w:r>
      <w:r w:rsidR="00C22C45" w:rsidRPr="00C965B9">
        <w:rPr>
          <w:color w:val="C00000"/>
          <w:sz w:val="18"/>
          <w:szCs w:val="18"/>
        </w:rPr>
        <w:t>Discharge diagnoses that were relatively rare but led to a 30-day unplanned readmission in at least 40% of cases.</w:t>
      </w:r>
    </w:p>
    <w:p w14:paraId="666D6B74" w14:textId="77777777" w:rsidR="00DD72DD" w:rsidRDefault="00DD72DD" w:rsidP="00001D73">
      <w:pPr>
        <w:autoSpaceDE w:val="0"/>
        <w:autoSpaceDN w:val="0"/>
        <w:adjustRightInd w:val="0"/>
        <w:spacing w:after="0" w:line="240" w:lineRule="auto"/>
        <w:rPr>
          <w:rFonts w:cstheme="minorHAnsi"/>
          <w:b/>
          <w:bCs/>
        </w:rPr>
      </w:pPr>
    </w:p>
    <w:p w14:paraId="0CABCFF8" w14:textId="4908FEF3" w:rsidR="00001D73"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69403F31" w14:textId="0A48B8D7" w:rsidR="00DD72DD" w:rsidRPr="00FC6074" w:rsidRDefault="00DD72DD" w:rsidP="00DD72DD">
      <w:pPr>
        <w:pStyle w:val="BodyText"/>
        <w:spacing w:before="11"/>
        <w:rPr>
          <w:rFonts w:cstheme="minorHAnsi"/>
          <w:b/>
          <w:bCs/>
          <w:color w:val="C00000"/>
          <w:u w:val="single"/>
        </w:rPr>
      </w:pPr>
      <w:r w:rsidRPr="00FC6074">
        <w:rPr>
          <w:rFonts w:cstheme="minorHAnsi"/>
          <w:b/>
          <w:bCs/>
          <w:color w:val="C00000"/>
          <w:u w:val="single"/>
        </w:rPr>
        <w:t>2019 Submission</w:t>
      </w:r>
    </w:p>
    <w:p w14:paraId="22E7D45E" w14:textId="667A7D24" w:rsidR="00804604" w:rsidRPr="00FC6074" w:rsidRDefault="001077EF" w:rsidP="00DD72DD">
      <w:pPr>
        <w:pStyle w:val="BodyText"/>
        <w:spacing w:before="11"/>
        <w:rPr>
          <w:rFonts w:cstheme="minorHAnsi"/>
          <w:bCs/>
          <w:color w:val="C00000"/>
        </w:rPr>
      </w:pPr>
      <w:r w:rsidRPr="00FC6074">
        <w:rPr>
          <w:rFonts w:cstheme="minorHAnsi"/>
          <w:bCs/>
          <w:color w:val="C00000"/>
        </w:rPr>
        <w:t>While the inclusion of some</w:t>
      </w:r>
      <w:r w:rsidR="00804604" w:rsidRPr="00FC6074">
        <w:rPr>
          <w:rFonts w:cstheme="minorHAnsi"/>
          <w:bCs/>
          <w:color w:val="C00000"/>
        </w:rPr>
        <w:t xml:space="preserve"> patient SES characteristics</w:t>
      </w:r>
      <w:r w:rsidRPr="00FC6074">
        <w:rPr>
          <w:rFonts w:cstheme="minorHAnsi"/>
          <w:bCs/>
          <w:color w:val="C00000"/>
        </w:rPr>
        <w:t xml:space="preserve"> such as employment 6 months prior to ESRD, Hispanic, Medicare Dual Eligible, and Asian are significant, other patient SES characteristics are not (Area Depr</w:t>
      </w:r>
      <w:r w:rsidR="00F43AF3">
        <w:rPr>
          <w:rFonts w:cstheme="minorHAnsi"/>
          <w:bCs/>
          <w:color w:val="C00000"/>
        </w:rPr>
        <w:t>i</w:t>
      </w:r>
      <w:r w:rsidRPr="00FC6074">
        <w:rPr>
          <w:rFonts w:cstheme="minorHAnsi"/>
          <w:bCs/>
          <w:color w:val="C00000"/>
        </w:rPr>
        <w:t xml:space="preserve">vation Index, Black, American Indian or Alaskan Native, and Other). </w:t>
      </w:r>
      <w:r w:rsidR="00C32C53" w:rsidRPr="00FC6074">
        <w:rPr>
          <w:rFonts w:cstheme="minorHAnsi"/>
          <w:bCs/>
          <w:color w:val="C00000"/>
        </w:rPr>
        <w:t xml:space="preserve">The </w:t>
      </w:r>
      <w:r w:rsidR="004078FC" w:rsidRPr="00FC6074">
        <w:rPr>
          <w:rFonts w:cstheme="minorHAnsi"/>
          <w:bCs/>
          <w:color w:val="C00000"/>
        </w:rPr>
        <w:t xml:space="preserve">Pearson </w:t>
      </w:r>
      <w:r w:rsidR="00C32C53" w:rsidRPr="00FC6074">
        <w:rPr>
          <w:rFonts w:cstheme="minorHAnsi"/>
          <w:bCs/>
          <w:color w:val="C00000"/>
        </w:rPr>
        <w:t>correlation between the model with and without the added SES characteristics is r=0.9989.</w:t>
      </w:r>
    </w:p>
    <w:p w14:paraId="7C580423" w14:textId="77777777" w:rsidR="00804604" w:rsidRPr="00FC6074" w:rsidRDefault="00804604" w:rsidP="00DD72DD">
      <w:pPr>
        <w:pStyle w:val="BodyText"/>
        <w:spacing w:before="11"/>
        <w:rPr>
          <w:rFonts w:cstheme="minorHAnsi"/>
          <w:b/>
          <w:bCs/>
          <w:color w:val="C00000"/>
          <w:u w:val="single"/>
        </w:rPr>
      </w:pPr>
    </w:p>
    <w:p w14:paraId="2B53C291" w14:textId="3FD0459C" w:rsidR="00A779E2" w:rsidRPr="00FC6074" w:rsidRDefault="00D955A1" w:rsidP="00DD72DD">
      <w:pPr>
        <w:pStyle w:val="BodyText"/>
        <w:spacing w:before="11"/>
        <w:rPr>
          <w:color w:val="C00000"/>
          <w:sz w:val="19"/>
        </w:rPr>
      </w:pPr>
      <w:r>
        <w:rPr>
          <w:rFonts w:cstheme="minorHAnsi"/>
          <w:b/>
          <w:bCs/>
          <w:color w:val="C00000"/>
        </w:rPr>
        <w:t>Table 2</w:t>
      </w:r>
      <w:r w:rsidR="00A779E2" w:rsidRPr="00B35B2B">
        <w:rPr>
          <w:rFonts w:cstheme="minorHAnsi"/>
          <w:b/>
          <w:bCs/>
          <w:color w:val="C00000"/>
        </w:rPr>
        <w:t>.</w:t>
      </w:r>
      <w:r w:rsidR="00735F76" w:rsidRPr="00FC6074">
        <w:rPr>
          <w:b/>
          <w:bCs/>
          <w:color w:val="C00000"/>
          <w:sz w:val="20"/>
          <w:szCs w:val="20"/>
        </w:rPr>
        <w:t xml:space="preserve"> Effects of Patient Characteristics (including SES) on Readmission Rates for Medicare-Covered Dialysis Patients, 2018</w:t>
      </w:r>
    </w:p>
    <w:tbl>
      <w:tblPr>
        <w:tblW w:w="10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5"/>
        <w:gridCol w:w="1170"/>
        <w:gridCol w:w="1080"/>
        <w:gridCol w:w="1080"/>
        <w:gridCol w:w="1170"/>
        <w:gridCol w:w="1080"/>
        <w:gridCol w:w="1080"/>
      </w:tblGrid>
      <w:tr w:rsidR="00714EDD" w:rsidRPr="00FC6074" w14:paraId="3B0EE83D" w14:textId="77777777" w:rsidTr="007E4F84">
        <w:trPr>
          <w:trHeight w:val="140"/>
          <w:tblHeader/>
        </w:trPr>
        <w:tc>
          <w:tcPr>
            <w:tcW w:w="3685" w:type="dxa"/>
          </w:tcPr>
          <w:p w14:paraId="4C8FFBCC" w14:textId="77777777" w:rsidR="00714EDD" w:rsidRPr="00FC6074" w:rsidRDefault="00714EDD" w:rsidP="00D25018">
            <w:pPr>
              <w:autoSpaceDE w:val="0"/>
              <w:autoSpaceDN w:val="0"/>
              <w:adjustRightInd w:val="0"/>
              <w:spacing w:after="0" w:line="240" w:lineRule="auto"/>
              <w:rPr>
                <w:rFonts w:eastAsiaTheme="minorHAnsi" w:cs="Calibri"/>
                <w:b/>
                <w:bCs/>
                <w:color w:val="C00000"/>
              </w:rPr>
            </w:pPr>
          </w:p>
        </w:tc>
        <w:tc>
          <w:tcPr>
            <w:tcW w:w="3330" w:type="dxa"/>
            <w:gridSpan w:val="3"/>
          </w:tcPr>
          <w:p w14:paraId="43787522" w14:textId="78F9C573" w:rsidR="00714EDD" w:rsidRPr="00FC6074" w:rsidRDefault="00714EDD" w:rsidP="00C32DB8">
            <w:pPr>
              <w:autoSpaceDE w:val="0"/>
              <w:autoSpaceDN w:val="0"/>
              <w:adjustRightInd w:val="0"/>
              <w:spacing w:after="0" w:line="240" w:lineRule="auto"/>
              <w:jc w:val="center"/>
              <w:rPr>
                <w:rFonts w:eastAsiaTheme="minorHAnsi" w:cs="Calibri"/>
                <w:b/>
                <w:bCs/>
                <w:color w:val="C00000"/>
              </w:rPr>
            </w:pPr>
            <w:r>
              <w:rPr>
                <w:rFonts w:eastAsiaTheme="minorHAnsi" w:cs="Calibri"/>
                <w:b/>
                <w:bCs/>
                <w:color w:val="C00000"/>
              </w:rPr>
              <w:t>Baseline Model</w:t>
            </w:r>
          </w:p>
        </w:tc>
        <w:tc>
          <w:tcPr>
            <w:tcW w:w="3330" w:type="dxa"/>
            <w:gridSpan w:val="3"/>
            <w:vAlign w:val="center"/>
          </w:tcPr>
          <w:p w14:paraId="197510B6" w14:textId="12683F7D" w:rsidR="00714EDD" w:rsidRPr="00C32DB8" w:rsidRDefault="00714EDD" w:rsidP="00C32DB8">
            <w:pPr>
              <w:autoSpaceDE w:val="0"/>
              <w:autoSpaceDN w:val="0"/>
              <w:adjustRightInd w:val="0"/>
              <w:spacing w:after="0" w:line="240" w:lineRule="auto"/>
              <w:jc w:val="center"/>
              <w:rPr>
                <w:rFonts w:eastAsiaTheme="minorHAnsi" w:cs="Calibri"/>
                <w:b/>
                <w:bCs/>
                <w:iCs/>
                <w:color w:val="C00000"/>
              </w:rPr>
            </w:pPr>
            <w:r>
              <w:rPr>
                <w:rFonts w:eastAsiaTheme="minorHAnsi" w:cs="Calibri"/>
                <w:b/>
                <w:bCs/>
                <w:iCs/>
                <w:color w:val="C00000"/>
              </w:rPr>
              <w:t>Adju</w:t>
            </w:r>
            <w:r w:rsidR="00B35B2B">
              <w:rPr>
                <w:rFonts w:eastAsiaTheme="minorHAnsi" w:cs="Calibri"/>
                <w:b/>
                <w:bCs/>
                <w:iCs/>
                <w:color w:val="C00000"/>
              </w:rPr>
              <w:t>s</w:t>
            </w:r>
            <w:r>
              <w:rPr>
                <w:rFonts w:eastAsiaTheme="minorHAnsi" w:cs="Calibri"/>
                <w:b/>
                <w:bCs/>
                <w:iCs/>
                <w:color w:val="C00000"/>
              </w:rPr>
              <w:t>ted for SDS/SES</w:t>
            </w:r>
          </w:p>
        </w:tc>
      </w:tr>
      <w:tr w:rsidR="00714EDD" w:rsidRPr="00FC6074" w14:paraId="4CFF1A9E" w14:textId="77777777" w:rsidTr="007E4F84">
        <w:trPr>
          <w:trHeight w:val="140"/>
          <w:tblHeader/>
        </w:trPr>
        <w:tc>
          <w:tcPr>
            <w:tcW w:w="3685" w:type="dxa"/>
          </w:tcPr>
          <w:p w14:paraId="4F2CB667" w14:textId="77777777" w:rsidR="00714EDD" w:rsidRPr="00FC6074" w:rsidRDefault="00714EDD" w:rsidP="00D25018">
            <w:pPr>
              <w:autoSpaceDE w:val="0"/>
              <w:autoSpaceDN w:val="0"/>
              <w:adjustRightInd w:val="0"/>
              <w:spacing w:after="0" w:line="240" w:lineRule="auto"/>
              <w:rPr>
                <w:rFonts w:eastAsiaTheme="minorHAnsi" w:cs="Calibri"/>
                <w:color w:val="C00000"/>
              </w:rPr>
            </w:pPr>
            <w:r w:rsidRPr="00FC6074">
              <w:rPr>
                <w:rFonts w:eastAsiaTheme="minorHAnsi" w:cs="Calibri"/>
                <w:b/>
                <w:bCs/>
                <w:color w:val="C00000"/>
              </w:rPr>
              <w:t xml:space="preserve">Patient Characteristic </w:t>
            </w:r>
          </w:p>
        </w:tc>
        <w:tc>
          <w:tcPr>
            <w:tcW w:w="1170" w:type="dxa"/>
          </w:tcPr>
          <w:p w14:paraId="5824ACE2" w14:textId="77777777" w:rsidR="00714EDD" w:rsidRPr="00FC6074" w:rsidRDefault="00714EDD" w:rsidP="00D25018">
            <w:pPr>
              <w:autoSpaceDE w:val="0"/>
              <w:autoSpaceDN w:val="0"/>
              <w:adjustRightInd w:val="0"/>
              <w:spacing w:after="0" w:line="240" w:lineRule="auto"/>
              <w:jc w:val="right"/>
              <w:rPr>
                <w:rFonts w:eastAsiaTheme="minorHAnsi" w:cs="Calibri"/>
                <w:b/>
                <w:bCs/>
                <w:color w:val="C00000"/>
              </w:rPr>
            </w:pPr>
          </w:p>
        </w:tc>
        <w:tc>
          <w:tcPr>
            <w:tcW w:w="1080" w:type="dxa"/>
          </w:tcPr>
          <w:p w14:paraId="12094B9F" w14:textId="77777777" w:rsidR="00714EDD" w:rsidRPr="00FC6074" w:rsidRDefault="00714EDD" w:rsidP="00D25018">
            <w:pPr>
              <w:autoSpaceDE w:val="0"/>
              <w:autoSpaceDN w:val="0"/>
              <w:adjustRightInd w:val="0"/>
              <w:spacing w:after="0" w:line="240" w:lineRule="auto"/>
              <w:jc w:val="right"/>
              <w:rPr>
                <w:rFonts w:eastAsiaTheme="minorHAnsi" w:cs="Calibri"/>
                <w:b/>
                <w:bCs/>
                <w:color w:val="C00000"/>
              </w:rPr>
            </w:pPr>
          </w:p>
        </w:tc>
        <w:tc>
          <w:tcPr>
            <w:tcW w:w="1080" w:type="dxa"/>
          </w:tcPr>
          <w:p w14:paraId="09A6CD5C" w14:textId="77777777" w:rsidR="00714EDD" w:rsidRPr="00FC6074" w:rsidRDefault="00714EDD" w:rsidP="00D25018">
            <w:pPr>
              <w:autoSpaceDE w:val="0"/>
              <w:autoSpaceDN w:val="0"/>
              <w:adjustRightInd w:val="0"/>
              <w:spacing w:after="0" w:line="240" w:lineRule="auto"/>
              <w:jc w:val="right"/>
              <w:rPr>
                <w:rFonts w:eastAsiaTheme="minorHAnsi" w:cs="Calibri"/>
                <w:b/>
                <w:bCs/>
                <w:color w:val="C00000"/>
              </w:rPr>
            </w:pPr>
          </w:p>
        </w:tc>
        <w:tc>
          <w:tcPr>
            <w:tcW w:w="1170" w:type="dxa"/>
            <w:vAlign w:val="center"/>
          </w:tcPr>
          <w:p w14:paraId="015E72CD" w14:textId="77497544" w:rsidR="00714EDD" w:rsidRPr="00FC6074" w:rsidRDefault="00714EDD" w:rsidP="00D25018">
            <w:pPr>
              <w:autoSpaceDE w:val="0"/>
              <w:autoSpaceDN w:val="0"/>
              <w:adjustRightInd w:val="0"/>
              <w:spacing w:after="0" w:line="240" w:lineRule="auto"/>
              <w:jc w:val="right"/>
              <w:rPr>
                <w:rFonts w:eastAsiaTheme="minorHAnsi" w:cs="Calibri"/>
                <w:color w:val="C00000"/>
              </w:rPr>
            </w:pPr>
            <w:r w:rsidRPr="00FC6074">
              <w:rPr>
                <w:rFonts w:eastAsiaTheme="minorHAnsi" w:cs="Calibri"/>
                <w:b/>
                <w:bCs/>
                <w:color w:val="C00000"/>
              </w:rPr>
              <w:t xml:space="preserve">Beta </w:t>
            </w:r>
          </w:p>
        </w:tc>
        <w:tc>
          <w:tcPr>
            <w:tcW w:w="1080" w:type="dxa"/>
            <w:vAlign w:val="center"/>
          </w:tcPr>
          <w:p w14:paraId="1F66CCBC" w14:textId="77777777" w:rsidR="00714EDD" w:rsidRPr="00FC6074" w:rsidRDefault="00714EDD" w:rsidP="00D25018">
            <w:pPr>
              <w:autoSpaceDE w:val="0"/>
              <w:autoSpaceDN w:val="0"/>
              <w:adjustRightInd w:val="0"/>
              <w:spacing w:after="0" w:line="240" w:lineRule="auto"/>
              <w:jc w:val="right"/>
              <w:rPr>
                <w:rFonts w:eastAsiaTheme="minorHAnsi" w:cs="Calibri"/>
                <w:color w:val="C00000"/>
              </w:rPr>
            </w:pPr>
            <w:r w:rsidRPr="00FC6074">
              <w:rPr>
                <w:rFonts w:eastAsiaTheme="minorHAnsi" w:cs="Calibri"/>
                <w:b/>
                <w:bCs/>
                <w:color w:val="C00000"/>
              </w:rPr>
              <w:t xml:space="preserve">SE </w:t>
            </w:r>
          </w:p>
        </w:tc>
        <w:tc>
          <w:tcPr>
            <w:tcW w:w="1080" w:type="dxa"/>
            <w:vAlign w:val="center"/>
          </w:tcPr>
          <w:p w14:paraId="45C90CDB" w14:textId="77777777" w:rsidR="00714EDD" w:rsidRPr="00FC6074" w:rsidRDefault="00714EDD" w:rsidP="00D25018">
            <w:pPr>
              <w:autoSpaceDE w:val="0"/>
              <w:autoSpaceDN w:val="0"/>
              <w:adjustRightInd w:val="0"/>
              <w:spacing w:after="0" w:line="240" w:lineRule="auto"/>
              <w:jc w:val="right"/>
              <w:rPr>
                <w:rFonts w:eastAsiaTheme="minorHAnsi" w:cs="Calibri"/>
                <w:color w:val="C00000"/>
              </w:rPr>
            </w:pPr>
            <w:r w:rsidRPr="00FC6074">
              <w:rPr>
                <w:rFonts w:eastAsiaTheme="minorHAnsi" w:cs="Calibri"/>
                <w:b/>
                <w:bCs/>
                <w:i/>
                <w:iCs/>
                <w:color w:val="C00000"/>
              </w:rPr>
              <w:t xml:space="preserve">p </w:t>
            </w:r>
          </w:p>
        </w:tc>
      </w:tr>
      <w:tr w:rsidR="00714EDD" w:rsidRPr="00FC6074" w14:paraId="1D734C39" w14:textId="77777777" w:rsidTr="007E4F84">
        <w:trPr>
          <w:trHeight w:val="114"/>
        </w:trPr>
        <w:tc>
          <w:tcPr>
            <w:tcW w:w="3685" w:type="dxa"/>
          </w:tcPr>
          <w:p w14:paraId="19D5293A" w14:textId="347577E9"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Employed 6 months prior to ESRD</w:t>
            </w:r>
          </w:p>
        </w:tc>
        <w:tc>
          <w:tcPr>
            <w:tcW w:w="1170" w:type="dxa"/>
          </w:tcPr>
          <w:p w14:paraId="0EC58762"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4AE7860E"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2F0E9D8E"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219B6186" w14:textId="5F20F78B"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60F92825" w14:textId="36C65989"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18604CF" w14:textId="7265B58F"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714EDD" w:rsidRPr="00FC6074" w14:paraId="2143E691" w14:textId="77777777" w:rsidTr="007E4F84">
        <w:trPr>
          <w:trHeight w:val="114"/>
        </w:trPr>
        <w:tc>
          <w:tcPr>
            <w:tcW w:w="3685" w:type="dxa"/>
          </w:tcPr>
          <w:p w14:paraId="1D429ED1" w14:textId="0E36E691" w:rsidR="00714EDD" w:rsidRPr="00FC6074" w:rsidRDefault="00714EDD" w:rsidP="001B4B6D">
            <w:pPr>
              <w:autoSpaceDE w:val="0"/>
              <w:autoSpaceDN w:val="0"/>
              <w:adjustRightInd w:val="0"/>
              <w:spacing w:after="0" w:line="240" w:lineRule="auto"/>
              <w:rPr>
                <w:rFonts w:eastAsiaTheme="minorHAnsi" w:cs="Calibri"/>
                <w:color w:val="C00000"/>
              </w:rPr>
            </w:pPr>
            <w:r w:rsidRPr="00FC6074">
              <w:rPr>
                <w:rFonts w:eastAsiaTheme="minorHAnsi" w:cs="Calibri"/>
                <w:color w:val="C00000"/>
              </w:rPr>
              <w:t>Hispanic</w:t>
            </w:r>
          </w:p>
        </w:tc>
        <w:tc>
          <w:tcPr>
            <w:tcW w:w="1170" w:type="dxa"/>
          </w:tcPr>
          <w:p w14:paraId="649242E0"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5A1C6F1A"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0FDF2F96"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1FD374FF" w14:textId="5EBF1B96"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-0.04</w:t>
            </w:r>
          </w:p>
        </w:tc>
        <w:tc>
          <w:tcPr>
            <w:tcW w:w="1080" w:type="dxa"/>
            <w:vAlign w:val="center"/>
          </w:tcPr>
          <w:p w14:paraId="0E3C0F8A" w14:textId="611891E7"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12CDDC0" w14:textId="06A23026"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0.0049</w:t>
            </w:r>
          </w:p>
        </w:tc>
      </w:tr>
      <w:tr w:rsidR="00714EDD" w:rsidRPr="00FC6074" w14:paraId="09686CD1" w14:textId="77777777" w:rsidTr="007E4F84">
        <w:trPr>
          <w:trHeight w:val="114"/>
        </w:trPr>
        <w:tc>
          <w:tcPr>
            <w:tcW w:w="3685" w:type="dxa"/>
          </w:tcPr>
          <w:p w14:paraId="20CC5684" w14:textId="386133D5"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Medicare Dual Eligible</w:t>
            </w:r>
          </w:p>
        </w:tc>
        <w:tc>
          <w:tcPr>
            <w:tcW w:w="1170" w:type="dxa"/>
          </w:tcPr>
          <w:p w14:paraId="7B7C8870"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738B1E4E"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3B169B09"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5A1FC604" w14:textId="003139A1"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0FFC6CE9" w14:textId="7211ADE9"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1EAD7DF" w14:textId="2B49C6B2"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714EDD" w:rsidRPr="00FC6074" w14:paraId="21CA95B1" w14:textId="77777777" w:rsidTr="007E4F84">
        <w:trPr>
          <w:trHeight w:val="114"/>
        </w:trPr>
        <w:tc>
          <w:tcPr>
            <w:tcW w:w="3685" w:type="dxa"/>
          </w:tcPr>
          <w:p w14:paraId="25967CE9" w14:textId="041FB901"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Area Depr</w:t>
            </w:r>
            <w:r w:rsidR="00F43AF3">
              <w:rPr>
                <w:rFonts w:eastAsiaTheme="minorHAnsi" w:cs="Calibri"/>
                <w:color w:val="C00000"/>
              </w:rPr>
              <w:t>i</w:t>
            </w:r>
            <w:r w:rsidRPr="00FC6074">
              <w:rPr>
                <w:rFonts w:eastAsiaTheme="minorHAnsi" w:cs="Calibri"/>
                <w:color w:val="C00000"/>
              </w:rPr>
              <w:t>vation Index (patient zip code)</w:t>
            </w:r>
          </w:p>
        </w:tc>
        <w:tc>
          <w:tcPr>
            <w:tcW w:w="1170" w:type="dxa"/>
          </w:tcPr>
          <w:p w14:paraId="432E5289"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63213280"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0B9B4573"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1942C77F" w14:textId="079EC576"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5A7E30">
              <w:rPr>
                <w:rFonts w:ascii="Calibri" w:hAnsi="Calibri" w:cs="Calibri"/>
                <w:color w:val="C00000"/>
              </w:rPr>
              <w:t>.0004</w:t>
            </w:r>
          </w:p>
        </w:tc>
        <w:tc>
          <w:tcPr>
            <w:tcW w:w="1080" w:type="dxa"/>
            <w:vAlign w:val="center"/>
          </w:tcPr>
          <w:p w14:paraId="31EC063D" w14:textId="1559F34D"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5A7E30">
              <w:rPr>
                <w:rFonts w:ascii="Calibri" w:hAnsi="Calibri" w:cs="Calibri"/>
                <w:color w:val="C00000"/>
              </w:rPr>
              <w:t>.0003</w:t>
            </w:r>
          </w:p>
        </w:tc>
        <w:tc>
          <w:tcPr>
            <w:tcW w:w="1080" w:type="dxa"/>
            <w:vAlign w:val="center"/>
          </w:tcPr>
          <w:p w14:paraId="46B8275B" w14:textId="75BA031E"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0.1749</w:t>
            </w:r>
          </w:p>
        </w:tc>
      </w:tr>
      <w:tr w:rsidR="00714EDD" w:rsidRPr="00FC6074" w14:paraId="3D0C16C4" w14:textId="77777777" w:rsidTr="007E4F84">
        <w:trPr>
          <w:trHeight w:val="114"/>
        </w:trPr>
        <w:tc>
          <w:tcPr>
            <w:tcW w:w="3685" w:type="dxa"/>
          </w:tcPr>
          <w:p w14:paraId="4A0007E1" w14:textId="1DDAF7D0" w:rsidR="00714EDD" w:rsidRPr="00FC6074" w:rsidRDefault="00714EDD" w:rsidP="00D25018">
            <w:pPr>
              <w:autoSpaceDE w:val="0"/>
              <w:autoSpaceDN w:val="0"/>
              <w:adjustRightInd w:val="0"/>
              <w:spacing w:after="0" w:line="240" w:lineRule="auto"/>
              <w:rPr>
                <w:rFonts w:eastAsiaTheme="minorHAnsi" w:cs="Calibri"/>
                <w:b/>
                <w:color w:val="C00000"/>
              </w:rPr>
            </w:pPr>
            <w:r w:rsidRPr="00FC6074">
              <w:rPr>
                <w:rFonts w:eastAsiaTheme="minorHAnsi" w:cs="Calibri"/>
                <w:b/>
                <w:color w:val="C00000"/>
              </w:rPr>
              <w:t>Race</w:t>
            </w:r>
          </w:p>
        </w:tc>
        <w:tc>
          <w:tcPr>
            <w:tcW w:w="1170" w:type="dxa"/>
          </w:tcPr>
          <w:p w14:paraId="20E5C84E" w14:textId="77777777" w:rsidR="00714EDD" w:rsidRPr="00FC6074" w:rsidRDefault="00714EDD" w:rsidP="00026038">
            <w:pPr>
              <w:autoSpaceDE w:val="0"/>
              <w:autoSpaceDN w:val="0"/>
              <w:adjustRightInd w:val="0"/>
              <w:spacing w:after="0" w:line="240" w:lineRule="auto"/>
              <w:jc w:val="right"/>
              <w:rPr>
                <w:rFonts w:eastAsiaTheme="minorHAnsi" w:cs="Calibri"/>
                <w:color w:val="C00000"/>
              </w:rPr>
            </w:pPr>
          </w:p>
        </w:tc>
        <w:tc>
          <w:tcPr>
            <w:tcW w:w="1080" w:type="dxa"/>
          </w:tcPr>
          <w:p w14:paraId="2A421302" w14:textId="77777777" w:rsidR="00714EDD" w:rsidRPr="00FC6074" w:rsidRDefault="00714EDD" w:rsidP="00026038">
            <w:pPr>
              <w:autoSpaceDE w:val="0"/>
              <w:autoSpaceDN w:val="0"/>
              <w:adjustRightInd w:val="0"/>
              <w:spacing w:after="0" w:line="240" w:lineRule="auto"/>
              <w:jc w:val="right"/>
              <w:rPr>
                <w:rFonts w:eastAsiaTheme="minorHAnsi" w:cs="Calibri"/>
                <w:color w:val="C00000"/>
              </w:rPr>
            </w:pPr>
          </w:p>
        </w:tc>
        <w:tc>
          <w:tcPr>
            <w:tcW w:w="1080" w:type="dxa"/>
          </w:tcPr>
          <w:p w14:paraId="43DFEFD2" w14:textId="77777777" w:rsidR="00714EDD" w:rsidRPr="00FC6074" w:rsidRDefault="00714EDD" w:rsidP="00026038">
            <w:pPr>
              <w:autoSpaceDE w:val="0"/>
              <w:autoSpaceDN w:val="0"/>
              <w:adjustRightInd w:val="0"/>
              <w:spacing w:after="0" w:line="240" w:lineRule="auto"/>
              <w:jc w:val="right"/>
              <w:rPr>
                <w:rFonts w:eastAsiaTheme="minorHAnsi" w:cs="Calibri"/>
                <w:color w:val="C00000"/>
              </w:rPr>
            </w:pPr>
          </w:p>
        </w:tc>
        <w:tc>
          <w:tcPr>
            <w:tcW w:w="1170" w:type="dxa"/>
            <w:vAlign w:val="center"/>
          </w:tcPr>
          <w:p w14:paraId="7E3B1561" w14:textId="5EC4044C" w:rsidR="00714EDD" w:rsidRPr="00FC6074" w:rsidRDefault="00714EDD" w:rsidP="00026038">
            <w:pPr>
              <w:autoSpaceDE w:val="0"/>
              <w:autoSpaceDN w:val="0"/>
              <w:adjustRightInd w:val="0"/>
              <w:spacing w:after="0" w:line="240" w:lineRule="auto"/>
              <w:jc w:val="right"/>
              <w:rPr>
                <w:rFonts w:eastAsiaTheme="minorHAnsi" w:cs="Calibri"/>
                <w:color w:val="C00000"/>
              </w:rPr>
            </w:pPr>
          </w:p>
        </w:tc>
        <w:tc>
          <w:tcPr>
            <w:tcW w:w="1080" w:type="dxa"/>
            <w:vAlign w:val="center"/>
          </w:tcPr>
          <w:p w14:paraId="3BB037DA" w14:textId="77777777" w:rsidR="00714EDD" w:rsidRPr="00FC6074" w:rsidRDefault="00714EDD" w:rsidP="008677F9">
            <w:pPr>
              <w:autoSpaceDE w:val="0"/>
              <w:autoSpaceDN w:val="0"/>
              <w:adjustRightInd w:val="0"/>
              <w:spacing w:after="0" w:line="240" w:lineRule="auto"/>
              <w:jc w:val="right"/>
              <w:rPr>
                <w:rFonts w:eastAsiaTheme="minorHAnsi" w:cs="Calibri"/>
                <w:color w:val="C00000"/>
              </w:rPr>
            </w:pPr>
          </w:p>
        </w:tc>
        <w:tc>
          <w:tcPr>
            <w:tcW w:w="1080" w:type="dxa"/>
            <w:vAlign w:val="center"/>
          </w:tcPr>
          <w:p w14:paraId="725B8BB8" w14:textId="77777777" w:rsidR="00714EDD" w:rsidRPr="00FC6074" w:rsidRDefault="00714EDD" w:rsidP="008677F9">
            <w:pPr>
              <w:autoSpaceDE w:val="0"/>
              <w:autoSpaceDN w:val="0"/>
              <w:adjustRightInd w:val="0"/>
              <w:spacing w:after="0" w:line="240" w:lineRule="auto"/>
              <w:jc w:val="right"/>
              <w:rPr>
                <w:rFonts w:eastAsiaTheme="minorHAnsi" w:cs="Calibri"/>
                <w:color w:val="C00000"/>
              </w:rPr>
            </w:pPr>
          </w:p>
        </w:tc>
      </w:tr>
      <w:tr w:rsidR="00212E65" w:rsidRPr="00FC6074" w14:paraId="36177C83" w14:textId="77777777" w:rsidTr="007E4F84">
        <w:trPr>
          <w:trHeight w:val="114"/>
        </w:trPr>
        <w:tc>
          <w:tcPr>
            <w:tcW w:w="3685" w:type="dxa"/>
          </w:tcPr>
          <w:p w14:paraId="7FDF66A6" w14:textId="26DF6F00" w:rsidR="00212E65" w:rsidRPr="00FC6074" w:rsidRDefault="00212E65" w:rsidP="00212E65">
            <w:pPr>
              <w:autoSpaceDE w:val="0"/>
              <w:autoSpaceDN w:val="0"/>
              <w:adjustRightInd w:val="0"/>
              <w:spacing w:after="0" w:line="240" w:lineRule="auto"/>
              <w:rPr>
                <w:rFonts w:eastAsiaTheme="minorHAnsi" w:cs="Calibri"/>
                <w:color w:val="C00000"/>
              </w:rPr>
            </w:pPr>
            <w:r w:rsidRPr="00FC6074">
              <w:rPr>
                <w:rFonts w:eastAsiaTheme="minorHAnsi" w:cs="Calibri"/>
                <w:color w:val="C00000"/>
              </w:rPr>
              <w:t>White</w:t>
            </w:r>
            <w:r>
              <w:rPr>
                <w:rFonts w:eastAsiaTheme="minorHAnsi" w:cs="Calibri"/>
                <w:color w:val="C00000"/>
              </w:rPr>
              <w:t xml:space="preserve"> (ref)</w:t>
            </w:r>
          </w:p>
        </w:tc>
        <w:tc>
          <w:tcPr>
            <w:tcW w:w="1170" w:type="dxa"/>
          </w:tcPr>
          <w:p w14:paraId="7BC00A20" w14:textId="77777777" w:rsidR="00212E65" w:rsidRPr="00FC6074" w:rsidRDefault="00212E65" w:rsidP="00212E65">
            <w:pPr>
              <w:autoSpaceDE w:val="0"/>
              <w:autoSpaceDN w:val="0"/>
              <w:adjustRightInd w:val="0"/>
              <w:spacing w:after="0" w:line="240" w:lineRule="auto"/>
              <w:jc w:val="right"/>
              <w:rPr>
                <w:rFonts w:eastAsiaTheme="minorHAnsi" w:cs="Calibri"/>
                <w:color w:val="C00000"/>
              </w:rPr>
            </w:pPr>
          </w:p>
        </w:tc>
        <w:tc>
          <w:tcPr>
            <w:tcW w:w="1080" w:type="dxa"/>
          </w:tcPr>
          <w:p w14:paraId="115166F0" w14:textId="77777777" w:rsidR="00212E65" w:rsidRPr="00FC6074" w:rsidRDefault="00212E65" w:rsidP="00212E65">
            <w:pPr>
              <w:autoSpaceDE w:val="0"/>
              <w:autoSpaceDN w:val="0"/>
              <w:adjustRightInd w:val="0"/>
              <w:spacing w:after="0" w:line="240" w:lineRule="auto"/>
              <w:jc w:val="right"/>
              <w:rPr>
                <w:rFonts w:eastAsiaTheme="minorHAnsi" w:cs="Calibri"/>
                <w:color w:val="C00000"/>
              </w:rPr>
            </w:pPr>
          </w:p>
        </w:tc>
        <w:tc>
          <w:tcPr>
            <w:tcW w:w="1080" w:type="dxa"/>
          </w:tcPr>
          <w:p w14:paraId="7AE6C732" w14:textId="77777777" w:rsidR="00212E65" w:rsidRPr="00FC6074" w:rsidRDefault="00212E65" w:rsidP="00212E65">
            <w:pPr>
              <w:autoSpaceDE w:val="0"/>
              <w:autoSpaceDN w:val="0"/>
              <w:adjustRightInd w:val="0"/>
              <w:spacing w:after="0" w:line="240" w:lineRule="auto"/>
              <w:jc w:val="right"/>
              <w:rPr>
                <w:rFonts w:eastAsiaTheme="minorHAnsi" w:cs="Calibri"/>
                <w:color w:val="C00000"/>
              </w:rPr>
            </w:pPr>
          </w:p>
        </w:tc>
        <w:tc>
          <w:tcPr>
            <w:tcW w:w="1170" w:type="dxa"/>
          </w:tcPr>
          <w:p w14:paraId="3871D88E" w14:textId="36AEB66D" w:rsidR="00212E65" w:rsidRPr="00FC6074" w:rsidRDefault="00212E65" w:rsidP="00212E65">
            <w:pPr>
              <w:autoSpaceDE w:val="0"/>
              <w:autoSpaceDN w:val="0"/>
              <w:adjustRightInd w:val="0"/>
              <w:spacing w:after="0" w:line="240" w:lineRule="auto"/>
              <w:jc w:val="right"/>
              <w:rPr>
                <w:rFonts w:eastAsiaTheme="minorHAnsi" w:cs="Calibri"/>
                <w:color w:val="C00000"/>
              </w:rPr>
            </w:pPr>
            <w:r w:rsidRPr="00FE43E1">
              <w:rPr>
                <w:rFonts w:eastAsiaTheme="minorHAnsi" w:cs="Calibri"/>
                <w:color w:val="C00000"/>
              </w:rPr>
              <w:t>—</w:t>
            </w:r>
          </w:p>
        </w:tc>
        <w:tc>
          <w:tcPr>
            <w:tcW w:w="1080" w:type="dxa"/>
          </w:tcPr>
          <w:p w14:paraId="028D88F2" w14:textId="67993ADA" w:rsidR="00212E65" w:rsidRPr="00FC6074" w:rsidRDefault="00212E65" w:rsidP="00212E65">
            <w:pPr>
              <w:autoSpaceDE w:val="0"/>
              <w:autoSpaceDN w:val="0"/>
              <w:adjustRightInd w:val="0"/>
              <w:spacing w:after="0" w:line="240" w:lineRule="auto"/>
              <w:jc w:val="right"/>
              <w:rPr>
                <w:rFonts w:eastAsiaTheme="minorHAnsi" w:cs="Calibri"/>
                <w:color w:val="C00000"/>
              </w:rPr>
            </w:pPr>
            <w:r w:rsidRPr="00FE43E1">
              <w:rPr>
                <w:rFonts w:eastAsiaTheme="minorHAnsi" w:cs="Calibri"/>
                <w:color w:val="C00000"/>
              </w:rPr>
              <w:t>—</w:t>
            </w:r>
          </w:p>
        </w:tc>
        <w:tc>
          <w:tcPr>
            <w:tcW w:w="1080" w:type="dxa"/>
          </w:tcPr>
          <w:p w14:paraId="0ACB58BA" w14:textId="7C73B36E" w:rsidR="00212E65" w:rsidRPr="00FC6074" w:rsidRDefault="00212E65" w:rsidP="00212E65">
            <w:pPr>
              <w:autoSpaceDE w:val="0"/>
              <w:autoSpaceDN w:val="0"/>
              <w:adjustRightInd w:val="0"/>
              <w:spacing w:after="0" w:line="240" w:lineRule="auto"/>
              <w:jc w:val="right"/>
              <w:rPr>
                <w:rFonts w:eastAsiaTheme="minorHAnsi" w:cs="Calibri"/>
                <w:color w:val="C00000"/>
              </w:rPr>
            </w:pPr>
            <w:r w:rsidRPr="00FE43E1">
              <w:rPr>
                <w:rFonts w:eastAsiaTheme="minorHAnsi" w:cs="Calibri"/>
                <w:color w:val="C00000"/>
              </w:rPr>
              <w:t>—</w:t>
            </w:r>
          </w:p>
        </w:tc>
      </w:tr>
      <w:tr w:rsidR="00714EDD" w:rsidRPr="00FC6074" w14:paraId="5698BA1E" w14:textId="77777777" w:rsidTr="007E4F84">
        <w:trPr>
          <w:trHeight w:val="114"/>
        </w:trPr>
        <w:tc>
          <w:tcPr>
            <w:tcW w:w="3685" w:type="dxa"/>
          </w:tcPr>
          <w:p w14:paraId="18330C58" w14:textId="44469C30"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Black</w:t>
            </w:r>
          </w:p>
        </w:tc>
        <w:tc>
          <w:tcPr>
            <w:tcW w:w="1170" w:type="dxa"/>
          </w:tcPr>
          <w:p w14:paraId="55834B23"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28E66E43"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2B20C414"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796D51B9" w14:textId="0274CA58"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71E52A87" w14:textId="1A5FD77A"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7F9D74DA" w14:textId="69DA343E"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0.0796</w:t>
            </w:r>
          </w:p>
        </w:tc>
      </w:tr>
      <w:tr w:rsidR="00714EDD" w:rsidRPr="00FC6074" w14:paraId="6ABF37A2" w14:textId="77777777" w:rsidTr="007E4F84">
        <w:trPr>
          <w:trHeight w:val="114"/>
        </w:trPr>
        <w:tc>
          <w:tcPr>
            <w:tcW w:w="3685" w:type="dxa"/>
          </w:tcPr>
          <w:p w14:paraId="1D5B0B33" w14:textId="79A8D735"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Asian</w:t>
            </w:r>
            <w:r w:rsidR="00CF4DB8">
              <w:rPr>
                <w:rFonts w:eastAsiaTheme="minorHAnsi" w:cs="Calibri"/>
                <w:color w:val="C00000"/>
              </w:rPr>
              <w:t xml:space="preserve"> or Pacific Islander</w:t>
            </w:r>
          </w:p>
        </w:tc>
        <w:tc>
          <w:tcPr>
            <w:tcW w:w="1170" w:type="dxa"/>
          </w:tcPr>
          <w:p w14:paraId="0EE1CB40"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073F02B0"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1756C267"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48C96910" w14:textId="230EEE89"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71D053DD" w14:textId="1444E835"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602E494F" w14:textId="328D083B"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0.0005</w:t>
            </w:r>
          </w:p>
        </w:tc>
      </w:tr>
      <w:tr w:rsidR="00714EDD" w:rsidRPr="00FC6074" w14:paraId="104FE9F8" w14:textId="77777777" w:rsidTr="007E4F84">
        <w:trPr>
          <w:trHeight w:val="114"/>
        </w:trPr>
        <w:tc>
          <w:tcPr>
            <w:tcW w:w="3685" w:type="dxa"/>
          </w:tcPr>
          <w:p w14:paraId="376972F6" w14:textId="29C81B06"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American Indian or Alaskan Native</w:t>
            </w:r>
          </w:p>
        </w:tc>
        <w:tc>
          <w:tcPr>
            <w:tcW w:w="1170" w:type="dxa"/>
          </w:tcPr>
          <w:p w14:paraId="404A492C"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7CE60103"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1EC1BCBD"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636C09AD" w14:textId="766CA030"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0.03</w:t>
            </w:r>
          </w:p>
        </w:tc>
        <w:tc>
          <w:tcPr>
            <w:tcW w:w="1080" w:type="dxa"/>
            <w:vAlign w:val="center"/>
          </w:tcPr>
          <w:p w14:paraId="42BC2889" w14:textId="7D42B4EB"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0.04</w:t>
            </w:r>
          </w:p>
        </w:tc>
        <w:tc>
          <w:tcPr>
            <w:tcW w:w="1080" w:type="dxa"/>
            <w:vAlign w:val="center"/>
          </w:tcPr>
          <w:p w14:paraId="476BDED2" w14:textId="0323931C"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0.5445</w:t>
            </w:r>
          </w:p>
        </w:tc>
      </w:tr>
      <w:tr w:rsidR="00714EDD" w:rsidRPr="00FC6074" w14:paraId="36EB862B" w14:textId="77777777" w:rsidTr="007E4F84">
        <w:trPr>
          <w:trHeight w:val="114"/>
        </w:trPr>
        <w:tc>
          <w:tcPr>
            <w:tcW w:w="3685" w:type="dxa"/>
          </w:tcPr>
          <w:p w14:paraId="4CC9CD16" w14:textId="313D409D" w:rsidR="00714EDD" w:rsidRPr="00FC6074" w:rsidRDefault="00714EDD" w:rsidP="005C7C30">
            <w:pPr>
              <w:autoSpaceDE w:val="0"/>
              <w:autoSpaceDN w:val="0"/>
              <w:adjustRightInd w:val="0"/>
              <w:spacing w:after="0" w:line="240" w:lineRule="auto"/>
              <w:rPr>
                <w:rFonts w:eastAsiaTheme="minorHAnsi" w:cs="Calibri"/>
                <w:color w:val="C00000"/>
              </w:rPr>
            </w:pPr>
            <w:r w:rsidRPr="00FC6074">
              <w:rPr>
                <w:rFonts w:eastAsiaTheme="minorHAnsi" w:cs="Calibri"/>
                <w:color w:val="C00000"/>
              </w:rPr>
              <w:t>Other</w:t>
            </w:r>
          </w:p>
        </w:tc>
        <w:tc>
          <w:tcPr>
            <w:tcW w:w="1170" w:type="dxa"/>
          </w:tcPr>
          <w:p w14:paraId="03F9410B"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0C40F3EE"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080" w:type="dxa"/>
          </w:tcPr>
          <w:p w14:paraId="32DA9607" w14:textId="77777777" w:rsidR="00714EDD" w:rsidRPr="00FC6074" w:rsidRDefault="00714EDD" w:rsidP="00026038">
            <w:pPr>
              <w:autoSpaceDE w:val="0"/>
              <w:autoSpaceDN w:val="0"/>
              <w:adjustRightInd w:val="0"/>
              <w:spacing w:after="0" w:line="240" w:lineRule="auto"/>
              <w:jc w:val="right"/>
              <w:rPr>
                <w:rFonts w:ascii="Calibri" w:hAnsi="Calibri" w:cs="Calibri"/>
                <w:color w:val="C00000"/>
              </w:rPr>
            </w:pPr>
          </w:p>
        </w:tc>
        <w:tc>
          <w:tcPr>
            <w:tcW w:w="1170" w:type="dxa"/>
            <w:vAlign w:val="center"/>
          </w:tcPr>
          <w:p w14:paraId="74CDA7E5" w14:textId="097260D3" w:rsidR="00714EDD" w:rsidRPr="00FC6074" w:rsidRDefault="00714EDD" w:rsidP="0002603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10AEF368" w14:textId="68679871"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22BC8FF6" w14:textId="69500875" w:rsidR="00714EDD" w:rsidRPr="00FC6074" w:rsidRDefault="00714EDD" w:rsidP="008677F9">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0.2045</w:t>
            </w:r>
          </w:p>
        </w:tc>
      </w:tr>
      <w:tr w:rsidR="00C32DB8" w:rsidRPr="00FC6074" w14:paraId="51A4BE24" w14:textId="77777777" w:rsidTr="007E4F84">
        <w:trPr>
          <w:trHeight w:val="114"/>
        </w:trPr>
        <w:tc>
          <w:tcPr>
            <w:tcW w:w="3685" w:type="dxa"/>
          </w:tcPr>
          <w:p w14:paraId="71ACF484"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Age Spline</w:t>
            </w:r>
            <w:r w:rsidRPr="00FC6074">
              <w:rPr>
                <w:rFonts w:eastAsiaTheme="minorHAnsi" w:cs="Calibri"/>
                <w:color w:val="C00000"/>
                <w:vertAlign w:val="superscript"/>
              </w:rPr>
              <w:t>*</w:t>
            </w:r>
            <w:r w:rsidRPr="00FC6074">
              <w:rPr>
                <w:rFonts w:eastAsiaTheme="minorHAnsi" w:cs="Calibri"/>
                <w:color w:val="C00000"/>
              </w:rPr>
              <w:t xml:space="preserve"> (0-13)</w:t>
            </w:r>
          </w:p>
        </w:tc>
        <w:tc>
          <w:tcPr>
            <w:tcW w:w="1170" w:type="dxa"/>
            <w:vAlign w:val="center"/>
          </w:tcPr>
          <w:p w14:paraId="3598ED12" w14:textId="5034716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46CB9BF0" w14:textId="06EEC52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0C2A1C35" w14:textId="110D0E2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0.3639</w:t>
            </w:r>
          </w:p>
        </w:tc>
        <w:tc>
          <w:tcPr>
            <w:tcW w:w="1170" w:type="dxa"/>
            <w:vAlign w:val="center"/>
          </w:tcPr>
          <w:p w14:paraId="132D52FC" w14:textId="132EBA99" w:rsidR="00C32DB8" w:rsidRPr="00FC6074" w:rsidRDefault="0045150B" w:rsidP="00C32DB8">
            <w:pPr>
              <w:autoSpaceDE w:val="0"/>
              <w:autoSpaceDN w:val="0"/>
              <w:adjustRightInd w:val="0"/>
              <w:spacing w:after="0" w:line="240" w:lineRule="auto"/>
              <w:jc w:val="right"/>
              <w:rPr>
                <w:rFonts w:eastAsiaTheme="minorHAnsi" w:cs="Calibri"/>
                <w:color w:val="C00000"/>
              </w:rPr>
            </w:pPr>
            <w:r>
              <w:rPr>
                <w:rFonts w:ascii="Calibri" w:hAnsi="Calibri" w:cs="Calibri"/>
                <w:color w:val="C00000"/>
              </w:rPr>
              <w:t>-</w:t>
            </w:r>
            <w:r w:rsidR="00C32DB8" w:rsidRPr="00FC6074">
              <w:rPr>
                <w:rFonts w:ascii="Calibri" w:hAnsi="Calibri" w:cs="Calibri"/>
                <w:color w:val="C00000"/>
              </w:rPr>
              <w:t>0</w:t>
            </w:r>
            <w:r>
              <w:rPr>
                <w:rFonts w:ascii="Calibri" w:hAnsi="Calibri" w:cs="Calibri"/>
                <w:color w:val="C00000"/>
              </w:rPr>
              <w:t>.003</w:t>
            </w:r>
          </w:p>
        </w:tc>
        <w:tc>
          <w:tcPr>
            <w:tcW w:w="1080" w:type="dxa"/>
            <w:vAlign w:val="center"/>
          </w:tcPr>
          <w:p w14:paraId="4CD537BB" w14:textId="79B063B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2AC7E4E4" w14:textId="7EEEE74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0.871</w:t>
            </w:r>
          </w:p>
        </w:tc>
      </w:tr>
      <w:tr w:rsidR="00C32DB8" w:rsidRPr="00FC6074" w14:paraId="13E79A70" w14:textId="77777777" w:rsidTr="007E4F84">
        <w:trPr>
          <w:trHeight w:val="114"/>
        </w:trPr>
        <w:tc>
          <w:tcPr>
            <w:tcW w:w="3685" w:type="dxa"/>
          </w:tcPr>
          <w:p w14:paraId="381F5793"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Age Spline</w:t>
            </w:r>
            <w:r w:rsidRPr="00FC6074">
              <w:rPr>
                <w:rFonts w:eastAsiaTheme="minorHAnsi" w:cs="Calibri"/>
                <w:color w:val="C00000"/>
                <w:vertAlign w:val="superscript"/>
              </w:rPr>
              <w:t>*</w:t>
            </w:r>
            <w:r w:rsidRPr="00FC6074">
              <w:rPr>
                <w:rFonts w:eastAsiaTheme="minorHAnsi" w:cs="Calibri"/>
                <w:color w:val="C00000"/>
              </w:rPr>
              <w:t xml:space="preserve"> (14-59)</w:t>
            </w:r>
          </w:p>
        </w:tc>
        <w:tc>
          <w:tcPr>
            <w:tcW w:w="1170" w:type="dxa"/>
            <w:vAlign w:val="center"/>
          </w:tcPr>
          <w:p w14:paraId="0CBEC4F3" w14:textId="3CE4CA7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0D965966" w14:textId="3038A22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5BF05D98" w14:textId="07B0B6D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56F7CD8" w14:textId="4688E4C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1152729" w14:textId="0684CE9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.0008</w:t>
            </w:r>
          </w:p>
        </w:tc>
        <w:tc>
          <w:tcPr>
            <w:tcW w:w="1080" w:type="dxa"/>
            <w:vAlign w:val="center"/>
          </w:tcPr>
          <w:p w14:paraId="638C2EAD" w14:textId="79B253D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07165CE" w14:textId="77777777" w:rsidTr="007E4F84">
        <w:trPr>
          <w:trHeight w:val="114"/>
        </w:trPr>
        <w:tc>
          <w:tcPr>
            <w:tcW w:w="3685" w:type="dxa"/>
          </w:tcPr>
          <w:p w14:paraId="371C6A4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Age Spline</w:t>
            </w:r>
            <w:r w:rsidRPr="00FC6074">
              <w:rPr>
                <w:rFonts w:eastAsiaTheme="minorHAnsi" w:cs="Calibri"/>
                <w:color w:val="C00000"/>
                <w:vertAlign w:val="superscript"/>
              </w:rPr>
              <w:t>*</w:t>
            </w:r>
            <w:r w:rsidRPr="00FC6074">
              <w:rPr>
                <w:rFonts w:eastAsiaTheme="minorHAnsi" w:cs="Calibri"/>
                <w:color w:val="C00000"/>
              </w:rPr>
              <w:t xml:space="preserve"> (60+)</w:t>
            </w:r>
          </w:p>
        </w:tc>
        <w:tc>
          <w:tcPr>
            <w:tcW w:w="1170" w:type="dxa"/>
            <w:vAlign w:val="center"/>
          </w:tcPr>
          <w:p w14:paraId="4876910D" w14:textId="21630A5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07A783E8" w14:textId="6F90298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407C0923" w14:textId="089536C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0.2038</w:t>
            </w:r>
          </w:p>
        </w:tc>
        <w:tc>
          <w:tcPr>
            <w:tcW w:w="1170" w:type="dxa"/>
            <w:vAlign w:val="center"/>
          </w:tcPr>
          <w:p w14:paraId="582599A7" w14:textId="1962A8D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.0008</w:t>
            </w:r>
          </w:p>
        </w:tc>
        <w:tc>
          <w:tcPr>
            <w:tcW w:w="1080" w:type="dxa"/>
            <w:vAlign w:val="center"/>
          </w:tcPr>
          <w:p w14:paraId="35848B89" w14:textId="3EB7428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.0007</w:t>
            </w:r>
          </w:p>
        </w:tc>
        <w:tc>
          <w:tcPr>
            <w:tcW w:w="1080" w:type="dxa"/>
            <w:vAlign w:val="center"/>
          </w:tcPr>
          <w:p w14:paraId="38E9E7E1" w14:textId="1163FDB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0.2753</w:t>
            </w:r>
          </w:p>
        </w:tc>
      </w:tr>
      <w:tr w:rsidR="00C32DB8" w:rsidRPr="00FC6074" w14:paraId="044894BF" w14:textId="77777777" w:rsidTr="007E4F84">
        <w:trPr>
          <w:trHeight w:val="114"/>
        </w:trPr>
        <w:tc>
          <w:tcPr>
            <w:tcW w:w="3685" w:type="dxa"/>
          </w:tcPr>
          <w:p w14:paraId="195B32C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Cause of ESRD: Diabetes</w:t>
            </w:r>
          </w:p>
        </w:tc>
        <w:tc>
          <w:tcPr>
            <w:tcW w:w="1170" w:type="dxa"/>
            <w:vAlign w:val="center"/>
          </w:tcPr>
          <w:p w14:paraId="0C3E5766" w14:textId="5F62F59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-0.04</w:t>
            </w:r>
          </w:p>
        </w:tc>
        <w:tc>
          <w:tcPr>
            <w:tcW w:w="1080" w:type="dxa"/>
            <w:vAlign w:val="center"/>
          </w:tcPr>
          <w:p w14:paraId="4EAB9655" w14:textId="72755DE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27B31026" w14:textId="1BA046E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0.0083</w:t>
            </w:r>
          </w:p>
        </w:tc>
        <w:tc>
          <w:tcPr>
            <w:tcW w:w="1170" w:type="dxa"/>
            <w:vAlign w:val="center"/>
          </w:tcPr>
          <w:p w14:paraId="5AB6E251" w14:textId="717763D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3515185A" w14:textId="25931FC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5540B77" w14:textId="1835E60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0.0013</w:t>
            </w:r>
          </w:p>
        </w:tc>
      </w:tr>
      <w:tr w:rsidR="00C32DB8" w:rsidRPr="00FC6074" w14:paraId="6DFB470D" w14:textId="77777777" w:rsidTr="007E4F84">
        <w:trPr>
          <w:trHeight w:val="114"/>
        </w:trPr>
        <w:tc>
          <w:tcPr>
            <w:tcW w:w="3685" w:type="dxa"/>
          </w:tcPr>
          <w:p w14:paraId="6F7F25EC" w14:textId="77777777" w:rsidR="00C32DB8" w:rsidRPr="00FC6074" w:rsidRDefault="00C32DB8" w:rsidP="00C32DB8">
            <w:pPr>
              <w:autoSpaceDE w:val="0"/>
              <w:autoSpaceDN w:val="0"/>
              <w:adjustRightInd w:val="0"/>
              <w:spacing w:after="0" w:line="240" w:lineRule="auto"/>
              <w:rPr>
                <w:rFonts w:eastAsiaTheme="minorHAnsi" w:cs="Calibri"/>
                <w:color w:val="C00000"/>
              </w:rPr>
            </w:pPr>
            <w:proofErr w:type="spellStart"/>
            <w:r w:rsidRPr="00FC6074">
              <w:rPr>
                <w:rFonts w:eastAsiaTheme="minorHAnsi" w:cs="Calibri"/>
                <w:color w:val="C00000"/>
              </w:rPr>
              <w:t>Diabetes</w:t>
            </w:r>
            <w:r w:rsidRPr="00FC6074">
              <w:rPr>
                <w:rFonts w:eastAsiaTheme="minorHAnsi" w:cstheme="minorHAnsi"/>
                <w:color w:val="C00000"/>
                <w:vertAlign w:val="superscript"/>
              </w:rPr>
              <w:t>ŧ</w:t>
            </w:r>
            <w:proofErr w:type="spellEnd"/>
            <w:r w:rsidRPr="00FC6074">
              <w:rPr>
                <w:rFonts w:eastAsiaTheme="minorHAnsi" w:cs="Calibri"/>
                <w:color w:val="C00000"/>
              </w:rPr>
              <w:t xml:space="preserve"> </w:t>
            </w:r>
            <w:r w:rsidRPr="00FC6074">
              <w:rPr>
                <w:rFonts w:eastAsiaTheme="minorHAnsi" w:cstheme="minorHAnsi"/>
                <w:color w:val="C00000"/>
              </w:rPr>
              <w:t>×</w:t>
            </w:r>
            <w:r w:rsidRPr="00FC6074">
              <w:rPr>
                <w:rFonts w:eastAsiaTheme="minorHAnsi" w:cs="Calibri"/>
                <w:color w:val="C00000"/>
              </w:rPr>
              <w:t xml:space="preserve"> Age Spline</w:t>
            </w:r>
            <w:r w:rsidRPr="00FC6074">
              <w:rPr>
                <w:rFonts w:eastAsiaTheme="minorHAnsi" w:cs="Calibri"/>
                <w:color w:val="C00000"/>
                <w:vertAlign w:val="superscript"/>
              </w:rPr>
              <w:t>*</w:t>
            </w:r>
            <w:r w:rsidRPr="00FC6074">
              <w:rPr>
                <w:rFonts w:eastAsiaTheme="minorHAnsi" w:cs="Calibri"/>
                <w:color w:val="C00000"/>
              </w:rPr>
              <w:t xml:space="preserve"> (14-59)</w:t>
            </w:r>
          </w:p>
        </w:tc>
        <w:tc>
          <w:tcPr>
            <w:tcW w:w="1170" w:type="dxa"/>
            <w:vAlign w:val="center"/>
          </w:tcPr>
          <w:p w14:paraId="7E3C6E02" w14:textId="6ECCD99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6F5546D3" w14:textId="43C56A1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358AEF7C" w14:textId="078429E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0.0268</w:t>
            </w:r>
          </w:p>
        </w:tc>
        <w:tc>
          <w:tcPr>
            <w:tcW w:w="1170" w:type="dxa"/>
            <w:vAlign w:val="center"/>
          </w:tcPr>
          <w:p w14:paraId="7BDEB3F6" w14:textId="38BC1399" w:rsidR="00C32DB8" w:rsidRPr="00FC6074" w:rsidRDefault="0045150B" w:rsidP="00C32DB8">
            <w:pPr>
              <w:autoSpaceDE w:val="0"/>
              <w:autoSpaceDN w:val="0"/>
              <w:adjustRightInd w:val="0"/>
              <w:spacing w:after="0" w:line="240" w:lineRule="auto"/>
              <w:jc w:val="right"/>
              <w:rPr>
                <w:rFonts w:eastAsiaTheme="minorHAnsi" w:cs="Calibri"/>
                <w:color w:val="C00000"/>
              </w:rPr>
            </w:pPr>
            <w:r>
              <w:rPr>
                <w:rFonts w:ascii="Calibri" w:hAnsi="Calibri" w:cs="Calibri"/>
                <w:color w:val="C00000"/>
              </w:rPr>
              <w:t>-</w:t>
            </w:r>
            <w:r w:rsidR="00C32DB8" w:rsidRPr="00FC6074">
              <w:rPr>
                <w:rFonts w:ascii="Calibri" w:hAnsi="Calibri" w:cs="Calibri"/>
                <w:color w:val="C00000"/>
              </w:rPr>
              <w:t>0</w:t>
            </w:r>
            <w:r>
              <w:rPr>
                <w:rFonts w:ascii="Calibri" w:hAnsi="Calibri" w:cs="Calibri"/>
                <w:color w:val="C00000"/>
              </w:rPr>
              <w:t>.003</w:t>
            </w:r>
          </w:p>
        </w:tc>
        <w:tc>
          <w:tcPr>
            <w:tcW w:w="1080" w:type="dxa"/>
            <w:vAlign w:val="center"/>
          </w:tcPr>
          <w:p w14:paraId="29AACD7E" w14:textId="648DE0E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.001</w:t>
            </w:r>
          </w:p>
        </w:tc>
        <w:tc>
          <w:tcPr>
            <w:tcW w:w="1080" w:type="dxa"/>
            <w:vAlign w:val="center"/>
          </w:tcPr>
          <w:p w14:paraId="189A2E9F" w14:textId="73460D7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0.0038</w:t>
            </w:r>
          </w:p>
        </w:tc>
      </w:tr>
      <w:tr w:rsidR="00C32DB8" w:rsidRPr="00FC6074" w14:paraId="5C02FF6C" w14:textId="77777777" w:rsidTr="007E4F84">
        <w:trPr>
          <w:trHeight w:val="114"/>
        </w:trPr>
        <w:tc>
          <w:tcPr>
            <w:tcW w:w="3685" w:type="dxa"/>
          </w:tcPr>
          <w:p w14:paraId="5BE1ADE4" w14:textId="77777777" w:rsidR="00C32DB8" w:rsidRPr="00FC6074" w:rsidRDefault="00C32DB8" w:rsidP="00C32DB8">
            <w:pPr>
              <w:autoSpaceDE w:val="0"/>
              <w:autoSpaceDN w:val="0"/>
              <w:adjustRightInd w:val="0"/>
              <w:spacing w:after="0" w:line="240" w:lineRule="auto"/>
              <w:rPr>
                <w:rFonts w:eastAsiaTheme="minorHAnsi" w:cs="Calibri"/>
                <w:color w:val="C00000"/>
              </w:rPr>
            </w:pPr>
            <w:proofErr w:type="spellStart"/>
            <w:r w:rsidRPr="00FC6074">
              <w:rPr>
                <w:rFonts w:eastAsiaTheme="minorHAnsi" w:cs="Calibri"/>
                <w:color w:val="C00000"/>
              </w:rPr>
              <w:t>Diabetes</w:t>
            </w:r>
            <w:r w:rsidRPr="00FC6074">
              <w:rPr>
                <w:rFonts w:eastAsiaTheme="minorHAnsi" w:cstheme="minorHAnsi"/>
                <w:color w:val="C00000"/>
                <w:vertAlign w:val="superscript"/>
              </w:rPr>
              <w:t>ŧ</w:t>
            </w:r>
            <w:proofErr w:type="spellEnd"/>
            <w:r w:rsidRPr="00FC6074">
              <w:rPr>
                <w:rFonts w:eastAsiaTheme="minorHAnsi" w:cs="Calibri"/>
                <w:color w:val="C00000"/>
              </w:rPr>
              <w:t xml:space="preserve"> </w:t>
            </w:r>
            <w:r w:rsidRPr="00FC6074">
              <w:rPr>
                <w:rFonts w:eastAsiaTheme="minorHAnsi" w:cstheme="minorHAnsi"/>
                <w:color w:val="C00000"/>
              </w:rPr>
              <w:t>×</w:t>
            </w:r>
            <w:r w:rsidRPr="00FC6074">
              <w:rPr>
                <w:rFonts w:eastAsiaTheme="minorHAnsi" w:cs="Calibri"/>
                <w:color w:val="C00000"/>
              </w:rPr>
              <w:t xml:space="preserve"> Age Spline</w:t>
            </w:r>
            <w:r w:rsidRPr="00FC6074">
              <w:rPr>
                <w:rFonts w:eastAsiaTheme="minorHAnsi" w:cs="Calibri"/>
                <w:color w:val="C00000"/>
                <w:vertAlign w:val="superscript"/>
              </w:rPr>
              <w:t>*</w:t>
            </w:r>
            <w:r w:rsidRPr="00FC6074">
              <w:rPr>
                <w:rFonts w:eastAsiaTheme="minorHAnsi" w:cs="Calibri"/>
                <w:color w:val="C00000"/>
              </w:rPr>
              <w:t xml:space="preserve"> (60)</w:t>
            </w:r>
          </w:p>
        </w:tc>
        <w:tc>
          <w:tcPr>
            <w:tcW w:w="1170" w:type="dxa"/>
            <w:vAlign w:val="center"/>
          </w:tcPr>
          <w:p w14:paraId="0B150E8F" w14:textId="7448878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41DC2E49" w14:textId="1D84A64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w:t>
            </w:r>
          </w:p>
        </w:tc>
        <w:tc>
          <w:tcPr>
            <w:tcW w:w="1080" w:type="dxa"/>
            <w:vAlign w:val="center"/>
          </w:tcPr>
          <w:p w14:paraId="36E8720C" w14:textId="04ECCAD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0.0447</w:t>
            </w:r>
          </w:p>
        </w:tc>
        <w:tc>
          <w:tcPr>
            <w:tcW w:w="1170" w:type="dxa"/>
            <w:vAlign w:val="center"/>
          </w:tcPr>
          <w:p w14:paraId="7BD8DA84" w14:textId="5AAF5E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.003</w:t>
            </w:r>
          </w:p>
        </w:tc>
        <w:tc>
          <w:tcPr>
            <w:tcW w:w="1080" w:type="dxa"/>
            <w:vAlign w:val="center"/>
          </w:tcPr>
          <w:p w14:paraId="49440039" w14:textId="0D17F3E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w:t>
            </w:r>
            <w:r w:rsidR="0045150B">
              <w:rPr>
                <w:rFonts w:ascii="Calibri" w:hAnsi="Calibri" w:cs="Calibri"/>
                <w:color w:val="C00000"/>
              </w:rPr>
              <w:t>.001</w:t>
            </w:r>
          </w:p>
        </w:tc>
        <w:tc>
          <w:tcPr>
            <w:tcW w:w="1080" w:type="dxa"/>
            <w:vAlign w:val="center"/>
          </w:tcPr>
          <w:p w14:paraId="50C977BA" w14:textId="1DCC0F0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0.0108</w:t>
            </w:r>
          </w:p>
        </w:tc>
      </w:tr>
      <w:tr w:rsidR="00C32DB8" w:rsidRPr="00FC6074" w14:paraId="12AEA155" w14:textId="77777777" w:rsidTr="007E4F84">
        <w:trPr>
          <w:trHeight w:val="114"/>
        </w:trPr>
        <w:tc>
          <w:tcPr>
            <w:tcW w:w="3685" w:type="dxa"/>
          </w:tcPr>
          <w:p w14:paraId="7A0DBECD"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Sex: Female</w:t>
            </w:r>
          </w:p>
        </w:tc>
        <w:tc>
          <w:tcPr>
            <w:tcW w:w="1170" w:type="dxa"/>
            <w:vAlign w:val="center"/>
          </w:tcPr>
          <w:p w14:paraId="63403FFD" w14:textId="0B2E5F0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32E3C6AB" w14:textId="0D00E0A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7496E54" w14:textId="75B7D86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C5DC63D" w14:textId="0E6C13C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0.04</w:t>
            </w:r>
          </w:p>
        </w:tc>
        <w:tc>
          <w:tcPr>
            <w:tcW w:w="1080" w:type="dxa"/>
            <w:vAlign w:val="center"/>
          </w:tcPr>
          <w:p w14:paraId="348B1775" w14:textId="49CE927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70FC2BD" w14:textId="14D6E9E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2C4F0E9" w14:textId="77777777" w:rsidTr="007E4F84">
        <w:trPr>
          <w:trHeight w:val="114"/>
        </w:trPr>
        <w:tc>
          <w:tcPr>
            <w:tcW w:w="3685" w:type="dxa"/>
          </w:tcPr>
          <w:p w14:paraId="506FF718"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Presence of high-risk diagnosis at index discharge</w:t>
            </w:r>
          </w:p>
        </w:tc>
        <w:tc>
          <w:tcPr>
            <w:tcW w:w="1170" w:type="dxa"/>
            <w:vAlign w:val="center"/>
          </w:tcPr>
          <w:p w14:paraId="1C22F3BB" w14:textId="28F526C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0.49</w:t>
            </w:r>
          </w:p>
        </w:tc>
        <w:tc>
          <w:tcPr>
            <w:tcW w:w="1080" w:type="dxa"/>
            <w:vAlign w:val="center"/>
          </w:tcPr>
          <w:p w14:paraId="03ED14A5" w14:textId="5FDC9D6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0.03</w:t>
            </w:r>
          </w:p>
        </w:tc>
        <w:tc>
          <w:tcPr>
            <w:tcW w:w="1080" w:type="dxa"/>
            <w:vAlign w:val="center"/>
          </w:tcPr>
          <w:p w14:paraId="393DAAE6" w14:textId="2D8EF90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2673CEA" w14:textId="071A6F0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0.49</w:t>
            </w:r>
          </w:p>
        </w:tc>
        <w:tc>
          <w:tcPr>
            <w:tcW w:w="1080" w:type="dxa"/>
            <w:vAlign w:val="center"/>
          </w:tcPr>
          <w:p w14:paraId="7D98DE1B" w14:textId="58DBE55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0.03</w:t>
            </w:r>
          </w:p>
        </w:tc>
        <w:tc>
          <w:tcPr>
            <w:tcW w:w="1080" w:type="dxa"/>
            <w:vAlign w:val="center"/>
          </w:tcPr>
          <w:p w14:paraId="6C8DB0CF" w14:textId="06FB399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E01542D" w14:textId="77777777" w:rsidTr="007E4F84">
        <w:trPr>
          <w:trHeight w:val="114"/>
        </w:trPr>
        <w:tc>
          <w:tcPr>
            <w:tcW w:w="10345" w:type="dxa"/>
            <w:gridSpan w:val="7"/>
          </w:tcPr>
          <w:p w14:paraId="285AC9ED" w14:textId="0DD212CC" w:rsidR="00C32DB8" w:rsidRPr="00FC6074" w:rsidRDefault="00C32DB8" w:rsidP="00D25018">
            <w:pPr>
              <w:autoSpaceDE w:val="0"/>
              <w:autoSpaceDN w:val="0"/>
              <w:adjustRightInd w:val="0"/>
              <w:spacing w:after="0" w:line="240" w:lineRule="auto"/>
              <w:rPr>
                <w:rFonts w:eastAsiaTheme="minorHAnsi" w:cs="Calibri"/>
                <w:color w:val="C00000"/>
              </w:rPr>
            </w:pPr>
            <w:r w:rsidRPr="00FC6074">
              <w:rPr>
                <w:rFonts w:eastAsiaTheme="minorHAnsi" w:cs="Calibri"/>
                <w:b/>
                <w:bCs/>
                <w:color w:val="C00000"/>
              </w:rPr>
              <w:t xml:space="preserve">Time on ESRD (y) </w:t>
            </w:r>
          </w:p>
        </w:tc>
      </w:tr>
      <w:tr w:rsidR="00C32DB8" w:rsidRPr="00FC6074" w14:paraId="41BB50A0" w14:textId="77777777" w:rsidTr="007E4F84">
        <w:trPr>
          <w:trHeight w:val="114"/>
        </w:trPr>
        <w:tc>
          <w:tcPr>
            <w:tcW w:w="3685" w:type="dxa"/>
          </w:tcPr>
          <w:p w14:paraId="54071C56"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&lt;1 (ref) </w:t>
            </w:r>
          </w:p>
        </w:tc>
        <w:tc>
          <w:tcPr>
            <w:tcW w:w="1170" w:type="dxa"/>
            <w:vAlign w:val="center"/>
          </w:tcPr>
          <w:p w14:paraId="7F89FE41" w14:textId="5DC4F78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6BEBFBDF" w14:textId="685838E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572A8861" w14:textId="1B8BC75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170" w:type="dxa"/>
            <w:vAlign w:val="center"/>
          </w:tcPr>
          <w:p w14:paraId="2FD6EEDA" w14:textId="50BD0C3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6395F257"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0A7EE8F2"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r>
      <w:tr w:rsidR="00C32DB8" w:rsidRPr="00FC6074" w14:paraId="401B4811" w14:textId="77777777" w:rsidTr="007E4F84">
        <w:trPr>
          <w:trHeight w:val="114"/>
        </w:trPr>
        <w:tc>
          <w:tcPr>
            <w:tcW w:w="3685" w:type="dxa"/>
          </w:tcPr>
          <w:p w14:paraId="4A10D34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1–2 </w:t>
            </w:r>
          </w:p>
        </w:tc>
        <w:tc>
          <w:tcPr>
            <w:tcW w:w="1170" w:type="dxa"/>
            <w:vAlign w:val="center"/>
          </w:tcPr>
          <w:p w14:paraId="56B7AAF3" w14:textId="264B06D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0.14</w:t>
            </w:r>
          </w:p>
        </w:tc>
        <w:tc>
          <w:tcPr>
            <w:tcW w:w="1080" w:type="dxa"/>
            <w:vAlign w:val="center"/>
          </w:tcPr>
          <w:p w14:paraId="5F26104E" w14:textId="27530E6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24C6CFB" w14:textId="385B344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bottom"/>
          </w:tcPr>
          <w:p w14:paraId="0285493F" w14:textId="15BEE08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0.13</w:t>
            </w:r>
          </w:p>
        </w:tc>
        <w:tc>
          <w:tcPr>
            <w:tcW w:w="1080" w:type="dxa"/>
            <w:vAlign w:val="bottom"/>
          </w:tcPr>
          <w:p w14:paraId="4E57A730" w14:textId="21445A1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bottom"/>
          </w:tcPr>
          <w:p w14:paraId="13B5CA36" w14:textId="564140E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809B44E" w14:textId="77777777" w:rsidTr="007E4F84">
        <w:trPr>
          <w:trHeight w:val="114"/>
        </w:trPr>
        <w:tc>
          <w:tcPr>
            <w:tcW w:w="3685" w:type="dxa"/>
          </w:tcPr>
          <w:p w14:paraId="71A894D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2–3 </w:t>
            </w:r>
          </w:p>
        </w:tc>
        <w:tc>
          <w:tcPr>
            <w:tcW w:w="1170" w:type="dxa"/>
            <w:vAlign w:val="center"/>
          </w:tcPr>
          <w:p w14:paraId="19F765C4" w14:textId="1DF1FCA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0.14</w:t>
            </w:r>
          </w:p>
        </w:tc>
        <w:tc>
          <w:tcPr>
            <w:tcW w:w="1080" w:type="dxa"/>
            <w:vAlign w:val="center"/>
          </w:tcPr>
          <w:p w14:paraId="4307C960" w14:textId="6776A9F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1CC5320E" w14:textId="4E629ED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bottom"/>
          </w:tcPr>
          <w:p w14:paraId="6B62955B" w14:textId="58FDC18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0.15</w:t>
            </w:r>
          </w:p>
        </w:tc>
        <w:tc>
          <w:tcPr>
            <w:tcW w:w="1080" w:type="dxa"/>
            <w:vAlign w:val="bottom"/>
          </w:tcPr>
          <w:p w14:paraId="4008A624" w14:textId="0CA12ED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bottom"/>
          </w:tcPr>
          <w:p w14:paraId="26DA8414" w14:textId="1E8E170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83308D7" w14:textId="77777777" w:rsidTr="007E4F84">
        <w:trPr>
          <w:trHeight w:val="114"/>
        </w:trPr>
        <w:tc>
          <w:tcPr>
            <w:tcW w:w="3685" w:type="dxa"/>
          </w:tcPr>
          <w:p w14:paraId="1756E14A"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3–6 </w:t>
            </w:r>
          </w:p>
        </w:tc>
        <w:tc>
          <w:tcPr>
            <w:tcW w:w="1170" w:type="dxa"/>
            <w:vAlign w:val="center"/>
          </w:tcPr>
          <w:p w14:paraId="2145CD69" w14:textId="3874E74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0.12</w:t>
            </w:r>
          </w:p>
        </w:tc>
        <w:tc>
          <w:tcPr>
            <w:tcW w:w="1080" w:type="dxa"/>
            <w:vAlign w:val="center"/>
          </w:tcPr>
          <w:p w14:paraId="0DE601CD" w14:textId="77D9D06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BDFC1FB" w14:textId="7A1D0D6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bottom"/>
          </w:tcPr>
          <w:p w14:paraId="7B0D9C43" w14:textId="541E162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bottom"/>
          </w:tcPr>
          <w:p w14:paraId="5430A203" w14:textId="1DB49C0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bottom"/>
          </w:tcPr>
          <w:p w14:paraId="68C427AD" w14:textId="34D2849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71496FA" w14:textId="77777777" w:rsidTr="007E4F84">
        <w:trPr>
          <w:trHeight w:val="114"/>
        </w:trPr>
        <w:tc>
          <w:tcPr>
            <w:tcW w:w="3685" w:type="dxa"/>
          </w:tcPr>
          <w:p w14:paraId="68E6F6A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&gt;6 </w:t>
            </w:r>
          </w:p>
        </w:tc>
        <w:tc>
          <w:tcPr>
            <w:tcW w:w="1170" w:type="dxa"/>
            <w:vAlign w:val="center"/>
          </w:tcPr>
          <w:p w14:paraId="3C9D42D6" w14:textId="479830B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7819DD7C" w14:textId="34919F8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1352E4C5" w14:textId="51A260C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bottom"/>
          </w:tcPr>
          <w:p w14:paraId="7F911046" w14:textId="62218FF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bottom"/>
          </w:tcPr>
          <w:p w14:paraId="7B2A42B0" w14:textId="23BDB9F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bottom"/>
          </w:tcPr>
          <w:p w14:paraId="1F4D647B" w14:textId="4093023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231C42E" w14:textId="77777777" w:rsidTr="007E4F84">
        <w:trPr>
          <w:trHeight w:val="114"/>
        </w:trPr>
        <w:tc>
          <w:tcPr>
            <w:tcW w:w="10345" w:type="dxa"/>
            <w:gridSpan w:val="7"/>
          </w:tcPr>
          <w:p w14:paraId="6BF0DBEB" w14:textId="6E1F23D1"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b/>
                <w:bCs/>
                <w:color w:val="C00000"/>
              </w:rPr>
              <w:t xml:space="preserve">BMI </w:t>
            </w:r>
          </w:p>
        </w:tc>
      </w:tr>
      <w:tr w:rsidR="00C32DB8" w:rsidRPr="00FC6074" w14:paraId="08073976" w14:textId="77777777" w:rsidTr="007E4F84">
        <w:trPr>
          <w:trHeight w:val="114"/>
        </w:trPr>
        <w:tc>
          <w:tcPr>
            <w:tcW w:w="3685" w:type="dxa"/>
          </w:tcPr>
          <w:p w14:paraId="1A3FCB4A"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Underweight </w:t>
            </w:r>
          </w:p>
        </w:tc>
        <w:tc>
          <w:tcPr>
            <w:tcW w:w="1170" w:type="dxa"/>
            <w:vAlign w:val="center"/>
          </w:tcPr>
          <w:p w14:paraId="4631303A" w14:textId="5D677E7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0.03</w:t>
            </w:r>
          </w:p>
        </w:tc>
        <w:tc>
          <w:tcPr>
            <w:tcW w:w="1080" w:type="dxa"/>
            <w:vAlign w:val="center"/>
          </w:tcPr>
          <w:p w14:paraId="6813FBF5" w14:textId="666C9D8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61B5CC81" w14:textId="6FE5657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0.1554</w:t>
            </w:r>
          </w:p>
        </w:tc>
        <w:tc>
          <w:tcPr>
            <w:tcW w:w="1170" w:type="dxa"/>
            <w:vAlign w:val="center"/>
          </w:tcPr>
          <w:p w14:paraId="1C66A0AA" w14:textId="7059F5A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282E57E0" w14:textId="4FCD377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14EDF61B" w14:textId="0ED4951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0.318</w:t>
            </w:r>
          </w:p>
        </w:tc>
      </w:tr>
      <w:tr w:rsidR="00C32DB8" w:rsidRPr="00FC6074" w14:paraId="4C43F27C" w14:textId="77777777" w:rsidTr="007E4F84">
        <w:trPr>
          <w:trHeight w:val="114"/>
        </w:trPr>
        <w:tc>
          <w:tcPr>
            <w:tcW w:w="3685" w:type="dxa"/>
          </w:tcPr>
          <w:p w14:paraId="18341A9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Normal Weight (ref) </w:t>
            </w:r>
          </w:p>
        </w:tc>
        <w:tc>
          <w:tcPr>
            <w:tcW w:w="1170" w:type="dxa"/>
            <w:vAlign w:val="center"/>
          </w:tcPr>
          <w:p w14:paraId="62CE8CFD" w14:textId="4E72835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2903AD17" w14:textId="1A26477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0D140368" w14:textId="498FD74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170" w:type="dxa"/>
            <w:vAlign w:val="center"/>
          </w:tcPr>
          <w:p w14:paraId="21EBF715" w14:textId="16735D4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7472A243"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6CC7E909"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r>
      <w:tr w:rsidR="00C32DB8" w:rsidRPr="00FC6074" w14:paraId="5D246D5C" w14:textId="77777777" w:rsidTr="007E4F84">
        <w:trPr>
          <w:trHeight w:val="114"/>
        </w:trPr>
        <w:tc>
          <w:tcPr>
            <w:tcW w:w="3685" w:type="dxa"/>
          </w:tcPr>
          <w:p w14:paraId="65BA4E6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Overweight </w:t>
            </w:r>
          </w:p>
        </w:tc>
        <w:tc>
          <w:tcPr>
            <w:tcW w:w="1170" w:type="dxa"/>
            <w:vAlign w:val="center"/>
          </w:tcPr>
          <w:p w14:paraId="6E5D1E71" w14:textId="2E418F3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0565BA22" w14:textId="2420DA9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2AA25F2D" w14:textId="1B6EE55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75E603E" w14:textId="53D35B2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-0.04</w:t>
            </w:r>
          </w:p>
        </w:tc>
        <w:tc>
          <w:tcPr>
            <w:tcW w:w="1080" w:type="dxa"/>
            <w:vAlign w:val="center"/>
          </w:tcPr>
          <w:p w14:paraId="3A9F056A" w14:textId="0EB99BD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19F73A7" w14:textId="019D078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0.0005</w:t>
            </w:r>
          </w:p>
        </w:tc>
      </w:tr>
      <w:tr w:rsidR="00C32DB8" w:rsidRPr="00FC6074" w14:paraId="624B9FFB" w14:textId="77777777" w:rsidTr="007E4F84">
        <w:trPr>
          <w:trHeight w:val="114"/>
        </w:trPr>
        <w:tc>
          <w:tcPr>
            <w:tcW w:w="3685" w:type="dxa"/>
          </w:tcPr>
          <w:p w14:paraId="59845C4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Obese </w:t>
            </w:r>
          </w:p>
        </w:tc>
        <w:tc>
          <w:tcPr>
            <w:tcW w:w="1170" w:type="dxa"/>
            <w:vAlign w:val="center"/>
          </w:tcPr>
          <w:p w14:paraId="14B52E5D" w14:textId="0861189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05C05465" w14:textId="0FF843F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E72596B" w14:textId="4254845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5D41C41" w14:textId="322A1D5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754CC001" w14:textId="312ED7D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C6ED0C4" w14:textId="6D1AAE9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E3CD96E" w14:textId="77777777" w:rsidTr="007E4F84">
        <w:trPr>
          <w:trHeight w:val="114"/>
        </w:trPr>
        <w:tc>
          <w:tcPr>
            <w:tcW w:w="10345" w:type="dxa"/>
            <w:gridSpan w:val="7"/>
          </w:tcPr>
          <w:p w14:paraId="0A45438B" w14:textId="43DD3696"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b/>
                <w:bCs/>
                <w:color w:val="C00000"/>
              </w:rPr>
              <w:t xml:space="preserve">Length of Index Hospitalization (days) </w:t>
            </w:r>
          </w:p>
        </w:tc>
      </w:tr>
      <w:tr w:rsidR="00C32DB8" w:rsidRPr="00FC6074" w14:paraId="6823E685" w14:textId="77777777" w:rsidTr="007E4F84">
        <w:trPr>
          <w:trHeight w:val="114"/>
        </w:trPr>
        <w:tc>
          <w:tcPr>
            <w:tcW w:w="3685" w:type="dxa"/>
          </w:tcPr>
          <w:p w14:paraId="1F6E11B4"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Quartile 1 (ref) </w:t>
            </w:r>
          </w:p>
        </w:tc>
        <w:tc>
          <w:tcPr>
            <w:tcW w:w="1170" w:type="dxa"/>
            <w:vAlign w:val="center"/>
          </w:tcPr>
          <w:p w14:paraId="7BC844E6" w14:textId="3F66ECF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4D0816B4" w14:textId="6A9E231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4A5BC7A3" w14:textId="4FB3FA6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170" w:type="dxa"/>
            <w:vAlign w:val="center"/>
          </w:tcPr>
          <w:p w14:paraId="5CA9D778" w14:textId="07AC65C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7ABBEF75"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16DE45AE"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r>
      <w:tr w:rsidR="00C32DB8" w:rsidRPr="00FC6074" w14:paraId="61A7A27E" w14:textId="77777777" w:rsidTr="007E4F84">
        <w:trPr>
          <w:trHeight w:val="114"/>
        </w:trPr>
        <w:tc>
          <w:tcPr>
            <w:tcW w:w="3685" w:type="dxa"/>
          </w:tcPr>
          <w:p w14:paraId="444F730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Quartile 2 </w:t>
            </w:r>
          </w:p>
        </w:tc>
        <w:tc>
          <w:tcPr>
            <w:tcW w:w="1170" w:type="dxa"/>
            <w:vAlign w:val="center"/>
          </w:tcPr>
          <w:p w14:paraId="20347132" w14:textId="4699EFE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16E74FCD" w14:textId="1A942F8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2ED2DA2" w14:textId="41F02F0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6FBBC6A" w14:textId="3E06A6A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7277FA2F" w14:textId="12CEA1C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7FC5C871" w14:textId="1C2029E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A53A364" w14:textId="77777777" w:rsidTr="007E4F84">
        <w:trPr>
          <w:trHeight w:val="114"/>
        </w:trPr>
        <w:tc>
          <w:tcPr>
            <w:tcW w:w="3685" w:type="dxa"/>
          </w:tcPr>
          <w:p w14:paraId="771196F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Quartile 3 </w:t>
            </w:r>
          </w:p>
        </w:tc>
        <w:tc>
          <w:tcPr>
            <w:tcW w:w="1170" w:type="dxa"/>
            <w:vAlign w:val="center"/>
          </w:tcPr>
          <w:p w14:paraId="3611533D" w14:textId="3647EE7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0.13</w:t>
            </w:r>
          </w:p>
        </w:tc>
        <w:tc>
          <w:tcPr>
            <w:tcW w:w="1080" w:type="dxa"/>
            <w:vAlign w:val="center"/>
          </w:tcPr>
          <w:p w14:paraId="51B31616" w14:textId="009502F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E633C68" w14:textId="6F9E564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8D93760" w14:textId="1FFC889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0.14</w:t>
            </w:r>
          </w:p>
        </w:tc>
        <w:tc>
          <w:tcPr>
            <w:tcW w:w="1080" w:type="dxa"/>
            <w:vAlign w:val="center"/>
          </w:tcPr>
          <w:p w14:paraId="402E602D" w14:textId="14C51AF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E2C7364" w14:textId="68A886A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B91BB0C" w14:textId="77777777" w:rsidTr="007E4F84">
        <w:trPr>
          <w:trHeight w:val="114"/>
        </w:trPr>
        <w:tc>
          <w:tcPr>
            <w:tcW w:w="3685" w:type="dxa"/>
          </w:tcPr>
          <w:p w14:paraId="15AFE190"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 xml:space="preserve">Quartile 4 </w:t>
            </w:r>
          </w:p>
        </w:tc>
        <w:tc>
          <w:tcPr>
            <w:tcW w:w="1170" w:type="dxa"/>
            <w:vAlign w:val="center"/>
          </w:tcPr>
          <w:p w14:paraId="52429C40" w14:textId="2860B84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0.27</w:t>
            </w:r>
          </w:p>
        </w:tc>
        <w:tc>
          <w:tcPr>
            <w:tcW w:w="1080" w:type="dxa"/>
            <w:vAlign w:val="center"/>
          </w:tcPr>
          <w:p w14:paraId="60711944" w14:textId="2189B8E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DE3339F" w14:textId="3B86881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76D0790" w14:textId="201149A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0.27</w:t>
            </w:r>
          </w:p>
        </w:tc>
        <w:tc>
          <w:tcPr>
            <w:tcW w:w="1080" w:type="dxa"/>
            <w:vAlign w:val="center"/>
          </w:tcPr>
          <w:p w14:paraId="4CC7E645" w14:textId="18D1D62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BD9BF6E" w14:textId="45111E7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D05AA2B" w14:textId="77777777" w:rsidTr="007E4F84">
        <w:trPr>
          <w:trHeight w:val="114"/>
        </w:trPr>
        <w:tc>
          <w:tcPr>
            <w:tcW w:w="3685" w:type="dxa"/>
          </w:tcPr>
          <w:p w14:paraId="00C19E45"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Medicare Advantage</w:t>
            </w:r>
          </w:p>
        </w:tc>
        <w:tc>
          <w:tcPr>
            <w:tcW w:w="1170" w:type="dxa"/>
            <w:vAlign w:val="center"/>
          </w:tcPr>
          <w:p w14:paraId="7CDDCADB" w14:textId="331F0FC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63BC2765" w14:textId="49AE0F9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4404700" w14:textId="35986E0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EE1678E" w14:textId="4040468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484E65B0" w14:textId="1450FFF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29FF1A3" w14:textId="027991E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6E7E0D67" w14:textId="77777777" w:rsidTr="007E4F84">
        <w:trPr>
          <w:trHeight w:val="114"/>
        </w:trPr>
        <w:tc>
          <w:tcPr>
            <w:tcW w:w="3685" w:type="dxa"/>
          </w:tcPr>
          <w:p w14:paraId="6D5E170D" w14:textId="77777777" w:rsidR="00C32DB8" w:rsidRPr="00FC6074" w:rsidRDefault="00C32DB8" w:rsidP="00C32DB8">
            <w:pPr>
              <w:autoSpaceDE w:val="0"/>
              <w:autoSpaceDN w:val="0"/>
              <w:adjustRightInd w:val="0"/>
              <w:spacing w:after="0" w:line="240" w:lineRule="auto"/>
              <w:rPr>
                <w:rFonts w:eastAsiaTheme="minorHAnsi" w:cs="Calibri"/>
                <w:b/>
                <w:color w:val="C00000"/>
              </w:rPr>
            </w:pPr>
            <w:r w:rsidRPr="00FC6074">
              <w:rPr>
                <w:rFonts w:eastAsiaTheme="minorHAnsi" w:cs="Calibri"/>
                <w:b/>
                <w:color w:val="C00000"/>
              </w:rPr>
              <w:t>Nursing Home Status (past year)</w:t>
            </w:r>
          </w:p>
        </w:tc>
        <w:tc>
          <w:tcPr>
            <w:tcW w:w="1170" w:type="dxa"/>
            <w:vAlign w:val="center"/>
          </w:tcPr>
          <w:p w14:paraId="5B60B8BB" w14:textId="77777777" w:rsidR="00C32DB8" w:rsidRPr="00FC6074" w:rsidRDefault="00C32DB8" w:rsidP="00C32DB8">
            <w:pPr>
              <w:autoSpaceDE w:val="0"/>
              <w:autoSpaceDN w:val="0"/>
              <w:adjustRightInd w:val="0"/>
              <w:spacing w:after="0" w:line="240" w:lineRule="auto"/>
              <w:rPr>
                <w:rFonts w:eastAsiaTheme="minorHAnsi" w:cs="Calibri"/>
                <w:color w:val="C00000"/>
              </w:rPr>
            </w:pPr>
          </w:p>
        </w:tc>
        <w:tc>
          <w:tcPr>
            <w:tcW w:w="1080" w:type="dxa"/>
            <w:vAlign w:val="center"/>
          </w:tcPr>
          <w:p w14:paraId="289BD67F" w14:textId="77777777" w:rsidR="00C32DB8" w:rsidRPr="00FC6074" w:rsidRDefault="00C32DB8" w:rsidP="00C32DB8">
            <w:pPr>
              <w:autoSpaceDE w:val="0"/>
              <w:autoSpaceDN w:val="0"/>
              <w:adjustRightInd w:val="0"/>
              <w:spacing w:after="0" w:line="240" w:lineRule="auto"/>
              <w:rPr>
                <w:rFonts w:eastAsiaTheme="minorHAnsi" w:cs="Calibri"/>
                <w:color w:val="C00000"/>
              </w:rPr>
            </w:pPr>
          </w:p>
        </w:tc>
        <w:tc>
          <w:tcPr>
            <w:tcW w:w="1080" w:type="dxa"/>
            <w:vAlign w:val="center"/>
          </w:tcPr>
          <w:p w14:paraId="7D808393" w14:textId="77777777" w:rsidR="00C32DB8" w:rsidRPr="00FC6074" w:rsidRDefault="00C32DB8" w:rsidP="00C32DB8">
            <w:pPr>
              <w:autoSpaceDE w:val="0"/>
              <w:autoSpaceDN w:val="0"/>
              <w:adjustRightInd w:val="0"/>
              <w:spacing w:after="0" w:line="240" w:lineRule="auto"/>
              <w:rPr>
                <w:rFonts w:eastAsiaTheme="minorHAnsi" w:cs="Calibri"/>
                <w:color w:val="C00000"/>
              </w:rPr>
            </w:pPr>
          </w:p>
        </w:tc>
        <w:tc>
          <w:tcPr>
            <w:tcW w:w="1170" w:type="dxa"/>
            <w:vAlign w:val="center"/>
          </w:tcPr>
          <w:p w14:paraId="4DA73FFD" w14:textId="70F0A7C2" w:rsidR="00C32DB8" w:rsidRPr="00FC6074" w:rsidRDefault="00C32DB8" w:rsidP="00C32DB8">
            <w:pPr>
              <w:autoSpaceDE w:val="0"/>
              <w:autoSpaceDN w:val="0"/>
              <w:adjustRightInd w:val="0"/>
              <w:spacing w:after="0" w:line="240" w:lineRule="auto"/>
              <w:rPr>
                <w:rFonts w:eastAsiaTheme="minorHAnsi" w:cs="Calibri"/>
                <w:color w:val="C00000"/>
              </w:rPr>
            </w:pPr>
          </w:p>
        </w:tc>
        <w:tc>
          <w:tcPr>
            <w:tcW w:w="1080" w:type="dxa"/>
            <w:vAlign w:val="center"/>
          </w:tcPr>
          <w:p w14:paraId="244EA6E7" w14:textId="77777777" w:rsidR="00C32DB8" w:rsidRPr="00FC6074" w:rsidRDefault="00C32DB8" w:rsidP="00C32DB8">
            <w:pPr>
              <w:autoSpaceDE w:val="0"/>
              <w:autoSpaceDN w:val="0"/>
              <w:adjustRightInd w:val="0"/>
              <w:spacing w:after="0" w:line="240" w:lineRule="auto"/>
              <w:rPr>
                <w:rFonts w:eastAsiaTheme="minorHAnsi" w:cs="Calibri"/>
                <w:color w:val="C00000"/>
              </w:rPr>
            </w:pPr>
          </w:p>
        </w:tc>
        <w:tc>
          <w:tcPr>
            <w:tcW w:w="1080" w:type="dxa"/>
            <w:vAlign w:val="center"/>
          </w:tcPr>
          <w:p w14:paraId="7865A529" w14:textId="77777777" w:rsidR="00C32DB8" w:rsidRPr="00FC6074" w:rsidRDefault="00C32DB8" w:rsidP="00C32DB8">
            <w:pPr>
              <w:autoSpaceDE w:val="0"/>
              <w:autoSpaceDN w:val="0"/>
              <w:adjustRightInd w:val="0"/>
              <w:spacing w:after="0" w:line="240" w:lineRule="auto"/>
              <w:rPr>
                <w:rFonts w:eastAsiaTheme="minorHAnsi" w:cs="Calibri"/>
                <w:color w:val="C00000"/>
              </w:rPr>
            </w:pPr>
          </w:p>
        </w:tc>
      </w:tr>
      <w:tr w:rsidR="00C32DB8" w:rsidRPr="00FC6074" w14:paraId="482C0677" w14:textId="77777777" w:rsidTr="007E4F84">
        <w:trPr>
          <w:trHeight w:val="114"/>
        </w:trPr>
        <w:tc>
          <w:tcPr>
            <w:tcW w:w="3685" w:type="dxa"/>
          </w:tcPr>
          <w:p w14:paraId="74D51DD4"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No days spent in nursing home</w:t>
            </w:r>
          </w:p>
        </w:tc>
        <w:tc>
          <w:tcPr>
            <w:tcW w:w="1170" w:type="dxa"/>
            <w:vAlign w:val="center"/>
          </w:tcPr>
          <w:p w14:paraId="5134F5AD" w14:textId="33C173B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77C1CE81" w14:textId="1F80C1F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611C10D7" w14:textId="299D169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170" w:type="dxa"/>
            <w:vAlign w:val="center"/>
          </w:tcPr>
          <w:p w14:paraId="2EE64022" w14:textId="46449C8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52372467"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c>
          <w:tcPr>
            <w:tcW w:w="1080" w:type="dxa"/>
            <w:vAlign w:val="center"/>
          </w:tcPr>
          <w:p w14:paraId="287C6B45" w14:textId="777777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eastAsiaTheme="minorHAnsi" w:cs="Calibri"/>
                <w:color w:val="C00000"/>
              </w:rPr>
              <w:t xml:space="preserve">— </w:t>
            </w:r>
          </w:p>
        </w:tc>
      </w:tr>
      <w:tr w:rsidR="00C32DB8" w:rsidRPr="00FC6074" w14:paraId="1F302094" w14:textId="77777777" w:rsidTr="007E4F84">
        <w:trPr>
          <w:trHeight w:val="114"/>
        </w:trPr>
        <w:tc>
          <w:tcPr>
            <w:tcW w:w="3685" w:type="dxa"/>
          </w:tcPr>
          <w:p w14:paraId="5C00D93F"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1 to 89 days spent in nursing home</w:t>
            </w:r>
          </w:p>
        </w:tc>
        <w:tc>
          <w:tcPr>
            <w:tcW w:w="1170" w:type="dxa"/>
            <w:vAlign w:val="center"/>
          </w:tcPr>
          <w:p w14:paraId="132B045D" w14:textId="0A776E4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74531DDA" w14:textId="22CD623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3AD2BA2" w14:textId="3C3DD76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79B33CF" w14:textId="0CBEEA3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0.04</w:t>
            </w:r>
          </w:p>
        </w:tc>
        <w:tc>
          <w:tcPr>
            <w:tcW w:w="1080" w:type="dxa"/>
            <w:vAlign w:val="center"/>
          </w:tcPr>
          <w:p w14:paraId="081F5196" w14:textId="6A46B00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489A29D" w14:textId="34DBE81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8493A38" w14:textId="77777777" w:rsidTr="007E4F84">
        <w:trPr>
          <w:trHeight w:val="114"/>
        </w:trPr>
        <w:tc>
          <w:tcPr>
            <w:tcW w:w="3685" w:type="dxa"/>
          </w:tcPr>
          <w:p w14:paraId="145E8271" w14:textId="77777777"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color w:val="C00000"/>
              </w:rPr>
              <w:t>90 or more days spent in nursing home</w:t>
            </w:r>
          </w:p>
        </w:tc>
        <w:tc>
          <w:tcPr>
            <w:tcW w:w="1170" w:type="dxa"/>
            <w:vAlign w:val="center"/>
          </w:tcPr>
          <w:p w14:paraId="7873597E" w14:textId="2B7E960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-0.03</w:t>
            </w:r>
          </w:p>
        </w:tc>
        <w:tc>
          <w:tcPr>
            <w:tcW w:w="1080" w:type="dxa"/>
            <w:vAlign w:val="center"/>
          </w:tcPr>
          <w:p w14:paraId="7C3D1DA6" w14:textId="324ED9D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FA75247" w14:textId="16090A7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0.0205</w:t>
            </w:r>
          </w:p>
        </w:tc>
        <w:tc>
          <w:tcPr>
            <w:tcW w:w="1170" w:type="dxa"/>
            <w:vAlign w:val="center"/>
          </w:tcPr>
          <w:p w14:paraId="08BEF721" w14:textId="156FAE0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211B6ACE" w14:textId="29BDD80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3DD350E" w14:textId="7314EB7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0.0004</w:t>
            </w:r>
          </w:p>
        </w:tc>
      </w:tr>
      <w:tr w:rsidR="00C32DB8" w:rsidRPr="00FC6074" w14:paraId="309209C6" w14:textId="77777777" w:rsidTr="007E4F84">
        <w:trPr>
          <w:trHeight w:val="114"/>
        </w:trPr>
        <w:tc>
          <w:tcPr>
            <w:tcW w:w="10345" w:type="dxa"/>
            <w:gridSpan w:val="7"/>
          </w:tcPr>
          <w:p w14:paraId="3C4B51E8" w14:textId="610C5A10" w:rsidR="00C32DB8" w:rsidRPr="00FC6074" w:rsidRDefault="00C32DB8" w:rsidP="00C32DB8">
            <w:pPr>
              <w:autoSpaceDE w:val="0"/>
              <w:autoSpaceDN w:val="0"/>
              <w:adjustRightInd w:val="0"/>
              <w:spacing w:after="0" w:line="240" w:lineRule="auto"/>
              <w:rPr>
                <w:rFonts w:eastAsiaTheme="minorHAnsi" w:cs="Calibri"/>
                <w:color w:val="C00000"/>
              </w:rPr>
            </w:pPr>
            <w:r w:rsidRPr="00FC6074">
              <w:rPr>
                <w:rFonts w:eastAsiaTheme="minorHAnsi" w:cs="Calibri"/>
                <w:b/>
                <w:bCs/>
                <w:color w:val="C00000"/>
              </w:rPr>
              <w:t xml:space="preserve">Comorbidity (past year) </w:t>
            </w:r>
          </w:p>
        </w:tc>
      </w:tr>
      <w:tr w:rsidR="00C32DB8" w:rsidRPr="00FC6074" w14:paraId="59E59A26" w14:textId="77777777" w:rsidTr="007E4F84">
        <w:trPr>
          <w:trHeight w:val="114"/>
        </w:trPr>
        <w:tc>
          <w:tcPr>
            <w:tcW w:w="3685" w:type="dxa"/>
            <w:vAlign w:val="bottom"/>
          </w:tcPr>
          <w:p w14:paraId="6D8DB842" w14:textId="6594705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6: Hepatitis</w:t>
            </w:r>
          </w:p>
        </w:tc>
        <w:tc>
          <w:tcPr>
            <w:tcW w:w="1170" w:type="dxa"/>
            <w:vAlign w:val="center"/>
          </w:tcPr>
          <w:p w14:paraId="1EB588F8" w14:textId="644E2B0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35544D10" w14:textId="25D54C7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7E1D36C6" w14:textId="02E2349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0E2B92E" w14:textId="1FFBECB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44E707A1" w14:textId="6D880EE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E1C974F" w14:textId="17B0FE6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E4A2142" w14:textId="77777777" w:rsidTr="007E4F84">
        <w:trPr>
          <w:trHeight w:val="114"/>
        </w:trPr>
        <w:tc>
          <w:tcPr>
            <w:tcW w:w="3685" w:type="dxa"/>
            <w:vAlign w:val="bottom"/>
          </w:tcPr>
          <w:p w14:paraId="585785BC" w14:textId="0AA65CE6"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 Immunizations and screening for infectious disease</w:t>
            </w:r>
          </w:p>
        </w:tc>
        <w:tc>
          <w:tcPr>
            <w:tcW w:w="1170" w:type="dxa"/>
            <w:vAlign w:val="center"/>
          </w:tcPr>
          <w:p w14:paraId="3051FBCE" w14:textId="3B0743E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5435D9AA" w14:textId="20C54C6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0EC21B4" w14:textId="4C11584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0.0003</w:t>
            </w:r>
          </w:p>
        </w:tc>
        <w:tc>
          <w:tcPr>
            <w:tcW w:w="1170" w:type="dxa"/>
            <w:vAlign w:val="center"/>
          </w:tcPr>
          <w:p w14:paraId="30B266A6" w14:textId="41CB539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4718B09E" w14:textId="7920A36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93C6DB9" w14:textId="7428FE6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301E997" w14:textId="77777777" w:rsidTr="007E4F84">
        <w:trPr>
          <w:trHeight w:val="114"/>
        </w:trPr>
        <w:tc>
          <w:tcPr>
            <w:tcW w:w="3685" w:type="dxa"/>
            <w:vAlign w:val="bottom"/>
          </w:tcPr>
          <w:p w14:paraId="3CEAACA8" w14:textId="2B46AC3D"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42: Secondary malignancies</w:t>
            </w:r>
          </w:p>
        </w:tc>
        <w:tc>
          <w:tcPr>
            <w:tcW w:w="1170" w:type="dxa"/>
            <w:vAlign w:val="center"/>
          </w:tcPr>
          <w:p w14:paraId="3F125410" w14:textId="5074402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0.34</w:t>
            </w:r>
          </w:p>
        </w:tc>
        <w:tc>
          <w:tcPr>
            <w:tcW w:w="1080" w:type="dxa"/>
            <w:vAlign w:val="center"/>
          </w:tcPr>
          <w:p w14:paraId="3D2FBC02" w14:textId="16CD35D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0.03</w:t>
            </w:r>
          </w:p>
        </w:tc>
        <w:tc>
          <w:tcPr>
            <w:tcW w:w="1080" w:type="dxa"/>
            <w:vAlign w:val="center"/>
          </w:tcPr>
          <w:p w14:paraId="6B4C7C87" w14:textId="59982D2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1EE6E0B" w14:textId="6DD5D32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0.35</w:t>
            </w:r>
          </w:p>
        </w:tc>
        <w:tc>
          <w:tcPr>
            <w:tcW w:w="1080" w:type="dxa"/>
            <w:vAlign w:val="center"/>
          </w:tcPr>
          <w:p w14:paraId="03005AA4" w14:textId="0F9E66F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0.03</w:t>
            </w:r>
          </w:p>
        </w:tc>
        <w:tc>
          <w:tcPr>
            <w:tcW w:w="1080" w:type="dxa"/>
            <w:vAlign w:val="center"/>
          </w:tcPr>
          <w:p w14:paraId="3FA1F35C" w14:textId="4AE0102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1FEF53A" w14:textId="77777777" w:rsidTr="007E4F84">
        <w:trPr>
          <w:trHeight w:val="114"/>
        </w:trPr>
        <w:tc>
          <w:tcPr>
            <w:tcW w:w="3685" w:type="dxa"/>
            <w:vAlign w:val="bottom"/>
          </w:tcPr>
          <w:p w14:paraId="3B6B162E" w14:textId="514A5AFA"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50: Diabetes mellitus with complications</w:t>
            </w:r>
          </w:p>
        </w:tc>
        <w:tc>
          <w:tcPr>
            <w:tcW w:w="1170" w:type="dxa"/>
            <w:vAlign w:val="center"/>
          </w:tcPr>
          <w:p w14:paraId="1F339142" w14:textId="3E0866F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18584B59" w14:textId="6363D87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0E4F5BEB" w14:textId="087538C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63EB1C3" w14:textId="7052452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7E365184" w14:textId="04EB2CA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4E22054" w14:textId="4D1C93C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EC0511F" w14:textId="77777777" w:rsidTr="007E4F84">
        <w:trPr>
          <w:trHeight w:val="114"/>
        </w:trPr>
        <w:tc>
          <w:tcPr>
            <w:tcW w:w="3685" w:type="dxa"/>
            <w:vAlign w:val="bottom"/>
          </w:tcPr>
          <w:p w14:paraId="5D12B38C" w14:textId="2C911937"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51: Other endocrine disorders</w:t>
            </w:r>
          </w:p>
        </w:tc>
        <w:tc>
          <w:tcPr>
            <w:tcW w:w="1170" w:type="dxa"/>
            <w:vAlign w:val="center"/>
          </w:tcPr>
          <w:p w14:paraId="506A0485" w14:textId="141036C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0E3C435A" w14:textId="4D12869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8F08FCA" w14:textId="5AC283A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17ED6E7" w14:textId="1585FDE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6A073BF9" w14:textId="7A34051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294BA6A" w14:textId="38B4E54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2A5A143" w14:textId="77777777" w:rsidTr="007E4F84">
        <w:trPr>
          <w:trHeight w:val="114"/>
        </w:trPr>
        <w:tc>
          <w:tcPr>
            <w:tcW w:w="3685" w:type="dxa"/>
            <w:vAlign w:val="bottom"/>
          </w:tcPr>
          <w:p w14:paraId="02F4D939" w14:textId="55811823"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52: Nutritional deficiencies</w:t>
            </w:r>
          </w:p>
        </w:tc>
        <w:tc>
          <w:tcPr>
            <w:tcW w:w="1170" w:type="dxa"/>
            <w:vAlign w:val="center"/>
          </w:tcPr>
          <w:p w14:paraId="5DEFBBD8" w14:textId="7341A95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w:t>
            </w:r>
          </w:p>
        </w:tc>
        <w:tc>
          <w:tcPr>
            <w:tcW w:w="1080" w:type="dxa"/>
            <w:vAlign w:val="center"/>
          </w:tcPr>
          <w:p w14:paraId="510646C7" w14:textId="390A11E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78D61D0D" w14:textId="525D6D4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63E13B6" w14:textId="61243AF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w:t>
            </w:r>
            <w:r w:rsidR="0045150B">
              <w:rPr>
                <w:rFonts w:ascii="Calibri" w:hAnsi="Calibri" w:cs="Calibri"/>
                <w:color w:val="C00000"/>
              </w:rPr>
              <w:t>0</w:t>
            </w:r>
          </w:p>
        </w:tc>
        <w:tc>
          <w:tcPr>
            <w:tcW w:w="1080" w:type="dxa"/>
            <w:vAlign w:val="center"/>
          </w:tcPr>
          <w:p w14:paraId="1686E2D9" w14:textId="3982AB1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FB94C01" w14:textId="64E9C4D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7493AE8" w14:textId="77777777" w:rsidTr="007E4F84">
        <w:trPr>
          <w:trHeight w:val="114"/>
        </w:trPr>
        <w:tc>
          <w:tcPr>
            <w:tcW w:w="3685" w:type="dxa"/>
            <w:vAlign w:val="bottom"/>
          </w:tcPr>
          <w:p w14:paraId="77284FDE" w14:textId="5487E9A7"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55: Fluid and electrolyte disorders</w:t>
            </w:r>
          </w:p>
        </w:tc>
        <w:tc>
          <w:tcPr>
            <w:tcW w:w="1170" w:type="dxa"/>
            <w:vAlign w:val="center"/>
          </w:tcPr>
          <w:p w14:paraId="3D524D61" w14:textId="653757D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0.15</w:t>
            </w:r>
          </w:p>
        </w:tc>
        <w:tc>
          <w:tcPr>
            <w:tcW w:w="1080" w:type="dxa"/>
            <w:vAlign w:val="center"/>
          </w:tcPr>
          <w:p w14:paraId="196F660C" w14:textId="17320C1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1AA8BBC" w14:textId="76072D5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08CF141" w14:textId="492576F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0.15</w:t>
            </w:r>
          </w:p>
        </w:tc>
        <w:tc>
          <w:tcPr>
            <w:tcW w:w="1080" w:type="dxa"/>
            <w:vAlign w:val="center"/>
          </w:tcPr>
          <w:p w14:paraId="1A104353" w14:textId="4CB65BD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7CF39287" w14:textId="0AEEE18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A5E1A9D" w14:textId="77777777" w:rsidTr="007E4F84">
        <w:trPr>
          <w:trHeight w:val="114"/>
        </w:trPr>
        <w:tc>
          <w:tcPr>
            <w:tcW w:w="3685" w:type="dxa"/>
            <w:vAlign w:val="bottom"/>
          </w:tcPr>
          <w:p w14:paraId="3F65A57B" w14:textId="7D1B9DEE"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59: Deficiency and other anemia</w:t>
            </w:r>
          </w:p>
        </w:tc>
        <w:tc>
          <w:tcPr>
            <w:tcW w:w="1170" w:type="dxa"/>
            <w:vAlign w:val="center"/>
          </w:tcPr>
          <w:p w14:paraId="606B52F5" w14:textId="0C63520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105A6B1B" w14:textId="594E8DE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77CBA613" w14:textId="35A72CC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98A394C" w14:textId="66BFA00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06C4FBBE" w14:textId="16901FE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4DFA676A" w14:textId="3224197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0.0002</w:t>
            </w:r>
          </w:p>
        </w:tc>
      </w:tr>
      <w:tr w:rsidR="00C32DB8" w:rsidRPr="00FC6074" w14:paraId="2F01504E" w14:textId="77777777" w:rsidTr="007E4F84">
        <w:trPr>
          <w:trHeight w:val="114"/>
        </w:trPr>
        <w:tc>
          <w:tcPr>
            <w:tcW w:w="3685" w:type="dxa"/>
            <w:vAlign w:val="bottom"/>
          </w:tcPr>
          <w:p w14:paraId="272FA8FE" w14:textId="2786B3BD"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64: Other hematologic conditions</w:t>
            </w:r>
          </w:p>
        </w:tc>
        <w:tc>
          <w:tcPr>
            <w:tcW w:w="1170" w:type="dxa"/>
            <w:vAlign w:val="center"/>
          </w:tcPr>
          <w:p w14:paraId="0AA1BDF9" w14:textId="696D1E1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0.11</w:t>
            </w:r>
          </w:p>
        </w:tc>
        <w:tc>
          <w:tcPr>
            <w:tcW w:w="1080" w:type="dxa"/>
            <w:vAlign w:val="center"/>
          </w:tcPr>
          <w:p w14:paraId="7A01AFDA" w14:textId="1A29203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2DC43974" w14:textId="36C6BEF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A72D556" w14:textId="5AAF1AB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0.13</w:t>
            </w:r>
          </w:p>
        </w:tc>
        <w:tc>
          <w:tcPr>
            <w:tcW w:w="1080" w:type="dxa"/>
            <w:vAlign w:val="center"/>
          </w:tcPr>
          <w:p w14:paraId="526F45DE" w14:textId="70CD656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11D838A2" w14:textId="12B950E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059CE4D" w14:textId="77777777" w:rsidTr="007E4F84">
        <w:trPr>
          <w:trHeight w:val="114"/>
        </w:trPr>
        <w:tc>
          <w:tcPr>
            <w:tcW w:w="3685" w:type="dxa"/>
            <w:vAlign w:val="bottom"/>
          </w:tcPr>
          <w:p w14:paraId="607295AD" w14:textId="75AA324C"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95: Other nervous system disorders</w:t>
            </w:r>
          </w:p>
        </w:tc>
        <w:tc>
          <w:tcPr>
            <w:tcW w:w="1170" w:type="dxa"/>
            <w:vAlign w:val="center"/>
          </w:tcPr>
          <w:p w14:paraId="44F06C0C" w14:textId="0198FEC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0.11</w:t>
            </w:r>
          </w:p>
        </w:tc>
        <w:tc>
          <w:tcPr>
            <w:tcW w:w="1080" w:type="dxa"/>
            <w:vAlign w:val="center"/>
          </w:tcPr>
          <w:p w14:paraId="566DE019" w14:textId="65729AC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03B13D2" w14:textId="78A82AD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6E509C8" w14:textId="5BDCE95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center"/>
          </w:tcPr>
          <w:p w14:paraId="3BB501C4" w14:textId="6D7563E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A119A51" w14:textId="4B85F03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A07F0A0" w14:textId="77777777" w:rsidTr="007E4F84">
        <w:trPr>
          <w:trHeight w:val="114"/>
        </w:trPr>
        <w:tc>
          <w:tcPr>
            <w:tcW w:w="3685" w:type="dxa"/>
            <w:vAlign w:val="bottom"/>
          </w:tcPr>
          <w:p w14:paraId="104C0E48" w14:textId="1D58893E"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96: Heart valve disorders</w:t>
            </w:r>
          </w:p>
        </w:tc>
        <w:tc>
          <w:tcPr>
            <w:tcW w:w="1170" w:type="dxa"/>
            <w:vAlign w:val="center"/>
          </w:tcPr>
          <w:p w14:paraId="56BAB8EB" w14:textId="667F828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5454F100" w14:textId="44BF060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9AE80D7" w14:textId="6F58037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0CC9D60" w14:textId="057438F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54BE3D14" w14:textId="777BA09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13A0614" w14:textId="5CCD95D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385F512" w14:textId="77777777" w:rsidTr="007E4F84">
        <w:trPr>
          <w:trHeight w:val="114"/>
        </w:trPr>
        <w:tc>
          <w:tcPr>
            <w:tcW w:w="3685" w:type="dxa"/>
            <w:vAlign w:val="bottom"/>
          </w:tcPr>
          <w:p w14:paraId="2DA70F48" w14:textId="6895DE4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97: </w:t>
            </w:r>
            <w:proofErr w:type="spellStart"/>
            <w:r w:rsidR="00C32DB8" w:rsidRPr="00FC6074">
              <w:rPr>
                <w:rFonts w:ascii="Calibri" w:hAnsi="Calibri" w:cs="Calibri"/>
                <w:color w:val="C00000"/>
              </w:rPr>
              <w:t>Peri</w:t>
            </w:r>
            <w:proofErr w:type="spellEnd"/>
            <w:r w:rsidR="00C32DB8" w:rsidRPr="00FC6074">
              <w:rPr>
                <w:rFonts w:ascii="Calibri" w:hAnsi="Calibri" w:cs="Calibri"/>
                <w:color w:val="C00000"/>
              </w:rPr>
              <w:t>-; endo-; and myocarditis; cardiomyopathy (except that caused by tuberculosis or sexually transmitted disease)</w:t>
            </w:r>
          </w:p>
        </w:tc>
        <w:tc>
          <w:tcPr>
            <w:tcW w:w="1170" w:type="dxa"/>
            <w:vAlign w:val="center"/>
          </w:tcPr>
          <w:p w14:paraId="688A8EBE" w14:textId="1E8A489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2692EC29" w14:textId="3A0FD10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D7AB244" w14:textId="0BD1C86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D01F8DF" w14:textId="16918AE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4FB57A4C" w14:textId="0F7ACE0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021960C" w14:textId="753DE2A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66C4AF26" w14:textId="77777777" w:rsidTr="007E4F84">
        <w:trPr>
          <w:trHeight w:val="114"/>
        </w:trPr>
        <w:tc>
          <w:tcPr>
            <w:tcW w:w="3685" w:type="dxa"/>
            <w:vAlign w:val="bottom"/>
          </w:tcPr>
          <w:p w14:paraId="65177B8B" w14:textId="587CF999"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100: Acute myocardial infarction</w:t>
            </w:r>
          </w:p>
        </w:tc>
        <w:tc>
          <w:tcPr>
            <w:tcW w:w="1170" w:type="dxa"/>
            <w:vAlign w:val="center"/>
          </w:tcPr>
          <w:p w14:paraId="383D38EA" w14:textId="0A02551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1FBD3A3B" w14:textId="1686166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96FBF61" w14:textId="3115AA0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0EB8113" w14:textId="1715BE9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75C3A039" w14:textId="130260C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CE6A13E" w14:textId="5D4873F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23C9242" w14:textId="77777777" w:rsidTr="007E4F84">
        <w:trPr>
          <w:trHeight w:val="114"/>
        </w:trPr>
        <w:tc>
          <w:tcPr>
            <w:tcW w:w="3685" w:type="dxa"/>
            <w:vAlign w:val="bottom"/>
          </w:tcPr>
          <w:p w14:paraId="228026BD" w14:textId="4D803813"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101: Coronary atherosclerosis and other heart disease</w:t>
            </w:r>
          </w:p>
        </w:tc>
        <w:tc>
          <w:tcPr>
            <w:tcW w:w="1170" w:type="dxa"/>
            <w:vAlign w:val="center"/>
          </w:tcPr>
          <w:p w14:paraId="1AAC0A86" w14:textId="2729CFF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551C716C" w14:textId="0A1C6B1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F3825A9" w14:textId="7F44E67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95AE3A6" w14:textId="0F0DACD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1EDC199E" w14:textId="63D8774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7CCF92B8" w14:textId="0264DBA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A143DD3" w14:textId="77777777" w:rsidTr="007E4F84">
        <w:trPr>
          <w:trHeight w:val="114"/>
        </w:trPr>
        <w:tc>
          <w:tcPr>
            <w:tcW w:w="3685" w:type="dxa"/>
            <w:vAlign w:val="bottom"/>
          </w:tcPr>
          <w:p w14:paraId="28C3B9BB" w14:textId="4AF41468"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102: Nonspecific chest pain</w:t>
            </w:r>
          </w:p>
        </w:tc>
        <w:tc>
          <w:tcPr>
            <w:tcW w:w="1170" w:type="dxa"/>
            <w:vAlign w:val="center"/>
          </w:tcPr>
          <w:p w14:paraId="518CF20D" w14:textId="114B056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272EAC26" w14:textId="061C137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48EF5F6" w14:textId="7E23B98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7B906E8" w14:textId="68098DA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0.11</w:t>
            </w:r>
          </w:p>
        </w:tc>
        <w:tc>
          <w:tcPr>
            <w:tcW w:w="1080" w:type="dxa"/>
            <w:vAlign w:val="center"/>
          </w:tcPr>
          <w:p w14:paraId="104AF988" w14:textId="288A490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75384A4" w14:textId="5C1FCC8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5C09480" w14:textId="77777777" w:rsidTr="007E4F84">
        <w:trPr>
          <w:trHeight w:val="114"/>
        </w:trPr>
        <w:tc>
          <w:tcPr>
            <w:tcW w:w="3685" w:type="dxa"/>
            <w:vAlign w:val="bottom"/>
          </w:tcPr>
          <w:p w14:paraId="0594B4FA" w14:textId="10BFBC04"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106: Cardiac dysrhythmias</w:t>
            </w:r>
          </w:p>
        </w:tc>
        <w:tc>
          <w:tcPr>
            <w:tcW w:w="1170" w:type="dxa"/>
            <w:vAlign w:val="center"/>
          </w:tcPr>
          <w:p w14:paraId="06F7C03B" w14:textId="3B90A50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699659F8" w14:textId="3718515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8066452" w14:textId="3AF649B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4EF8ED2" w14:textId="3B7EB52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6546EA60" w14:textId="6B914E9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C9A47C7" w14:textId="4081B6A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7ED3C45" w14:textId="77777777" w:rsidTr="007E4F84">
        <w:trPr>
          <w:trHeight w:val="114"/>
        </w:trPr>
        <w:tc>
          <w:tcPr>
            <w:tcW w:w="3685" w:type="dxa"/>
            <w:vAlign w:val="bottom"/>
          </w:tcPr>
          <w:p w14:paraId="780DF266" w14:textId="269C9DF3"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107: Cardiac arrest and ventricular fibrillation</w:t>
            </w:r>
          </w:p>
        </w:tc>
        <w:tc>
          <w:tcPr>
            <w:tcW w:w="1170" w:type="dxa"/>
            <w:vAlign w:val="center"/>
          </w:tcPr>
          <w:p w14:paraId="1198B2E9" w14:textId="157768D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2A144F17" w14:textId="20FD0A9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682AF2E7" w14:textId="268D306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0.0006</w:t>
            </w:r>
          </w:p>
        </w:tc>
        <w:tc>
          <w:tcPr>
            <w:tcW w:w="1170" w:type="dxa"/>
            <w:vAlign w:val="center"/>
          </w:tcPr>
          <w:p w14:paraId="4A1935A8" w14:textId="384386D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442C3896" w14:textId="45FD451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6F83A210" w14:textId="204FDD5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0.0001</w:t>
            </w:r>
          </w:p>
        </w:tc>
      </w:tr>
      <w:tr w:rsidR="00C32DB8" w:rsidRPr="00FC6074" w14:paraId="7862EEC0" w14:textId="77777777" w:rsidTr="007E4F84">
        <w:trPr>
          <w:trHeight w:val="114"/>
        </w:trPr>
        <w:tc>
          <w:tcPr>
            <w:tcW w:w="3685" w:type="dxa"/>
            <w:vAlign w:val="bottom"/>
          </w:tcPr>
          <w:p w14:paraId="532DF1AA" w14:textId="61644B77"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108: Congestive heart failure; </w:t>
            </w:r>
            <w:proofErr w:type="spellStart"/>
            <w:r w:rsidR="00C32DB8" w:rsidRPr="00FC6074">
              <w:rPr>
                <w:rFonts w:ascii="Calibri" w:hAnsi="Calibri" w:cs="Calibri"/>
                <w:color w:val="C00000"/>
              </w:rPr>
              <w:t>nonhypertensive</w:t>
            </w:r>
            <w:proofErr w:type="spellEnd"/>
          </w:p>
        </w:tc>
        <w:tc>
          <w:tcPr>
            <w:tcW w:w="1170" w:type="dxa"/>
            <w:vAlign w:val="center"/>
          </w:tcPr>
          <w:p w14:paraId="1930FF11" w14:textId="1187CE6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07B5E654" w14:textId="2206AC4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851CC00" w14:textId="750BC54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49CF55B" w14:textId="52B5880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347D5B6E" w14:textId="2ACBF9A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8296DB7" w14:textId="6E35A3A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AEAC2B8" w14:textId="77777777" w:rsidTr="007E4F84">
        <w:trPr>
          <w:trHeight w:val="114"/>
        </w:trPr>
        <w:tc>
          <w:tcPr>
            <w:tcW w:w="3685" w:type="dxa"/>
            <w:vAlign w:val="bottom"/>
          </w:tcPr>
          <w:p w14:paraId="066E43D3" w14:textId="5FB00C6A"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117: Other circulatory disease</w:t>
            </w:r>
          </w:p>
        </w:tc>
        <w:tc>
          <w:tcPr>
            <w:tcW w:w="1170" w:type="dxa"/>
            <w:vAlign w:val="center"/>
          </w:tcPr>
          <w:p w14:paraId="5B0D7ACC" w14:textId="5F9B47E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2F2CC31F" w14:textId="6323059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3463C06" w14:textId="51998DE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F2CA3BC" w14:textId="250C11A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7E9231F8" w14:textId="5CB515F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993ECA8" w14:textId="2A191A7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1939BA5" w14:textId="77777777" w:rsidTr="007E4F84">
        <w:trPr>
          <w:trHeight w:val="114"/>
        </w:trPr>
        <w:tc>
          <w:tcPr>
            <w:tcW w:w="3685" w:type="dxa"/>
            <w:vAlign w:val="bottom"/>
          </w:tcPr>
          <w:p w14:paraId="2B3CF6F2" w14:textId="7FD925D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118: Phlebitis; thrombophlebitis and thromboembolism</w:t>
            </w:r>
          </w:p>
        </w:tc>
        <w:tc>
          <w:tcPr>
            <w:tcW w:w="1170" w:type="dxa"/>
            <w:vAlign w:val="center"/>
          </w:tcPr>
          <w:p w14:paraId="0D4D6757" w14:textId="0AE5A4E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6D82338B" w14:textId="26F4A89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7004B84" w14:textId="12F4347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CDA5D2E" w14:textId="1879A22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4035A18D" w14:textId="2BD27DF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4837104" w14:textId="4537BA6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CE84A4B" w14:textId="77777777" w:rsidTr="007E4F84">
        <w:trPr>
          <w:trHeight w:val="114"/>
        </w:trPr>
        <w:tc>
          <w:tcPr>
            <w:tcW w:w="3685" w:type="dxa"/>
            <w:vAlign w:val="bottom"/>
          </w:tcPr>
          <w:p w14:paraId="36C6BFB7" w14:textId="488D48BA"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120: Hemorrhoids</w:t>
            </w:r>
          </w:p>
        </w:tc>
        <w:tc>
          <w:tcPr>
            <w:tcW w:w="1170" w:type="dxa"/>
            <w:vAlign w:val="center"/>
          </w:tcPr>
          <w:p w14:paraId="26F63AE8" w14:textId="3D8DBF5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4F3E9C30" w14:textId="01F2BEC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2FFAC956" w14:textId="588DC56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1B5A0DB" w14:textId="215DCFB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2FE8AF13" w14:textId="737E3A7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0C914A9E" w14:textId="4C9605E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54A3E1F" w14:textId="77777777" w:rsidTr="007E4F84">
        <w:trPr>
          <w:trHeight w:val="114"/>
        </w:trPr>
        <w:tc>
          <w:tcPr>
            <w:tcW w:w="3685" w:type="dxa"/>
            <w:vAlign w:val="bottom"/>
          </w:tcPr>
          <w:p w14:paraId="3676F03F" w14:textId="6F2BD438"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121: Other diseases of veins and lymphatics</w:t>
            </w:r>
          </w:p>
        </w:tc>
        <w:tc>
          <w:tcPr>
            <w:tcW w:w="1170" w:type="dxa"/>
            <w:vAlign w:val="center"/>
          </w:tcPr>
          <w:p w14:paraId="0C408E46" w14:textId="51DA52C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239EC8DB" w14:textId="3FA6E87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1D8C4098" w14:textId="013142A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BEB61EE" w14:textId="430AB14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60188E0C" w14:textId="4C2D4F4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90E511B" w14:textId="0146CF1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D3CC452" w14:textId="77777777" w:rsidTr="007E4F84">
        <w:trPr>
          <w:trHeight w:val="114"/>
        </w:trPr>
        <w:tc>
          <w:tcPr>
            <w:tcW w:w="3685" w:type="dxa"/>
            <w:vAlign w:val="bottom"/>
          </w:tcPr>
          <w:p w14:paraId="2C3DDF6A" w14:textId="7F796193"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122: Pneumonia (except that caused by tuberculosis or sexually transmitted disease)</w:t>
            </w:r>
          </w:p>
        </w:tc>
        <w:tc>
          <w:tcPr>
            <w:tcW w:w="1170" w:type="dxa"/>
            <w:vAlign w:val="center"/>
          </w:tcPr>
          <w:p w14:paraId="3AA48367" w14:textId="59D79CB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5451E9B2" w14:textId="3FA42FB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57F455A" w14:textId="18C6470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CB0A92B" w14:textId="2896C23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0056B14A" w14:textId="7E60C86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8DC0F1F" w14:textId="61F5E24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3FFA41C" w14:textId="77777777" w:rsidTr="007E4F84">
        <w:trPr>
          <w:trHeight w:val="114"/>
        </w:trPr>
        <w:tc>
          <w:tcPr>
            <w:tcW w:w="3685" w:type="dxa"/>
            <w:vAlign w:val="bottom"/>
          </w:tcPr>
          <w:p w14:paraId="2F445E81" w14:textId="6EA140B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127: Chronic obstructive pulmonary disease and bronchiectasis</w:t>
            </w:r>
          </w:p>
        </w:tc>
        <w:tc>
          <w:tcPr>
            <w:tcW w:w="1170" w:type="dxa"/>
            <w:vAlign w:val="center"/>
          </w:tcPr>
          <w:p w14:paraId="00EFA671" w14:textId="099EE9E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0.12</w:t>
            </w:r>
          </w:p>
        </w:tc>
        <w:tc>
          <w:tcPr>
            <w:tcW w:w="1080" w:type="dxa"/>
            <w:vAlign w:val="center"/>
          </w:tcPr>
          <w:p w14:paraId="04D0F314" w14:textId="3080E68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F09F851" w14:textId="5C1913D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CEA4950" w14:textId="5E9478E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center"/>
          </w:tcPr>
          <w:p w14:paraId="730B62B8" w14:textId="6B3898F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6D712F9" w14:textId="75506B0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ADD3B93" w14:textId="77777777" w:rsidTr="007E4F84">
        <w:trPr>
          <w:trHeight w:val="114"/>
        </w:trPr>
        <w:tc>
          <w:tcPr>
            <w:tcW w:w="3685" w:type="dxa"/>
            <w:vAlign w:val="bottom"/>
          </w:tcPr>
          <w:p w14:paraId="1147B538" w14:textId="3B3C46C8"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130: Pleurisy; pneumothorax; pulmonary collapse</w:t>
            </w:r>
          </w:p>
        </w:tc>
        <w:tc>
          <w:tcPr>
            <w:tcW w:w="1170" w:type="dxa"/>
            <w:vAlign w:val="center"/>
          </w:tcPr>
          <w:p w14:paraId="2F4C1B50" w14:textId="491C46C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15C09605" w14:textId="5CD30D7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1847FC02" w14:textId="27B76BC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6FFE02B" w14:textId="1C882DA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2147754A" w14:textId="5756B74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D6B5D0B" w14:textId="34C2F3B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67548AE" w14:textId="77777777" w:rsidTr="007E4F84">
        <w:trPr>
          <w:trHeight w:val="114"/>
        </w:trPr>
        <w:tc>
          <w:tcPr>
            <w:tcW w:w="3685" w:type="dxa"/>
            <w:vAlign w:val="bottom"/>
          </w:tcPr>
          <w:p w14:paraId="0443424F" w14:textId="1274373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131: Respiratory failure; insufficiency; arrest (adult)</w:t>
            </w:r>
          </w:p>
        </w:tc>
        <w:tc>
          <w:tcPr>
            <w:tcW w:w="1170" w:type="dxa"/>
            <w:vAlign w:val="center"/>
          </w:tcPr>
          <w:p w14:paraId="1ABF8621" w14:textId="42AEDFA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0.11</w:t>
            </w:r>
          </w:p>
        </w:tc>
        <w:tc>
          <w:tcPr>
            <w:tcW w:w="1080" w:type="dxa"/>
            <w:vAlign w:val="center"/>
          </w:tcPr>
          <w:p w14:paraId="40895710" w14:textId="49C6D72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FDDC7B1" w14:textId="6C38793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3538441" w14:textId="1C9BA96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0.11</w:t>
            </w:r>
          </w:p>
        </w:tc>
        <w:tc>
          <w:tcPr>
            <w:tcW w:w="1080" w:type="dxa"/>
            <w:vAlign w:val="center"/>
          </w:tcPr>
          <w:p w14:paraId="560563E4" w14:textId="1D4275A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27D5F719" w14:textId="19A97E3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A620C5D" w14:textId="77777777" w:rsidTr="007E4F84">
        <w:trPr>
          <w:trHeight w:val="114"/>
        </w:trPr>
        <w:tc>
          <w:tcPr>
            <w:tcW w:w="3685" w:type="dxa"/>
            <w:vAlign w:val="bottom"/>
          </w:tcPr>
          <w:p w14:paraId="6C7229CD" w14:textId="0F76A9D9"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133: Other lower respiratory disease</w:t>
            </w:r>
          </w:p>
        </w:tc>
        <w:tc>
          <w:tcPr>
            <w:tcW w:w="1170" w:type="dxa"/>
            <w:vAlign w:val="center"/>
          </w:tcPr>
          <w:p w14:paraId="5F74DEBB" w14:textId="4D8FE7FC"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2191956F" w14:textId="24C38BA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91E9392" w14:textId="7CD289F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2BAA192" w14:textId="2A42CB1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7CD540DE" w14:textId="7A37E67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C2674F8" w14:textId="4D9135A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E46AD96" w14:textId="77777777" w:rsidTr="007E4F84">
        <w:trPr>
          <w:trHeight w:val="114"/>
        </w:trPr>
        <w:tc>
          <w:tcPr>
            <w:tcW w:w="3685" w:type="dxa"/>
            <w:vAlign w:val="bottom"/>
          </w:tcPr>
          <w:p w14:paraId="6E80FD16" w14:textId="565EA92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134: Other upper respiratory disease</w:t>
            </w:r>
          </w:p>
        </w:tc>
        <w:tc>
          <w:tcPr>
            <w:tcW w:w="1170" w:type="dxa"/>
            <w:vAlign w:val="center"/>
          </w:tcPr>
          <w:p w14:paraId="6A0702D8" w14:textId="3402ECC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2A050378" w14:textId="6F43068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1D62D4C2" w14:textId="795E60A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57A22C3" w14:textId="5510367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199470BA" w14:textId="3C26D6D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6EB559E6" w14:textId="390C78E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1961AE5" w14:textId="77777777" w:rsidTr="007E4F84">
        <w:trPr>
          <w:trHeight w:val="114"/>
        </w:trPr>
        <w:tc>
          <w:tcPr>
            <w:tcW w:w="3685" w:type="dxa"/>
            <w:vAlign w:val="bottom"/>
          </w:tcPr>
          <w:p w14:paraId="387E3606" w14:textId="088BDCF1"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135: Intestinal infection</w:t>
            </w:r>
          </w:p>
        </w:tc>
        <w:tc>
          <w:tcPr>
            <w:tcW w:w="1170" w:type="dxa"/>
            <w:vAlign w:val="center"/>
          </w:tcPr>
          <w:p w14:paraId="63F46D93" w14:textId="34ADD66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0.13</w:t>
            </w:r>
          </w:p>
        </w:tc>
        <w:tc>
          <w:tcPr>
            <w:tcW w:w="1080" w:type="dxa"/>
            <w:vAlign w:val="center"/>
          </w:tcPr>
          <w:p w14:paraId="331C91C5" w14:textId="0C0820F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A110596" w14:textId="2EE65A6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CEB588C" w14:textId="7388D8D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center"/>
          </w:tcPr>
          <w:p w14:paraId="4BB0E0EE" w14:textId="6A5AD6E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BB1DDC8" w14:textId="39F44FB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DA49654" w14:textId="77777777" w:rsidTr="007E4F84">
        <w:trPr>
          <w:trHeight w:val="114"/>
        </w:trPr>
        <w:tc>
          <w:tcPr>
            <w:tcW w:w="3685" w:type="dxa"/>
            <w:vAlign w:val="bottom"/>
          </w:tcPr>
          <w:p w14:paraId="0692A9D9" w14:textId="78A7BD9F"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138: Esophageal disorders</w:t>
            </w:r>
          </w:p>
        </w:tc>
        <w:tc>
          <w:tcPr>
            <w:tcW w:w="1170" w:type="dxa"/>
            <w:vAlign w:val="center"/>
          </w:tcPr>
          <w:p w14:paraId="49F06E7B" w14:textId="56263E9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27CB372E" w14:textId="143BEA4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A10B907" w14:textId="5998050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38A9777" w14:textId="2A102F3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36E17B76" w14:textId="3F3E7EC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34A1F6F" w14:textId="5B91C36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69F8521" w14:textId="77777777" w:rsidTr="007E4F84">
        <w:trPr>
          <w:trHeight w:val="114"/>
        </w:trPr>
        <w:tc>
          <w:tcPr>
            <w:tcW w:w="3685" w:type="dxa"/>
            <w:vAlign w:val="bottom"/>
          </w:tcPr>
          <w:p w14:paraId="3E27E66A" w14:textId="5622862E"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140: Gastritis and </w:t>
            </w:r>
            <w:proofErr w:type="spellStart"/>
            <w:r w:rsidR="00C32DB8" w:rsidRPr="00FC6074">
              <w:rPr>
                <w:rFonts w:ascii="Calibri" w:hAnsi="Calibri" w:cs="Calibri"/>
                <w:color w:val="C00000"/>
              </w:rPr>
              <w:t>duodenitis</w:t>
            </w:r>
            <w:proofErr w:type="spellEnd"/>
          </w:p>
        </w:tc>
        <w:tc>
          <w:tcPr>
            <w:tcW w:w="1170" w:type="dxa"/>
            <w:vAlign w:val="center"/>
          </w:tcPr>
          <w:p w14:paraId="73397058" w14:textId="3804D55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0.05</w:t>
            </w:r>
          </w:p>
        </w:tc>
        <w:tc>
          <w:tcPr>
            <w:tcW w:w="1080" w:type="dxa"/>
            <w:vAlign w:val="center"/>
          </w:tcPr>
          <w:p w14:paraId="7D97D1EE" w14:textId="2C78A27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45DA24E" w14:textId="2AFCF2B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BBF4F72" w14:textId="2E9708C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15578136" w14:textId="2204AA8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904C251" w14:textId="280F6D6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60B1A8A6" w14:textId="77777777" w:rsidTr="007E4F84">
        <w:trPr>
          <w:trHeight w:val="114"/>
        </w:trPr>
        <w:tc>
          <w:tcPr>
            <w:tcW w:w="3685" w:type="dxa"/>
            <w:vAlign w:val="bottom"/>
          </w:tcPr>
          <w:p w14:paraId="50C30573" w14:textId="058271A6"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141: Other disorders of stomach and duodenum</w:t>
            </w:r>
          </w:p>
        </w:tc>
        <w:tc>
          <w:tcPr>
            <w:tcW w:w="1170" w:type="dxa"/>
            <w:vAlign w:val="center"/>
          </w:tcPr>
          <w:p w14:paraId="4130BFB2" w14:textId="44F72CC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0.18</w:t>
            </w:r>
          </w:p>
        </w:tc>
        <w:tc>
          <w:tcPr>
            <w:tcW w:w="1080" w:type="dxa"/>
            <w:vAlign w:val="center"/>
          </w:tcPr>
          <w:p w14:paraId="0636E89C" w14:textId="597D4B7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03864D17" w14:textId="36C4320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4B4EB09" w14:textId="5728542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0.19</w:t>
            </w:r>
          </w:p>
        </w:tc>
        <w:tc>
          <w:tcPr>
            <w:tcW w:w="1080" w:type="dxa"/>
            <w:vAlign w:val="center"/>
          </w:tcPr>
          <w:p w14:paraId="0BA9A572" w14:textId="64C594F5"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63CAC7B" w14:textId="0AF061E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2BC13DD" w14:textId="77777777" w:rsidTr="007E4F84">
        <w:trPr>
          <w:trHeight w:val="114"/>
        </w:trPr>
        <w:tc>
          <w:tcPr>
            <w:tcW w:w="3685" w:type="dxa"/>
            <w:vAlign w:val="bottom"/>
          </w:tcPr>
          <w:p w14:paraId="1A9FCA77" w14:textId="784EA619"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151: Other liver diseases</w:t>
            </w:r>
          </w:p>
        </w:tc>
        <w:tc>
          <w:tcPr>
            <w:tcW w:w="1170" w:type="dxa"/>
            <w:vAlign w:val="center"/>
          </w:tcPr>
          <w:p w14:paraId="356BD0B0" w14:textId="1FBEFED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0.12</w:t>
            </w:r>
          </w:p>
        </w:tc>
        <w:tc>
          <w:tcPr>
            <w:tcW w:w="1080" w:type="dxa"/>
            <w:vAlign w:val="center"/>
          </w:tcPr>
          <w:p w14:paraId="0431BF97" w14:textId="7D42897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038FBA8F" w14:textId="7C9F950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F26E8C1" w14:textId="5248297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center"/>
          </w:tcPr>
          <w:p w14:paraId="12BC36CB" w14:textId="542E9B7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98EB4D4" w14:textId="1B0E271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60AC183" w14:textId="77777777" w:rsidTr="007E4F84">
        <w:trPr>
          <w:trHeight w:val="114"/>
        </w:trPr>
        <w:tc>
          <w:tcPr>
            <w:tcW w:w="3685" w:type="dxa"/>
            <w:vAlign w:val="bottom"/>
          </w:tcPr>
          <w:p w14:paraId="1452DFE0" w14:textId="7C470125"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152: Pancreatic disorders (not diabetes)</w:t>
            </w:r>
          </w:p>
        </w:tc>
        <w:tc>
          <w:tcPr>
            <w:tcW w:w="1170" w:type="dxa"/>
            <w:vAlign w:val="center"/>
          </w:tcPr>
          <w:p w14:paraId="334408E9" w14:textId="1124495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0.14</w:t>
            </w:r>
          </w:p>
        </w:tc>
        <w:tc>
          <w:tcPr>
            <w:tcW w:w="1080" w:type="dxa"/>
            <w:vAlign w:val="center"/>
          </w:tcPr>
          <w:p w14:paraId="5416B0FA" w14:textId="381F545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05905AF7" w14:textId="24F297F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A635F01" w14:textId="3BF4A3F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0.13</w:t>
            </w:r>
          </w:p>
        </w:tc>
        <w:tc>
          <w:tcPr>
            <w:tcW w:w="1080" w:type="dxa"/>
            <w:vAlign w:val="center"/>
          </w:tcPr>
          <w:p w14:paraId="61407FE7" w14:textId="347A9AB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0277B942" w14:textId="5E8D6C3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88A724E" w14:textId="77777777" w:rsidTr="007E4F84">
        <w:trPr>
          <w:trHeight w:val="114"/>
        </w:trPr>
        <w:tc>
          <w:tcPr>
            <w:tcW w:w="3685" w:type="dxa"/>
            <w:vAlign w:val="bottom"/>
          </w:tcPr>
          <w:p w14:paraId="25AEA2B3" w14:textId="4B03D037"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153: Gastrointestinal hemorrhage</w:t>
            </w:r>
          </w:p>
        </w:tc>
        <w:tc>
          <w:tcPr>
            <w:tcW w:w="1170" w:type="dxa"/>
            <w:vAlign w:val="center"/>
          </w:tcPr>
          <w:p w14:paraId="7176462F" w14:textId="09BCD83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0.14</w:t>
            </w:r>
          </w:p>
        </w:tc>
        <w:tc>
          <w:tcPr>
            <w:tcW w:w="1080" w:type="dxa"/>
            <w:vAlign w:val="center"/>
          </w:tcPr>
          <w:p w14:paraId="616F7E12" w14:textId="2CBE942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0D446244" w14:textId="2645CF5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7A46AEB" w14:textId="0DFE57A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0.14</w:t>
            </w:r>
          </w:p>
        </w:tc>
        <w:tc>
          <w:tcPr>
            <w:tcW w:w="1080" w:type="dxa"/>
            <w:vAlign w:val="center"/>
          </w:tcPr>
          <w:p w14:paraId="39A6948F" w14:textId="4D02911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69E0DF6" w14:textId="7684FCF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4221388" w14:textId="77777777" w:rsidTr="007E4F84">
        <w:trPr>
          <w:trHeight w:val="114"/>
        </w:trPr>
        <w:tc>
          <w:tcPr>
            <w:tcW w:w="3685" w:type="dxa"/>
            <w:vAlign w:val="bottom"/>
          </w:tcPr>
          <w:p w14:paraId="324FEF4E" w14:textId="6C57BDD9"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154: Noninfectious gastroenteritis</w:t>
            </w:r>
          </w:p>
        </w:tc>
        <w:tc>
          <w:tcPr>
            <w:tcW w:w="1170" w:type="dxa"/>
            <w:vAlign w:val="center"/>
          </w:tcPr>
          <w:p w14:paraId="5EF988DA" w14:textId="5F311C0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26040A7C" w14:textId="7A0CC19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0412F11F" w14:textId="566C56B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F9C5C6D" w14:textId="60D54CD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w:t>
            </w:r>
            <w:r w:rsidR="0045150B">
              <w:rPr>
                <w:rFonts w:ascii="Calibri" w:hAnsi="Calibri" w:cs="Calibri"/>
                <w:color w:val="C00000"/>
              </w:rPr>
              <w:t>0</w:t>
            </w:r>
          </w:p>
        </w:tc>
        <w:tc>
          <w:tcPr>
            <w:tcW w:w="1080" w:type="dxa"/>
            <w:vAlign w:val="center"/>
          </w:tcPr>
          <w:p w14:paraId="6C929A4F" w14:textId="0044CDA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4F36CB4C" w14:textId="6A92D3B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A699EA8" w14:textId="77777777" w:rsidTr="007E4F84">
        <w:trPr>
          <w:trHeight w:val="114"/>
        </w:trPr>
        <w:tc>
          <w:tcPr>
            <w:tcW w:w="3685" w:type="dxa"/>
            <w:vAlign w:val="bottom"/>
          </w:tcPr>
          <w:p w14:paraId="2A53F19E" w14:textId="7D1B0EF0"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155: Other gastrointestinal disorders</w:t>
            </w:r>
          </w:p>
        </w:tc>
        <w:tc>
          <w:tcPr>
            <w:tcW w:w="1170" w:type="dxa"/>
            <w:vAlign w:val="center"/>
          </w:tcPr>
          <w:p w14:paraId="00020478" w14:textId="15466FB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6872120F" w14:textId="4A376CE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7B2BB891" w14:textId="4B5AD6E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169107D" w14:textId="65B8DCF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66AA804C" w14:textId="736C800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608CB3C" w14:textId="24776D0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44414E6" w14:textId="77777777" w:rsidTr="007E4F84">
        <w:trPr>
          <w:trHeight w:val="114"/>
        </w:trPr>
        <w:tc>
          <w:tcPr>
            <w:tcW w:w="3685" w:type="dxa"/>
            <w:vAlign w:val="bottom"/>
          </w:tcPr>
          <w:p w14:paraId="10F84F0D" w14:textId="1218F69D"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158: Chronic kidney disease</w:t>
            </w:r>
          </w:p>
        </w:tc>
        <w:tc>
          <w:tcPr>
            <w:tcW w:w="1170" w:type="dxa"/>
            <w:vAlign w:val="center"/>
          </w:tcPr>
          <w:p w14:paraId="610CA512" w14:textId="76F4349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-0.3</w:t>
            </w:r>
          </w:p>
        </w:tc>
        <w:tc>
          <w:tcPr>
            <w:tcW w:w="1080" w:type="dxa"/>
            <w:vAlign w:val="center"/>
          </w:tcPr>
          <w:p w14:paraId="3D259B46" w14:textId="11924D5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66C2B04F" w14:textId="34ACC26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20FD6C28" w14:textId="575488B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-0.33</w:t>
            </w:r>
          </w:p>
        </w:tc>
        <w:tc>
          <w:tcPr>
            <w:tcW w:w="1080" w:type="dxa"/>
            <w:vAlign w:val="center"/>
          </w:tcPr>
          <w:p w14:paraId="352B0A7B" w14:textId="15B3959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0.06</w:t>
            </w:r>
          </w:p>
        </w:tc>
        <w:tc>
          <w:tcPr>
            <w:tcW w:w="1080" w:type="dxa"/>
            <w:vAlign w:val="center"/>
          </w:tcPr>
          <w:p w14:paraId="4F3DE341" w14:textId="257D929A"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342D005A" w14:textId="77777777" w:rsidTr="007E4F84">
        <w:trPr>
          <w:trHeight w:val="114"/>
        </w:trPr>
        <w:tc>
          <w:tcPr>
            <w:tcW w:w="3685" w:type="dxa"/>
            <w:vAlign w:val="bottom"/>
          </w:tcPr>
          <w:p w14:paraId="12E27EB2" w14:textId="62B9AE63"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159: Urinary tract infections</w:t>
            </w:r>
          </w:p>
        </w:tc>
        <w:tc>
          <w:tcPr>
            <w:tcW w:w="1170" w:type="dxa"/>
            <w:vAlign w:val="center"/>
          </w:tcPr>
          <w:p w14:paraId="58C07766" w14:textId="62AB39D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0.06</w:t>
            </w:r>
          </w:p>
        </w:tc>
        <w:tc>
          <w:tcPr>
            <w:tcW w:w="1080" w:type="dxa"/>
            <w:vAlign w:val="center"/>
          </w:tcPr>
          <w:p w14:paraId="6AB15E1E" w14:textId="5DD7DFE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1748B7A" w14:textId="3DB65E9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6231C8D" w14:textId="55F2A56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5C0B154D" w14:textId="59D9C47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03D2123" w14:textId="1252E8B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2653AF1" w14:textId="77777777" w:rsidTr="007E4F84">
        <w:trPr>
          <w:trHeight w:val="114"/>
        </w:trPr>
        <w:tc>
          <w:tcPr>
            <w:tcW w:w="3685" w:type="dxa"/>
            <w:vAlign w:val="bottom"/>
          </w:tcPr>
          <w:p w14:paraId="3D733EDC" w14:textId="08640581"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197: Skin and subcutaneous tissue infections</w:t>
            </w:r>
          </w:p>
        </w:tc>
        <w:tc>
          <w:tcPr>
            <w:tcW w:w="1170" w:type="dxa"/>
            <w:vAlign w:val="center"/>
          </w:tcPr>
          <w:p w14:paraId="26A2E9AF" w14:textId="18588CD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0.04</w:t>
            </w:r>
          </w:p>
        </w:tc>
        <w:tc>
          <w:tcPr>
            <w:tcW w:w="1080" w:type="dxa"/>
            <w:vAlign w:val="center"/>
          </w:tcPr>
          <w:p w14:paraId="52EB9FC3" w14:textId="182106B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45CD6BB" w14:textId="460AEA0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93F4050" w14:textId="5F17945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0.05</w:t>
            </w:r>
          </w:p>
        </w:tc>
        <w:tc>
          <w:tcPr>
            <w:tcW w:w="1080" w:type="dxa"/>
            <w:vAlign w:val="center"/>
          </w:tcPr>
          <w:p w14:paraId="5A92EDFD" w14:textId="7D9C25CE"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51C0F433" w14:textId="6A633A2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DBC27C0" w14:textId="77777777" w:rsidTr="007E4F84">
        <w:trPr>
          <w:trHeight w:val="114"/>
        </w:trPr>
        <w:tc>
          <w:tcPr>
            <w:tcW w:w="3685" w:type="dxa"/>
            <w:vAlign w:val="bottom"/>
          </w:tcPr>
          <w:p w14:paraId="30931767" w14:textId="0033CACF" w:rsidR="00C32DB8" w:rsidRPr="00FC6074" w:rsidRDefault="000943C5" w:rsidP="00C32DB8">
            <w:pPr>
              <w:autoSpaceDE w:val="0"/>
              <w:autoSpaceDN w:val="0"/>
              <w:adjustRightInd w:val="0"/>
              <w:spacing w:after="0" w:line="240" w:lineRule="auto"/>
              <w:rPr>
                <w:rFonts w:ascii="Calibri" w:eastAsiaTheme="minorHAnsi" w:hAnsi="Calibri" w:cs="Calibri"/>
                <w:color w:val="C00000"/>
              </w:rPr>
            </w:pPr>
            <w:r>
              <w:rPr>
                <w:rFonts w:ascii="Calibri" w:hAnsi="Calibri" w:cs="Calibri"/>
                <w:color w:val="C00000"/>
              </w:rPr>
              <w:t>CCS</w:t>
            </w:r>
            <w:r w:rsidR="00C32DB8" w:rsidRPr="00FC6074">
              <w:rPr>
                <w:rFonts w:ascii="Calibri" w:hAnsi="Calibri" w:cs="Calibri"/>
                <w:color w:val="C00000"/>
              </w:rPr>
              <w:t xml:space="preserve"> 198: Other inflammatory condition of skin</w:t>
            </w:r>
          </w:p>
        </w:tc>
        <w:tc>
          <w:tcPr>
            <w:tcW w:w="1170" w:type="dxa"/>
            <w:vAlign w:val="center"/>
          </w:tcPr>
          <w:p w14:paraId="572592F6" w14:textId="2BBFEE3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0.16</w:t>
            </w:r>
          </w:p>
        </w:tc>
        <w:tc>
          <w:tcPr>
            <w:tcW w:w="1080" w:type="dxa"/>
            <w:vAlign w:val="center"/>
          </w:tcPr>
          <w:p w14:paraId="5783BAD6" w14:textId="7D21D91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73A38AEA" w14:textId="16923AE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5F59AF8" w14:textId="68A6841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0.15</w:t>
            </w:r>
          </w:p>
        </w:tc>
        <w:tc>
          <w:tcPr>
            <w:tcW w:w="1080" w:type="dxa"/>
            <w:vAlign w:val="center"/>
          </w:tcPr>
          <w:p w14:paraId="0A46D9B0" w14:textId="510DDE8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5B19F440" w14:textId="1C1E8AA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4C1452DF" w14:textId="77777777" w:rsidTr="007E4F84">
        <w:trPr>
          <w:trHeight w:val="114"/>
        </w:trPr>
        <w:tc>
          <w:tcPr>
            <w:tcW w:w="3685" w:type="dxa"/>
            <w:vAlign w:val="bottom"/>
          </w:tcPr>
          <w:p w14:paraId="064DA4D4" w14:textId="5DF8095D"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199: Chronic ulcer of skin</w:t>
            </w:r>
          </w:p>
        </w:tc>
        <w:tc>
          <w:tcPr>
            <w:tcW w:w="1170" w:type="dxa"/>
            <w:vAlign w:val="center"/>
          </w:tcPr>
          <w:p w14:paraId="1D09C867" w14:textId="02EA40A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0.11</w:t>
            </w:r>
          </w:p>
        </w:tc>
        <w:tc>
          <w:tcPr>
            <w:tcW w:w="1080" w:type="dxa"/>
            <w:vAlign w:val="center"/>
          </w:tcPr>
          <w:p w14:paraId="1B59DB9B" w14:textId="6FBE275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14A8806" w14:textId="6CF93AE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BB915B5" w14:textId="641537C7"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0.11</w:t>
            </w:r>
          </w:p>
        </w:tc>
        <w:tc>
          <w:tcPr>
            <w:tcW w:w="1080" w:type="dxa"/>
            <w:vAlign w:val="center"/>
          </w:tcPr>
          <w:p w14:paraId="36829F8A" w14:textId="0969C0B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4C2F426E" w14:textId="3913AF6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97B18F5" w14:textId="77777777" w:rsidTr="007E4F84">
        <w:trPr>
          <w:trHeight w:val="114"/>
        </w:trPr>
        <w:tc>
          <w:tcPr>
            <w:tcW w:w="3685" w:type="dxa"/>
            <w:vAlign w:val="bottom"/>
          </w:tcPr>
          <w:p w14:paraId="42BC17D8" w14:textId="0F8C2E66"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201: Infective arthritis and osteomyelitis (except that caused by tuberculosis or sexually transmitted disease)</w:t>
            </w:r>
          </w:p>
        </w:tc>
        <w:tc>
          <w:tcPr>
            <w:tcW w:w="1170" w:type="dxa"/>
            <w:vAlign w:val="center"/>
          </w:tcPr>
          <w:p w14:paraId="5BA9F74A" w14:textId="3055CD7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2280B1F2" w14:textId="66B9345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E375626" w14:textId="6A18BD3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4EB8359" w14:textId="0351294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1A1ACAEC" w14:textId="3D68A07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0E76E31" w14:textId="71E184D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CA8DE2D" w14:textId="77777777" w:rsidTr="007E4F84">
        <w:trPr>
          <w:trHeight w:val="114"/>
        </w:trPr>
        <w:tc>
          <w:tcPr>
            <w:tcW w:w="3685" w:type="dxa"/>
            <w:vAlign w:val="bottom"/>
          </w:tcPr>
          <w:p w14:paraId="2279299A" w14:textId="0FDCB95A"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237: Complication of device; implant or graft</w:t>
            </w:r>
          </w:p>
        </w:tc>
        <w:tc>
          <w:tcPr>
            <w:tcW w:w="1170" w:type="dxa"/>
            <w:vAlign w:val="center"/>
          </w:tcPr>
          <w:p w14:paraId="0E831B7B" w14:textId="52201D9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0.07</w:t>
            </w:r>
          </w:p>
        </w:tc>
        <w:tc>
          <w:tcPr>
            <w:tcW w:w="1080" w:type="dxa"/>
            <w:vAlign w:val="center"/>
          </w:tcPr>
          <w:p w14:paraId="56C1F1C2" w14:textId="351BA9DB"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9648288" w14:textId="0150106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D3DAE12" w14:textId="6BF0C35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0.07</w:t>
            </w:r>
          </w:p>
        </w:tc>
        <w:tc>
          <w:tcPr>
            <w:tcW w:w="1080" w:type="dxa"/>
            <w:vAlign w:val="center"/>
          </w:tcPr>
          <w:p w14:paraId="624BBA0F" w14:textId="17ECE6C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0E2DC345" w14:textId="765D62E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8D713E5" w14:textId="77777777" w:rsidTr="007E4F84">
        <w:trPr>
          <w:trHeight w:val="114"/>
        </w:trPr>
        <w:tc>
          <w:tcPr>
            <w:tcW w:w="3685" w:type="dxa"/>
            <w:vAlign w:val="bottom"/>
          </w:tcPr>
          <w:p w14:paraId="456008FD" w14:textId="21BF7150"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244: Other injuries and conditions due to external causes</w:t>
            </w:r>
          </w:p>
        </w:tc>
        <w:tc>
          <w:tcPr>
            <w:tcW w:w="1170" w:type="dxa"/>
            <w:vAlign w:val="center"/>
          </w:tcPr>
          <w:p w14:paraId="578C7B06" w14:textId="7791EAB9"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43586B1F" w14:textId="33E6BAF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2126B37" w14:textId="359F493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1045A4EF" w14:textId="4FF07A3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5AD52230" w14:textId="3A2555B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D8D8293" w14:textId="4556E7B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DC68277" w14:textId="77777777" w:rsidTr="007E4F84">
        <w:trPr>
          <w:trHeight w:val="114"/>
        </w:trPr>
        <w:tc>
          <w:tcPr>
            <w:tcW w:w="3685" w:type="dxa"/>
            <w:vAlign w:val="bottom"/>
          </w:tcPr>
          <w:p w14:paraId="6E2337DE" w14:textId="486AC5B5"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251: Abdominal pain</w:t>
            </w:r>
          </w:p>
        </w:tc>
        <w:tc>
          <w:tcPr>
            <w:tcW w:w="1170" w:type="dxa"/>
            <w:vAlign w:val="center"/>
          </w:tcPr>
          <w:p w14:paraId="4F420427" w14:textId="3AC847E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0.14</w:t>
            </w:r>
          </w:p>
        </w:tc>
        <w:tc>
          <w:tcPr>
            <w:tcW w:w="1080" w:type="dxa"/>
            <w:vAlign w:val="center"/>
          </w:tcPr>
          <w:p w14:paraId="32A63598" w14:textId="307C287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2D62D180" w14:textId="262A11A3"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58232D44" w14:textId="07A7E67D"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0.12</w:t>
            </w:r>
          </w:p>
        </w:tc>
        <w:tc>
          <w:tcPr>
            <w:tcW w:w="1080" w:type="dxa"/>
            <w:vAlign w:val="center"/>
          </w:tcPr>
          <w:p w14:paraId="588C8004" w14:textId="04052D7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2117EC07" w14:textId="55AE98E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63F6AB54" w14:textId="77777777" w:rsidTr="007E4F84">
        <w:trPr>
          <w:trHeight w:val="114"/>
        </w:trPr>
        <w:tc>
          <w:tcPr>
            <w:tcW w:w="3685" w:type="dxa"/>
            <w:vAlign w:val="bottom"/>
          </w:tcPr>
          <w:p w14:paraId="3387D25E" w14:textId="432F7AB5"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253: Allergic reactions</w:t>
            </w:r>
          </w:p>
        </w:tc>
        <w:tc>
          <w:tcPr>
            <w:tcW w:w="1170" w:type="dxa"/>
            <w:vAlign w:val="center"/>
          </w:tcPr>
          <w:p w14:paraId="3AC4B3D1" w14:textId="36F365F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27332115" w14:textId="329BA71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6F88F965" w14:textId="18653E6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7C9E3065" w14:textId="430BE7B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5BB38122" w14:textId="2089BBA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06DEBAB" w14:textId="5EF10BE6"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62264EB9" w14:textId="77777777" w:rsidTr="007E4F84">
        <w:trPr>
          <w:trHeight w:val="114"/>
        </w:trPr>
        <w:tc>
          <w:tcPr>
            <w:tcW w:w="3685" w:type="dxa"/>
            <w:vAlign w:val="bottom"/>
          </w:tcPr>
          <w:p w14:paraId="091795CD" w14:textId="0F835650"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255: Administrative/social admission</w:t>
            </w:r>
          </w:p>
        </w:tc>
        <w:tc>
          <w:tcPr>
            <w:tcW w:w="1170" w:type="dxa"/>
            <w:vAlign w:val="center"/>
          </w:tcPr>
          <w:p w14:paraId="170869A7" w14:textId="7F1889C0"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0.15</w:t>
            </w:r>
          </w:p>
        </w:tc>
        <w:tc>
          <w:tcPr>
            <w:tcW w:w="1080" w:type="dxa"/>
            <w:vAlign w:val="center"/>
          </w:tcPr>
          <w:p w14:paraId="38C9F194" w14:textId="6B6986C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3645804D" w14:textId="4A638BA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68DA9C9B" w14:textId="74D47E9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0.15</w:t>
            </w:r>
          </w:p>
        </w:tc>
        <w:tc>
          <w:tcPr>
            <w:tcW w:w="1080" w:type="dxa"/>
            <w:vAlign w:val="center"/>
          </w:tcPr>
          <w:p w14:paraId="25B6DCEC" w14:textId="37C9D7D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734611D0" w14:textId="55695C91"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1E5DE45E" w14:textId="77777777" w:rsidTr="007E4F84">
        <w:trPr>
          <w:trHeight w:val="114"/>
        </w:trPr>
        <w:tc>
          <w:tcPr>
            <w:tcW w:w="3685" w:type="dxa"/>
            <w:vAlign w:val="bottom"/>
          </w:tcPr>
          <w:p w14:paraId="72A6FA47" w14:textId="3C92E566"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259: Residual codes; unclassified</w:t>
            </w:r>
          </w:p>
        </w:tc>
        <w:tc>
          <w:tcPr>
            <w:tcW w:w="1170" w:type="dxa"/>
            <w:vAlign w:val="center"/>
          </w:tcPr>
          <w:p w14:paraId="7B479133" w14:textId="67F08085"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0.09</w:t>
            </w:r>
          </w:p>
        </w:tc>
        <w:tc>
          <w:tcPr>
            <w:tcW w:w="1080" w:type="dxa"/>
            <w:vAlign w:val="center"/>
          </w:tcPr>
          <w:p w14:paraId="039A53AF" w14:textId="107F50C7"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52890151" w14:textId="7F4A895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0ADC654A" w14:textId="2357D30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0.08</w:t>
            </w:r>
          </w:p>
        </w:tc>
        <w:tc>
          <w:tcPr>
            <w:tcW w:w="1080" w:type="dxa"/>
            <w:vAlign w:val="center"/>
          </w:tcPr>
          <w:p w14:paraId="44268626" w14:textId="19022EF3"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14F53779" w14:textId="03CFE870"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73FAF4E0" w14:textId="77777777" w:rsidTr="007E4F84">
        <w:trPr>
          <w:trHeight w:val="114"/>
        </w:trPr>
        <w:tc>
          <w:tcPr>
            <w:tcW w:w="3685" w:type="dxa"/>
            <w:vAlign w:val="bottom"/>
          </w:tcPr>
          <w:p w14:paraId="130EA199" w14:textId="6A774595"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651: Anxiety disorders</w:t>
            </w:r>
          </w:p>
        </w:tc>
        <w:tc>
          <w:tcPr>
            <w:tcW w:w="1170" w:type="dxa"/>
            <w:vAlign w:val="center"/>
          </w:tcPr>
          <w:p w14:paraId="5D327B6A" w14:textId="69834DB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0.08</w:t>
            </w:r>
          </w:p>
        </w:tc>
        <w:tc>
          <w:tcPr>
            <w:tcW w:w="1080" w:type="dxa"/>
            <w:vAlign w:val="center"/>
          </w:tcPr>
          <w:p w14:paraId="74B5753C" w14:textId="6D48EBB2"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705F75EE" w14:textId="21870ECA"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335A2DF2" w14:textId="6D0468B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0.09</w:t>
            </w:r>
          </w:p>
        </w:tc>
        <w:tc>
          <w:tcPr>
            <w:tcW w:w="1080" w:type="dxa"/>
            <w:vAlign w:val="center"/>
          </w:tcPr>
          <w:p w14:paraId="25A15BB5" w14:textId="156953B8"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3A47EA79" w14:textId="04BD6F92"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25CC5B18" w14:textId="77777777" w:rsidTr="007E4F84">
        <w:trPr>
          <w:trHeight w:val="114"/>
        </w:trPr>
        <w:tc>
          <w:tcPr>
            <w:tcW w:w="3685" w:type="dxa"/>
            <w:vAlign w:val="bottom"/>
          </w:tcPr>
          <w:p w14:paraId="7D913C2B" w14:textId="7CB54290"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659: Schizophrenia and other psychotic disorders</w:t>
            </w:r>
          </w:p>
        </w:tc>
        <w:tc>
          <w:tcPr>
            <w:tcW w:w="1170" w:type="dxa"/>
            <w:vAlign w:val="center"/>
          </w:tcPr>
          <w:p w14:paraId="334FF6EC" w14:textId="554F306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0.19</w:t>
            </w:r>
          </w:p>
        </w:tc>
        <w:tc>
          <w:tcPr>
            <w:tcW w:w="1080" w:type="dxa"/>
            <w:vAlign w:val="center"/>
          </w:tcPr>
          <w:p w14:paraId="1DC081B8" w14:textId="5A01A5A8"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7D3D3C58" w14:textId="0C3CF2A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7BE3522" w14:textId="193C247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0.16</w:t>
            </w:r>
          </w:p>
        </w:tc>
        <w:tc>
          <w:tcPr>
            <w:tcW w:w="1080" w:type="dxa"/>
            <w:vAlign w:val="center"/>
          </w:tcPr>
          <w:p w14:paraId="67092866" w14:textId="7EB354F9"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655FC318" w14:textId="40CFD45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5D2C3A7F" w14:textId="77777777" w:rsidTr="007E4F84">
        <w:trPr>
          <w:trHeight w:val="114"/>
        </w:trPr>
        <w:tc>
          <w:tcPr>
            <w:tcW w:w="3685" w:type="dxa"/>
            <w:vAlign w:val="bottom"/>
          </w:tcPr>
          <w:p w14:paraId="2BCF665C" w14:textId="50C77B8F"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660: Alcohol-related disorders</w:t>
            </w:r>
          </w:p>
        </w:tc>
        <w:tc>
          <w:tcPr>
            <w:tcW w:w="1170" w:type="dxa"/>
            <w:vAlign w:val="center"/>
          </w:tcPr>
          <w:p w14:paraId="21F4F9BE" w14:textId="1934C0BD"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0.16</w:t>
            </w:r>
          </w:p>
        </w:tc>
        <w:tc>
          <w:tcPr>
            <w:tcW w:w="1080" w:type="dxa"/>
            <w:vAlign w:val="center"/>
          </w:tcPr>
          <w:p w14:paraId="4E1D9FED" w14:textId="17D2D99F"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0.02</w:t>
            </w:r>
          </w:p>
        </w:tc>
        <w:tc>
          <w:tcPr>
            <w:tcW w:w="1080" w:type="dxa"/>
            <w:vAlign w:val="center"/>
          </w:tcPr>
          <w:p w14:paraId="618D1FE3" w14:textId="0EF35CC4"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E96AB91" w14:textId="3140E74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0.15</w:t>
            </w:r>
          </w:p>
        </w:tc>
        <w:tc>
          <w:tcPr>
            <w:tcW w:w="1080" w:type="dxa"/>
            <w:vAlign w:val="center"/>
          </w:tcPr>
          <w:p w14:paraId="0540B2D8" w14:textId="670382DF"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0.02</w:t>
            </w:r>
          </w:p>
        </w:tc>
        <w:tc>
          <w:tcPr>
            <w:tcW w:w="1080" w:type="dxa"/>
            <w:vAlign w:val="center"/>
          </w:tcPr>
          <w:p w14:paraId="1E19C1CB" w14:textId="0CC093FC"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r w:rsidR="00C32DB8" w:rsidRPr="00FC6074" w14:paraId="02178EEE" w14:textId="77777777" w:rsidTr="007E4F84">
        <w:trPr>
          <w:trHeight w:val="114"/>
        </w:trPr>
        <w:tc>
          <w:tcPr>
            <w:tcW w:w="3685" w:type="dxa"/>
            <w:vAlign w:val="bottom"/>
          </w:tcPr>
          <w:p w14:paraId="04CD0B5B" w14:textId="0FDBF07F" w:rsidR="00C32DB8" w:rsidRPr="00FC6074" w:rsidRDefault="000943C5" w:rsidP="00C32DB8">
            <w:pPr>
              <w:autoSpaceDE w:val="0"/>
              <w:autoSpaceDN w:val="0"/>
              <w:adjustRightInd w:val="0"/>
              <w:spacing w:after="0" w:line="240" w:lineRule="auto"/>
              <w:rPr>
                <w:rFonts w:eastAsiaTheme="minorHAnsi" w:cs="Calibri"/>
                <w:color w:val="C00000"/>
              </w:rPr>
            </w:pPr>
            <w:r>
              <w:rPr>
                <w:rFonts w:ascii="Calibri" w:hAnsi="Calibri" w:cs="Calibri"/>
                <w:color w:val="C00000"/>
              </w:rPr>
              <w:t>CCS</w:t>
            </w:r>
            <w:r w:rsidR="00C32DB8" w:rsidRPr="00FC6074">
              <w:rPr>
                <w:rFonts w:ascii="Calibri" w:hAnsi="Calibri" w:cs="Calibri"/>
                <w:color w:val="C00000"/>
              </w:rPr>
              <w:t xml:space="preserve"> 661: Substance-related disorders</w:t>
            </w:r>
          </w:p>
        </w:tc>
        <w:tc>
          <w:tcPr>
            <w:tcW w:w="1170" w:type="dxa"/>
            <w:vAlign w:val="center"/>
          </w:tcPr>
          <w:p w14:paraId="5A2ACED7" w14:textId="293A80EE"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0.18</w:t>
            </w:r>
          </w:p>
        </w:tc>
        <w:tc>
          <w:tcPr>
            <w:tcW w:w="1080" w:type="dxa"/>
            <w:vAlign w:val="center"/>
          </w:tcPr>
          <w:p w14:paraId="374DFD86" w14:textId="4470E701"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0.01</w:t>
            </w:r>
          </w:p>
        </w:tc>
        <w:tc>
          <w:tcPr>
            <w:tcW w:w="1080" w:type="dxa"/>
            <w:vAlign w:val="center"/>
          </w:tcPr>
          <w:p w14:paraId="4603DB57" w14:textId="3A5AE236" w:rsidR="00C32DB8" w:rsidRPr="00FC6074" w:rsidRDefault="00C32DB8" w:rsidP="00C32DB8">
            <w:pPr>
              <w:autoSpaceDE w:val="0"/>
              <w:autoSpaceDN w:val="0"/>
              <w:adjustRightInd w:val="0"/>
              <w:spacing w:after="0" w:line="240" w:lineRule="auto"/>
              <w:jc w:val="right"/>
              <w:rPr>
                <w:rFonts w:ascii="Calibri" w:hAnsi="Calibri" w:cs="Calibri"/>
                <w:color w:val="C00000"/>
              </w:rPr>
            </w:pPr>
            <w:r w:rsidRPr="00FC6074">
              <w:rPr>
                <w:rFonts w:ascii="Calibri" w:hAnsi="Calibri" w:cs="Calibri"/>
                <w:color w:val="C00000"/>
              </w:rPr>
              <w:t>&lt;0.0001</w:t>
            </w:r>
          </w:p>
        </w:tc>
        <w:tc>
          <w:tcPr>
            <w:tcW w:w="1170" w:type="dxa"/>
            <w:vAlign w:val="center"/>
          </w:tcPr>
          <w:p w14:paraId="49396724" w14:textId="7E0D2AA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0.16</w:t>
            </w:r>
          </w:p>
        </w:tc>
        <w:tc>
          <w:tcPr>
            <w:tcW w:w="1080" w:type="dxa"/>
            <w:vAlign w:val="center"/>
          </w:tcPr>
          <w:p w14:paraId="3A36BC0D" w14:textId="58E0E5AB"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0.01</w:t>
            </w:r>
          </w:p>
        </w:tc>
        <w:tc>
          <w:tcPr>
            <w:tcW w:w="1080" w:type="dxa"/>
            <w:vAlign w:val="center"/>
          </w:tcPr>
          <w:p w14:paraId="60D90EBF" w14:textId="46D7A724" w:rsidR="00C32DB8" w:rsidRPr="00FC6074" w:rsidRDefault="00C32DB8" w:rsidP="00C32DB8">
            <w:pPr>
              <w:autoSpaceDE w:val="0"/>
              <w:autoSpaceDN w:val="0"/>
              <w:adjustRightInd w:val="0"/>
              <w:spacing w:after="0" w:line="240" w:lineRule="auto"/>
              <w:jc w:val="right"/>
              <w:rPr>
                <w:rFonts w:eastAsiaTheme="minorHAnsi" w:cs="Calibri"/>
                <w:color w:val="C00000"/>
              </w:rPr>
            </w:pPr>
            <w:r w:rsidRPr="00FC6074">
              <w:rPr>
                <w:rFonts w:ascii="Calibri" w:hAnsi="Calibri" w:cs="Calibri"/>
                <w:color w:val="C00000"/>
              </w:rPr>
              <w:t>&lt;0.0001</w:t>
            </w:r>
          </w:p>
        </w:tc>
      </w:tr>
    </w:tbl>
    <w:p w14:paraId="79297BF4" w14:textId="6DC90F2E" w:rsidR="008E0BF1" w:rsidRPr="00FC6074" w:rsidRDefault="008E0BF1" w:rsidP="00001D73">
      <w:pPr>
        <w:autoSpaceDE w:val="0"/>
        <w:autoSpaceDN w:val="0"/>
        <w:adjustRightInd w:val="0"/>
        <w:spacing w:after="0" w:line="240" w:lineRule="auto"/>
        <w:rPr>
          <w:rFonts w:cstheme="minorHAnsi"/>
          <w:b/>
          <w:bCs/>
          <w:color w:val="C00000"/>
        </w:rPr>
      </w:pPr>
    </w:p>
    <w:p w14:paraId="55583FEF" w14:textId="7800D234" w:rsidR="00A92B69" w:rsidRPr="00FC6074" w:rsidRDefault="007E4F84" w:rsidP="00001D73">
      <w:pPr>
        <w:autoSpaceDE w:val="0"/>
        <w:autoSpaceDN w:val="0"/>
        <w:adjustRightInd w:val="0"/>
        <w:spacing w:after="0" w:line="240" w:lineRule="auto"/>
        <w:rPr>
          <w:rFonts w:cstheme="minorHAnsi"/>
          <w:b/>
          <w:bCs/>
          <w:color w:val="C00000"/>
        </w:rPr>
      </w:pPr>
      <w:r>
        <w:rPr>
          <w:rFonts w:cstheme="minorHAnsi"/>
          <w:b/>
          <w:bCs/>
          <w:color w:val="C00000"/>
        </w:rPr>
        <w:t>Figure 2</w:t>
      </w:r>
      <w:r w:rsidR="004078FC" w:rsidRPr="00FC6074">
        <w:rPr>
          <w:rFonts w:cstheme="minorHAnsi"/>
          <w:b/>
          <w:bCs/>
          <w:color w:val="C00000"/>
        </w:rPr>
        <w:t xml:space="preserve">. </w:t>
      </w:r>
      <w:r w:rsidR="004078FC" w:rsidRPr="00FC6074">
        <w:rPr>
          <w:b/>
          <w:bCs/>
          <w:color w:val="C00000"/>
        </w:rPr>
        <w:t>Correlation between SRR with and without patient SES characteristics (2018).</w:t>
      </w:r>
    </w:p>
    <w:p w14:paraId="0CABCFF9" w14:textId="3D88FC49" w:rsidR="00C1695E" w:rsidRPr="00FC6074" w:rsidRDefault="00A92B69" w:rsidP="00001D73">
      <w:pPr>
        <w:autoSpaceDE w:val="0"/>
        <w:autoSpaceDN w:val="0"/>
        <w:adjustRightInd w:val="0"/>
        <w:spacing w:after="0" w:line="240" w:lineRule="auto"/>
        <w:rPr>
          <w:rFonts w:cstheme="minorHAnsi"/>
          <w:b/>
          <w:bCs/>
          <w:color w:val="C00000"/>
        </w:rPr>
      </w:pPr>
      <w:r w:rsidRPr="00FC6074">
        <w:rPr>
          <w:rFonts w:ascii="Arial" w:hAnsi="Arial" w:cs="Arial"/>
          <w:noProof/>
          <w:color w:val="C00000"/>
          <w:sz w:val="20"/>
          <w:szCs w:val="20"/>
        </w:rPr>
        <w:drawing>
          <wp:inline distT="0" distB="0" distL="0" distR="0" wp14:anchorId="59FC88AA" wp14:editId="6D7E320D">
            <wp:extent cx="3519366" cy="2638425"/>
            <wp:effectExtent l="0" t="0" r="5080" b="0"/>
            <wp:docPr id="10" name="Picture 10" descr="The SGPlot Proced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The SGPlot Procedure"/>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31720" cy="2647686"/>
                    </a:xfrm>
                    <a:prstGeom prst="rect">
                      <a:avLst/>
                    </a:prstGeom>
                    <a:noFill/>
                    <a:ln>
                      <a:noFill/>
                    </a:ln>
                  </pic:spPr>
                </pic:pic>
              </a:graphicData>
            </a:graphic>
          </wp:inline>
        </w:drawing>
      </w:r>
    </w:p>
    <w:p w14:paraId="49EA2994" w14:textId="77777777" w:rsidR="007E4F84" w:rsidRDefault="007E4F84" w:rsidP="00001D73">
      <w:pPr>
        <w:autoSpaceDE w:val="0"/>
        <w:autoSpaceDN w:val="0"/>
        <w:adjustRightInd w:val="0"/>
        <w:spacing w:after="0" w:line="240" w:lineRule="auto"/>
        <w:rPr>
          <w:rFonts w:cstheme="minorHAnsi"/>
          <w:bCs/>
          <w:color w:val="C00000"/>
        </w:rPr>
      </w:pPr>
    </w:p>
    <w:p w14:paraId="4B435AEE" w14:textId="55D43B0C" w:rsidR="00A92B69" w:rsidRPr="007E4F84" w:rsidRDefault="004078FC" w:rsidP="00001D73">
      <w:pPr>
        <w:autoSpaceDE w:val="0"/>
        <w:autoSpaceDN w:val="0"/>
        <w:adjustRightInd w:val="0"/>
        <w:spacing w:after="0" w:line="240" w:lineRule="auto"/>
        <w:rPr>
          <w:rFonts w:cstheme="minorHAnsi"/>
          <w:bCs/>
          <w:color w:val="C00000"/>
        </w:rPr>
      </w:pPr>
      <w:r w:rsidRPr="007E4F84">
        <w:rPr>
          <w:rFonts w:cstheme="minorHAnsi"/>
          <w:bCs/>
          <w:color w:val="C00000"/>
        </w:rPr>
        <w:t>Pearson r=0.9989.</w:t>
      </w:r>
    </w:p>
    <w:p w14:paraId="5F87D8B5" w14:textId="2C9BC598" w:rsidR="00B362A0" w:rsidRPr="00B362A0" w:rsidRDefault="00B362A0" w:rsidP="00B362A0">
      <w:pPr>
        <w:autoSpaceDE w:val="0"/>
        <w:autoSpaceDN w:val="0"/>
        <w:adjustRightInd w:val="0"/>
        <w:spacing w:after="0" w:line="240" w:lineRule="auto"/>
        <w:rPr>
          <w:rFonts w:cstheme="minorHAnsi"/>
          <w:bCs/>
          <w:color w:val="C00000"/>
        </w:rPr>
      </w:pPr>
      <w:r w:rsidRPr="00B362A0">
        <w:rPr>
          <w:rFonts w:cstheme="minorHAnsi"/>
          <w:bCs/>
          <w:color w:val="C00000"/>
        </w:rPr>
        <w:t xml:space="preserve">Patient-level SDS: </w:t>
      </w:r>
      <w:r w:rsidR="008D16E2">
        <w:rPr>
          <w:rFonts w:cstheme="minorHAnsi"/>
          <w:bCs/>
          <w:color w:val="C00000"/>
        </w:rPr>
        <w:t>With the addition of patient and area S</w:t>
      </w:r>
      <w:r w:rsidR="001813F3">
        <w:rPr>
          <w:rFonts w:cstheme="minorHAnsi"/>
          <w:bCs/>
          <w:color w:val="C00000"/>
        </w:rPr>
        <w:t>D</w:t>
      </w:r>
      <w:r w:rsidR="008D16E2">
        <w:rPr>
          <w:rFonts w:cstheme="minorHAnsi"/>
          <w:bCs/>
          <w:color w:val="C00000"/>
        </w:rPr>
        <w:t xml:space="preserve">S characteristics to the model, four </w:t>
      </w:r>
      <w:r w:rsidR="001813F3">
        <w:rPr>
          <w:rFonts w:cstheme="minorHAnsi"/>
          <w:bCs/>
          <w:color w:val="C00000"/>
        </w:rPr>
        <w:t xml:space="preserve">characteristics </w:t>
      </w:r>
      <w:r w:rsidR="008D16E2">
        <w:rPr>
          <w:rFonts w:cstheme="minorHAnsi"/>
          <w:bCs/>
          <w:color w:val="C00000"/>
        </w:rPr>
        <w:t xml:space="preserve">were found to be statistically significant. </w:t>
      </w:r>
      <w:r w:rsidR="00625652">
        <w:rPr>
          <w:rFonts w:cstheme="minorHAnsi"/>
          <w:bCs/>
          <w:color w:val="C00000"/>
        </w:rPr>
        <w:t xml:space="preserve">Asian/Pacific Islander (OR 0.96, p=0.0005), employed 6 months prior to ESRD (OR 0.95, p &lt; 0.0001), and Hispanic </w:t>
      </w:r>
      <w:r w:rsidR="008D16E2">
        <w:rPr>
          <w:rFonts w:cstheme="minorHAnsi"/>
          <w:bCs/>
          <w:color w:val="C00000"/>
        </w:rPr>
        <w:t>Patients</w:t>
      </w:r>
      <w:r w:rsidR="00625652">
        <w:rPr>
          <w:rFonts w:cstheme="minorHAnsi"/>
          <w:bCs/>
          <w:color w:val="C00000"/>
        </w:rPr>
        <w:t xml:space="preserve"> (0.96, p=0.0049)</w:t>
      </w:r>
      <w:r w:rsidR="008D16E2">
        <w:rPr>
          <w:rFonts w:cstheme="minorHAnsi"/>
          <w:bCs/>
          <w:color w:val="C00000"/>
        </w:rPr>
        <w:t xml:space="preserve"> ha</w:t>
      </w:r>
      <w:r w:rsidR="00625652">
        <w:rPr>
          <w:rFonts w:cstheme="minorHAnsi"/>
          <w:bCs/>
          <w:color w:val="C00000"/>
        </w:rPr>
        <w:t>ve</w:t>
      </w:r>
      <w:r w:rsidR="008D16E2">
        <w:rPr>
          <w:rFonts w:cstheme="minorHAnsi"/>
          <w:bCs/>
          <w:color w:val="C00000"/>
        </w:rPr>
        <w:t xml:space="preserve"> lower odds</w:t>
      </w:r>
      <w:r w:rsidR="00625652">
        <w:rPr>
          <w:rFonts w:cstheme="minorHAnsi"/>
          <w:bCs/>
          <w:color w:val="C00000"/>
        </w:rPr>
        <w:t xml:space="preserve"> of a readmission while Medicare dual eligible patients have 6% higher odds of readmission (OR 1.06, p&lt;0.0001). </w:t>
      </w:r>
      <w:r w:rsidRPr="00B362A0">
        <w:rPr>
          <w:rFonts w:cstheme="minorHAnsi"/>
          <w:bCs/>
          <w:color w:val="C00000"/>
        </w:rPr>
        <w:t xml:space="preserve">. </w:t>
      </w:r>
    </w:p>
    <w:p w14:paraId="79917C87" w14:textId="77777777" w:rsidR="00B362A0" w:rsidRPr="00B362A0" w:rsidRDefault="00B362A0" w:rsidP="00B362A0">
      <w:pPr>
        <w:autoSpaceDE w:val="0"/>
        <w:autoSpaceDN w:val="0"/>
        <w:adjustRightInd w:val="0"/>
        <w:spacing w:after="0" w:line="240" w:lineRule="auto"/>
        <w:rPr>
          <w:rFonts w:cstheme="minorHAnsi"/>
          <w:bCs/>
          <w:color w:val="C00000"/>
        </w:rPr>
      </w:pPr>
    </w:p>
    <w:p w14:paraId="16264F69" w14:textId="0E84B13E" w:rsidR="00013662" w:rsidRDefault="00B362A0" w:rsidP="00B362A0">
      <w:pPr>
        <w:autoSpaceDE w:val="0"/>
        <w:autoSpaceDN w:val="0"/>
        <w:adjustRightInd w:val="0"/>
        <w:spacing w:after="0" w:line="240" w:lineRule="auto"/>
        <w:rPr>
          <w:rFonts w:cstheme="minorHAnsi"/>
          <w:bCs/>
          <w:color w:val="C00000"/>
        </w:rPr>
      </w:pPr>
      <w:r w:rsidRPr="00B362A0">
        <w:rPr>
          <w:rFonts w:cstheme="minorHAnsi"/>
          <w:bCs/>
          <w:color w:val="C00000"/>
        </w:rPr>
        <w:t xml:space="preserve">We also examined how the different modeling approaches without and with SDS/SES adjustment changed how facilities were flagged in terms of their expected </w:t>
      </w:r>
      <w:r w:rsidR="00450136">
        <w:rPr>
          <w:rFonts w:cstheme="minorHAnsi"/>
          <w:bCs/>
          <w:color w:val="C00000"/>
        </w:rPr>
        <w:t>readmission</w:t>
      </w:r>
      <w:r w:rsidRPr="00B362A0">
        <w:rPr>
          <w:rFonts w:cstheme="minorHAnsi"/>
          <w:bCs/>
          <w:color w:val="C00000"/>
        </w:rPr>
        <w:t xml:space="preserve">. As shown in Table </w:t>
      </w:r>
      <w:r w:rsidR="00D955A1">
        <w:rPr>
          <w:rFonts w:cstheme="minorHAnsi"/>
          <w:bCs/>
          <w:color w:val="C00000"/>
        </w:rPr>
        <w:t>3</w:t>
      </w:r>
      <w:r w:rsidRPr="00B362A0">
        <w:rPr>
          <w:rFonts w:cstheme="minorHAnsi"/>
          <w:bCs/>
          <w:color w:val="C00000"/>
        </w:rPr>
        <w:t xml:space="preserve">, the flagging rates changed nominally between the original </w:t>
      </w:r>
      <w:r w:rsidR="00450136">
        <w:rPr>
          <w:rFonts w:cstheme="minorHAnsi"/>
          <w:bCs/>
          <w:color w:val="C00000"/>
        </w:rPr>
        <w:t>SRR</w:t>
      </w:r>
      <w:r w:rsidRPr="00B362A0">
        <w:rPr>
          <w:rFonts w:cstheme="minorHAnsi"/>
          <w:bCs/>
          <w:color w:val="C00000"/>
        </w:rPr>
        <w:t xml:space="preserve"> and the sensitivity model that includes SDS/SES. </w:t>
      </w:r>
    </w:p>
    <w:p w14:paraId="2F996518" w14:textId="40F91518" w:rsidR="00013662" w:rsidRDefault="00013662">
      <w:pPr>
        <w:rPr>
          <w:rFonts w:cstheme="minorHAnsi"/>
          <w:bCs/>
          <w:color w:val="C00000"/>
        </w:rPr>
      </w:pPr>
    </w:p>
    <w:p w14:paraId="71AA9CA6" w14:textId="76A20C1A" w:rsidR="00B362A0" w:rsidRPr="00423A4F" w:rsidRDefault="00D955A1" w:rsidP="00B362A0">
      <w:pPr>
        <w:autoSpaceDE w:val="0"/>
        <w:autoSpaceDN w:val="0"/>
        <w:adjustRightInd w:val="0"/>
        <w:spacing w:after="0" w:line="240" w:lineRule="auto"/>
        <w:rPr>
          <w:rFonts w:cstheme="minorHAnsi"/>
          <w:b/>
          <w:bCs/>
          <w:color w:val="C00000"/>
        </w:rPr>
      </w:pPr>
      <w:r>
        <w:rPr>
          <w:rFonts w:cstheme="minorHAnsi"/>
          <w:b/>
          <w:bCs/>
          <w:color w:val="C00000"/>
        </w:rPr>
        <w:t>Table 3</w:t>
      </w:r>
      <w:r w:rsidR="00013662" w:rsidRPr="00423A4F">
        <w:rPr>
          <w:rFonts w:cstheme="minorHAnsi"/>
          <w:b/>
          <w:bCs/>
          <w:color w:val="C00000"/>
        </w:rPr>
        <w:t xml:space="preserve">. Comparison of Flagging rates for SRR with and </w:t>
      </w:r>
      <w:proofErr w:type="spellStart"/>
      <w:r w:rsidR="00013662" w:rsidRPr="00423A4F">
        <w:rPr>
          <w:rFonts w:cstheme="minorHAnsi"/>
          <w:b/>
          <w:bCs/>
          <w:color w:val="C00000"/>
        </w:rPr>
        <w:t>with out</w:t>
      </w:r>
      <w:proofErr w:type="spellEnd"/>
      <w:r w:rsidR="00013662" w:rsidRPr="00423A4F">
        <w:rPr>
          <w:rFonts w:cstheme="minorHAnsi"/>
          <w:b/>
          <w:bCs/>
          <w:color w:val="C00000"/>
        </w:rPr>
        <w:t xml:space="preserve"> SDS/SES adjustment, 2018 data </w:t>
      </w:r>
    </w:p>
    <w:p w14:paraId="56C13D98" w14:textId="1F2B702F" w:rsidR="00B362A0" w:rsidRDefault="00B362A0" w:rsidP="00B362A0">
      <w:pPr>
        <w:autoSpaceDE w:val="0"/>
        <w:autoSpaceDN w:val="0"/>
        <w:adjustRightInd w:val="0"/>
        <w:spacing w:after="0" w:line="240" w:lineRule="auto"/>
        <w:rPr>
          <w:rFonts w:cstheme="minorHAnsi"/>
          <w:bCs/>
          <w:color w:val="C00000"/>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Description w:val="Table 3. Comparison of Flagging rates for SRR with and with out SDS/SES adjustment, 2018 data "/>
      </w:tblPr>
      <w:tblGrid>
        <w:gridCol w:w="1870"/>
        <w:gridCol w:w="1870"/>
        <w:gridCol w:w="1870"/>
        <w:gridCol w:w="1870"/>
        <w:gridCol w:w="1870"/>
      </w:tblGrid>
      <w:tr w:rsidR="009B5BB2" w14:paraId="7D828BA9" w14:textId="77777777" w:rsidTr="004B55F2">
        <w:trPr>
          <w:trHeight w:val="432"/>
          <w:tblHeader/>
        </w:trPr>
        <w:tc>
          <w:tcPr>
            <w:tcW w:w="1870" w:type="dxa"/>
            <w:tcBorders>
              <w:bottom w:val="nil"/>
            </w:tcBorders>
          </w:tcPr>
          <w:p w14:paraId="49AE35B6" w14:textId="248156DD" w:rsidR="009B5BB2" w:rsidRDefault="009B5BB2" w:rsidP="00B362A0">
            <w:pPr>
              <w:autoSpaceDE w:val="0"/>
              <w:autoSpaceDN w:val="0"/>
              <w:adjustRightInd w:val="0"/>
              <w:rPr>
                <w:rFonts w:cstheme="minorHAnsi"/>
                <w:bCs/>
                <w:color w:val="C00000"/>
              </w:rPr>
            </w:pPr>
          </w:p>
        </w:tc>
        <w:tc>
          <w:tcPr>
            <w:tcW w:w="5610" w:type="dxa"/>
            <w:gridSpan w:val="3"/>
            <w:tcBorders>
              <w:bottom w:val="nil"/>
            </w:tcBorders>
            <w:vAlign w:val="center"/>
          </w:tcPr>
          <w:p w14:paraId="784098B8" w14:textId="628394F8" w:rsidR="009B5BB2" w:rsidRDefault="009B5BB2" w:rsidP="00C32DB8">
            <w:pPr>
              <w:autoSpaceDE w:val="0"/>
              <w:autoSpaceDN w:val="0"/>
              <w:adjustRightInd w:val="0"/>
              <w:jc w:val="center"/>
              <w:rPr>
                <w:rFonts w:cstheme="minorHAnsi"/>
                <w:bCs/>
                <w:color w:val="C00000"/>
              </w:rPr>
            </w:pPr>
            <w:r>
              <w:rPr>
                <w:rFonts w:cstheme="minorHAnsi"/>
                <w:bCs/>
                <w:color w:val="C00000"/>
              </w:rPr>
              <w:t xml:space="preserve">SRR with </w:t>
            </w:r>
            <w:r w:rsidR="00DD1B73">
              <w:rPr>
                <w:rFonts w:cstheme="minorHAnsi"/>
                <w:bCs/>
                <w:color w:val="C00000"/>
              </w:rPr>
              <w:t>SDS/</w:t>
            </w:r>
            <w:r>
              <w:rPr>
                <w:rFonts w:cstheme="minorHAnsi"/>
                <w:bCs/>
                <w:color w:val="C00000"/>
              </w:rPr>
              <w:t>SES</w:t>
            </w:r>
          </w:p>
        </w:tc>
        <w:tc>
          <w:tcPr>
            <w:tcW w:w="1870" w:type="dxa"/>
            <w:tcBorders>
              <w:bottom w:val="nil"/>
            </w:tcBorders>
          </w:tcPr>
          <w:p w14:paraId="612FB012" w14:textId="77777777" w:rsidR="009B5BB2" w:rsidRDefault="009B5BB2" w:rsidP="00B362A0">
            <w:pPr>
              <w:autoSpaceDE w:val="0"/>
              <w:autoSpaceDN w:val="0"/>
              <w:adjustRightInd w:val="0"/>
              <w:rPr>
                <w:rFonts w:cstheme="minorHAnsi"/>
                <w:bCs/>
                <w:color w:val="C00000"/>
              </w:rPr>
            </w:pPr>
          </w:p>
        </w:tc>
      </w:tr>
      <w:tr w:rsidR="009B5BB2" w14:paraId="7ED2ABD5" w14:textId="77777777" w:rsidTr="004B55F2">
        <w:trPr>
          <w:trHeight w:val="432"/>
          <w:tblHeader/>
        </w:trPr>
        <w:tc>
          <w:tcPr>
            <w:tcW w:w="1870" w:type="dxa"/>
            <w:tcBorders>
              <w:top w:val="nil"/>
              <w:bottom w:val="single" w:sz="4" w:space="0" w:color="auto"/>
            </w:tcBorders>
            <w:vAlign w:val="bottom"/>
          </w:tcPr>
          <w:p w14:paraId="1434CC88" w14:textId="7E2D8209" w:rsidR="009B5BB2" w:rsidRDefault="009B5BB2">
            <w:pPr>
              <w:autoSpaceDE w:val="0"/>
              <w:autoSpaceDN w:val="0"/>
              <w:adjustRightInd w:val="0"/>
              <w:rPr>
                <w:rFonts w:cstheme="minorHAnsi"/>
                <w:bCs/>
                <w:color w:val="C00000"/>
              </w:rPr>
            </w:pPr>
            <w:r>
              <w:rPr>
                <w:rFonts w:cstheme="minorHAnsi"/>
                <w:bCs/>
                <w:color w:val="C00000"/>
              </w:rPr>
              <w:t xml:space="preserve">SRR without </w:t>
            </w:r>
            <w:r w:rsidR="00DD1B73">
              <w:rPr>
                <w:rFonts w:cstheme="minorHAnsi"/>
                <w:bCs/>
                <w:color w:val="C00000"/>
              </w:rPr>
              <w:t>SDS/</w:t>
            </w:r>
            <w:r>
              <w:rPr>
                <w:rFonts w:cstheme="minorHAnsi"/>
                <w:bCs/>
                <w:color w:val="C00000"/>
              </w:rPr>
              <w:t>SES</w:t>
            </w:r>
          </w:p>
        </w:tc>
        <w:tc>
          <w:tcPr>
            <w:tcW w:w="1870" w:type="dxa"/>
            <w:tcBorders>
              <w:top w:val="nil"/>
              <w:bottom w:val="single" w:sz="4" w:space="0" w:color="auto"/>
            </w:tcBorders>
            <w:vAlign w:val="bottom"/>
          </w:tcPr>
          <w:p w14:paraId="489733E1" w14:textId="5BDC7026" w:rsidR="009B5BB2" w:rsidRDefault="009B5BB2" w:rsidP="00C32DB8">
            <w:pPr>
              <w:autoSpaceDE w:val="0"/>
              <w:autoSpaceDN w:val="0"/>
              <w:adjustRightInd w:val="0"/>
              <w:jc w:val="right"/>
              <w:rPr>
                <w:rFonts w:cstheme="minorHAnsi"/>
                <w:bCs/>
                <w:color w:val="C00000"/>
              </w:rPr>
            </w:pPr>
            <w:r>
              <w:rPr>
                <w:rFonts w:cstheme="minorHAnsi"/>
                <w:bCs/>
                <w:color w:val="C00000"/>
              </w:rPr>
              <w:t>Better than Expected</w:t>
            </w:r>
          </w:p>
        </w:tc>
        <w:tc>
          <w:tcPr>
            <w:tcW w:w="1870" w:type="dxa"/>
            <w:tcBorders>
              <w:top w:val="nil"/>
              <w:bottom w:val="single" w:sz="4" w:space="0" w:color="auto"/>
            </w:tcBorders>
            <w:vAlign w:val="bottom"/>
          </w:tcPr>
          <w:p w14:paraId="6BAE1A99" w14:textId="3AFD6093" w:rsidR="009B5BB2" w:rsidRDefault="009B5BB2" w:rsidP="00C32DB8">
            <w:pPr>
              <w:autoSpaceDE w:val="0"/>
              <w:autoSpaceDN w:val="0"/>
              <w:adjustRightInd w:val="0"/>
              <w:jc w:val="right"/>
              <w:rPr>
                <w:rFonts w:cstheme="minorHAnsi"/>
                <w:bCs/>
                <w:color w:val="C00000"/>
              </w:rPr>
            </w:pPr>
            <w:r>
              <w:rPr>
                <w:rFonts w:cstheme="minorHAnsi"/>
                <w:bCs/>
                <w:color w:val="C00000"/>
              </w:rPr>
              <w:t>As Expected</w:t>
            </w:r>
          </w:p>
        </w:tc>
        <w:tc>
          <w:tcPr>
            <w:tcW w:w="1870" w:type="dxa"/>
            <w:tcBorders>
              <w:top w:val="nil"/>
              <w:bottom w:val="single" w:sz="4" w:space="0" w:color="auto"/>
            </w:tcBorders>
            <w:vAlign w:val="bottom"/>
          </w:tcPr>
          <w:p w14:paraId="113F53F3" w14:textId="485A76F7" w:rsidR="009B5BB2" w:rsidRDefault="009B5BB2" w:rsidP="00C32DB8">
            <w:pPr>
              <w:autoSpaceDE w:val="0"/>
              <w:autoSpaceDN w:val="0"/>
              <w:adjustRightInd w:val="0"/>
              <w:jc w:val="right"/>
              <w:rPr>
                <w:rFonts w:cstheme="minorHAnsi"/>
                <w:bCs/>
                <w:color w:val="C00000"/>
              </w:rPr>
            </w:pPr>
            <w:r>
              <w:rPr>
                <w:rFonts w:cstheme="minorHAnsi"/>
                <w:bCs/>
                <w:color w:val="C00000"/>
              </w:rPr>
              <w:t>Worse than Expected</w:t>
            </w:r>
          </w:p>
        </w:tc>
        <w:tc>
          <w:tcPr>
            <w:tcW w:w="1870" w:type="dxa"/>
            <w:tcBorders>
              <w:top w:val="nil"/>
              <w:bottom w:val="single" w:sz="4" w:space="0" w:color="auto"/>
            </w:tcBorders>
            <w:vAlign w:val="bottom"/>
          </w:tcPr>
          <w:p w14:paraId="45844833" w14:textId="502AC87E" w:rsidR="009B5BB2" w:rsidRDefault="009B5BB2" w:rsidP="00C32DB8">
            <w:pPr>
              <w:autoSpaceDE w:val="0"/>
              <w:autoSpaceDN w:val="0"/>
              <w:adjustRightInd w:val="0"/>
              <w:jc w:val="right"/>
              <w:rPr>
                <w:rFonts w:cstheme="minorHAnsi"/>
                <w:bCs/>
                <w:color w:val="C00000"/>
              </w:rPr>
            </w:pPr>
            <w:r>
              <w:rPr>
                <w:rFonts w:cstheme="minorHAnsi"/>
                <w:bCs/>
                <w:color w:val="C00000"/>
              </w:rPr>
              <w:t>Total</w:t>
            </w:r>
          </w:p>
        </w:tc>
      </w:tr>
      <w:tr w:rsidR="009B5BB2" w14:paraId="2F3F9A46" w14:textId="77777777" w:rsidTr="00C32DB8">
        <w:trPr>
          <w:trHeight w:val="432"/>
        </w:trPr>
        <w:tc>
          <w:tcPr>
            <w:tcW w:w="1870" w:type="dxa"/>
            <w:tcBorders>
              <w:top w:val="single" w:sz="4" w:space="0" w:color="auto"/>
            </w:tcBorders>
            <w:vAlign w:val="center"/>
          </w:tcPr>
          <w:p w14:paraId="73170C60" w14:textId="5A4C33C4" w:rsidR="009B5BB2" w:rsidRDefault="009B5BB2">
            <w:pPr>
              <w:autoSpaceDE w:val="0"/>
              <w:autoSpaceDN w:val="0"/>
              <w:adjustRightInd w:val="0"/>
              <w:rPr>
                <w:rFonts w:cstheme="minorHAnsi"/>
                <w:bCs/>
                <w:color w:val="C00000"/>
              </w:rPr>
            </w:pPr>
            <w:r>
              <w:rPr>
                <w:rFonts w:cstheme="minorHAnsi"/>
                <w:bCs/>
                <w:color w:val="C00000"/>
              </w:rPr>
              <w:t>Better than Expected</w:t>
            </w:r>
          </w:p>
        </w:tc>
        <w:tc>
          <w:tcPr>
            <w:tcW w:w="1870" w:type="dxa"/>
            <w:tcBorders>
              <w:top w:val="single" w:sz="4" w:space="0" w:color="auto"/>
            </w:tcBorders>
            <w:vAlign w:val="center"/>
          </w:tcPr>
          <w:p w14:paraId="5642C4C5" w14:textId="6F2F3E33" w:rsidR="009B5BB2" w:rsidRDefault="009B5BB2" w:rsidP="00C32DB8">
            <w:pPr>
              <w:autoSpaceDE w:val="0"/>
              <w:autoSpaceDN w:val="0"/>
              <w:adjustRightInd w:val="0"/>
              <w:jc w:val="right"/>
              <w:rPr>
                <w:rFonts w:cstheme="minorHAnsi"/>
                <w:bCs/>
                <w:color w:val="C00000"/>
              </w:rPr>
            </w:pPr>
            <w:r>
              <w:rPr>
                <w:rFonts w:cstheme="minorHAnsi"/>
                <w:bCs/>
                <w:color w:val="C00000"/>
              </w:rPr>
              <w:t>122 (1.76)</w:t>
            </w:r>
          </w:p>
        </w:tc>
        <w:tc>
          <w:tcPr>
            <w:tcW w:w="1870" w:type="dxa"/>
            <w:tcBorders>
              <w:top w:val="single" w:sz="4" w:space="0" w:color="auto"/>
            </w:tcBorders>
            <w:vAlign w:val="center"/>
          </w:tcPr>
          <w:p w14:paraId="5A83AA2F" w14:textId="464994A4" w:rsidR="009B5BB2" w:rsidRDefault="009B5BB2" w:rsidP="00C32DB8">
            <w:pPr>
              <w:autoSpaceDE w:val="0"/>
              <w:autoSpaceDN w:val="0"/>
              <w:adjustRightInd w:val="0"/>
              <w:jc w:val="right"/>
              <w:rPr>
                <w:rFonts w:cstheme="minorHAnsi"/>
                <w:bCs/>
                <w:color w:val="C00000"/>
              </w:rPr>
            </w:pPr>
            <w:r>
              <w:rPr>
                <w:rFonts w:cstheme="minorHAnsi"/>
                <w:bCs/>
                <w:color w:val="C00000"/>
              </w:rPr>
              <w:t>9 (0.13)</w:t>
            </w:r>
          </w:p>
        </w:tc>
        <w:tc>
          <w:tcPr>
            <w:tcW w:w="1870" w:type="dxa"/>
            <w:tcBorders>
              <w:top w:val="single" w:sz="4" w:space="0" w:color="auto"/>
            </w:tcBorders>
            <w:vAlign w:val="center"/>
          </w:tcPr>
          <w:p w14:paraId="0824A724" w14:textId="5A359060" w:rsidR="009B5BB2" w:rsidRDefault="009B5BB2" w:rsidP="00C32DB8">
            <w:pPr>
              <w:autoSpaceDE w:val="0"/>
              <w:autoSpaceDN w:val="0"/>
              <w:adjustRightInd w:val="0"/>
              <w:jc w:val="right"/>
              <w:rPr>
                <w:rFonts w:cstheme="minorHAnsi"/>
                <w:bCs/>
                <w:color w:val="C00000"/>
              </w:rPr>
            </w:pPr>
            <w:r>
              <w:rPr>
                <w:rFonts w:cstheme="minorHAnsi"/>
                <w:bCs/>
                <w:color w:val="C00000"/>
              </w:rPr>
              <w:t xml:space="preserve"> 0 (0.0)</w:t>
            </w:r>
          </w:p>
        </w:tc>
        <w:tc>
          <w:tcPr>
            <w:tcW w:w="1870" w:type="dxa"/>
            <w:tcBorders>
              <w:top w:val="single" w:sz="4" w:space="0" w:color="auto"/>
            </w:tcBorders>
            <w:vAlign w:val="center"/>
          </w:tcPr>
          <w:p w14:paraId="012CD04C" w14:textId="3B4F0918" w:rsidR="009B5BB2" w:rsidRDefault="009B5BB2" w:rsidP="00C32DB8">
            <w:pPr>
              <w:autoSpaceDE w:val="0"/>
              <w:autoSpaceDN w:val="0"/>
              <w:adjustRightInd w:val="0"/>
              <w:jc w:val="right"/>
              <w:rPr>
                <w:rFonts w:cstheme="minorHAnsi"/>
                <w:bCs/>
                <w:color w:val="C00000"/>
              </w:rPr>
            </w:pPr>
            <w:r>
              <w:rPr>
                <w:rFonts w:cstheme="minorHAnsi"/>
                <w:bCs/>
                <w:color w:val="C00000"/>
              </w:rPr>
              <w:t>131</w:t>
            </w:r>
            <w:r w:rsidR="00204115">
              <w:rPr>
                <w:rFonts w:cstheme="minorHAnsi"/>
                <w:bCs/>
                <w:color w:val="C00000"/>
              </w:rPr>
              <w:t xml:space="preserve"> (1.89)</w:t>
            </w:r>
          </w:p>
        </w:tc>
      </w:tr>
      <w:tr w:rsidR="009B5BB2" w14:paraId="5828DA2C" w14:textId="77777777" w:rsidTr="00C32DB8">
        <w:trPr>
          <w:trHeight w:val="432"/>
        </w:trPr>
        <w:tc>
          <w:tcPr>
            <w:tcW w:w="1870" w:type="dxa"/>
            <w:vAlign w:val="center"/>
          </w:tcPr>
          <w:p w14:paraId="360E3EC8" w14:textId="4F7DFDBB" w:rsidR="009B5BB2" w:rsidRDefault="009B5BB2">
            <w:pPr>
              <w:autoSpaceDE w:val="0"/>
              <w:autoSpaceDN w:val="0"/>
              <w:adjustRightInd w:val="0"/>
              <w:rPr>
                <w:rFonts w:cstheme="minorHAnsi"/>
                <w:bCs/>
                <w:color w:val="C00000"/>
              </w:rPr>
            </w:pPr>
            <w:r>
              <w:rPr>
                <w:rFonts w:cstheme="minorHAnsi"/>
                <w:bCs/>
                <w:color w:val="C00000"/>
              </w:rPr>
              <w:t>As Expected</w:t>
            </w:r>
          </w:p>
        </w:tc>
        <w:tc>
          <w:tcPr>
            <w:tcW w:w="1870" w:type="dxa"/>
            <w:vAlign w:val="center"/>
          </w:tcPr>
          <w:p w14:paraId="5B8B4B58" w14:textId="60E5C9AC" w:rsidR="009B5BB2" w:rsidRDefault="009B5BB2" w:rsidP="00C32DB8">
            <w:pPr>
              <w:autoSpaceDE w:val="0"/>
              <w:autoSpaceDN w:val="0"/>
              <w:adjustRightInd w:val="0"/>
              <w:jc w:val="right"/>
              <w:rPr>
                <w:rFonts w:cstheme="minorHAnsi"/>
                <w:bCs/>
                <w:color w:val="C00000"/>
              </w:rPr>
            </w:pPr>
            <w:r>
              <w:rPr>
                <w:rFonts w:cstheme="minorHAnsi"/>
                <w:bCs/>
                <w:color w:val="C00000"/>
              </w:rPr>
              <w:t>8 (0.12)</w:t>
            </w:r>
          </w:p>
        </w:tc>
        <w:tc>
          <w:tcPr>
            <w:tcW w:w="1870" w:type="dxa"/>
            <w:vAlign w:val="center"/>
          </w:tcPr>
          <w:p w14:paraId="09D65879" w14:textId="152A815D" w:rsidR="009B5BB2" w:rsidRDefault="009B5BB2" w:rsidP="00C32DB8">
            <w:pPr>
              <w:autoSpaceDE w:val="0"/>
              <w:autoSpaceDN w:val="0"/>
              <w:adjustRightInd w:val="0"/>
              <w:jc w:val="right"/>
              <w:rPr>
                <w:rFonts w:cstheme="minorHAnsi"/>
                <w:bCs/>
                <w:color w:val="C00000"/>
              </w:rPr>
            </w:pPr>
            <w:r>
              <w:rPr>
                <w:rFonts w:cstheme="minorHAnsi"/>
                <w:bCs/>
                <w:color w:val="C00000"/>
              </w:rPr>
              <w:t>6,544 (94.33)</w:t>
            </w:r>
          </w:p>
        </w:tc>
        <w:tc>
          <w:tcPr>
            <w:tcW w:w="1870" w:type="dxa"/>
            <w:vAlign w:val="center"/>
          </w:tcPr>
          <w:p w14:paraId="7F0CC3D7" w14:textId="195720FF" w:rsidR="009B5BB2" w:rsidRDefault="009B5BB2" w:rsidP="00C32DB8">
            <w:pPr>
              <w:autoSpaceDE w:val="0"/>
              <w:autoSpaceDN w:val="0"/>
              <w:adjustRightInd w:val="0"/>
              <w:jc w:val="right"/>
              <w:rPr>
                <w:rFonts w:cstheme="minorHAnsi"/>
                <w:bCs/>
                <w:color w:val="C00000"/>
              </w:rPr>
            </w:pPr>
            <w:r>
              <w:rPr>
                <w:rFonts w:cstheme="minorHAnsi"/>
                <w:bCs/>
                <w:color w:val="C00000"/>
              </w:rPr>
              <w:t>16 (0.23)</w:t>
            </w:r>
          </w:p>
        </w:tc>
        <w:tc>
          <w:tcPr>
            <w:tcW w:w="1870" w:type="dxa"/>
            <w:vAlign w:val="center"/>
          </w:tcPr>
          <w:p w14:paraId="27C1FD8D" w14:textId="31A41B12" w:rsidR="009B5BB2" w:rsidRDefault="009B5BB2" w:rsidP="00C32DB8">
            <w:pPr>
              <w:autoSpaceDE w:val="0"/>
              <w:autoSpaceDN w:val="0"/>
              <w:adjustRightInd w:val="0"/>
              <w:jc w:val="right"/>
              <w:rPr>
                <w:rFonts w:cstheme="minorHAnsi"/>
                <w:bCs/>
                <w:color w:val="C00000"/>
              </w:rPr>
            </w:pPr>
            <w:r>
              <w:rPr>
                <w:rFonts w:cstheme="minorHAnsi"/>
                <w:bCs/>
                <w:color w:val="C00000"/>
              </w:rPr>
              <w:t>6</w:t>
            </w:r>
            <w:r w:rsidR="00204115">
              <w:rPr>
                <w:rFonts w:cstheme="minorHAnsi"/>
                <w:bCs/>
                <w:color w:val="C00000"/>
              </w:rPr>
              <w:t>,</w:t>
            </w:r>
            <w:r>
              <w:rPr>
                <w:rFonts w:cstheme="minorHAnsi"/>
                <w:bCs/>
                <w:color w:val="C00000"/>
              </w:rPr>
              <w:t>568</w:t>
            </w:r>
            <w:r w:rsidR="00697B2D">
              <w:rPr>
                <w:rFonts w:cstheme="minorHAnsi"/>
                <w:bCs/>
                <w:color w:val="C00000"/>
              </w:rPr>
              <w:t xml:space="preserve"> (94.68)</w:t>
            </w:r>
          </w:p>
        </w:tc>
      </w:tr>
      <w:tr w:rsidR="009B5BB2" w14:paraId="46BB396B" w14:textId="77777777" w:rsidTr="00C32DB8">
        <w:trPr>
          <w:trHeight w:val="432"/>
        </w:trPr>
        <w:tc>
          <w:tcPr>
            <w:tcW w:w="1870" w:type="dxa"/>
            <w:vAlign w:val="center"/>
          </w:tcPr>
          <w:p w14:paraId="32469C8E" w14:textId="4C3F39F1" w:rsidR="009B5BB2" w:rsidRDefault="009B5BB2">
            <w:pPr>
              <w:autoSpaceDE w:val="0"/>
              <w:autoSpaceDN w:val="0"/>
              <w:adjustRightInd w:val="0"/>
              <w:rPr>
                <w:rFonts w:cstheme="minorHAnsi"/>
                <w:bCs/>
                <w:color w:val="C00000"/>
              </w:rPr>
            </w:pPr>
            <w:r>
              <w:rPr>
                <w:rFonts w:cstheme="minorHAnsi"/>
                <w:bCs/>
                <w:color w:val="C00000"/>
              </w:rPr>
              <w:t>Worse than Expected</w:t>
            </w:r>
          </w:p>
        </w:tc>
        <w:tc>
          <w:tcPr>
            <w:tcW w:w="1870" w:type="dxa"/>
            <w:vAlign w:val="center"/>
          </w:tcPr>
          <w:p w14:paraId="59F0D3DE" w14:textId="615BDA97" w:rsidR="009B5BB2" w:rsidRDefault="009B5BB2" w:rsidP="00C32DB8">
            <w:pPr>
              <w:autoSpaceDE w:val="0"/>
              <w:autoSpaceDN w:val="0"/>
              <w:adjustRightInd w:val="0"/>
              <w:jc w:val="right"/>
              <w:rPr>
                <w:rFonts w:cstheme="minorHAnsi"/>
                <w:bCs/>
                <w:color w:val="C00000"/>
              </w:rPr>
            </w:pPr>
            <w:r>
              <w:rPr>
                <w:rFonts w:cstheme="minorHAnsi"/>
                <w:bCs/>
                <w:color w:val="C00000"/>
              </w:rPr>
              <w:t>0 (0.0)</w:t>
            </w:r>
          </w:p>
        </w:tc>
        <w:tc>
          <w:tcPr>
            <w:tcW w:w="1870" w:type="dxa"/>
            <w:vAlign w:val="center"/>
          </w:tcPr>
          <w:p w14:paraId="06FCD527" w14:textId="47AB1A30" w:rsidR="009B5BB2" w:rsidRDefault="009B5BB2" w:rsidP="00C32DB8">
            <w:pPr>
              <w:autoSpaceDE w:val="0"/>
              <w:autoSpaceDN w:val="0"/>
              <w:adjustRightInd w:val="0"/>
              <w:jc w:val="right"/>
              <w:rPr>
                <w:rFonts w:cstheme="minorHAnsi"/>
                <w:bCs/>
                <w:color w:val="C00000"/>
              </w:rPr>
            </w:pPr>
            <w:r>
              <w:rPr>
                <w:rFonts w:cstheme="minorHAnsi"/>
                <w:bCs/>
                <w:color w:val="C00000"/>
              </w:rPr>
              <w:t>10 (0.14)</w:t>
            </w:r>
          </w:p>
        </w:tc>
        <w:tc>
          <w:tcPr>
            <w:tcW w:w="1870" w:type="dxa"/>
            <w:vAlign w:val="center"/>
          </w:tcPr>
          <w:p w14:paraId="2C89E30E" w14:textId="6F1BAB97" w:rsidR="009B5BB2" w:rsidRDefault="009B5BB2" w:rsidP="00C32DB8">
            <w:pPr>
              <w:autoSpaceDE w:val="0"/>
              <w:autoSpaceDN w:val="0"/>
              <w:adjustRightInd w:val="0"/>
              <w:jc w:val="right"/>
              <w:rPr>
                <w:rFonts w:cstheme="minorHAnsi"/>
                <w:bCs/>
                <w:color w:val="C00000"/>
              </w:rPr>
            </w:pPr>
            <w:r>
              <w:rPr>
                <w:rFonts w:cstheme="minorHAnsi"/>
                <w:bCs/>
                <w:color w:val="C00000"/>
              </w:rPr>
              <w:t>228 (3.29)</w:t>
            </w:r>
          </w:p>
        </w:tc>
        <w:tc>
          <w:tcPr>
            <w:tcW w:w="1870" w:type="dxa"/>
            <w:vAlign w:val="center"/>
          </w:tcPr>
          <w:p w14:paraId="40D8582B" w14:textId="15C158A7" w:rsidR="009B5BB2" w:rsidRDefault="009B5BB2" w:rsidP="00C32DB8">
            <w:pPr>
              <w:autoSpaceDE w:val="0"/>
              <w:autoSpaceDN w:val="0"/>
              <w:adjustRightInd w:val="0"/>
              <w:jc w:val="right"/>
              <w:rPr>
                <w:rFonts w:cstheme="minorHAnsi"/>
                <w:bCs/>
                <w:color w:val="C00000"/>
              </w:rPr>
            </w:pPr>
            <w:r>
              <w:rPr>
                <w:rFonts w:cstheme="minorHAnsi"/>
                <w:bCs/>
                <w:color w:val="C00000"/>
              </w:rPr>
              <w:t>238</w:t>
            </w:r>
            <w:r w:rsidR="00697B2D">
              <w:rPr>
                <w:rFonts w:cstheme="minorHAnsi"/>
                <w:bCs/>
                <w:color w:val="C00000"/>
              </w:rPr>
              <w:t xml:space="preserve"> (3.43)</w:t>
            </w:r>
          </w:p>
        </w:tc>
      </w:tr>
      <w:tr w:rsidR="009B5BB2" w14:paraId="214C6954" w14:textId="77777777" w:rsidTr="00C32DB8">
        <w:trPr>
          <w:trHeight w:val="432"/>
        </w:trPr>
        <w:tc>
          <w:tcPr>
            <w:tcW w:w="1870" w:type="dxa"/>
            <w:vAlign w:val="center"/>
          </w:tcPr>
          <w:p w14:paraId="6F6CD6ED" w14:textId="2EB7B203" w:rsidR="009B5BB2" w:rsidRDefault="009B5BB2">
            <w:pPr>
              <w:autoSpaceDE w:val="0"/>
              <w:autoSpaceDN w:val="0"/>
              <w:adjustRightInd w:val="0"/>
              <w:rPr>
                <w:rFonts w:cstheme="minorHAnsi"/>
                <w:bCs/>
                <w:color w:val="C00000"/>
              </w:rPr>
            </w:pPr>
            <w:r>
              <w:rPr>
                <w:rFonts w:cstheme="minorHAnsi"/>
                <w:bCs/>
                <w:color w:val="C00000"/>
              </w:rPr>
              <w:t>Total</w:t>
            </w:r>
          </w:p>
        </w:tc>
        <w:tc>
          <w:tcPr>
            <w:tcW w:w="1870" w:type="dxa"/>
            <w:vAlign w:val="center"/>
          </w:tcPr>
          <w:p w14:paraId="3D7E2AB3" w14:textId="392610F4" w:rsidR="009B5BB2" w:rsidRDefault="009B5BB2" w:rsidP="00C32DB8">
            <w:pPr>
              <w:autoSpaceDE w:val="0"/>
              <w:autoSpaceDN w:val="0"/>
              <w:adjustRightInd w:val="0"/>
              <w:jc w:val="right"/>
              <w:rPr>
                <w:rFonts w:cstheme="minorHAnsi"/>
                <w:bCs/>
                <w:color w:val="C00000"/>
              </w:rPr>
            </w:pPr>
            <w:r>
              <w:rPr>
                <w:rFonts w:cstheme="minorHAnsi"/>
                <w:bCs/>
                <w:color w:val="C00000"/>
              </w:rPr>
              <w:t>130</w:t>
            </w:r>
            <w:r w:rsidR="00110941">
              <w:rPr>
                <w:rFonts w:cstheme="minorHAnsi"/>
                <w:bCs/>
                <w:color w:val="C00000"/>
              </w:rPr>
              <w:t xml:space="preserve"> (1.87)</w:t>
            </w:r>
          </w:p>
        </w:tc>
        <w:tc>
          <w:tcPr>
            <w:tcW w:w="1870" w:type="dxa"/>
            <w:vAlign w:val="center"/>
          </w:tcPr>
          <w:p w14:paraId="2C38DE62" w14:textId="6CA48F48" w:rsidR="009B5BB2" w:rsidRDefault="009B5BB2" w:rsidP="00C32DB8">
            <w:pPr>
              <w:autoSpaceDE w:val="0"/>
              <w:autoSpaceDN w:val="0"/>
              <w:adjustRightInd w:val="0"/>
              <w:jc w:val="right"/>
              <w:rPr>
                <w:rFonts w:cstheme="minorHAnsi"/>
                <w:bCs/>
                <w:color w:val="C00000"/>
              </w:rPr>
            </w:pPr>
            <w:r>
              <w:rPr>
                <w:rFonts w:cstheme="minorHAnsi"/>
                <w:bCs/>
                <w:color w:val="C00000"/>
              </w:rPr>
              <w:t>6,563</w:t>
            </w:r>
            <w:r w:rsidR="00110941">
              <w:rPr>
                <w:rFonts w:cstheme="minorHAnsi"/>
                <w:bCs/>
                <w:color w:val="C00000"/>
              </w:rPr>
              <w:t xml:space="preserve"> (95.61)</w:t>
            </w:r>
          </w:p>
        </w:tc>
        <w:tc>
          <w:tcPr>
            <w:tcW w:w="1870" w:type="dxa"/>
            <w:vAlign w:val="center"/>
          </w:tcPr>
          <w:p w14:paraId="1CB828C6" w14:textId="707DF417" w:rsidR="009B5BB2" w:rsidRDefault="009B5BB2" w:rsidP="00C32DB8">
            <w:pPr>
              <w:autoSpaceDE w:val="0"/>
              <w:autoSpaceDN w:val="0"/>
              <w:adjustRightInd w:val="0"/>
              <w:jc w:val="right"/>
              <w:rPr>
                <w:rFonts w:cstheme="minorHAnsi"/>
                <w:bCs/>
                <w:color w:val="C00000"/>
              </w:rPr>
            </w:pPr>
            <w:r>
              <w:rPr>
                <w:rFonts w:cstheme="minorHAnsi"/>
                <w:bCs/>
                <w:color w:val="C00000"/>
              </w:rPr>
              <w:t>244</w:t>
            </w:r>
            <w:r w:rsidR="00110941">
              <w:rPr>
                <w:rFonts w:cstheme="minorHAnsi"/>
                <w:bCs/>
                <w:color w:val="C00000"/>
              </w:rPr>
              <w:t xml:space="preserve"> (3.52)</w:t>
            </w:r>
          </w:p>
        </w:tc>
        <w:tc>
          <w:tcPr>
            <w:tcW w:w="1870" w:type="dxa"/>
            <w:vAlign w:val="center"/>
          </w:tcPr>
          <w:p w14:paraId="6000FF3B" w14:textId="6AF06D3B" w:rsidR="009B5BB2" w:rsidRDefault="009B5BB2" w:rsidP="00C32DB8">
            <w:pPr>
              <w:autoSpaceDE w:val="0"/>
              <w:autoSpaceDN w:val="0"/>
              <w:adjustRightInd w:val="0"/>
              <w:jc w:val="right"/>
              <w:rPr>
                <w:rFonts w:cstheme="minorHAnsi"/>
                <w:bCs/>
                <w:color w:val="C00000"/>
              </w:rPr>
            </w:pPr>
            <w:r>
              <w:rPr>
                <w:rFonts w:cstheme="minorHAnsi"/>
                <w:bCs/>
                <w:color w:val="C00000"/>
              </w:rPr>
              <w:t>6,937</w:t>
            </w:r>
          </w:p>
        </w:tc>
      </w:tr>
    </w:tbl>
    <w:p w14:paraId="607B7571" w14:textId="77777777" w:rsidR="009B5BB2" w:rsidRPr="00B362A0" w:rsidRDefault="009B5BB2" w:rsidP="00B362A0">
      <w:pPr>
        <w:autoSpaceDE w:val="0"/>
        <w:autoSpaceDN w:val="0"/>
        <w:adjustRightInd w:val="0"/>
        <w:spacing w:after="0" w:line="240" w:lineRule="auto"/>
        <w:rPr>
          <w:rFonts w:cstheme="minorHAnsi"/>
          <w:bCs/>
          <w:color w:val="C00000"/>
        </w:rPr>
      </w:pPr>
    </w:p>
    <w:p w14:paraId="04A6DBAC" w14:textId="77777777" w:rsidR="00B362A0" w:rsidRPr="00B362A0" w:rsidRDefault="00B362A0" w:rsidP="00B362A0">
      <w:pPr>
        <w:autoSpaceDE w:val="0"/>
        <w:autoSpaceDN w:val="0"/>
        <w:adjustRightInd w:val="0"/>
        <w:spacing w:after="0" w:line="240" w:lineRule="auto"/>
        <w:rPr>
          <w:rFonts w:cstheme="minorHAnsi"/>
          <w:bCs/>
          <w:color w:val="C00000"/>
        </w:rPr>
      </w:pPr>
    </w:p>
    <w:p w14:paraId="4B89AE27" w14:textId="323F6B46" w:rsidR="00B362A0" w:rsidRPr="00B362A0" w:rsidRDefault="00B362A0" w:rsidP="00B362A0">
      <w:pPr>
        <w:autoSpaceDE w:val="0"/>
        <w:autoSpaceDN w:val="0"/>
        <w:adjustRightInd w:val="0"/>
        <w:spacing w:after="0" w:line="240" w:lineRule="auto"/>
        <w:rPr>
          <w:rFonts w:cstheme="minorHAnsi"/>
          <w:bCs/>
          <w:color w:val="C00000"/>
        </w:rPr>
      </w:pPr>
      <w:r w:rsidRPr="00B362A0">
        <w:rPr>
          <w:rFonts w:cstheme="minorHAnsi"/>
          <w:bCs/>
          <w:color w:val="C00000"/>
        </w:rPr>
        <w:t xml:space="preserve">These results show that facility profiling changes nominally with the addition of these selected patient- or area-level SDS/SES factors. </w:t>
      </w:r>
      <w:r w:rsidR="00DD1B73">
        <w:rPr>
          <w:rFonts w:cstheme="minorHAnsi"/>
          <w:bCs/>
          <w:color w:val="C00000"/>
        </w:rPr>
        <w:t>244</w:t>
      </w:r>
      <w:r w:rsidR="00DD1B73" w:rsidRPr="00B362A0">
        <w:rPr>
          <w:rFonts w:cstheme="minorHAnsi"/>
          <w:bCs/>
          <w:color w:val="C00000"/>
        </w:rPr>
        <w:t xml:space="preserve"> </w:t>
      </w:r>
      <w:r w:rsidRPr="00B362A0">
        <w:rPr>
          <w:rFonts w:cstheme="minorHAnsi"/>
          <w:bCs/>
          <w:color w:val="C00000"/>
        </w:rPr>
        <w:t>(3.</w:t>
      </w:r>
      <w:r w:rsidR="00DD1B73">
        <w:rPr>
          <w:rFonts w:cstheme="minorHAnsi"/>
          <w:bCs/>
          <w:color w:val="C00000"/>
        </w:rPr>
        <w:t>52</w:t>
      </w:r>
      <w:r w:rsidRPr="00B362A0">
        <w:rPr>
          <w:rFonts w:cstheme="minorHAnsi"/>
          <w:bCs/>
          <w:color w:val="C00000"/>
        </w:rPr>
        <w:t xml:space="preserve">%) facilities are flagged as worse than expected and </w:t>
      </w:r>
      <w:r w:rsidR="00DD1B73" w:rsidRPr="00B362A0">
        <w:rPr>
          <w:rFonts w:cstheme="minorHAnsi"/>
          <w:bCs/>
          <w:color w:val="C00000"/>
        </w:rPr>
        <w:t>1</w:t>
      </w:r>
      <w:r w:rsidR="00DD1B73">
        <w:rPr>
          <w:rFonts w:cstheme="minorHAnsi"/>
          <w:bCs/>
          <w:color w:val="C00000"/>
        </w:rPr>
        <w:t>30</w:t>
      </w:r>
      <w:r w:rsidR="00DD1B73" w:rsidRPr="00B362A0">
        <w:rPr>
          <w:rFonts w:cstheme="minorHAnsi"/>
          <w:bCs/>
          <w:color w:val="C00000"/>
        </w:rPr>
        <w:t xml:space="preserve"> </w:t>
      </w:r>
      <w:r w:rsidRPr="00B362A0">
        <w:rPr>
          <w:rFonts w:cstheme="minorHAnsi"/>
          <w:bCs/>
          <w:color w:val="C00000"/>
        </w:rPr>
        <w:t>(</w:t>
      </w:r>
      <w:r w:rsidR="00DD1B73">
        <w:rPr>
          <w:rFonts w:cstheme="minorHAnsi"/>
          <w:bCs/>
          <w:color w:val="C00000"/>
        </w:rPr>
        <w:t>1</w:t>
      </w:r>
      <w:r w:rsidRPr="00B362A0">
        <w:rPr>
          <w:rFonts w:cstheme="minorHAnsi"/>
          <w:bCs/>
          <w:color w:val="C00000"/>
        </w:rPr>
        <w:t xml:space="preserve">.87%) facilities are flagged as better than expected in the model adjusting for SDS/SES versus the </w:t>
      </w:r>
      <w:r w:rsidR="003C7E7A">
        <w:rPr>
          <w:rFonts w:cstheme="minorHAnsi"/>
          <w:bCs/>
          <w:color w:val="C00000"/>
        </w:rPr>
        <w:t>SRR</w:t>
      </w:r>
      <w:r w:rsidR="003C7E7A" w:rsidRPr="00B362A0">
        <w:rPr>
          <w:rFonts w:cstheme="minorHAnsi"/>
          <w:bCs/>
          <w:color w:val="C00000"/>
        </w:rPr>
        <w:t xml:space="preserve"> </w:t>
      </w:r>
      <w:r w:rsidRPr="00B362A0">
        <w:rPr>
          <w:rFonts w:cstheme="minorHAnsi"/>
          <w:bCs/>
          <w:color w:val="C00000"/>
        </w:rPr>
        <w:t xml:space="preserve">baseline model where </w:t>
      </w:r>
      <w:r w:rsidR="003C7E7A">
        <w:rPr>
          <w:rFonts w:cstheme="minorHAnsi"/>
          <w:bCs/>
          <w:color w:val="C00000"/>
        </w:rPr>
        <w:t>238</w:t>
      </w:r>
      <w:r w:rsidR="003C7E7A" w:rsidRPr="00B362A0">
        <w:rPr>
          <w:rFonts w:cstheme="minorHAnsi"/>
          <w:bCs/>
          <w:color w:val="C00000"/>
        </w:rPr>
        <w:t xml:space="preserve"> </w:t>
      </w:r>
      <w:r w:rsidRPr="00B362A0">
        <w:rPr>
          <w:rFonts w:cstheme="minorHAnsi"/>
          <w:bCs/>
          <w:color w:val="C00000"/>
        </w:rPr>
        <w:t>(3.</w:t>
      </w:r>
      <w:r w:rsidR="003C7E7A">
        <w:rPr>
          <w:rFonts w:cstheme="minorHAnsi"/>
          <w:bCs/>
          <w:color w:val="C00000"/>
        </w:rPr>
        <w:t>43</w:t>
      </w:r>
      <w:r w:rsidRPr="00B362A0">
        <w:rPr>
          <w:rFonts w:cstheme="minorHAnsi"/>
          <w:bCs/>
          <w:color w:val="C00000"/>
        </w:rPr>
        <w:t xml:space="preserve">%) facilities are flagged as worse than expected and </w:t>
      </w:r>
      <w:r w:rsidR="003C7E7A" w:rsidRPr="00B362A0">
        <w:rPr>
          <w:rFonts w:cstheme="minorHAnsi"/>
          <w:bCs/>
          <w:color w:val="C00000"/>
        </w:rPr>
        <w:t>1</w:t>
      </w:r>
      <w:r w:rsidR="003C7E7A">
        <w:rPr>
          <w:rFonts w:cstheme="minorHAnsi"/>
          <w:bCs/>
          <w:color w:val="C00000"/>
        </w:rPr>
        <w:t>31</w:t>
      </w:r>
      <w:r w:rsidR="003C7E7A" w:rsidRPr="00B362A0">
        <w:rPr>
          <w:rFonts w:cstheme="minorHAnsi"/>
          <w:bCs/>
          <w:color w:val="C00000"/>
        </w:rPr>
        <w:t xml:space="preserve"> </w:t>
      </w:r>
      <w:r w:rsidRPr="00B362A0">
        <w:rPr>
          <w:rFonts w:cstheme="minorHAnsi"/>
          <w:bCs/>
          <w:color w:val="C00000"/>
        </w:rPr>
        <w:t>(2.</w:t>
      </w:r>
      <w:r w:rsidR="003C7E7A" w:rsidRPr="00B362A0">
        <w:rPr>
          <w:rFonts w:cstheme="minorHAnsi"/>
          <w:bCs/>
          <w:color w:val="C00000"/>
        </w:rPr>
        <w:t>8</w:t>
      </w:r>
      <w:r w:rsidR="003C7E7A">
        <w:rPr>
          <w:rFonts w:cstheme="minorHAnsi"/>
          <w:bCs/>
          <w:color w:val="C00000"/>
        </w:rPr>
        <w:t>9</w:t>
      </w:r>
      <w:r w:rsidRPr="00B362A0">
        <w:rPr>
          <w:rFonts w:cstheme="minorHAnsi"/>
          <w:bCs/>
          <w:color w:val="C00000"/>
        </w:rPr>
        <w:t xml:space="preserve">%) facilities are flagged as better than expected. This empirical finding demonstrating nominal differences in flagging when adjusting for SDS/SES, coupled with the risk of reducing patients’ access to high quality care supports the decision to not adjust </w:t>
      </w:r>
      <w:r w:rsidR="003C7E7A">
        <w:rPr>
          <w:rFonts w:cstheme="minorHAnsi"/>
          <w:bCs/>
          <w:color w:val="C00000"/>
        </w:rPr>
        <w:t>SRR</w:t>
      </w:r>
      <w:r w:rsidR="003C7E7A" w:rsidRPr="00B362A0">
        <w:rPr>
          <w:rFonts w:cstheme="minorHAnsi"/>
          <w:bCs/>
          <w:color w:val="C00000"/>
        </w:rPr>
        <w:t xml:space="preserve"> </w:t>
      </w:r>
      <w:r w:rsidRPr="00B362A0">
        <w:rPr>
          <w:rFonts w:cstheme="minorHAnsi"/>
          <w:bCs/>
          <w:color w:val="C00000"/>
        </w:rPr>
        <w:t>for the selected SDS/SES factors.</w:t>
      </w:r>
    </w:p>
    <w:p w14:paraId="65C65D49" w14:textId="77777777" w:rsidR="00B362A0" w:rsidRDefault="00B362A0" w:rsidP="00092566">
      <w:pPr>
        <w:autoSpaceDE w:val="0"/>
        <w:autoSpaceDN w:val="0"/>
        <w:adjustRightInd w:val="0"/>
        <w:spacing w:after="0" w:line="240" w:lineRule="auto"/>
        <w:rPr>
          <w:rFonts w:cstheme="minorHAnsi"/>
          <w:b/>
          <w:bCs/>
        </w:rPr>
      </w:pPr>
    </w:p>
    <w:p w14:paraId="2C176E1F" w14:textId="77777777" w:rsidR="00B362A0" w:rsidRDefault="00B362A0" w:rsidP="00092566">
      <w:pPr>
        <w:autoSpaceDE w:val="0"/>
        <w:autoSpaceDN w:val="0"/>
        <w:adjustRightInd w:val="0"/>
        <w:spacing w:after="0" w:line="240" w:lineRule="auto"/>
        <w:rPr>
          <w:rFonts w:cstheme="minorHAnsi"/>
          <w:b/>
          <w:bCs/>
        </w:rPr>
      </w:pPr>
    </w:p>
    <w:p w14:paraId="0CABCFFA" w14:textId="331AF435" w:rsidR="00092566" w:rsidRPr="00A25024" w:rsidRDefault="009C7513" w:rsidP="00092566">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3526FB10" w:rsidR="00743E46" w:rsidRDefault="00743E46" w:rsidP="00092566">
      <w:pPr>
        <w:autoSpaceDE w:val="0"/>
        <w:autoSpaceDN w:val="0"/>
        <w:adjustRightInd w:val="0"/>
        <w:spacing w:after="0" w:line="240" w:lineRule="auto"/>
        <w:rPr>
          <w:rFonts w:cstheme="minorHAnsi"/>
          <w:b/>
          <w:bCs/>
        </w:rPr>
      </w:pPr>
    </w:p>
    <w:p w14:paraId="337A5ACC" w14:textId="692AC4AA" w:rsidR="008E0BF1" w:rsidRDefault="008E0BF1" w:rsidP="00092566">
      <w:pPr>
        <w:autoSpaceDE w:val="0"/>
        <w:autoSpaceDN w:val="0"/>
        <w:adjustRightInd w:val="0"/>
        <w:spacing w:after="0" w:line="240" w:lineRule="auto"/>
        <w:rPr>
          <w:rFonts w:cstheme="minorHAnsi"/>
          <w:bCs/>
        </w:rPr>
      </w:pPr>
      <w:r w:rsidRPr="008E0BF1">
        <w:rPr>
          <w:rFonts w:cstheme="minorHAnsi"/>
          <w:bCs/>
        </w:rPr>
        <w:t>The model’s fit is demonstrated in Figure 2, which compares the observed rates with the model-based predictions. We bin all observations into 20 groups based on their model-based predicted values and compute the observed readmission proportion for each group. We then apply the logit transformation to each group’s observed readmission proportion and plot it against the same group's average linear prediction; see the dots for all 20 groups in the plot. The 45-degree line would represent a perfect match between the observed values and the model-based predictions. In general, the closer the observed values are to this line the better the model fit. As the figure shows, the observed values are spaced fairly equally and lie very close to the 45-degree line, indicating a good fit.</w:t>
      </w:r>
    </w:p>
    <w:p w14:paraId="28C7A9D7" w14:textId="23F7EA17" w:rsidR="00DD72DD" w:rsidRDefault="00DD72DD" w:rsidP="00092566">
      <w:pPr>
        <w:autoSpaceDE w:val="0"/>
        <w:autoSpaceDN w:val="0"/>
        <w:adjustRightInd w:val="0"/>
        <w:spacing w:after="0" w:line="240" w:lineRule="auto"/>
        <w:rPr>
          <w:rFonts w:cstheme="minorHAnsi"/>
          <w:bCs/>
        </w:rPr>
      </w:pPr>
    </w:p>
    <w:p w14:paraId="33742F0A" w14:textId="0B557906"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5B59CFBC" w14:textId="5ECC531A" w:rsidR="007E4F84" w:rsidRPr="00FC6074" w:rsidRDefault="007E4F84" w:rsidP="007E4F84">
      <w:pPr>
        <w:rPr>
          <w:b/>
          <w:color w:val="C00000"/>
        </w:rPr>
      </w:pPr>
      <w:r w:rsidRPr="00FC6074">
        <w:rPr>
          <w:b/>
          <w:color w:val="C00000"/>
        </w:rPr>
        <w:t>F</w:t>
      </w:r>
      <w:r>
        <w:rPr>
          <w:b/>
          <w:color w:val="C00000"/>
        </w:rPr>
        <w:t>igure 3</w:t>
      </w:r>
      <w:r w:rsidRPr="00FC6074">
        <w:rPr>
          <w:b/>
          <w:color w:val="C00000"/>
        </w:rPr>
        <w:t>. A plot of the logit of the observed proportion of admissions against the logit of model estimated probabilities to assess overall model fit.</w:t>
      </w:r>
    </w:p>
    <w:p w14:paraId="1F835071" w14:textId="77747CB2" w:rsidR="007E4F84" w:rsidRPr="00FC6074" w:rsidRDefault="007E4F84" w:rsidP="007E4F84">
      <w:pPr>
        <w:autoSpaceDE w:val="0"/>
        <w:autoSpaceDN w:val="0"/>
        <w:adjustRightInd w:val="0"/>
        <w:spacing w:after="0" w:line="240" w:lineRule="auto"/>
        <w:rPr>
          <w:rFonts w:cstheme="minorHAnsi"/>
          <w:b/>
          <w:bCs/>
          <w:color w:val="C00000"/>
        </w:rPr>
      </w:pPr>
      <w:r>
        <w:rPr>
          <w:rFonts w:cstheme="minorHAnsi"/>
          <w:b/>
          <w:bCs/>
          <w:noProof/>
          <w:color w:val="C00000"/>
        </w:rPr>
        <w:drawing>
          <wp:inline distT="0" distB="0" distL="0" distR="0" wp14:anchorId="08024D3D" wp14:editId="45D6C3A8">
            <wp:extent cx="3422650" cy="3422650"/>
            <wp:effectExtent l="0" t="0" r="6350" b="6350"/>
            <wp:docPr id="4" name="Picture 4" descr="calibration_S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calibration_SR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2650" cy="3422650"/>
                    </a:xfrm>
                    <a:prstGeom prst="rect">
                      <a:avLst/>
                    </a:prstGeom>
                    <a:noFill/>
                    <a:ln>
                      <a:noFill/>
                    </a:ln>
                  </pic:spPr>
                </pic:pic>
              </a:graphicData>
            </a:graphic>
          </wp:inline>
        </w:drawing>
      </w:r>
    </w:p>
    <w:p w14:paraId="34DCBEC9" w14:textId="77777777" w:rsidR="007E4F84" w:rsidRDefault="007E4F84" w:rsidP="00FA6EAF">
      <w:pPr>
        <w:autoSpaceDE w:val="0"/>
        <w:autoSpaceDN w:val="0"/>
        <w:adjustRightInd w:val="0"/>
        <w:spacing w:after="0" w:line="240" w:lineRule="auto"/>
        <w:rPr>
          <w:rFonts w:cstheme="minorHAnsi"/>
          <w:bCs/>
          <w:color w:val="C00000"/>
        </w:rPr>
      </w:pPr>
    </w:p>
    <w:p w14:paraId="719F3FEB" w14:textId="6DE05C4F" w:rsidR="00FA6EAF" w:rsidRPr="00B362A0" w:rsidRDefault="00FA6EAF" w:rsidP="00FA6EAF">
      <w:pPr>
        <w:autoSpaceDE w:val="0"/>
        <w:autoSpaceDN w:val="0"/>
        <w:adjustRightInd w:val="0"/>
        <w:spacing w:after="0" w:line="240" w:lineRule="auto"/>
        <w:rPr>
          <w:rFonts w:cstheme="minorHAnsi"/>
          <w:bCs/>
          <w:color w:val="C00000"/>
        </w:rPr>
      </w:pPr>
      <w:r w:rsidRPr="00B362A0">
        <w:rPr>
          <w:rFonts w:cstheme="minorHAnsi"/>
          <w:bCs/>
          <w:color w:val="C00000"/>
        </w:rPr>
        <w:t xml:space="preserve">The model’s fit is demonstrated in Figure </w:t>
      </w:r>
      <w:r w:rsidR="007E4F84">
        <w:rPr>
          <w:rFonts w:cstheme="minorHAnsi"/>
          <w:bCs/>
          <w:color w:val="C00000"/>
        </w:rPr>
        <w:t>3</w:t>
      </w:r>
      <w:r w:rsidR="00B362A0">
        <w:rPr>
          <w:rFonts w:cstheme="minorHAnsi"/>
          <w:bCs/>
          <w:color w:val="C00000"/>
        </w:rPr>
        <w:t xml:space="preserve"> (above)</w:t>
      </w:r>
      <w:r w:rsidRPr="00B362A0">
        <w:rPr>
          <w:rFonts w:cstheme="minorHAnsi"/>
          <w:bCs/>
          <w:color w:val="C00000"/>
        </w:rPr>
        <w:t>, which compares the observed rates with the model-based predictions. We bin all observations into 20 groups based on their model-based predicted values and compute the observed readmission proportion for each group. We then apply the logit transformation to each group’s observed readmission proportion and plot it against the same group's average linear prediction; see the dots for all 20 groups in the plot. The 45-degree line would represent a perfect match between the observed values and the model-based predictions. In general, the closer the observed values are to this line the better the model fit. As the figure shows, the observed values are spaced fairly equally and lie very close to the 45-degree line, indicating a good fit.</w:t>
      </w:r>
    </w:p>
    <w:p w14:paraId="78DC383D" w14:textId="49643BCD" w:rsidR="00DD72DD" w:rsidRDefault="00DD72DD" w:rsidP="00092566">
      <w:pPr>
        <w:autoSpaceDE w:val="0"/>
        <w:autoSpaceDN w:val="0"/>
        <w:adjustRightInd w:val="0"/>
        <w:spacing w:after="0" w:line="240" w:lineRule="auto"/>
        <w:rPr>
          <w:rFonts w:cstheme="minorHAnsi"/>
          <w:bCs/>
        </w:rPr>
      </w:pPr>
    </w:p>
    <w:p w14:paraId="3E06B32A" w14:textId="77777777" w:rsidR="0062648C" w:rsidRDefault="0062648C">
      <w:pPr>
        <w:rPr>
          <w:rFonts w:cstheme="minorHAnsi"/>
          <w:b/>
          <w:bCs/>
        </w:rPr>
      </w:pPr>
      <w:r>
        <w:rPr>
          <w:rFonts w:cstheme="minorHAnsi"/>
          <w:b/>
          <w:bCs/>
        </w:rPr>
        <w:br w:type="page"/>
      </w:r>
    </w:p>
    <w:p w14:paraId="0CABCFFD" w14:textId="45D957B6" w:rsidR="00001D73" w:rsidRDefault="00743E4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r w:rsidR="00092566" w:rsidRPr="00001D73">
        <w:rPr>
          <w:rFonts w:cstheme="minorHAnsi"/>
          <w:b/>
        </w:rPr>
        <w:br/>
      </w:r>
      <w:r w:rsidR="008E0BF1" w:rsidRPr="008E0BF1">
        <w:rPr>
          <w:rFonts w:cstheme="minorHAnsi"/>
          <w:bCs/>
        </w:rPr>
        <w:t>As the ROC curve demonstrates, the model’s accuracy is fair (Figure 2 above); c-statistic = 0.6359.</w:t>
      </w:r>
    </w:p>
    <w:p w14:paraId="64189D9E" w14:textId="49BCBC55" w:rsidR="00DD72DD" w:rsidRDefault="00DD72DD" w:rsidP="00092566">
      <w:pPr>
        <w:autoSpaceDE w:val="0"/>
        <w:autoSpaceDN w:val="0"/>
        <w:adjustRightInd w:val="0"/>
        <w:spacing w:after="0" w:line="240" w:lineRule="auto"/>
        <w:rPr>
          <w:rFonts w:cstheme="minorHAnsi"/>
          <w:bCs/>
        </w:rPr>
      </w:pPr>
    </w:p>
    <w:p w14:paraId="117E71A6" w14:textId="77777777"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6891E2F1" w14:textId="60D1DF4E" w:rsidR="00DD72DD" w:rsidRPr="00B362A0" w:rsidRDefault="00C22C45" w:rsidP="00092566">
      <w:pPr>
        <w:autoSpaceDE w:val="0"/>
        <w:autoSpaceDN w:val="0"/>
        <w:adjustRightInd w:val="0"/>
        <w:spacing w:after="0" w:line="240" w:lineRule="auto"/>
        <w:rPr>
          <w:rFonts w:cstheme="minorHAnsi"/>
          <w:b/>
          <w:bCs/>
          <w:color w:val="C00000"/>
        </w:rPr>
      </w:pPr>
      <w:r w:rsidRPr="00B362A0">
        <w:rPr>
          <w:rFonts w:cstheme="minorHAnsi"/>
          <w:bCs/>
          <w:color w:val="C00000"/>
        </w:rPr>
        <w:t>As the ROC curve demonstrates, the mode</w:t>
      </w:r>
      <w:r w:rsidR="00434486">
        <w:rPr>
          <w:rFonts w:cstheme="minorHAnsi"/>
          <w:bCs/>
          <w:color w:val="C00000"/>
        </w:rPr>
        <w:t>l’s accuracy is fair (Figure 4</w:t>
      </w:r>
      <w:r w:rsidRPr="00B362A0">
        <w:rPr>
          <w:rFonts w:cstheme="minorHAnsi"/>
          <w:bCs/>
          <w:color w:val="C00000"/>
        </w:rPr>
        <w:t>); c-statistic = 0.6768.</w:t>
      </w:r>
    </w:p>
    <w:p w14:paraId="32011006" w14:textId="0CC0CBF2" w:rsidR="008E0BF1" w:rsidRDefault="008E0BF1" w:rsidP="00092566">
      <w:pPr>
        <w:autoSpaceDE w:val="0"/>
        <w:autoSpaceDN w:val="0"/>
        <w:adjustRightInd w:val="0"/>
        <w:spacing w:after="0" w:line="240" w:lineRule="auto"/>
        <w:rPr>
          <w:rFonts w:cstheme="minorHAnsi"/>
          <w:b/>
          <w:bCs/>
        </w:rPr>
      </w:pPr>
    </w:p>
    <w:p w14:paraId="4E4F4DF2" w14:textId="66123F13" w:rsidR="00423A4F" w:rsidRPr="00FC6074" w:rsidRDefault="00423A4F" w:rsidP="00423A4F">
      <w:pPr>
        <w:rPr>
          <w:b/>
          <w:color w:val="C00000"/>
        </w:rPr>
      </w:pPr>
      <w:r w:rsidRPr="00FC6074">
        <w:rPr>
          <w:b/>
          <w:color w:val="C00000"/>
        </w:rPr>
        <w:t xml:space="preserve">Figure </w:t>
      </w:r>
      <w:r w:rsidR="007E4F84">
        <w:rPr>
          <w:b/>
          <w:color w:val="C00000"/>
        </w:rPr>
        <w:t>4</w:t>
      </w:r>
      <w:r w:rsidRPr="00FC6074">
        <w:rPr>
          <w:b/>
          <w:color w:val="C00000"/>
        </w:rPr>
        <w:t>. ROC curve for SRR model (c-statistic = 0.6768).</w:t>
      </w:r>
    </w:p>
    <w:p w14:paraId="536E21B1" w14:textId="142AA7A6" w:rsidR="00423A4F" w:rsidRPr="00FC6074" w:rsidRDefault="00423A4F" w:rsidP="00423A4F">
      <w:pPr>
        <w:rPr>
          <w:b/>
          <w:color w:val="C00000"/>
        </w:rPr>
      </w:pPr>
      <w:r>
        <w:rPr>
          <w:b/>
          <w:noProof/>
          <w:color w:val="C00000"/>
        </w:rPr>
        <w:drawing>
          <wp:inline distT="0" distB="0" distL="0" distR="0" wp14:anchorId="40566AE3" wp14:editId="357CEA06">
            <wp:extent cx="4286250" cy="4286250"/>
            <wp:effectExtent l="0" t="0" r="0" b="0"/>
            <wp:docPr id="3" name="Picture 3" descr="roc_SR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oc_SRR"/>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286250" cy="4286250"/>
                    </a:xfrm>
                    <a:prstGeom prst="rect">
                      <a:avLst/>
                    </a:prstGeom>
                    <a:noFill/>
                    <a:ln>
                      <a:noFill/>
                    </a:ln>
                  </pic:spPr>
                </pic:pic>
              </a:graphicData>
            </a:graphic>
          </wp:inline>
        </w:drawing>
      </w:r>
    </w:p>
    <w:p w14:paraId="0CABCFFE" w14:textId="30BFEDB6" w:rsidR="00001D73"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8E0BF1" w:rsidRPr="008E0BF1">
        <w:rPr>
          <w:rFonts w:cstheme="minorHAnsi"/>
          <w:bCs/>
        </w:rPr>
        <w:t>The Hosmer-</w:t>
      </w:r>
      <w:proofErr w:type="spellStart"/>
      <w:r w:rsidR="008E0BF1" w:rsidRPr="008E0BF1">
        <w:rPr>
          <w:rFonts w:cstheme="minorHAnsi"/>
          <w:bCs/>
        </w:rPr>
        <w:t>Lemeshow</w:t>
      </w:r>
      <w:proofErr w:type="spellEnd"/>
      <w:r w:rsidR="008E0BF1" w:rsidRPr="008E0BF1">
        <w:rPr>
          <w:rFonts w:cstheme="minorHAnsi"/>
          <w:bCs/>
        </w:rPr>
        <w:t xml:space="preserve"> test statistic based on deciles of risk is 60.9 with P-value&lt;0.0001 (</w:t>
      </w:r>
      <w:proofErr w:type="spellStart"/>
      <w:proofErr w:type="gramStart"/>
      <w:r w:rsidR="008E0BF1" w:rsidRPr="008E0BF1">
        <w:rPr>
          <w:rFonts w:cstheme="minorHAnsi"/>
          <w:bCs/>
        </w:rPr>
        <w:t>df</w:t>
      </w:r>
      <w:proofErr w:type="spellEnd"/>
      <w:r w:rsidR="008E0BF1" w:rsidRPr="008E0BF1">
        <w:rPr>
          <w:rFonts w:cstheme="minorHAnsi"/>
          <w:bCs/>
        </w:rPr>
        <w:t>=</w:t>
      </w:r>
      <w:proofErr w:type="gramEnd"/>
      <w:r w:rsidR="008E0BF1" w:rsidRPr="008E0BF1">
        <w:rPr>
          <w:rFonts w:cstheme="minorHAnsi"/>
          <w:bCs/>
        </w:rPr>
        <w:t>8). In very large samples such as this even relatively small departures from the model (such as those illustrated in Figure 2) will lead to significant results. As noted earlier, Figure 2 illustrates that the model provides an overall good fit to the data.</w:t>
      </w:r>
    </w:p>
    <w:p w14:paraId="4E0F251A" w14:textId="310C5261" w:rsidR="00DD72DD" w:rsidRDefault="00DD72DD" w:rsidP="00092566">
      <w:pPr>
        <w:autoSpaceDE w:val="0"/>
        <w:autoSpaceDN w:val="0"/>
        <w:adjustRightInd w:val="0"/>
        <w:spacing w:after="0" w:line="240" w:lineRule="auto"/>
        <w:rPr>
          <w:rFonts w:cstheme="minorHAnsi"/>
          <w:bCs/>
        </w:rPr>
      </w:pPr>
    </w:p>
    <w:p w14:paraId="257BCF6C" w14:textId="77777777"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614C0D7F" w14:textId="1C8340AE" w:rsidR="008B6443" w:rsidRPr="00B362A0" w:rsidRDefault="008B6443" w:rsidP="008B6443">
      <w:pPr>
        <w:autoSpaceDE w:val="0"/>
        <w:autoSpaceDN w:val="0"/>
        <w:adjustRightInd w:val="0"/>
        <w:spacing w:after="0" w:line="240" w:lineRule="auto"/>
        <w:rPr>
          <w:rFonts w:cstheme="minorHAnsi"/>
          <w:bCs/>
          <w:color w:val="C00000"/>
        </w:rPr>
      </w:pPr>
      <w:r w:rsidRPr="00B362A0">
        <w:rPr>
          <w:rFonts w:cstheme="minorHAnsi"/>
          <w:bCs/>
          <w:color w:val="C00000"/>
        </w:rPr>
        <w:t>The Hosmer-</w:t>
      </w:r>
      <w:proofErr w:type="spellStart"/>
      <w:r w:rsidRPr="00B362A0">
        <w:rPr>
          <w:rFonts w:cstheme="minorHAnsi"/>
          <w:bCs/>
          <w:color w:val="C00000"/>
        </w:rPr>
        <w:t>Lemeshow</w:t>
      </w:r>
      <w:proofErr w:type="spellEnd"/>
      <w:r w:rsidRPr="00B362A0">
        <w:rPr>
          <w:rFonts w:cstheme="minorHAnsi"/>
          <w:bCs/>
          <w:color w:val="C00000"/>
        </w:rPr>
        <w:t xml:space="preserve"> test statistic based on deciles of risk is 7.05 with P-value=0.5314 (</w:t>
      </w:r>
      <w:proofErr w:type="spellStart"/>
      <w:proofErr w:type="gramStart"/>
      <w:r w:rsidRPr="00B362A0">
        <w:rPr>
          <w:rFonts w:cstheme="minorHAnsi"/>
          <w:bCs/>
          <w:color w:val="C00000"/>
        </w:rPr>
        <w:t>df</w:t>
      </w:r>
      <w:proofErr w:type="spellEnd"/>
      <w:r w:rsidRPr="00B362A0">
        <w:rPr>
          <w:rFonts w:cstheme="minorHAnsi"/>
          <w:bCs/>
          <w:color w:val="C00000"/>
        </w:rPr>
        <w:t>=</w:t>
      </w:r>
      <w:proofErr w:type="gramEnd"/>
      <w:r w:rsidRPr="00B362A0">
        <w:rPr>
          <w:rFonts w:cstheme="minorHAnsi"/>
          <w:bCs/>
          <w:color w:val="C00000"/>
        </w:rPr>
        <w:t>8)</w:t>
      </w:r>
      <w:r w:rsidR="00ED0BCA" w:rsidRPr="00C32DB8">
        <w:rPr>
          <w:rFonts w:cstheme="minorHAnsi"/>
          <w:bCs/>
          <w:color w:val="C00000"/>
        </w:rPr>
        <w:t>, indicating that the model is a good fit.</w:t>
      </w:r>
      <w:r w:rsidR="00C153AE">
        <w:rPr>
          <w:rFonts w:cstheme="minorHAnsi"/>
          <w:bCs/>
          <w:color w:val="C00000"/>
        </w:rPr>
        <w:t xml:space="preserve">  </w:t>
      </w:r>
      <w:r w:rsidRPr="00B362A0">
        <w:rPr>
          <w:rFonts w:cstheme="minorHAnsi"/>
          <w:bCs/>
          <w:color w:val="C00000"/>
        </w:rPr>
        <w:t xml:space="preserve">As </w:t>
      </w:r>
      <w:r w:rsidR="00C153AE">
        <w:rPr>
          <w:rFonts w:cstheme="minorHAnsi"/>
          <w:bCs/>
          <w:color w:val="C00000"/>
        </w:rPr>
        <w:t>illustrated in</w:t>
      </w:r>
      <w:r w:rsidR="003A706C">
        <w:rPr>
          <w:rFonts w:cstheme="minorHAnsi"/>
          <w:bCs/>
          <w:color w:val="C00000"/>
        </w:rPr>
        <w:t xml:space="preserve"> </w:t>
      </w:r>
      <w:r w:rsidRPr="003A706C">
        <w:rPr>
          <w:rFonts w:cstheme="minorHAnsi"/>
          <w:bCs/>
          <w:color w:val="C00000"/>
        </w:rPr>
        <w:t xml:space="preserve">Figure </w:t>
      </w:r>
      <w:r w:rsidR="00BE40DA" w:rsidRPr="003A706C">
        <w:rPr>
          <w:rFonts w:cstheme="minorHAnsi"/>
          <w:bCs/>
          <w:color w:val="C00000"/>
        </w:rPr>
        <w:t>3</w:t>
      </w:r>
      <w:r w:rsidR="00C153AE">
        <w:rPr>
          <w:rFonts w:cstheme="minorHAnsi"/>
          <w:bCs/>
          <w:color w:val="C00000"/>
        </w:rPr>
        <w:t xml:space="preserve">, </w:t>
      </w:r>
      <w:r w:rsidRPr="00B362A0">
        <w:rPr>
          <w:rFonts w:cstheme="minorHAnsi"/>
          <w:bCs/>
          <w:color w:val="C00000"/>
        </w:rPr>
        <w:t>the model provides an overall good fit to the data.</w:t>
      </w:r>
    </w:p>
    <w:p w14:paraId="67C0DA0C" w14:textId="77777777" w:rsidR="008E0BF1" w:rsidRDefault="008E0BF1" w:rsidP="00092566">
      <w:pPr>
        <w:autoSpaceDE w:val="0"/>
        <w:autoSpaceDN w:val="0"/>
        <w:adjustRightInd w:val="0"/>
        <w:spacing w:after="0" w:line="240" w:lineRule="auto"/>
        <w:rPr>
          <w:rFonts w:cstheme="minorHAnsi"/>
          <w:b/>
          <w:bCs/>
        </w:rPr>
      </w:pPr>
    </w:p>
    <w:p w14:paraId="0CABCFFF" w14:textId="4A17FDBA" w:rsidR="00743E46" w:rsidRDefault="009C7513" w:rsidP="00092566">
      <w:pPr>
        <w:autoSpaceDE w:val="0"/>
        <w:autoSpaceDN w:val="0"/>
        <w:adjustRightInd w:val="0"/>
        <w:spacing w:after="0" w:line="240" w:lineRule="auto"/>
        <w:rPr>
          <w:rFonts w:cstheme="minorHAnsi"/>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8E0BF1" w:rsidRPr="008E0BF1">
        <w:rPr>
          <w:rFonts w:cstheme="minorHAnsi"/>
        </w:rPr>
        <w:t>The model’s fit is demonstrated in Figure 3, which compares the observed rates with the model-based predictions. We bin all observations into 20 groups based on their model-based predicted values and compute the observed readmission proportion for each group. We then apply the logit transformation to each group’s observed readmission proportion and plot it against the same group's average linear prediction; see the dots for all 20 groups in the plot. The 45-degree line would represent a perfect match between the observed values and the model-based predictions. In general, the closer the observed values are to this line the better the model fit.</w:t>
      </w:r>
    </w:p>
    <w:p w14:paraId="156D9407" w14:textId="465AE4DC" w:rsidR="00DD72DD" w:rsidRDefault="00DD72DD" w:rsidP="00092566">
      <w:pPr>
        <w:autoSpaceDE w:val="0"/>
        <w:autoSpaceDN w:val="0"/>
        <w:adjustRightInd w:val="0"/>
        <w:spacing w:after="0" w:line="240" w:lineRule="auto"/>
        <w:rPr>
          <w:rFonts w:cstheme="minorHAnsi"/>
        </w:rPr>
      </w:pPr>
    </w:p>
    <w:p w14:paraId="231BC301" w14:textId="77777777"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280AA9A9" w14:textId="70D15031" w:rsidR="00DD72DD" w:rsidRPr="00B362A0" w:rsidRDefault="00C405C0" w:rsidP="00092566">
      <w:pPr>
        <w:autoSpaceDE w:val="0"/>
        <w:autoSpaceDN w:val="0"/>
        <w:adjustRightInd w:val="0"/>
        <w:spacing w:after="0" w:line="240" w:lineRule="auto"/>
        <w:rPr>
          <w:rFonts w:cstheme="minorHAnsi"/>
          <w:b/>
          <w:color w:val="C00000"/>
        </w:rPr>
      </w:pPr>
      <w:r w:rsidRPr="00B362A0">
        <w:rPr>
          <w:rFonts w:cstheme="minorHAnsi"/>
          <w:color w:val="C00000"/>
        </w:rPr>
        <w:t>The model’s fit is demonstrated in Figure 3, which compares the observed rates with the model-based predictions. We bin all observations into 20 groups based on their model-based predicted values and compute the observed readmission proportion for each group. We then apply the logit transformation to each group’s observed readmission proportion and plot it against the same group's average linear prediction; see the dots for all 20 groups in the plot. The 45-degree line would represent a perfect match between the observed values and the model-based predictions. In general, the closer the observed values are to this line the better the model fit.</w:t>
      </w:r>
    </w:p>
    <w:p w14:paraId="32567E29" w14:textId="77777777" w:rsidR="008E0BF1" w:rsidRDefault="008E0BF1" w:rsidP="00092566">
      <w:pPr>
        <w:autoSpaceDE w:val="0"/>
        <w:autoSpaceDN w:val="0"/>
        <w:adjustRightInd w:val="0"/>
        <w:spacing w:after="0" w:line="240" w:lineRule="auto"/>
        <w:rPr>
          <w:rFonts w:cstheme="minorHAnsi"/>
          <w:b/>
        </w:rPr>
      </w:pP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4" w:name="question2b49"/>
      <w:bookmarkEnd w:id="14"/>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EEEDD1E" w14:textId="14D9780C" w:rsidR="00DD72DD" w:rsidRDefault="008E0BF1" w:rsidP="008E0BF1">
      <w:pPr>
        <w:rPr>
          <w:rFonts w:cstheme="minorHAnsi"/>
          <w:bCs/>
        </w:rPr>
      </w:pPr>
      <w:r w:rsidRPr="008E0BF1">
        <w:rPr>
          <w:rFonts w:cstheme="minorHAnsi"/>
          <w:bCs/>
        </w:rPr>
        <w:t>An assessment of the risk analysis is given in Figure 3 above.</w:t>
      </w:r>
    </w:p>
    <w:p w14:paraId="57D4A61B" w14:textId="77777777"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6C3C3263" w14:textId="5C8F827B" w:rsidR="002C5546" w:rsidRPr="00013662" w:rsidRDefault="002C5546" w:rsidP="00BE40DA">
      <w:pPr>
        <w:autoSpaceDE w:val="0"/>
        <w:autoSpaceDN w:val="0"/>
        <w:adjustRightInd w:val="0"/>
        <w:spacing w:after="0" w:line="240" w:lineRule="auto"/>
        <w:rPr>
          <w:rFonts w:cstheme="minorHAnsi"/>
          <w:bCs/>
          <w:color w:val="C00000"/>
        </w:rPr>
      </w:pPr>
      <w:r w:rsidRPr="00013662">
        <w:rPr>
          <w:rFonts w:cstheme="minorHAnsi"/>
          <w:bCs/>
          <w:color w:val="C00000"/>
        </w:rPr>
        <w:t>An assessment of the risk analysis is given in Figure 3 above.</w:t>
      </w:r>
      <w:r w:rsidR="00BE40DA" w:rsidRPr="00013662">
        <w:rPr>
          <w:rFonts w:cstheme="minorHAnsi"/>
          <w:bCs/>
          <w:color w:val="C00000"/>
        </w:rPr>
        <w:t xml:space="preserve"> </w:t>
      </w:r>
      <w:r w:rsidR="00BE40DA" w:rsidRPr="00423A4F">
        <w:rPr>
          <w:rFonts w:cstheme="minorHAnsi"/>
          <w:color w:val="C00000"/>
        </w:rPr>
        <w:t>The 45-degree line would represent a perfect match between the observed values and the model-based predictions within each sub-group based on risk stratification.</w:t>
      </w:r>
    </w:p>
    <w:p w14:paraId="0B5BB1A4" w14:textId="77777777" w:rsidR="00DD72DD" w:rsidRPr="008E0BF1" w:rsidRDefault="00DD72DD" w:rsidP="008E0BF1">
      <w:pPr>
        <w:rPr>
          <w:rFonts w:cstheme="minorHAnsi"/>
          <w:bCs/>
        </w:rPr>
      </w:pPr>
    </w:p>
    <w:p w14:paraId="0CABD002" w14:textId="01DDF51D" w:rsidR="00092566"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r w:rsidR="008E0BF1" w:rsidRPr="008E0BF1">
        <w:rPr>
          <w:rFonts w:cstheme="minorHAnsi"/>
          <w:bCs/>
        </w:rPr>
        <w:t>As Figure 3 shows, the observed values are spaced fairly equally and lie very close to the 45-degree line. This means that the model fit is good and therefore adequately adjusts for patient characteristics (case mix).</w:t>
      </w:r>
    </w:p>
    <w:p w14:paraId="3B10F842" w14:textId="2346344D" w:rsidR="00DD72DD" w:rsidRPr="00B362A0" w:rsidRDefault="00DD72DD" w:rsidP="00092566">
      <w:pPr>
        <w:autoSpaceDE w:val="0"/>
        <w:autoSpaceDN w:val="0"/>
        <w:adjustRightInd w:val="0"/>
        <w:spacing w:after="0" w:line="240" w:lineRule="auto"/>
        <w:rPr>
          <w:rFonts w:cstheme="minorHAnsi"/>
          <w:bCs/>
          <w:color w:val="C00000"/>
        </w:rPr>
      </w:pPr>
    </w:p>
    <w:p w14:paraId="56279847" w14:textId="77777777" w:rsidR="00423A4F" w:rsidRDefault="00423A4F" w:rsidP="00DD72DD">
      <w:pPr>
        <w:pStyle w:val="BodyText"/>
        <w:spacing w:before="11"/>
        <w:rPr>
          <w:rFonts w:cstheme="minorHAnsi"/>
          <w:b/>
          <w:bCs/>
          <w:color w:val="C00000"/>
          <w:u w:val="single"/>
        </w:rPr>
      </w:pPr>
    </w:p>
    <w:p w14:paraId="1FEBF267" w14:textId="2078D246" w:rsidR="00DD72DD" w:rsidRPr="00B362A0" w:rsidRDefault="00DD72DD" w:rsidP="00DD72DD">
      <w:pPr>
        <w:pStyle w:val="BodyText"/>
        <w:spacing w:before="11"/>
        <w:rPr>
          <w:color w:val="C00000"/>
          <w:sz w:val="19"/>
        </w:rPr>
      </w:pPr>
      <w:r w:rsidRPr="00B362A0">
        <w:rPr>
          <w:rFonts w:cstheme="minorHAnsi"/>
          <w:b/>
          <w:bCs/>
          <w:color w:val="C00000"/>
          <w:u w:val="single"/>
        </w:rPr>
        <w:t>2019 Submission</w:t>
      </w:r>
    </w:p>
    <w:p w14:paraId="57513F7E" w14:textId="35B803CF" w:rsidR="00DD72DD" w:rsidRPr="00B362A0" w:rsidRDefault="001E1B98" w:rsidP="00092566">
      <w:pPr>
        <w:autoSpaceDE w:val="0"/>
        <w:autoSpaceDN w:val="0"/>
        <w:adjustRightInd w:val="0"/>
        <w:spacing w:after="0" w:line="240" w:lineRule="auto"/>
        <w:rPr>
          <w:rFonts w:cstheme="minorHAnsi"/>
          <w:bCs/>
          <w:color w:val="C00000"/>
        </w:rPr>
      </w:pPr>
      <w:r w:rsidRPr="00B362A0">
        <w:rPr>
          <w:rFonts w:cstheme="minorHAnsi"/>
          <w:bCs/>
          <w:color w:val="C00000"/>
        </w:rPr>
        <w:t>As Figure 3 shows, the observed values are spaced fairly equally and lie very close to the 45-degree line. This means that the model fit is good and therefore adequately adjusts for patient characteristics (case mix).</w:t>
      </w:r>
    </w:p>
    <w:p w14:paraId="0CABD003" w14:textId="77777777" w:rsidR="00092566" w:rsidRPr="00A25024" w:rsidRDefault="00092566" w:rsidP="00092566">
      <w:pPr>
        <w:spacing w:after="0" w:line="240" w:lineRule="auto"/>
        <w:rPr>
          <w:rFonts w:cstheme="minorHAnsi"/>
        </w:rPr>
      </w:pPr>
    </w:p>
    <w:p w14:paraId="0CABD004" w14:textId="74D8FEB4" w:rsidR="00021170" w:rsidRPr="009B1A15" w:rsidRDefault="009C7513" w:rsidP="009B1A15">
      <w:pPr>
        <w:spacing w:after="0" w:line="240" w:lineRule="auto"/>
        <w:rPr>
          <w:rFonts w:cstheme="minorHAnsi"/>
        </w:rPr>
      </w:pPr>
      <w:r>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7BBA46AC" w14:textId="77777777" w:rsidR="0062648C" w:rsidRDefault="00D61410" w:rsidP="00D61410">
      <w:pPr>
        <w:autoSpaceDE w:val="0"/>
        <w:autoSpaceDN w:val="0"/>
        <w:adjustRightInd w:val="0"/>
        <w:spacing w:after="0" w:line="240" w:lineRule="auto"/>
        <w:rPr>
          <w:rFonts w:cstheme="minorHAnsi"/>
          <w:bCs/>
        </w:rPr>
      </w:pPr>
      <w:r>
        <w:rPr>
          <w:rFonts w:cstheme="minorHAnsi"/>
          <w:bCs/>
        </w:rPr>
        <w:t>__</w:t>
      </w:r>
    </w:p>
    <w:p w14:paraId="1DF4DCAC" w14:textId="77777777" w:rsidR="0062648C" w:rsidRDefault="0062648C">
      <w:pPr>
        <w:rPr>
          <w:rFonts w:cstheme="minorHAnsi"/>
          <w:bCs/>
        </w:rPr>
      </w:pPr>
      <w:r>
        <w:rPr>
          <w:rFonts w:cstheme="minorHAnsi"/>
          <w:bCs/>
        </w:rPr>
        <w:br w:type="page"/>
      </w:r>
    </w:p>
    <w:p w14:paraId="0CABD006" w14:textId="343630A4"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CABD008" w14:textId="66DAF04D"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r w:rsidR="008E0BF1" w:rsidRPr="008E0BF1">
        <w:rPr>
          <w:rFonts w:cstheme="minorHAnsi"/>
          <w:bCs/>
        </w:rPr>
        <w:t>To test the null hypothesis that the SRR for a given facility is statistically different from the national average, we use a simulation method to calculate the nominal p-value as the probability that the observed number of readmissions should be at least as extreme as that expected. This calculation is based on the supposition that, having adjusted for case mix, this facility has a true readmission rate corresponding to the average facility. Our approach captures the most important aspects of the variability in the SRR. It also avoids difficulties with more traditional methods based on estimates and standard errors. Methods are described in detail in He et al. (2013).</w:t>
      </w:r>
    </w:p>
    <w:p w14:paraId="7841A86A" w14:textId="4B334CB7" w:rsidR="00B279D5" w:rsidRDefault="00B279D5" w:rsidP="00D61410">
      <w:pPr>
        <w:autoSpaceDE w:val="0"/>
        <w:autoSpaceDN w:val="0"/>
        <w:adjustRightInd w:val="0"/>
        <w:spacing w:after="0" w:line="240" w:lineRule="auto"/>
        <w:rPr>
          <w:rFonts w:cstheme="minorHAnsi"/>
          <w:bCs/>
        </w:rPr>
      </w:pPr>
    </w:p>
    <w:p w14:paraId="3CBE3021" w14:textId="77777777" w:rsidR="00B279D5" w:rsidRPr="00B362A0" w:rsidRDefault="00B279D5" w:rsidP="00B279D5">
      <w:pPr>
        <w:pStyle w:val="BodyText"/>
        <w:spacing w:before="11"/>
        <w:rPr>
          <w:color w:val="C00000"/>
          <w:sz w:val="19"/>
        </w:rPr>
      </w:pPr>
      <w:r w:rsidRPr="00B362A0">
        <w:rPr>
          <w:rFonts w:cstheme="minorHAnsi"/>
          <w:b/>
          <w:bCs/>
          <w:color w:val="C00000"/>
          <w:u w:val="single"/>
        </w:rPr>
        <w:t>2019 Submission</w:t>
      </w:r>
    </w:p>
    <w:p w14:paraId="0A12D908" w14:textId="47AAF6AC" w:rsidR="00B279D5" w:rsidRPr="00B362A0" w:rsidRDefault="00826AF1" w:rsidP="00D61410">
      <w:pPr>
        <w:autoSpaceDE w:val="0"/>
        <w:autoSpaceDN w:val="0"/>
        <w:adjustRightInd w:val="0"/>
        <w:spacing w:after="0" w:line="240" w:lineRule="auto"/>
        <w:rPr>
          <w:rFonts w:cstheme="minorHAnsi"/>
          <w:bCs/>
          <w:color w:val="C00000"/>
        </w:rPr>
      </w:pPr>
      <w:r w:rsidRPr="00B362A0">
        <w:rPr>
          <w:rFonts w:cstheme="minorHAnsi"/>
          <w:bCs/>
          <w:color w:val="C00000"/>
        </w:rPr>
        <w:t>To test the null hypothesis that the SRR for a given facility is statistically different from the national average, we use a simulation method to calculate the nominal p-value as the probability that the observed number of readmissions should be at least as extreme as that expected. This calculation is based on the supposition that, having adjusted for case mix, this facility has a true readmission rate corresponding to the average facility. Our approach captures the most important aspects of the variability in the SRR. It also avoids difficulties with more traditional methods based on estimates and standard errors. Methods are described in detail in He et al. (2013).</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756A0EAF"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37BB9406" w14:textId="77777777" w:rsidR="008E0BF1" w:rsidRDefault="008E0BF1" w:rsidP="008E0BF1">
      <w:pPr>
        <w:pStyle w:val="BodyText"/>
        <w:ind w:right="188"/>
      </w:pPr>
      <w:r>
        <w:t xml:space="preserve">To address the problem of simultaneously monitoring a large number of facilities and to take account of the intrinsic unexplained variation among facilities, we used the approach described in </w:t>
      </w:r>
      <w:proofErr w:type="spellStart"/>
      <w:r>
        <w:t>Kalbfleisch</w:t>
      </w:r>
      <w:proofErr w:type="spellEnd"/>
      <w:r>
        <w:t xml:space="preserve"> and Wolfe (2013). This method is based on the empirical null as described in </w:t>
      </w:r>
      <w:proofErr w:type="spellStart"/>
      <w:r>
        <w:t>Efron</w:t>
      </w:r>
      <w:proofErr w:type="spellEnd"/>
      <w:r>
        <w:t xml:space="preserve"> (2004, 2007). The p-value for each facility is converted to a Z-score, stratified into three groups based on numbers of discharges within each facility. The empirical null corresponds to a normal curve that is fitted to the center of each Z-score histograms using a robust M-estimation method. The standard deviation of empirical null distribution is then used for a reference distribution (with mean 0) to identify outlier facilities. This method aims to separate underlying intrinsic variation in facility outcomes from variation that might be attributed to poor (or excellent) care.</w:t>
      </w:r>
    </w:p>
    <w:p w14:paraId="322A6F57" w14:textId="77777777" w:rsidR="008E0BF1" w:rsidRDefault="008E0BF1" w:rsidP="008E0BF1">
      <w:pPr>
        <w:pStyle w:val="BodyText"/>
        <w:spacing w:before="2"/>
      </w:pPr>
    </w:p>
    <w:p w14:paraId="4EF78687" w14:textId="4C321D8F" w:rsidR="008E0BF1" w:rsidRDefault="008E0BF1" w:rsidP="008E0BF1">
      <w:pPr>
        <w:pStyle w:val="BodyText"/>
        <w:ind w:left="1" w:right="276"/>
      </w:pPr>
      <w:r>
        <w:t xml:space="preserve">The flagging rates presented in Table </w:t>
      </w:r>
      <w:r w:rsidR="00384D61">
        <w:t>4</w:t>
      </w:r>
      <w:r>
        <w:t xml:space="preserve"> are based on flagging those facilities in the upper tail (area=5%) of the empirical null distribution in each stratum. (The empirical null p-value is 5% or less</w:t>
      </w:r>
      <w:r>
        <w:rPr>
          <w:color w:val="FF0000"/>
        </w:rPr>
        <w:t>.</w:t>
      </w:r>
      <w:r>
        <w:t>)</w:t>
      </w:r>
    </w:p>
    <w:p w14:paraId="5F153BFC" w14:textId="0FDA9FA5" w:rsidR="008E0BF1" w:rsidRDefault="008E0BF1" w:rsidP="008E0BF1">
      <w:pPr>
        <w:pStyle w:val="BodyText"/>
        <w:ind w:left="1" w:right="276"/>
      </w:pPr>
    </w:p>
    <w:p w14:paraId="05FE3FBD" w14:textId="75D69B8B" w:rsidR="008E0BF1" w:rsidRPr="008E0BF1" w:rsidRDefault="008E0BF1" w:rsidP="008E0BF1">
      <w:pPr>
        <w:pStyle w:val="BodyText"/>
        <w:ind w:left="1" w:right="276"/>
      </w:pPr>
      <w:r w:rsidRPr="008E0BF1">
        <w:rPr>
          <w:b/>
        </w:rPr>
        <w:t xml:space="preserve">Table </w:t>
      </w:r>
      <w:r w:rsidR="00384D61">
        <w:rPr>
          <w:b/>
        </w:rPr>
        <w:t>4</w:t>
      </w:r>
      <w:r w:rsidRPr="008E0BF1">
        <w:rPr>
          <w:b/>
        </w:rPr>
        <w:t>. Facilities Identified as Performing Worse than Expected for 30-Day Readmission Rate</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9"/>
        <w:gridCol w:w="1709"/>
        <w:gridCol w:w="3074"/>
      </w:tblGrid>
      <w:tr w:rsidR="008E0BF1" w14:paraId="78C41E1C" w14:textId="77777777" w:rsidTr="008E0BF1">
        <w:trPr>
          <w:trHeight w:hRule="exact" w:val="278"/>
        </w:trPr>
        <w:tc>
          <w:tcPr>
            <w:tcW w:w="3619" w:type="dxa"/>
          </w:tcPr>
          <w:p w14:paraId="05DFE7F1" w14:textId="77777777" w:rsidR="008E0BF1" w:rsidRDefault="008E0BF1" w:rsidP="00332C67">
            <w:pPr>
              <w:pStyle w:val="TableParagraph"/>
              <w:spacing w:line="265" w:lineRule="exact"/>
              <w:ind w:left="103"/>
              <w:jc w:val="left"/>
              <w:rPr>
                <w:b/>
              </w:rPr>
            </w:pPr>
            <w:r>
              <w:rPr>
                <w:b/>
              </w:rPr>
              <w:t>Facility Size (No. of Patients)</w:t>
            </w:r>
          </w:p>
        </w:tc>
        <w:tc>
          <w:tcPr>
            <w:tcW w:w="1709" w:type="dxa"/>
          </w:tcPr>
          <w:p w14:paraId="79D1B774" w14:textId="77777777" w:rsidR="008E0BF1" w:rsidRDefault="008E0BF1" w:rsidP="00332C67">
            <w:pPr>
              <w:pStyle w:val="TableParagraph"/>
              <w:spacing w:line="265" w:lineRule="exact"/>
              <w:ind w:right="101"/>
              <w:rPr>
                <w:b/>
              </w:rPr>
            </w:pPr>
            <w:r>
              <w:rPr>
                <w:b/>
              </w:rPr>
              <w:t>No. of Facilities</w:t>
            </w:r>
          </w:p>
        </w:tc>
        <w:tc>
          <w:tcPr>
            <w:tcW w:w="3074" w:type="dxa"/>
          </w:tcPr>
          <w:p w14:paraId="7D77D21A" w14:textId="77777777" w:rsidR="008E0BF1" w:rsidRDefault="008E0BF1" w:rsidP="00332C67">
            <w:pPr>
              <w:pStyle w:val="TableParagraph"/>
              <w:spacing w:line="265" w:lineRule="exact"/>
              <w:ind w:right="100"/>
              <w:rPr>
                <w:b/>
              </w:rPr>
            </w:pPr>
            <w:r>
              <w:rPr>
                <w:b/>
              </w:rPr>
              <w:t>SRR: Worse than Expected</w:t>
            </w:r>
          </w:p>
        </w:tc>
      </w:tr>
      <w:tr w:rsidR="008E0BF1" w14:paraId="61F8DCF8" w14:textId="77777777" w:rsidTr="008E0BF1">
        <w:trPr>
          <w:trHeight w:hRule="exact" w:val="278"/>
        </w:trPr>
        <w:tc>
          <w:tcPr>
            <w:tcW w:w="3619" w:type="dxa"/>
          </w:tcPr>
          <w:p w14:paraId="16C42351" w14:textId="77777777" w:rsidR="008E0BF1" w:rsidRDefault="008E0BF1" w:rsidP="00332C67">
            <w:pPr>
              <w:pStyle w:val="TableParagraph"/>
              <w:spacing w:line="265" w:lineRule="exact"/>
              <w:ind w:left="103"/>
              <w:jc w:val="left"/>
            </w:pPr>
            <w:r>
              <w:t>Small (&lt;=70)</w:t>
            </w:r>
          </w:p>
        </w:tc>
        <w:tc>
          <w:tcPr>
            <w:tcW w:w="1709" w:type="dxa"/>
          </w:tcPr>
          <w:p w14:paraId="7D8B99BD" w14:textId="77777777" w:rsidR="008E0BF1" w:rsidRDefault="008E0BF1" w:rsidP="00332C67">
            <w:pPr>
              <w:pStyle w:val="TableParagraph"/>
              <w:spacing w:line="265" w:lineRule="exact"/>
              <w:ind w:right="102"/>
            </w:pPr>
            <w:r>
              <w:t>1732</w:t>
            </w:r>
          </w:p>
        </w:tc>
        <w:tc>
          <w:tcPr>
            <w:tcW w:w="3074" w:type="dxa"/>
          </w:tcPr>
          <w:p w14:paraId="6F95D427" w14:textId="77777777" w:rsidR="008E0BF1" w:rsidRDefault="008E0BF1" w:rsidP="00332C67">
            <w:pPr>
              <w:pStyle w:val="TableParagraph"/>
              <w:spacing w:line="265" w:lineRule="exact"/>
              <w:ind w:right="99"/>
            </w:pPr>
            <w:r>
              <w:t>89 (5.14%)</w:t>
            </w:r>
          </w:p>
        </w:tc>
      </w:tr>
      <w:tr w:rsidR="008E0BF1" w14:paraId="18DD7C6A" w14:textId="77777777" w:rsidTr="008E0BF1">
        <w:trPr>
          <w:trHeight w:hRule="exact" w:val="278"/>
        </w:trPr>
        <w:tc>
          <w:tcPr>
            <w:tcW w:w="3619" w:type="dxa"/>
          </w:tcPr>
          <w:p w14:paraId="2341F93A" w14:textId="77777777" w:rsidR="008E0BF1" w:rsidRDefault="008E0BF1" w:rsidP="00332C67">
            <w:pPr>
              <w:pStyle w:val="TableParagraph"/>
              <w:spacing w:line="268" w:lineRule="exact"/>
              <w:ind w:left="103"/>
              <w:jc w:val="left"/>
            </w:pPr>
            <w:r>
              <w:t>Medium (71–121)</w:t>
            </w:r>
          </w:p>
        </w:tc>
        <w:tc>
          <w:tcPr>
            <w:tcW w:w="1709" w:type="dxa"/>
          </w:tcPr>
          <w:p w14:paraId="3502E576" w14:textId="77777777" w:rsidR="008E0BF1" w:rsidRDefault="008E0BF1" w:rsidP="00332C67">
            <w:pPr>
              <w:pStyle w:val="TableParagraph"/>
              <w:spacing w:line="268" w:lineRule="exact"/>
              <w:ind w:right="101"/>
            </w:pPr>
            <w:r>
              <w:t>1784</w:t>
            </w:r>
          </w:p>
        </w:tc>
        <w:tc>
          <w:tcPr>
            <w:tcW w:w="3074" w:type="dxa"/>
          </w:tcPr>
          <w:p w14:paraId="4B29ACF8" w14:textId="77777777" w:rsidR="008E0BF1" w:rsidRDefault="008E0BF1" w:rsidP="00332C67">
            <w:pPr>
              <w:pStyle w:val="TableParagraph"/>
              <w:spacing w:line="268" w:lineRule="exact"/>
              <w:ind w:right="99"/>
            </w:pPr>
            <w:r>
              <w:t>126 (7.06%)</w:t>
            </w:r>
          </w:p>
        </w:tc>
      </w:tr>
      <w:tr w:rsidR="008E0BF1" w14:paraId="317B5F7A" w14:textId="77777777" w:rsidTr="008E0BF1">
        <w:trPr>
          <w:trHeight w:hRule="exact" w:val="278"/>
        </w:trPr>
        <w:tc>
          <w:tcPr>
            <w:tcW w:w="3619" w:type="dxa"/>
          </w:tcPr>
          <w:p w14:paraId="03FAAB94" w14:textId="77777777" w:rsidR="008E0BF1" w:rsidRDefault="008E0BF1" w:rsidP="00332C67">
            <w:pPr>
              <w:pStyle w:val="TableParagraph"/>
              <w:spacing w:line="268" w:lineRule="exact"/>
              <w:ind w:left="103"/>
              <w:jc w:val="left"/>
            </w:pPr>
            <w:r>
              <w:t>Large (&gt;121)</w:t>
            </w:r>
          </w:p>
        </w:tc>
        <w:tc>
          <w:tcPr>
            <w:tcW w:w="1709" w:type="dxa"/>
          </w:tcPr>
          <w:p w14:paraId="429501AA" w14:textId="77777777" w:rsidR="008E0BF1" w:rsidRDefault="008E0BF1" w:rsidP="00332C67">
            <w:pPr>
              <w:pStyle w:val="TableParagraph"/>
              <w:spacing w:line="268" w:lineRule="exact"/>
              <w:ind w:right="101"/>
            </w:pPr>
            <w:r>
              <w:t>1757</w:t>
            </w:r>
          </w:p>
        </w:tc>
        <w:tc>
          <w:tcPr>
            <w:tcW w:w="3074" w:type="dxa"/>
          </w:tcPr>
          <w:p w14:paraId="696DB9BC" w14:textId="77777777" w:rsidR="008E0BF1" w:rsidRDefault="008E0BF1" w:rsidP="00332C67">
            <w:pPr>
              <w:pStyle w:val="TableParagraph"/>
              <w:spacing w:line="268" w:lineRule="exact"/>
              <w:ind w:right="99"/>
            </w:pPr>
            <w:r>
              <w:t>147 (8.37%)</w:t>
            </w:r>
          </w:p>
        </w:tc>
      </w:tr>
      <w:tr w:rsidR="008E0BF1" w14:paraId="6752B13C" w14:textId="77777777" w:rsidTr="008E0BF1">
        <w:trPr>
          <w:trHeight w:hRule="exact" w:val="281"/>
        </w:trPr>
        <w:tc>
          <w:tcPr>
            <w:tcW w:w="3619" w:type="dxa"/>
          </w:tcPr>
          <w:p w14:paraId="650AA0A9" w14:textId="77777777" w:rsidR="008E0BF1" w:rsidRDefault="008E0BF1" w:rsidP="00332C67">
            <w:pPr>
              <w:pStyle w:val="TableParagraph"/>
              <w:spacing w:line="268" w:lineRule="exact"/>
              <w:ind w:left="103"/>
              <w:jc w:val="left"/>
              <w:rPr>
                <w:b/>
              </w:rPr>
            </w:pPr>
            <w:r>
              <w:rPr>
                <w:b/>
              </w:rPr>
              <w:t>Total</w:t>
            </w:r>
          </w:p>
        </w:tc>
        <w:tc>
          <w:tcPr>
            <w:tcW w:w="1709" w:type="dxa"/>
          </w:tcPr>
          <w:p w14:paraId="63C26F53" w14:textId="77777777" w:rsidR="008E0BF1" w:rsidRDefault="008E0BF1" w:rsidP="00332C67">
            <w:pPr>
              <w:pStyle w:val="TableParagraph"/>
              <w:spacing w:line="268" w:lineRule="exact"/>
              <w:ind w:right="102"/>
              <w:rPr>
                <w:b/>
              </w:rPr>
            </w:pPr>
            <w:r>
              <w:rPr>
                <w:b/>
              </w:rPr>
              <w:t>5273</w:t>
            </w:r>
          </w:p>
        </w:tc>
        <w:tc>
          <w:tcPr>
            <w:tcW w:w="3074" w:type="dxa"/>
          </w:tcPr>
          <w:p w14:paraId="3535ADA0" w14:textId="77777777" w:rsidR="008E0BF1" w:rsidRDefault="008E0BF1" w:rsidP="00332C67">
            <w:pPr>
              <w:pStyle w:val="TableParagraph"/>
              <w:spacing w:line="268" w:lineRule="exact"/>
              <w:ind w:right="99"/>
              <w:rPr>
                <w:b/>
              </w:rPr>
            </w:pPr>
            <w:r>
              <w:rPr>
                <w:b/>
              </w:rPr>
              <w:t>362 (6.87%)</w:t>
            </w:r>
          </w:p>
        </w:tc>
      </w:tr>
    </w:tbl>
    <w:p w14:paraId="00C236E8" w14:textId="0308D1F4" w:rsidR="008E0BF1" w:rsidRDefault="008E0BF1" w:rsidP="00D61410">
      <w:pPr>
        <w:autoSpaceDE w:val="0"/>
        <w:autoSpaceDN w:val="0"/>
        <w:adjustRightInd w:val="0"/>
        <w:spacing w:after="0" w:line="240" w:lineRule="auto"/>
        <w:rPr>
          <w:rFonts w:cstheme="minorHAnsi"/>
          <w:bCs/>
        </w:rPr>
      </w:pPr>
    </w:p>
    <w:p w14:paraId="7327DC92" w14:textId="77777777" w:rsidR="00B279D5" w:rsidRPr="00B362A0" w:rsidRDefault="00B279D5" w:rsidP="00B279D5">
      <w:pPr>
        <w:pStyle w:val="BodyText"/>
        <w:spacing w:before="11"/>
        <w:rPr>
          <w:color w:val="C00000"/>
          <w:sz w:val="19"/>
        </w:rPr>
      </w:pPr>
      <w:r w:rsidRPr="00B362A0">
        <w:rPr>
          <w:rFonts w:cstheme="minorHAnsi"/>
          <w:b/>
          <w:bCs/>
          <w:color w:val="C00000"/>
          <w:u w:val="single"/>
        </w:rPr>
        <w:t>2019 Submission</w:t>
      </w:r>
    </w:p>
    <w:p w14:paraId="2C34C598" w14:textId="6D90EBFF" w:rsidR="003F0781" w:rsidRPr="00B362A0" w:rsidRDefault="003F0781" w:rsidP="003F0781">
      <w:pPr>
        <w:pStyle w:val="BodyText"/>
        <w:ind w:right="188"/>
        <w:rPr>
          <w:color w:val="C00000"/>
        </w:rPr>
      </w:pPr>
      <w:r w:rsidRPr="00B362A0">
        <w:rPr>
          <w:color w:val="C00000"/>
        </w:rPr>
        <w:t xml:space="preserve">To address the problem of simultaneously monitoring a large number of facilities and to take account of the intrinsic unexplained variation among facilities, we used the approach described in </w:t>
      </w:r>
      <w:proofErr w:type="spellStart"/>
      <w:r w:rsidRPr="00B362A0">
        <w:rPr>
          <w:color w:val="C00000"/>
        </w:rPr>
        <w:t>Kalbfleisch</w:t>
      </w:r>
      <w:proofErr w:type="spellEnd"/>
      <w:r w:rsidRPr="00B362A0">
        <w:rPr>
          <w:color w:val="C00000"/>
        </w:rPr>
        <w:t xml:space="preserve"> and Wolfe (2013). This method is based on the empirical null as described in </w:t>
      </w:r>
      <w:proofErr w:type="spellStart"/>
      <w:r w:rsidRPr="00B362A0">
        <w:rPr>
          <w:color w:val="C00000"/>
        </w:rPr>
        <w:t>Efron</w:t>
      </w:r>
      <w:proofErr w:type="spellEnd"/>
      <w:r w:rsidRPr="00B362A0">
        <w:rPr>
          <w:color w:val="C00000"/>
        </w:rPr>
        <w:t xml:space="preserve"> (2004, 2007). The p-value for each facility is converted to a Z-score, stratified into </w:t>
      </w:r>
      <w:r w:rsidR="00F4169F" w:rsidRPr="00B362A0">
        <w:rPr>
          <w:color w:val="C00000"/>
        </w:rPr>
        <w:t>four</w:t>
      </w:r>
      <w:r w:rsidRPr="00B362A0">
        <w:rPr>
          <w:color w:val="C00000"/>
        </w:rPr>
        <w:t xml:space="preserve"> groups based on </w:t>
      </w:r>
      <w:r w:rsidR="00580235">
        <w:rPr>
          <w:color w:val="C00000"/>
        </w:rPr>
        <w:t>patient-years</w:t>
      </w:r>
      <w:r w:rsidRPr="00B362A0">
        <w:rPr>
          <w:color w:val="C00000"/>
        </w:rPr>
        <w:t xml:space="preserve"> within each facility. The empirical null corresponds to a normal curve that is fitted to the center of each Z-score histograms using a robust M-estimation method. The standard deviation of empirical null distribution is then used for a reference distribution (with mean 0) to identify outlier facilities. This method aims to separate underlying intrinsic variation in facility outcomes from variation that might be attributed to poor (or excellent) care.</w:t>
      </w:r>
    </w:p>
    <w:p w14:paraId="7F8D2F48" w14:textId="77777777" w:rsidR="003F0781" w:rsidRPr="00B362A0" w:rsidRDefault="003F0781" w:rsidP="003F0781">
      <w:pPr>
        <w:pStyle w:val="BodyText"/>
        <w:spacing w:before="2"/>
        <w:rPr>
          <w:color w:val="C00000"/>
        </w:rPr>
      </w:pPr>
    </w:p>
    <w:p w14:paraId="665BDFE7" w14:textId="72550316" w:rsidR="003F0781" w:rsidRPr="00B362A0" w:rsidRDefault="003F0781" w:rsidP="003F0781">
      <w:pPr>
        <w:pStyle w:val="BodyText"/>
        <w:ind w:left="1" w:right="276"/>
        <w:rPr>
          <w:color w:val="C00000"/>
        </w:rPr>
      </w:pPr>
      <w:r w:rsidRPr="00B362A0">
        <w:rPr>
          <w:color w:val="C00000"/>
        </w:rPr>
        <w:t xml:space="preserve">The flagging rates presented in Table </w:t>
      </w:r>
      <w:r w:rsidR="00982521">
        <w:rPr>
          <w:color w:val="C00000"/>
        </w:rPr>
        <w:t>6</w:t>
      </w:r>
      <w:r w:rsidR="00384D61">
        <w:rPr>
          <w:color w:val="C00000"/>
        </w:rPr>
        <w:t xml:space="preserve"> </w:t>
      </w:r>
      <w:r w:rsidRPr="00B362A0">
        <w:rPr>
          <w:color w:val="C00000"/>
        </w:rPr>
        <w:t>are based on flagging those facilities in the upper tail (area=5%) of the empirical null distribution in each stratum</w:t>
      </w:r>
      <w:r w:rsidR="002C0899">
        <w:rPr>
          <w:color w:val="C00000"/>
        </w:rPr>
        <w:t xml:space="preserve">. (The empirical null p-value is </w:t>
      </w:r>
      <w:r w:rsidRPr="00B362A0">
        <w:rPr>
          <w:color w:val="C00000"/>
        </w:rPr>
        <w:t>5% or less.)</w:t>
      </w:r>
    </w:p>
    <w:p w14:paraId="6DA99FC5" w14:textId="77777777" w:rsidR="003F0781" w:rsidRPr="00B362A0" w:rsidRDefault="003F0781" w:rsidP="003F0781">
      <w:pPr>
        <w:pStyle w:val="BodyText"/>
        <w:ind w:left="1" w:right="276"/>
        <w:rPr>
          <w:color w:val="C00000"/>
        </w:rPr>
      </w:pPr>
    </w:p>
    <w:p w14:paraId="1F633644" w14:textId="3FC78690" w:rsidR="003F0781" w:rsidRPr="00B362A0" w:rsidRDefault="003F0781" w:rsidP="003F0781">
      <w:pPr>
        <w:pStyle w:val="BodyText"/>
        <w:ind w:left="1" w:right="276"/>
        <w:rPr>
          <w:color w:val="C00000"/>
        </w:rPr>
      </w:pPr>
      <w:r w:rsidRPr="00B362A0">
        <w:rPr>
          <w:b/>
          <w:color w:val="C00000"/>
        </w:rPr>
        <w:t xml:space="preserve">Table </w:t>
      </w:r>
      <w:r w:rsidR="00D955A1">
        <w:rPr>
          <w:b/>
          <w:color w:val="C00000"/>
        </w:rPr>
        <w:t>4</w:t>
      </w:r>
      <w:r w:rsidRPr="00B362A0">
        <w:rPr>
          <w:b/>
          <w:color w:val="C00000"/>
        </w:rPr>
        <w:t xml:space="preserve">. Facilities Identified as Performing Worse than Expected for </w:t>
      </w:r>
      <w:r w:rsidR="00104C15">
        <w:rPr>
          <w:b/>
          <w:color w:val="C00000"/>
        </w:rPr>
        <w:t>4-</w:t>
      </w:r>
      <w:r w:rsidRPr="00B362A0">
        <w:rPr>
          <w:b/>
          <w:color w:val="C00000"/>
        </w:rPr>
        <w:t>30</w:t>
      </w:r>
      <w:r w:rsidR="00104C15">
        <w:rPr>
          <w:b/>
          <w:color w:val="C00000"/>
        </w:rPr>
        <w:t xml:space="preserve"> </w:t>
      </w:r>
      <w:r w:rsidRPr="00B362A0">
        <w:rPr>
          <w:b/>
          <w:color w:val="C00000"/>
        </w:rPr>
        <w:t>Day Readmission Rate</w:t>
      </w:r>
      <w:r w:rsidR="007E4F84">
        <w:rPr>
          <w:b/>
          <w:color w:val="C00000"/>
        </w:rPr>
        <w:t>, 2018</w:t>
      </w:r>
    </w:p>
    <w:tbl>
      <w:tblPr>
        <w:tblW w:w="0" w:type="auto"/>
        <w:tblInd w:w="-1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619"/>
        <w:gridCol w:w="1709"/>
        <w:gridCol w:w="3074"/>
      </w:tblGrid>
      <w:tr w:rsidR="003F0781" w:rsidRPr="00B362A0" w14:paraId="409A2E63" w14:textId="77777777" w:rsidTr="00D25018">
        <w:trPr>
          <w:trHeight w:hRule="exact" w:val="278"/>
        </w:trPr>
        <w:tc>
          <w:tcPr>
            <w:tcW w:w="3619" w:type="dxa"/>
          </w:tcPr>
          <w:p w14:paraId="3C257F2F" w14:textId="01C6EA45" w:rsidR="003F0781" w:rsidRPr="00B362A0" w:rsidRDefault="003F0781" w:rsidP="001B09D9">
            <w:pPr>
              <w:pStyle w:val="TableParagraph"/>
              <w:spacing w:line="265" w:lineRule="exact"/>
              <w:ind w:left="103"/>
              <w:jc w:val="left"/>
              <w:rPr>
                <w:b/>
                <w:color w:val="C00000"/>
              </w:rPr>
            </w:pPr>
            <w:r w:rsidRPr="00B362A0">
              <w:rPr>
                <w:b/>
                <w:color w:val="C00000"/>
              </w:rPr>
              <w:t>Facility Size (</w:t>
            </w:r>
            <w:r w:rsidR="001B09D9">
              <w:rPr>
                <w:b/>
                <w:color w:val="C00000"/>
              </w:rPr>
              <w:t>Patient-years</w:t>
            </w:r>
            <w:r w:rsidRPr="00B362A0">
              <w:rPr>
                <w:b/>
                <w:color w:val="C00000"/>
              </w:rPr>
              <w:t>)</w:t>
            </w:r>
          </w:p>
        </w:tc>
        <w:tc>
          <w:tcPr>
            <w:tcW w:w="1709" w:type="dxa"/>
          </w:tcPr>
          <w:p w14:paraId="058CF58F" w14:textId="4E86538E" w:rsidR="003F0781" w:rsidRPr="00B362A0" w:rsidRDefault="003F0781" w:rsidP="00D25018">
            <w:pPr>
              <w:pStyle w:val="TableParagraph"/>
              <w:spacing w:line="265" w:lineRule="exact"/>
              <w:ind w:right="101"/>
              <w:rPr>
                <w:b/>
                <w:color w:val="C00000"/>
              </w:rPr>
            </w:pPr>
            <w:r w:rsidRPr="00B362A0">
              <w:rPr>
                <w:b/>
                <w:color w:val="C00000"/>
              </w:rPr>
              <w:t>No. of Facilities</w:t>
            </w:r>
            <w:r w:rsidR="004B036D" w:rsidRPr="00B362A0">
              <w:rPr>
                <w:b/>
                <w:color w:val="C00000"/>
                <w:vertAlign w:val="superscript"/>
              </w:rPr>
              <w:t>1</w:t>
            </w:r>
          </w:p>
        </w:tc>
        <w:tc>
          <w:tcPr>
            <w:tcW w:w="3074" w:type="dxa"/>
          </w:tcPr>
          <w:p w14:paraId="0BB52D5E" w14:textId="77777777" w:rsidR="003F0781" w:rsidRPr="00B362A0" w:rsidRDefault="003F0781" w:rsidP="00D25018">
            <w:pPr>
              <w:pStyle w:val="TableParagraph"/>
              <w:spacing w:line="265" w:lineRule="exact"/>
              <w:ind w:right="100"/>
              <w:rPr>
                <w:b/>
                <w:color w:val="C00000"/>
              </w:rPr>
            </w:pPr>
            <w:r w:rsidRPr="00B362A0">
              <w:rPr>
                <w:b/>
                <w:color w:val="C00000"/>
              </w:rPr>
              <w:t>SRR: Worse than Expected</w:t>
            </w:r>
          </w:p>
        </w:tc>
      </w:tr>
      <w:tr w:rsidR="003F0781" w:rsidRPr="00B362A0" w14:paraId="16C2C813" w14:textId="77777777" w:rsidTr="00D25018">
        <w:trPr>
          <w:trHeight w:hRule="exact" w:val="278"/>
        </w:trPr>
        <w:tc>
          <w:tcPr>
            <w:tcW w:w="3619" w:type="dxa"/>
          </w:tcPr>
          <w:p w14:paraId="75F2717D" w14:textId="1A5B3736" w:rsidR="003F0781" w:rsidRPr="00B362A0" w:rsidRDefault="003F0781" w:rsidP="00D25018">
            <w:pPr>
              <w:pStyle w:val="TableParagraph"/>
              <w:spacing w:line="265" w:lineRule="exact"/>
              <w:ind w:left="103"/>
              <w:jc w:val="left"/>
              <w:rPr>
                <w:color w:val="C00000"/>
              </w:rPr>
            </w:pPr>
            <w:r w:rsidRPr="00B362A0">
              <w:rPr>
                <w:color w:val="C00000"/>
              </w:rPr>
              <w:t>1</w:t>
            </w:r>
            <w:r w:rsidRPr="00B362A0">
              <w:rPr>
                <w:color w:val="C00000"/>
                <w:vertAlign w:val="superscript"/>
              </w:rPr>
              <w:t>st</w:t>
            </w:r>
            <w:r w:rsidRPr="00B362A0">
              <w:rPr>
                <w:color w:val="C00000"/>
              </w:rPr>
              <w:t xml:space="preserve"> Quartile</w:t>
            </w:r>
          </w:p>
        </w:tc>
        <w:tc>
          <w:tcPr>
            <w:tcW w:w="1709" w:type="dxa"/>
          </w:tcPr>
          <w:p w14:paraId="70F8CD55" w14:textId="3A7CBE12" w:rsidR="003F0781" w:rsidRPr="00B362A0" w:rsidRDefault="00D25018" w:rsidP="00D25018">
            <w:pPr>
              <w:pStyle w:val="TableParagraph"/>
              <w:spacing w:line="265" w:lineRule="exact"/>
              <w:ind w:right="102"/>
              <w:rPr>
                <w:color w:val="C00000"/>
              </w:rPr>
            </w:pPr>
            <w:r w:rsidRPr="00B362A0">
              <w:rPr>
                <w:color w:val="C00000"/>
              </w:rPr>
              <w:t>1,733</w:t>
            </w:r>
          </w:p>
        </w:tc>
        <w:tc>
          <w:tcPr>
            <w:tcW w:w="3074" w:type="dxa"/>
          </w:tcPr>
          <w:p w14:paraId="13EA18B6" w14:textId="70B8710A" w:rsidR="003F0781" w:rsidRPr="00B362A0" w:rsidRDefault="0079606B" w:rsidP="0079606B">
            <w:pPr>
              <w:pStyle w:val="TableParagraph"/>
              <w:spacing w:line="265" w:lineRule="exact"/>
              <w:ind w:right="99"/>
              <w:rPr>
                <w:color w:val="C00000"/>
              </w:rPr>
            </w:pPr>
            <w:r>
              <w:rPr>
                <w:color w:val="C00000"/>
              </w:rPr>
              <w:t>101</w:t>
            </w:r>
            <w:r w:rsidRPr="00B362A0">
              <w:rPr>
                <w:color w:val="C00000"/>
              </w:rPr>
              <w:t xml:space="preserve"> </w:t>
            </w:r>
            <w:r w:rsidR="00D25018" w:rsidRPr="00B362A0">
              <w:rPr>
                <w:color w:val="C00000"/>
              </w:rPr>
              <w:t>(</w:t>
            </w:r>
            <w:r>
              <w:rPr>
                <w:color w:val="C00000"/>
              </w:rPr>
              <w:t>5.83</w:t>
            </w:r>
            <w:r w:rsidR="008524AC" w:rsidRPr="00B362A0">
              <w:rPr>
                <w:color w:val="C00000"/>
              </w:rPr>
              <w:t>%</w:t>
            </w:r>
            <w:r w:rsidR="00D25018" w:rsidRPr="00B362A0">
              <w:rPr>
                <w:color w:val="C00000"/>
              </w:rPr>
              <w:t>)</w:t>
            </w:r>
          </w:p>
        </w:tc>
      </w:tr>
      <w:tr w:rsidR="003F0781" w:rsidRPr="00B362A0" w14:paraId="0E37D67E" w14:textId="77777777" w:rsidTr="00D25018">
        <w:trPr>
          <w:trHeight w:hRule="exact" w:val="278"/>
        </w:trPr>
        <w:tc>
          <w:tcPr>
            <w:tcW w:w="3619" w:type="dxa"/>
          </w:tcPr>
          <w:p w14:paraId="49823F18" w14:textId="62BF6ABB" w:rsidR="003F0781" w:rsidRPr="00B362A0" w:rsidRDefault="003F0781" w:rsidP="00D25018">
            <w:pPr>
              <w:pStyle w:val="TableParagraph"/>
              <w:spacing w:line="268" w:lineRule="exact"/>
              <w:ind w:left="103"/>
              <w:jc w:val="left"/>
              <w:rPr>
                <w:color w:val="C00000"/>
              </w:rPr>
            </w:pPr>
            <w:r w:rsidRPr="00B362A0">
              <w:rPr>
                <w:color w:val="C00000"/>
              </w:rPr>
              <w:t>2</w:t>
            </w:r>
            <w:r w:rsidRPr="00B362A0">
              <w:rPr>
                <w:color w:val="C00000"/>
                <w:vertAlign w:val="superscript"/>
              </w:rPr>
              <w:t>nd</w:t>
            </w:r>
            <w:r w:rsidRPr="00B362A0">
              <w:rPr>
                <w:color w:val="C00000"/>
              </w:rPr>
              <w:t xml:space="preserve"> Quartile</w:t>
            </w:r>
          </w:p>
        </w:tc>
        <w:tc>
          <w:tcPr>
            <w:tcW w:w="1709" w:type="dxa"/>
          </w:tcPr>
          <w:p w14:paraId="24BB4C6B" w14:textId="580448DE" w:rsidR="003F0781" w:rsidRPr="00B362A0" w:rsidRDefault="003F0781" w:rsidP="00D25018">
            <w:pPr>
              <w:pStyle w:val="TableParagraph"/>
              <w:spacing w:line="268" w:lineRule="exact"/>
              <w:ind w:right="101"/>
              <w:rPr>
                <w:color w:val="C00000"/>
              </w:rPr>
            </w:pPr>
            <w:r w:rsidRPr="00B362A0">
              <w:rPr>
                <w:color w:val="C00000"/>
              </w:rPr>
              <w:t>1,7</w:t>
            </w:r>
            <w:r w:rsidR="00D25018" w:rsidRPr="00B362A0">
              <w:rPr>
                <w:color w:val="C00000"/>
              </w:rPr>
              <w:t>33</w:t>
            </w:r>
          </w:p>
        </w:tc>
        <w:tc>
          <w:tcPr>
            <w:tcW w:w="3074" w:type="dxa"/>
          </w:tcPr>
          <w:p w14:paraId="406F7066" w14:textId="0CFC93F2" w:rsidR="003F0781" w:rsidRPr="00B362A0" w:rsidRDefault="0079606B" w:rsidP="0079606B">
            <w:pPr>
              <w:pStyle w:val="TableParagraph"/>
              <w:spacing w:line="268" w:lineRule="exact"/>
              <w:ind w:right="99"/>
              <w:rPr>
                <w:color w:val="C00000"/>
              </w:rPr>
            </w:pPr>
            <w:r>
              <w:rPr>
                <w:color w:val="C00000"/>
              </w:rPr>
              <w:t>80</w:t>
            </w:r>
            <w:r w:rsidRPr="00B362A0">
              <w:rPr>
                <w:color w:val="C00000"/>
              </w:rPr>
              <w:t xml:space="preserve"> </w:t>
            </w:r>
            <w:r w:rsidR="00D25018" w:rsidRPr="00B362A0">
              <w:rPr>
                <w:color w:val="C00000"/>
              </w:rPr>
              <w:t>(</w:t>
            </w:r>
            <w:r>
              <w:rPr>
                <w:color w:val="C00000"/>
              </w:rPr>
              <w:t>4.62</w:t>
            </w:r>
            <w:r w:rsidR="008524AC" w:rsidRPr="00B362A0">
              <w:rPr>
                <w:color w:val="C00000"/>
              </w:rPr>
              <w:t>%</w:t>
            </w:r>
            <w:r w:rsidR="00D25018" w:rsidRPr="00B362A0">
              <w:rPr>
                <w:color w:val="C00000"/>
              </w:rPr>
              <w:t>)</w:t>
            </w:r>
          </w:p>
        </w:tc>
      </w:tr>
      <w:tr w:rsidR="003F0781" w:rsidRPr="00B362A0" w14:paraId="370A005E" w14:textId="77777777" w:rsidTr="00D25018">
        <w:trPr>
          <w:trHeight w:hRule="exact" w:val="278"/>
        </w:trPr>
        <w:tc>
          <w:tcPr>
            <w:tcW w:w="3619" w:type="dxa"/>
          </w:tcPr>
          <w:p w14:paraId="0F2C66A9" w14:textId="409EF390" w:rsidR="003F0781" w:rsidRPr="00B362A0" w:rsidRDefault="003F0781" w:rsidP="00D25018">
            <w:pPr>
              <w:pStyle w:val="TableParagraph"/>
              <w:spacing w:line="268" w:lineRule="exact"/>
              <w:ind w:left="103"/>
              <w:jc w:val="left"/>
              <w:rPr>
                <w:color w:val="C00000"/>
              </w:rPr>
            </w:pPr>
            <w:r w:rsidRPr="00B362A0">
              <w:rPr>
                <w:color w:val="C00000"/>
              </w:rPr>
              <w:t>3</w:t>
            </w:r>
            <w:r w:rsidRPr="00B362A0">
              <w:rPr>
                <w:color w:val="C00000"/>
                <w:vertAlign w:val="superscript"/>
              </w:rPr>
              <w:t>rd</w:t>
            </w:r>
            <w:r w:rsidRPr="00B362A0">
              <w:rPr>
                <w:color w:val="C00000"/>
              </w:rPr>
              <w:t xml:space="preserve"> Quartile</w:t>
            </w:r>
          </w:p>
        </w:tc>
        <w:tc>
          <w:tcPr>
            <w:tcW w:w="1709" w:type="dxa"/>
          </w:tcPr>
          <w:p w14:paraId="356B0E6D" w14:textId="60AC95AF" w:rsidR="003F0781" w:rsidRPr="00B362A0" w:rsidRDefault="003F0781" w:rsidP="00D25018">
            <w:pPr>
              <w:pStyle w:val="TableParagraph"/>
              <w:spacing w:line="268" w:lineRule="exact"/>
              <w:ind w:right="101"/>
              <w:rPr>
                <w:color w:val="C00000"/>
              </w:rPr>
            </w:pPr>
            <w:r w:rsidRPr="00B362A0">
              <w:rPr>
                <w:color w:val="C00000"/>
              </w:rPr>
              <w:t>1,7</w:t>
            </w:r>
            <w:r w:rsidR="00D25018" w:rsidRPr="00B362A0">
              <w:rPr>
                <w:color w:val="C00000"/>
              </w:rPr>
              <w:t>34</w:t>
            </w:r>
          </w:p>
        </w:tc>
        <w:tc>
          <w:tcPr>
            <w:tcW w:w="3074" w:type="dxa"/>
          </w:tcPr>
          <w:p w14:paraId="67154BCE" w14:textId="1796FD50" w:rsidR="003F0781" w:rsidRPr="00B362A0" w:rsidRDefault="0079606B" w:rsidP="0079606B">
            <w:pPr>
              <w:pStyle w:val="TableParagraph"/>
              <w:spacing w:line="268" w:lineRule="exact"/>
              <w:ind w:right="99"/>
              <w:rPr>
                <w:color w:val="C00000"/>
              </w:rPr>
            </w:pPr>
            <w:r>
              <w:rPr>
                <w:color w:val="C00000"/>
              </w:rPr>
              <w:t>79</w:t>
            </w:r>
            <w:r w:rsidRPr="00B362A0">
              <w:rPr>
                <w:color w:val="C00000"/>
              </w:rPr>
              <w:t xml:space="preserve"> </w:t>
            </w:r>
            <w:r w:rsidR="00D25018" w:rsidRPr="00B362A0">
              <w:rPr>
                <w:color w:val="C00000"/>
              </w:rPr>
              <w:t>(</w:t>
            </w:r>
            <w:r>
              <w:rPr>
                <w:color w:val="C00000"/>
              </w:rPr>
              <w:t>4.56</w:t>
            </w:r>
            <w:r w:rsidR="008524AC" w:rsidRPr="00B362A0">
              <w:rPr>
                <w:color w:val="C00000"/>
              </w:rPr>
              <w:t>%)</w:t>
            </w:r>
          </w:p>
        </w:tc>
      </w:tr>
      <w:tr w:rsidR="003F0781" w:rsidRPr="00B362A0" w14:paraId="60358879" w14:textId="77777777" w:rsidTr="00D25018">
        <w:trPr>
          <w:trHeight w:hRule="exact" w:val="278"/>
        </w:trPr>
        <w:tc>
          <w:tcPr>
            <w:tcW w:w="3619" w:type="dxa"/>
          </w:tcPr>
          <w:p w14:paraId="5C9DE704" w14:textId="1BA8508E" w:rsidR="003F0781" w:rsidRPr="00B362A0" w:rsidRDefault="003F0781" w:rsidP="00D25018">
            <w:pPr>
              <w:pStyle w:val="TableParagraph"/>
              <w:spacing w:line="268" w:lineRule="exact"/>
              <w:ind w:left="103"/>
              <w:jc w:val="left"/>
              <w:rPr>
                <w:color w:val="C00000"/>
              </w:rPr>
            </w:pPr>
            <w:r w:rsidRPr="00B362A0">
              <w:rPr>
                <w:color w:val="C00000"/>
              </w:rPr>
              <w:t>4</w:t>
            </w:r>
            <w:r w:rsidRPr="00B362A0">
              <w:rPr>
                <w:color w:val="C00000"/>
                <w:vertAlign w:val="superscript"/>
              </w:rPr>
              <w:t>th</w:t>
            </w:r>
            <w:r w:rsidRPr="00B362A0">
              <w:rPr>
                <w:color w:val="C00000"/>
              </w:rPr>
              <w:t xml:space="preserve"> Quartile</w:t>
            </w:r>
          </w:p>
        </w:tc>
        <w:tc>
          <w:tcPr>
            <w:tcW w:w="1709" w:type="dxa"/>
          </w:tcPr>
          <w:p w14:paraId="30B4730C" w14:textId="5A9235FA" w:rsidR="003F0781" w:rsidRPr="00B362A0" w:rsidRDefault="003F0781" w:rsidP="008524AC">
            <w:pPr>
              <w:pStyle w:val="TableParagraph"/>
              <w:spacing w:line="268" w:lineRule="exact"/>
              <w:ind w:right="101"/>
              <w:rPr>
                <w:color w:val="C00000"/>
              </w:rPr>
            </w:pPr>
            <w:r w:rsidRPr="00B362A0">
              <w:rPr>
                <w:color w:val="C00000"/>
              </w:rPr>
              <w:t>1,7</w:t>
            </w:r>
            <w:r w:rsidR="008524AC" w:rsidRPr="00B362A0">
              <w:rPr>
                <w:color w:val="C00000"/>
              </w:rPr>
              <w:t>33</w:t>
            </w:r>
          </w:p>
        </w:tc>
        <w:tc>
          <w:tcPr>
            <w:tcW w:w="3074" w:type="dxa"/>
          </w:tcPr>
          <w:p w14:paraId="15AE7119" w14:textId="62B6A4F4" w:rsidR="003F0781" w:rsidRPr="00B362A0" w:rsidRDefault="0079606B" w:rsidP="0079606B">
            <w:pPr>
              <w:pStyle w:val="TableParagraph"/>
              <w:spacing w:line="268" w:lineRule="exact"/>
              <w:ind w:right="99"/>
              <w:rPr>
                <w:color w:val="C00000"/>
              </w:rPr>
            </w:pPr>
            <w:r>
              <w:rPr>
                <w:color w:val="C00000"/>
              </w:rPr>
              <w:t>145</w:t>
            </w:r>
            <w:r w:rsidRPr="00B362A0">
              <w:rPr>
                <w:color w:val="C00000"/>
              </w:rPr>
              <w:t xml:space="preserve"> </w:t>
            </w:r>
            <w:r w:rsidR="008524AC" w:rsidRPr="00B362A0">
              <w:rPr>
                <w:color w:val="C00000"/>
              </w:rPr>
              <w:t>(</w:t>
            </w:r>
            <w:r>
              <w:rPr>
                <w:color w:val="C00000"/>
              </w:rPr>
              <w:t>8.37</w:t>
            </w:r>
            <w:r w:rsidR="008524AC" w:rsidRPr="00B362A0">
              <w:rPr>
                <w:color w:val="C00000"/>
              </w:rPr>
              <w:t>%)</w:t>
            </w:r>
          </w:p>
        </w:tc>
      </w:tr>
      <w:tr w:rsidR="003F0781" w:rsidRPr="00B362A0" w14:paraId="171FB4BE" w14:textId="77777777" w:rsidTr="00D25018">
        <w:trPr>
          <w:trHeight w:hRule="exact" w:val="281"/>
        </w:trPr>
        <w:tc>
          <w:tcPr>
            <w:tcW w:w="3619" w:type="dxa"/>
          </w:tcPr>
          <w:p w14:paraId="15BCEA85" w14:textId="77777777" w:rsidR="003F0781" w:rsidRPr="00B362A0" w:rsidRDefault="003F0781" w:rsidP="00D25018">
            <w:pPr>
              <w:pStyle w:val="TableParagraph"/>
              <w:spacing w:line="268" w:lineRule="exact"/>
              <w:ind w:left="103"/>
              <w:jc w:val="left"/>
              <w:rPr>
                <w:b/>
                <w:color w:val="C00000"/>
              </w:rPr>
            </w:pPr>
            <w:r w:rsidRPr="00B362A0">
              <w:rPr>
                <w:b/>
                <w:color w:val="C00000"/>
              </w:rPr>
              <w:t>Total</w:t>
            </w:r>
          </w:p>
        </w:tc>
        <w:tc>
          <w:tcPr>
            <w:tcW w:w="1709" w:type="dxa"/>
          </w:tcPr>
          <w:p w14:paraId="0B7DB807" w14:textId="2FD94D24" w:rsidR="003F0781" w:rsidRPr="00B362A0" w:rsidRDefault="003F0781" w:rsidP="00D25018">
            <w:pPr>
              <w:pStyle w:val="TableParagraph"/>
              <w:spacing w:line="268" w:lineRule="exact"/>
              <w:ind w:right="102"/>
              <w:rPr>
                <w:b/>
                <w:color w:val="C00000"/>
              </w:rPr>
            </w:pPr>
            <w:r w:rsidRPr="00B362A0">
              <w:rPr>
                <w:b/>
                <w:color w:val="C00000"/>
              </w:rPr>
              <w:t>6</w:t>
            </w:r>
            <w:r w:rsidR="008C1E08" w:rsidRPr="00B362A0">
              <w:rPr>
                <w:b/>
                <w:color w:val="C00000"/>
              </w:rPr>
              <w:t>,</w:t>
            </w:r>
            <w:r w:rsidR="00B857D2" w:rsidRPr="00B362A0">
              <w:rPr>
                <w:b/>
                <w:color w:val="C00000"/>
              </w:rPr>
              <w:t>933</w:t>
            </w:r>
          </w:p>
        </w:tc>
        <w:tc>
          <w:tcPr>
            <w:tcW w:w="3074" w:type="dxa"/>
          </w:tcPr>
          <w:p w14:paraId="7109917F" w14:textId="07ADF653" w:rsidR="003F0781" w:rsidRPr="00B362A0" w:rsidRDefault="0079606B" w:rsidP="0079606B">
            <w:pPr>
              <w:pStyle w:val="TableParagraph"/>
              <w:spacing w:line="268" w:lineRule="exact"/>
              <w:ind w:right="99"/>
              <w:rPr>
                <w:b/>
                <w:color w:val="C00000"/>
              </w:rPr>
            </w:pPr>
            <w:r>
              <w:rPr>
                <w:b/>
                <w:color w:val="C00000"/>
              </w:rPr>
              <w:t>405</w:t>
            </w:r>
            <w:r w:rsidRPr="00B362A0">
              <w:rPr>
                <w:b/>
                <w:color w:val="C00000"/>
              </w:rPr>
              <w:t xml:space="preserve"> </w:t>
            </w:r>
            <w:r w:rsidR="008524AC" w:rsidRPr="00B362A0">
              <w:rPr>
                <w:b/>
                <w:color w:val="C00000"/>
              </w:rPr>
              <w:t>(</w:t>
            </w:r>
            <w:r>
              <w:rPr>
                <w:b/>
                <w:color w:val="C00000"/>
              </w:rPr>
              <w:t>5.84</w:t>
            </w:r>
            <w:r w:rsidR="008524AC" w:rsidRPr="00B362A0">
              <w:rPr>
                <w:b/>
                <w:color w:val="C00000"/>
              </w:rPr>
              <w:t>%)</w:t>
            </w:r>
          </w:p>
        </w:tc>
      </w:tr>
    </w:tbl>
    <w:p w14:paraId="046B3072" w14:textId="31D9FC3D" w:rsidR="00B279D5" w:rsidRPr="00423A4F" w:rsidRDefault="004B036D" w:rsidP="00D61410">
      <w:pPr>
        <w:autoSpaceDE w:val="0"/>
        <w:autoSpaceDN w:val="0"/>
        <w:adjustRightInd w:val="0"/>
        <w:spacing w:after="0" w:line="240" w:lineRule="auto"/>
        <w:rPr>
          <w:rFonts w:cstheme="minorHAnsi"/>
          <w:bCs/>
          <w:color w:val="C00000"/>
        </w:rPr>
      </w:pPr>
      <w:r w:rsidRPr="00423A4F">
        <w:rPr>
          <w:rFonts w:cstheme="minorHAnsi"/>
          <w:bCs/>
          <w:color w:val="C00000"/>
          <w:vertAlign w:val="superscript"/>
        </w:rPr>
        <w:t>1</w:t>
      </w:r>
      <w:r w:rsidRPr="00423A4F">
        <w:rPr>
          <w:rFonts w:cstheme="minorHAnsi"/>
          <w:bCs/>
          <w:color w:val="C00000"/>
        </w:rPr>
        <w:t xml:space="preserve"> Four facilities did not receive a facility size.</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06B76281" w14:textId="77777777" w:rsidR="008E0BF1" w:rsidRPr="008E0BF1" w:rsidRDefault="009C7513" w:rsidP="008E0BF1">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r w:rsidR="008E0BF1" w:rsidRPr="008E0BF1">
        <w:rPr>
          <w:rFonts w:cstheme="minorHAnsi"/>
          <w:bCs/>
        </w:rPr>
        <w:t>Without empirical null methods, a large number of facilities will be flagged, including many larger</w:t>
      </w:r>
    </w:p>
    <w:p w14:paraId="0CABD00C" w14:textId="0C827E70" w:rsidR="00D61410" w:rsidRDefault="008E0BF1" w:rsidP="008E0BF1">
      <w:pPr>
        <w:autoSpaceDE w:val="0"/>
        <w:autoSpaceDN w:val="0"/>
        <w:adjustRightInd w:val="0"/>
        <w:spacing w:after="0" w:line="240" w:lineRule="auto"/>
        <w:rPr>
          <w:rFonts w:cstheme="minorHAnsi"/>
          <w:bCs/>
        </w:rPr>
      </w:pPr>
      <w:proofErr w:type="gramStart"/>
      <w:r w:rsidRPr="008E0BF1">
        <w:rPr>
          <w:rFonts w:cstheme="minorHAnsi"/>
          <w:bCs/>
        </w:rPr>
        <w:t>facilities</w:t>
      </w:r>
      <w:proofErr w:type="gramEnd"/>
      <w:r w:rsidRPr="008E0BF1">
        <w:rPr>
          <w:rFonts w:cstheme="minorHAnsi"/>
          <w:bCs/>
        </w:rPr>
        <w:t xml:space="preserve"> with a relatively small difference between the rates of readmission. In contrast, the methods based on the empirical null make appropriate adjustments for </w:t>
      </w:r>
      <w:proofErr w:type="spellStart"/>
      <w:r w:rsidRPr="008E0BF1">
        <w:rPr>
          <w:rFonts w:cstheme="minorHAnsi"/>
          <w:bCs/>
        </w:rPr>
        <w:t>overdispersion</w:t>
      </w:r>
      <w:proofErr w:type="spellEnd"/>
      <w:r w:rsidRPr="008E0BF1">
        <w:rPr>
          <w:rFonts w:cstheme="minorHAnsi"/>
          <w:bCs/>
        </w:rPr>
        <w:t>. Using this method, facilities are flagged if they have outcomes that are extreme when compared to the variation in outcomes for other facilities of a similar size.</w:t>
      </w:r>
    </w:p>
    <w:p w14:paraId="05393B0D" w14:textId="315B907D" w:rsidR="00B279D5" w:rsidRDefault="00B279D5" w:rsidP="008E0BF1">
      <w:pPr>
        <w:autoSpaceDE w:val="0"/>
        <w:autoSpaceDN w:val="0"/>
        <w:adjustRightInd w:val="0"/>
        <w:spacing w:after="0" w:line="240" w:lineRule="auto"/>
        <w:rPr>
          <w:rFonts w:cstheme="minorHAnsi"/>
          <w:bCs/>
        </w:rPr>
      </w:pPr>
    </w:p>
    <w:p w14:paraId="44960D75" w14:textId="77777777" w:rsidR="00423A4F" w:rsidRDefault="00423A4F" w:rsidP="00B279D5">
      <w:pPr>
        <w:pStyle w:val="BodyText"/>
        <w:spacing w:before="11"/>
        <w:rPr>
          <w:rFonts w:cstheme="minorHAnsi"/>
          <w:b/>
          <w:bCs/>
          <w:color w:val="C00000"/>
          <w:u w:val="single"/>
        </w:rPr>
      </w:pPr>
    </w:p>
    <w:p w14:paraId="3DFCDD27" w14:textId="1B5C7235" w:rsidR="00B279D5" w:rsidRPr="00B362A0" w:rsidRDefault="00B279D5" w:rsidP="00B279D5">
      <w:pPr>
        <w:pStyle w:val="BodyText"/>
        <w:spacing w:before="11"/>
        <w:rPr>
          <w:color w:val="C00000"/>
          <w:sz w:val="19"/>
        </w:rPr>
      </w:pPr>
      <w:r w:rsidRPr="00B362A0">
        <w:rPr>
          <w:rFonts w:cstheme="minorHAnsi"/>
          <w:b/>
          <w:bCs/>
          <w:color w:val="C00000"/>
          <w:u w:val="single"/>
        </w:rPr>
        <w:t>2019 Submission</w:t>
      </w:r>
    </w:p>
    <w:p w14:paraId="5A980D41" w14:textId="77777777" w:rsidR="00F4169F" w:rsidRPr="00B362A0" w:rsidRDefault="00F4169F" w:rsidP="00F4169F">
      <w:pPr>
        <w:autoSpaceDE w:val="0"/>
        <w:autoSpaceDN w:val="0"/>
        <w:adjustRightInd w:val="0"/>
        <w:spacing w:after="0" w:line="240" w:lineRule="auto"/>
        <w:rPr>
          <w:rFonts w:cstheme="minorHAnsi"/>
          <w:bCs/>
          <w:color w:val="C00000"/>
        </w:rPr>
      </w:pPr>
      <w:r w:rsidRPr="00B362A0">
        <w:rPr>
          <w:rFonts w:cstheme="minorHAnsi"/>
          <w:bCs/>
          <w:color w:val="C00000"/>
        </w:rPr>
        <w:t>Without empirical null methods, a large number of facilities will be flagged, including many larger</w:t>
      </w:r>
    </w:p>
    <w:p w14:paraId="16415E64" w14:textId="77777777" w:rsidR="00F4169F" w:rsidRPr="00B362A0" w:rsidRDefault="00F4169F" w:rsidP="00F4169F">
      <w:pPr>
        <w:autoSpaceDE w:val="0"/>
        <w:autoSpaceDN w:val="0"/>
        <w:adjustRightInd w:val="0"/>
        <w:spacing w:after="0" w:line="240" w:lineRule="auto"/>
        <w:rPr>
          <w:rFonts w:cstheme="minorHAnsi"/>
          <w:bCs/>
          <w:color w:val="C00000"/>
        </w:rPr>
      </w:pPr>
      <w:proofErr w:type="gramStart"/>
      <w:r w:rsidRPr="00B362A0">
        <w:rPr>
          <w:rFonts w:cstheme="minorHAnsi"/>
          <w:bCs/>
          <w:color w:val="C00000"/>
        </w:rPr>
        <w:t>facilities</w:t>
      </w:r>
      <w:proofErr w:type="gramEnd"/>
      <w:r w:rsidRPr="00B362A0">
        <w:rPr>
          <w:rFonts w:cstheme="minorHAnsi"/>
          <w:bCs/>
          <w:color w:val="C00000"/>
        </w:rPr>
        <w:t xml:space="preserve"> with a relatively small difference between the rates of readmission. In contrast, the methods based on the empirical null make appropriate adjustments for </w:t>
      </w:r>
      <w:proofErr w:type="spellStart"/>
      <w:r w:rsidRPr="00B362A0">
        <w:rPr>
          <w:rFonts w:cstheme="minorHAnsi"/>
          <w:bCs/>
          <w:color w:val="C00000"/>
        </w:rPr>
        <w:t>overdispersion</w:t>
      </w:r>
      <w:proofErr w:type="spellEnd"/>
      <w:r w:rsidRPr="00B362A0">
        <w:rPr>
          <w:rFonts w:cstheme="minorHAnsi"/>
          <w:bCs/>
          <w:color w:val="C00000"/>
        </w:rPr>
        <w:t>. Using this method, facilities are flagged if they have outcomes that are extreme when compared to the variation in outcomes for other facilities of a similar size.</w:t>
      </w:r>
    </w:p>
    <w:p w14:paraId="0FE4261A" w14:textId="77777777" w:rsidR="008E0BF1" w:rsidRPr="00A25024" w:rsidRDefault="008E0BF1" w:rsidP="008E0BF1">
      <w:pPr>
        <w:autoSpaceDE w:val="0"/>
        <w:autoSpaceDN w:val="0"/>
        <w:adjustRightInd w:val="0"/>
        <w:spacing w:after="0" w:line="240" w:lineRule="auto"/>
        <w:rPr>
          <w:rFonts w:cstheme="minorHAnsi"/>
          <w:bCs/>
        </w:rPr>
      </w:pPr>
    </w:p>
    <w:p w14:paraId="0CABD00D" w14:textId="77777777" w:rsidR="0086464B" w:rsidRPr="008E0BF1" w:rsidRDefault="0086464B" w:rsidP="0086464B">
      <w:pPr>
        <w:spacing w:after="0" w:line="240" w:lineRule="auto"/>
        <w:rPr>
          <w:rFonts w:cstheme="minorHAnsi"/>
          <w:b/>
          <w:bCs/>
          <w:color w:val="BFBFBF" w:themeColor="background1" w:themeShade="BF"/>
        </w:rPr>
      </w:pPr>
      <w:r w:rsidRPr="008E0BF1">
        <w:rPr>
          <w:rFonts w:cstheme="minorHAnsi"/>
          <w:b/>
          <w:bCs/>
          <w:color w:val="BFBFBF" w:themeColor="background1" w:themeShade="BF"/>
        </w:rPr>
        <w:t>_______________________________________</w:t>
      </w:r>
    </w:p>
    <w:p w14:paraId="0CABD00E" w14:textId="1C19894E" w:rsidR="004B1BA0" w:rsidRPr="00B362A0" w:rsidRDefault="00021170" w:rsidP="00DB3627">
      <w:pPr>
        <w:autoSpaceDE w:val="0"/>
        <w:autoSpaceDN w:val="0"/>
        <w:adjustRightInd w:val="0"/>
        <w:spacing w:after="0" w:line="240" w:lineRule="auto"/>
        <w:rPr>
          <w:rFonts w:cstheme="minorHAnsi"/>
          <w:b/>
          <w:bCs/>
        </w:rPr>
      </w:pPr>
      <w:r w:rsidRPr="00B362A0">
        <w:rPr>
          <w:rFonts w:cstheme="minorHAnsi"/>
          <w:b/>
          <w:bCs/>
        </w:rPr>
        <w:t>2</w:t>
      </w:r>
      <w:r w:rsidR="00EA5F47" w:rsidRPr="00B362A0">
        <w:rPr>
          <w:rFonts w:cstheme="minorHAnsi"/>
          <w:b/>
          <w:bCs/>
        </w:rPr>
        <w:t>b</w:t>
      </w:r>
      <w:r w:rsidR="009C7513" w:rsidRPr="00B362A0">
        <w:rPr>
          <w:rFonts w:cstheme="minorHAnsi"/>
          <w:b/>
          <w:bCs/>
        </w:rPr>
        <w:t>5</w:t>
      </w:r>
      <w:r w:rsidRPr="00B362A0">
        <w:rPr>
          <w:rFonts w:cstheme="minorHAnsi"/>
          <w:b/>
          <w:bCs/>
        </w:rPr>
        <w:t xml:space="preserve">. COMPARABILITY OF PERFORMANCE SCORES </w:t>
      </w:r>
      <w:r w:rsidR="004C498F" w:rsidRPr="00B362A0">
        <w:rPr>
          <w:rFonts w:cstheme="minorHAnsi"/>
          <w:b/>
          <w:bCs/>
        </w:rPr>
        <w:t>WHEN</w:t>
      </w:r>
      <w:r w:rsidR="002B2116" w:rsidRPr="00B362A0">
        <w:rPr>
          <w:rFonts w:cstheme="minorHAnsi"/>
          <w:b/>
          <w:bCs/>
        </w:rPr>
        <w:t xml:space="preserve"> MORE THAN ONE SET OF SPECIFICATIONS </w:t>
      </w:r>
    </w:p>
    <w:p w14:paraId="0CABD00F" w14:textId="77777777" w:rsidR="00567D12" w:rsidRPr="00B362A0" w:rsidRDefault="00567D12" w:rsidP="00567D12">
      <w:pPr>
        <w:spacing w:after="0" w:line="240" w:lineRule="auto"/>
        <w:rPr>
          <w:rFonts w:cstheme="minorHAnsi"/>
          <w:b/>
          <w:bCs/>
        </w:rPr>
      </w:pPr>
      <w:r w:rsidRPr="00B362A0">
        <w:rPr>
          <w:rFonts w:cstheme="minorHAnsi"/>
          <w:b/>
          <w:bCs/>
          <w:i/>
          <w:highlight w:val="green"/>
        </w:rPr>
        <w:t xml:space="preserve">If only one set of specifications, this section can be </w:t>
      </w:r>
      <w:r w:rsidR="00BE592D" w:rsidRPr="00B362A0">
        <w:rPr>
          <w:rFonts w:cstheme="minorHAnsi"/>
          <w:b/>
          <w:bCs/>
          <w:i/>
          <w:highlight w:val="green"/>
        </w:rPr>
        <w:t>skipped</w:t>
      </w:r>
      <w:r w:rsidR="00BE592D" w:rsidRPr="00B362A0">
        <w:rPr>
          <w:rFonts w:cstheme="minorHAnsi"/>
          <w:b/>
          <w:bCs/>
          <w:i/>
        </w:rPr>
        <w:t>.</w:t>
      </w:r>
    </w:p>
    <w:p w14:paraId="0CABD010" w14:textId="77777777" w:rsidR="00567D12" w:rsidRPr="00B362A0" w:rsidRDefault="00567D12" w:rsidP="00DB3627">
      <w:pPr>
        <w:autoSpaceDE w:val="0"/>
        <w:autoSpaceDN w:val="0"/>
        <w:adjustRightInd w:val="0"/>
        <w:spacing w:after="0" w:line="240" w:lineRule="auto"/>
        <w:rPr>
          <w:rFonts w:cstheme="minorHAnsi"/>
          <w:b/>
          <w:bCs/>
        </w:rPr>
      </w:pPr>
    </w:p>
    <w:p w14:paraId="0CABD011" w14:textId="52777D4F" w:rsidR="00052A6F" w:rsidRPr="00B362A0" w:rsidRDefault="002B2116" w:rsidP="00DB3627">
      <w:pPr>
        <w:autoSpaceDE w:val="0"/>
        <w:autoSpaceDN w:val="0"/>
        <w:adjustRightInd w:val="0"/>
        <w:spacing w:after="0" w:line="240" w:lineRule="auto"/>
        <w:rPr>
          <w:rFonts w:cstheme="minorHAnsi"/>
          <w:bCs/>
          <w:i/>
        </w:rPr>
      </w:pPr>
      <w:r w:rsidRPr="00B362A0">
        <w:rPr>
          <w:rFonts w:cstheme="minorHAnsi"/>
          <w:b/>
          <w:bCs/>
          <w:u w:val="single"/>
        </w:rPr>
        <w:t>Note</w:t>
      </w:r>
      <w:r w:rsidRPr="00B362A0">
        <w:rPr>
          <w:rFonts w:cstheme="minorHAnsi"/>
          <w:bCs/>
          <w:i/>
        </w:rPr>
        <w:t xml:space="preserve">: </w:t>
      </w:r>
      <w:r w:rsidR="00F1412B" w:rsidRPr="00B362A0">
        <w:rPr>
          <w:rFonts w:ascii="Calibri-Italic" w:eastAsiaTheme="minorHAnsi" w:hAnsi="Calibri-Italic" w:cs="Calibri-Italic"/>
          <w:i/>
          <w:iCs/>
        </w:rPr>
        <w:t xml:space="preserve">This item is directed to measures that are risk-adjusted (with or without </w:t>
      </w:r>
      <w:r w:rsidR="00AF2D68" w:rsidRPr="00B362A0">
        <w:rPr>
          <w:rFonts w:ascii="Calibri-Italic" w:eastAsiaTheme="minorHAnsi" w:hAnsi="Calibri-Italic" w:cs="Calibri-Italic"/>
          <w:i/>
          <w:iCs/>
        </w:rPr>
        <w:t>social risk</w:t>
      </w:r>
      <w:r w:rsidR="00F1412B" w:rsidRPr="00B362A0">
        <w:rPr>
          <w:rFonts w:ascii="Calibri-Italic" w:eastAsiaTheme="minorHAnsi" w:hAnsi="Calibri-Italic" w:cs="Calibri-Italic"/>
          <w:i/>
          <w:iCs/>
        </w:rPr>
        <w:t xml:space="preserve"> factors) </w:t>
      </w:r>
      <w:r w:rsidR="00F1412B" w:rsidRPr="00B362A0">
        <w:rPr>
          <w:rFonts w:ascii="Calibri-Italic" w:eastAsiaTheme="minorHAnsi" w:hAnsi="Calibri-Italic" w:cs="Calibri-Italic"/>
          <w:b/>
          <w:i/>
          <w:iCs/>
        </w:rPr>
        <w:t>OR</w:t>
      </w:r>
      <w:r w:rsidR="00F1412B" w:rsidRPr="00B362A0">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sidRPr="00B362A0">
        <w:rPr>
          <w:rFonts w:ascii="Calibri-Italic" w:eastAsiaTheme="minorHAnsi" w:hAnsi="Calibri-Italic" w:cs="Calibri-Italic"/>
          <w:i/>
          <w:iCs/>
        </w:rPr>
        <w:t>eMeasures</w:t>
      </w:r>
      <w:proofErr w:type="spellEnd"/>
      <w:r w:rsidR="00F1412B" w:rsidRPr="00B362A0">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B362A0">
        <w:rPr>
          <w:rFonts w:ascii="Calibri-BoldItalic" w:eastAsiaTheme="minorHAnsi" w:hAnsi="Calibri-BoldItalic" w:cs="Calibri-BoldItalic"/>
          <w:b/>
          <w:bCs/>
          <w:i/>
          <w:iCs/>
        </w:rPr>
        <w:t xml:space="preserve">Comparability is not required when comparing performance scores with and without </w:t>
      </w:r>
      <w:r w:rsidR="00AF2D68" w:rsidRPr="00B362A0">
        <w:rPr>
          <w:rFonts w:ascii="Calibri-BoldItalic" w:eastAsiaTheme="minorHAnsi" w:hAnsi="Calibri-BoldItalic" w:cs="Calibri-BoldItalic"/>
          <w:b/>
          <w:bCs/>
          <w:i/>
          <w:iCs/>
        </w:rPr>
        <w:t>social risk</w:t>
      </w:r>
      <w:r w:rsidR="00F1412B" w:rsidRPr="00B362A0">
        <w:rPr>
          <w:rFonts w:ascii="Calibri-BoldItalic" w:eastAsiaTheme="minorHAnsi" w:hAnsi="Calibri-BoldItalic" w:cs="Calibri-BoldItalic"/>
          <w:b/>
          <w:bCs/>
          <w:i/>
          <w:iCs/>
        </w:rPr>
        <w:t xml:space="preserve"> factors in the risk adjustment model.  However, if comparability is not demonstrated for measures with more than one set of specifications/instructions, the different specifications (e.g., for medical records vs. claims) should be submitted as separate measures.</w:t>
      </w:r>
    </w:p>
    <w:p w14:paraId="0CABD012" w14:textId="77777777" w:rsidR="000F06B5" w:rsidRPr="00B362A0" w:rsidRDefault="000F06B5" w:rsidP="00DB3627">
      <w:pPr>
        <w:autoSpaceDE w:val="0"/>
        <w:autoSpaceDN w:val="0"/>
        <w:adjustRightInd w:val="0"/>
        <w:spacing w:after="0" w:line="240" w:lineRule="auto"/>
        <w:rPr>
          <w:rFonts w:cstheme="minorHAnsi"/>
          <w:bCs/>
        </w:rPr>
      </w:pPr>
    </w:p>
    <w:p w14:paraId="0CABD013" w14:textId="050CD570" w:rsidR="000F06B5" w:rsidRPr="00B362A0" w:rsidRDefault="009C7513" w:rsidP="00DB3627">
      <w:pPr>
        <w:autoSpaceDE w:val="0"/>
        <w:autoSpaceDN w:val="0"/>
        <w:adjustRightInd w:val="0"/>
        <w:spacing w:after="0" w:line="240" w:lineRule="auto"/>
        <w:rPr>
          <w:rFonts w:cstheme="minorHAnsi"/>
          <w:bCs/>
          <w:sz w:val="14"/>
        </w:rPr>
      </w:pPr>
      <w:r w:rsidRPr="00B362A0">
        <w:rPr>
          <w:rFonts w:cstheme="minorHAnsi"/>
          <w:b/>
          <w:bCs/>
        </w:rPr>
        <w:t>2b5</w:t>
      </w:r>
      <w:r w:rsidR="00E1508F" w:rsidRPr="00B362A0">
        <w:rPr>
          <w:rFonts w:cstheme="minorHAnsi"/>
          <w:b/>
          <w:bCs/>
        </w:rPr>
        <w:t xml:space="preserve">.1. </w:t>
      </w:r>
      <w:r w:rsidR="008871A9" w:rsidRPr="00B362A0">
        <w:rPr>
          <w:rFonts w:cstheme="minorHAnsi"/>
          <w:b/>
          <w:bCs/>
        </w:rPr>
        <w:t xml:space="preserve">Describe the method of </w:t>
      </w:r>
      <w:r w:rsidR="000F06B5" w:rsidRPr="00B362A0">
        <w:rPr>
          <w:rFonts w:cstheme="minorHAnsi"/>
          <w:b/>
          <w:bCs/>
        </w:rPr>
        <w:t>testing conducted</w:t>
      </w:r>
      <w:r w:rsidR="008871A9" w:rsidRPr="00B362A0">
        <w:rPr>
          <w:rFonts w:cstheme="minorHAnsi"/>
          <w:b/>
          <w:bCs/>
        </w:rPr>
        <w:t xml:space="preserve"> to </w:t>
      </w:r>
      <w:r w:rsidR="00F1412B" w:rsidRPr="00B362A0">
        <w:rPr>
          <w:rFonts w:cstheme="minorHAnsi"/>
          <w:b/>
          <w:bCs/>
        </w:rPr>
        <w:t>compare</w:t>
      </w:r>
      <w:r w:rsidR="004B6CEE" w:rsidRPr="00B362A0">
        <w:rPr>
          <w:rFonts w:cstheme="minorHAnsi"/>
          <w:b/>
          <w:bCs/>
        </w:rPr>
        <w:t xml:space="preserve"> performance scores </w:t>
      </w:r>
      <w:r w:rsidR="00A35F8F" w:rsidRPr="00B362A0">
        <w:rPr>
          <w:rFonts w:cstheme="minorHAnsi"/>
          <w:b/>
          <w:bCs/>
        </w:rPr>
        <w:t xml:space="preserve">for the same entities </w:t>
      </w:r>
      <w:r w:rsidR="00287649" w:rsidRPr="00B362A0">
        <w:rPr>
          <w:rFonts w:cstheme="minorHAnsi"/>
          <w:b/>
          <w:bCs/>
        </w:rPr>
        <w:t xml:space="preserve">across the different </w:t>
      </w:r>
      <w:r w:rsidR="00864CA8" w:rsidRPr="00B362A0">
        <w:rPr>
          <w:rFonts w:cstheme="minorHAnsi"/>
          <w:b/>
          <w:bCs/>
        </w:rPr>
        <w:t>data</w:t>
      </w:r>
      <w:r w:rsidR="0028114D" w:rsidRPr="00B362A0">
        <w:rPr>
          <w:rFonts w:cstheme="minorHAnsi"/>
          <w:b/>
          <w:bCs/>
        </w:rPr>
        <w:t xml:space="preserve"> </w:t>
      </w:r>
      <w:r w:rsidR="00864CA8" w:rsidRPr="00B362A0">
        <w:rPr>
          <w:rFonts w:cstheme="minorHAnsi"/>
          <w:b/>
          <w:bCs/>
        </w:rPr>
        <w:t>sources/</w:t>
      </w:r>
      <w:r w:rsidR="00287649" w:rsidRPr="00B362A0">
        <w:rPr>
          <w:rFonts w:cstheme="minorHAnsi"/>
          <w:b/>
          <w:bCs/>
        </w:rPr>
        <w:t>specifications</w:t>
      </w:r>
      <w:r w:rsidR="000F06B5" w:rsidRPr="00B362A0">
        <w:rPr>
          <w:rFonts w:cstheme="minorHAnsi"/>
          <w:bCs/>
        </w:rPr>
        <w:t xml:space="preserve"> (</w:t>
      </w:r>
      <w:r w:rsidR="008871A9" w:rsidRPr="00B362A0">
        <w:rPr>
          <w:rFonts w:cstheme="minorHAnsi"/>
          <w:bCs/>
          <w:i/>
        </w:rPr>
        <w:t>describe the steps―do not just name a method</w:t>
      </w:r>
      <w:r w:rsidR="006C3A4F" w:rsidRPr="00B362A0">
        <w:rPr>
          <w:rFonts w:cstheme="minorHAnsi"/>
          <w:bCs/>
          <w:i/>
        </w:rPr>
        <w:t>; what statistical analysis was used</w:t>
      </w:r>
      <w:r w:rsidR="000F06B5" w:rsidRPr="00B362A0">
        <w:rPr>
          <w:rFonts w:cstheme="minorHAnsi"/>
          <w:bCs/>
        </w:rPr>
        <w:t>)</w:t>
      </w:r>
      <w:r w:rsidR="000F06B5" w:rsidRPr="00B362A0">
        <w:rPr>
          <w:rFonts w:cstheme="minorHAnsi"/>
          <w:bCs/>
        </w:rPr>
        <w:br/>
        <w:t xml:space="preserve"> </w:t>
      </w:r>
    </w:p>
    <w:p w14:paraId="0CABD014" w14:textId="403C0551" w:rsidR="000F06B5" w:rsidRDefault="00B362A0" w:rsidP="00DB3627">
      <w:pPr>
        <w:pStyle w:val="ListParagraph"/>
        <w:autoSpaceDE w:val="0"/>
        <w:autoSpaceDN w:val="0"/>
        <w:adjustRightInd w:val="0"/>
        <w:spacing w:after="0" w:line="240" w:lineRule="auto"/>
        <w:ind w:left="0"/>
        <w:rPr>
          <w:rFonts w:cstheme="minorHAnsi"/>
          <w:bCs/>
        </w:rPr>
      </w:pPr>
      <w:r>
        <w:rPr>
          <w:rFonts w:cstheme="minorHAnsi"/>
          <w:bCs/>
        </w:rPr>
        <w:t>N/A</w:t>
      </w:r>
    </w:p>
    <w:p w14:paraId="59A4D768" w14:textId="77777777" w:rsidR="00B362A0" w:rsidRPr="00B362A0" w:rsidRDefault="00B362A0" w:rsidP="00DB3627">
      <w:pPr>
        <w:pStyle w:val="ListParagraph"/>
        <w:autoSpaceDE w:val="0"/>
        <w:autoSpaceDN w:val="0"/>
        <w:adjustRightInd w:val="0"/>
        <w:spacing w:after="0" w:line="240" w:lineRule="auto"/>
        <w:ind w:left="0"/>
        <w:rPr>
          <w:rFonts w:cstheme="minorHAnsi"/>
          <w:bCs/>
        </w:rPr>
      </w:pPr>
    </w:p>
    <w:p w14:paraId="0CABD015" w14:textId="377012FB" w:rsidR="00A35F8F" w:rsidRPr="00B362A0" w:rsidRDefault="009C7513" w:rsidP="00E1508F">
      <w:pPr>
        <w:autoSpaceDE w:val="0"/>
        <w:autoSpaceDN w:val="0"/>
        <w:adjustRightInd w:val="0"/>
        <w:spacing w:after="0" w:line="240" w:lineRule="auto"/>
        <w:rPr>
          <w:rFonts w:cstheme="minorHAnsi"/>
          <w:bCs/>
        </w:rPr>
      </w:pPr>
      <w:r w:rsidRPr="00B362A0">
        <w:rPr>
          <w:rFonts w:cstheme="minorHAnsi"/>
          <w:b/>
          <w:bCs/>
        </w:rPr>
        <w:t>2b5</w:t>
      </w:r>
      <w:r w:rsidR="00E1508F" w:rsidRPr="00B362A0">
        <w:rPr>
          <w:rFonts w:cstheme="minorHAnsi"/>
          <w:b/>
          <w:bCs/>
        </w:rPr>
        <w:t xml:space="preserve">.2. </w:t>
      </w:r>
      <w:proofErr w:type="gramStart"/>
      <w:r w:rsidR="000F06B5" w:rsidRPr="00B362A0">
        <w:rPr>
          <w:rFonts w:cstheme="minorHAnsi"/>
          <w:b/>
          <w:bCs/>
        </w:rPr>
        <w:t>What</w:t>
      </w:r>
      <w:proofErr w:type="gramEnd"/>
      <w:r w:rsidR="000F06B5" w:rsidRPr="00B362A0">
        <w:rPr>
          <w:rFonts w:cstheme="minorHAnsi"/>
          <w:b/>
          <w:bCs/>
        </w:rPr>
        <w:t xml:space="preserve"> were the statistical results </w:t>
      </w:r>
      <w:r w:rsidR="00A35F8F" w:rsidRPr="00B362A0">
        <w:rPr>
          <w:rFonts w:cstheme="minorHAnsi"/>
          <w:b/>
          <w:bCs/>
        </w:rPr>
        <w:t>from testing</w:t>
      </w:r>
      <w:r w:rsidR="000F06B5" w:rsidRPr="00B362A0">
        <w:rPr>
          <w:rFonts w:cstheme="minorHAnsi"/>
          <w:b/>
          <w:bCs/>
        </w:rPr>
        <w:t xml:space="preserve"> comparability of performance scores for the same entities when using different </w:t>
      </w:r>
      <w:r w:rsidR="00864CA8" w:rsidRPr="00B362A0">
        <w:rPr>
          <w:rFonts w:cstheme="minorHAnsi"/>
          <w:b/>
          <w:bCs/>
        </w:rPr>
        <w:t>data sources/</w:t>
      </w:r>
      <w:r w:rsidR="000F06B5" w:rsidRPr="00B362A0">
        <w:rPr>
          <w:rFonts w:cstheme="minorHAnsi"/>
          <w:b/>
          <w:bCs/>
        </w:rPr>
        <w:t>specifications?</w:t>
      </w:r>
      <w:r w:rsidR="000F06B5" w:rsidRPr="00B362A0">
        <w:rPr>
          <w:rFonts w:cstheme="minorHAnsi"/>
          <w:bCs/>
        </w:rPr>
        <w:t xml:space="preserve"> </w:t>
      </w:r>
      <w:r w:rsidR="00287649" w:rsidRPr="00B362A0">
        <w:rPr>
          <w:rFonts w:cstheme="minorHAnsi"/>
          <w:bCs/>
        </w:rPr>
        <w:t>(</w:t>
      </w:r>
      <w:r w:rsidR="00287649" w:rsidRPr="00B362A0">
        <w:rPr>
          <w:rFonts w:cstheme="minorHAnsi"/>
          <w:bCs/>
          <w:i/>
        </w:rPr>
        <w:t>e.g., correlation</w:t>
      </w:r>
      <w:r w:rsidR="006C3A4F" w:rsidRPr="00B362A0">
        <w:rPr>
          <w:rFonts w:cstheme="minorHAnsi"/>
          <w:bCs/>
          <w:i/>
        </w:rPr>
        <w:t>, rank order</w:t>
      </w:r>
      <w:r w:rsidR="00287649" w:rsidRPr="00B362A0">
        <w:rPr>
          <w:rFonts w:cstheme="minorHAnsi"/>
          <w:bCs/>
        </w:rPr>
        <w:t>)</w:t>
      </w:r>
      <w:r w:rsidR="000F06B5" w:rsidRPr="00B362A0">
        <w:rPr>
          <w:rFonts w:cstheme="minorHAnsi"/>
          <w:bCs/>
        </w:rPr>
        <w:br/>
      </w:r>
    </w:p>
    <w:p w14:paraId="0CABD016" w14:textId="6879CDCA" w:rsidR="00E1508F" w:rsidRDefault="00B362A0" w:rsidP="00E1508F">
      <w:pPr>
        <w:autoSpaceDE w:val="0"/>
        <w:autoSpaceDN w:val="0"/>
        <w:adjustRightInd w:val="0"/>
        <w:spacing w:after="0" w:line="240" w:lineRule="auto"/>
        <w:rPr>
          <w:rFonts w:cstheme="minorHAnsi"/>
          <w:bCs/>
        </w:rPr>
      </w:pPr>
      <w:r>
        <w:rPr>
          <w:rFonts w:cstheme="minorHAnsi"/>
          <w:bCs/>
        </w:rPr>
        <w:t>N/A</w:t>
      </w:r>
    </w:p>
    <w:p w14:paraId="23D8BF7C" w14:textId="77777777" w:rsidR="00B362A0" w:rsidRPr="00B362A0" w:rsidRDefault="00B362A0" w:rsidP="00E1508F">
      <w:pPr>
        <w:autoSpaceDE w:val="0"/>
        <w:autoSpaceDN w:val="0"/>
        <w:adjustRightInd w:val="0"/>
        <w:spacing w:after="0" w:line="240" w:lineRule="auto"/>
        <w:rPr>
          <w:rFonts w:cstheme="minorHAnsi"/>
          <w:bCs/>
        </w:rPr>
      </w:pPr>
    </w:p>
    <w:p w14:paraId="0CABD017" w14:textId="3A0C6F9A" w:rsidR="0079180E" w:rsidRDefault="009C7513" w:rsidP="00DB3627">
      <w:pPr>
        <w:autoSpaceDE w:val="0"/>
        <w:autoSpaceDN w:val="0"/>
        <w:adjustRightInd w:val="0"/>
        <w:spacing w:after="0" w:line="240" w:lineRule="auto"/>
        <w:rPr>
          <w:rFonts w:cstheme="minorHAnsi"/>
          <w:bCs/>
          <w:color w:val="BFBFBF" w:themeColor="background1" w:themeShade="BF"/>
        </w:rPr>
      </w:pPr>
      <w:r w:rsidRPr="00B362A0">
        <w:rPr>
          <w:rFonts w:cstheme="minorHAnsi"/>
          <w:b/>
          <w:bCs/>
        </w:rPr>
        <w:t>2b5</w:t>
      </w:r>
      <w:r w:rsidR="00E1508F" w:rsidRPr="00B362A0">
        <w:rPr>
          <w:rFonts w:cstheme="minorHAnsi"/>
          <w:b/>
          <w:bCs/>
        </w:rPr>
        <w:t xml:space="preserve">.3. </w:t>
      </w:r>
      <w:proofErr w:type="gramStart"/>
      <w:r w:rsidR="002B0C3A" w:rsidRPr="00B362A0">
        <w:rPr>
          <w:rFonts w:cstheme="minorHAnsi"/>
          <w:b/>
          <w:bCs/>
        </w:rPr>
        <w:t>What</w:t>
      </w:r>
      <w:proofErr w:type="gramEnd"/>
      <w:r w:rsidR="002B0C3A" w:rsidRPr="00B362A0">
        <w:rPr>
          <w:rFonts w:cstheme="minorHAnsi"/>
          <w:b/>
          <w:bCs/>
        </w:rPr>
        <w:t xml:space="preserve"> is your interpretation of the results </w:t>
      </w:r>
      <w:r w:rsidR="00A35F8F" w:rsidRPr="00B362A0">
        <w:rPr>
          <w:rFonts w:cstheme="minorHAnsi"/>
          <w:b/>
          <w:bCs/>
        </w:rPr>
        <w:t xml:space="preserve">in terms of </w:t>
      </w:r>
      <w:r w:rsidR="00F1412B" w:rsidRPr="00B362A0">
        <w:rPr>
          <w:rFonts w:cstheme="minorHAnsi"/>
          <w:b/>
          <w:bCs/>
        </w:rPr>
        <w:t>the differences in</w:t>
      </w:r>
      <w:r w:rsidR="002B0C3A" w:rsidRPr="00B362A0">
        <w:rPr>
          <w:rFonts w:cstheme="minorHAnsi"/>
          <w:b/>
          <w:bCs/>
        </w:rPr>
        <w:t xml:space="preserve"> performance measure scores </w:t>
      </w:r>
      <w:r w:rsidR="00287649" w:rsidRPr="00B362A0">
        <w:rPr>
          <w:rFonts w:cstheme="minorHAnsi"/>
          <w:b/>
          <w:bCs/>
        </w:rPr>
        <w:t xml:space="preserve">for the same entities across the different </w:t>
      </w:r>
      <w:r w:rsidR="00864CA8" w:rsidRPr="00B362A0">
        <w:rPr>
          <w:rFonts w:cstheme="minorHAnsi"/>
          <w:b/>
          <w:bCs/>
        </w:rPr>
        <w:t>data sources/</w:t>
      </w:r>
      <w:r w:rsidR="00287649" w:rsidRPr="00B362A0">
        <w:rPr>
          <w:rFonts w:cstheme="minorHAnsi"/>
          <w:b/>
          <w:bCs/>
        </w:rPr>
        <w:t>specifications</w:t>
      </w:r>
      <w:r w:rsidR="002B0C3A" w:rsidRPr="00B362A0">
        <w:rPr>
          <w:rFonts w:cstheme="minorHAnsi"/>
          <w:b/>
          <w:bCs/>
        </w:rPr>
        <w:t>?</w:t>
      </w:r>
      <w:r w:rsidR="00A35F8F" w:rsidRPr="00B362A0">
        <w:rPr>
          <w:rFonts w:cstheme="minorHAnsi"/>
          <w:bCs/>
        </w:rPr>
        <w:t xml:space="preserve"> </w:t>
      </w:r>
      <w:r w:rsidR="002B0C3A" w:rsidRPr="00B362A0">
        <w:rPr>
          <w:rFonts w:cstheme="minorHAnsi"/>
          <w:bCs/>
        </w:rPr>
        <w:t>(i</w:t>
      </w:r>
      <w:r w:rsidR="002B0C3A" w:rsidRPr="00B362A0">
        <w:rPr>
          <w:rFonts w:cstheme="minorHAnsi"/>
          <w:bCs/>
          <w:i/>
        </w:rPr>
        <w:t xml:space="preserve">.e., what do the results mean and what are the norms for the test </w:t>
      </w:r>
      <w:proofErr w:type="gramStart"/>
      <w:r w:rsidR="002B0C3A" w:rsidRPr="00B362A0">
        <w:rPr>
          <w:rFonts w:cstheme="minorHAnsi"/>
          <w:bCs/>
          <w:i/>
        </w:rPr>
        <w:t>conducted</w:t>
      </w:r>
      <w:proofErr w:type="gramEnd"/>
      <w:r w:rsidR="002B0C3A" w:rsidRPr="00B362A0">
        <w:rPr>
          <w:rFonts w:cstheme="minorHAnsi"/>
          <w:bCs/>
        </w:rPr>
        <w:t>)</w:t>
      </w:r>
      <w:r w:rsidR="00A35F8F" w:rsidRPr="008E0BF1">
        <w:rPr>
          <w:rFonts w:cstheme="minorHAnsi"/>
          <w:bCs/>
          <w:color w:val="BFBFBF" w:themeColor="background1" w:themeShade="BF"/>
        </w:rPr>
        <w:br/>
      </w:r>
    </w:p>
    <w:p w14:paraId="0A2227FD" w14:textId="34E3EBF5" w:rsidR="00B362A0" w:rsidRPr="00B362A0" w:rsidRDefault="00B362A0" w:rsidP="00DB3627">
      <w:pPr>
        <w:autoSpaceDE w:val="0"/>
        <w:autoSpaceDN w:val="0"/>
        <w:adjustRightInd w:val="0"/>
        <w:spacing w:after="0" w:line="240" w:lineRule="auto"/>
        <w:rPr>
          <w:rFonts w:cstheme="minorHAnsi"/>
          <w:bCs/>
        </w:rPr>
      </w:pPr>
      <w:r w:rsidRPr="00B362A0">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74B4C72E" w14:textId="77777777" w:rsidR="00E80583" w:rsidRPr="00186387" w:rsidRDefault="00E80583" w:rsidP="00E80583">
      <w:pPr>
        <w:spacing w:after="120" w:line="240" w:lineRule="auto"/>
        <w:rPr>
          <w:color w:val="C00000"/>
        </w:rPr>
      </w:pPr>
      <w:r>
        <w:rPr>
          <w:rFonts w:cstheme="minorHAnsi"/>
          <w:b/>
          <w:bCs/>
        </w:rPr>
        <w:t xml:space="preserve">2b6.1. Describe the method of </w:t>
      </w:r>
      <w:r w:rsidRPr="00A25024">
        <w:rPr>
          <w:rFonts w:cstheme="minorHAnsi"/>
          <w:b/>
          <w:bCs/>
        </w:rPr>
        <w:t>testing conducted</w:t>
      </w:r>
      <w:r>
        <w:rPr>
          <w:rFonts w:cstheme="minorHAnsi"/>
          <w:b/>
          <w:bCs/>
        </w:rPr>
        <w:t xml:space="preserve"> to</w:t>
      </w:r>
      <w:r w:rsidRPr="008B604D">
        <w:rPr>
          <w:rFonts w:cstheme="minorHAnsi"/>
          <w:b/>
          <w:bCs/>
        </w:rPr>
        <w:t xml:space="preserve"> </w:t>
      </w:r>
      <w:r w:rsidRPr="008B604D">
        <w:rPr>
          <w:rFonts w:ascii="Calibri" w:eastAsia="Calibri" w:hAnsi="Calibri" w:cs="Calibri"/>
          <w:b/>
        </w:rPr>
        <w:t>identify the extent and distribution of missing data (or nonresponse) and demonstrate that 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r w:rsidRPr="00186387">
        <w:rPr>
          <w:color w:val="C00000"/>
        </w:rPr>
        <w:t>The SRR  is dependent on Medicare claims and other CMS administrative data for several important components of measure calculation, including identification of comorbid conditions. For these reasons</w:t>
      </w:r>
      <w:proofErr w:type="gramStart"/>
      <w:r w:rsidRPr="00186387">
        <w:rPr>
          <w:color w:val="C00000"/>
        </w:rPr>
        <w:t>,,</w:t>
      </w:r>
      <w:proofErr w:type="gramEnd"/>
      <w:r w:rsidRPr="00186387">
        <w:rPr>
          <w:color w:val="C00000"/>
        </w:rPr>
        <w:t xml:space="preserve"> the SRR was originally developed and, subsequently implemented as, a measure limited to Medicare patients.</w:t>
      </w:r>
    </w:p>
    <w:p w14:paraId="564A1D8E" w14:textId="77777777" w:rsidR="00E80583" w:rsidRPr="00186387" w:rsidRDefault="00E80583" w:rsidP="00E80583">
      <w:pPr>
        <w:spacing w:after="120" w:line="240" w:lineRule="auto"/>
        <w:rPr>
          <w:color w:val="C00000"/>
        </w:rPr>
      </w:pPr>
      <w:r w:rsidRPr="00186387">
        <w:rPr>
          <w:color w:val="C00000"/>
        </w:rPr>
        <w:t>For several Medicare-only measures developed by UM-KECC, the presence of active Medicare coverage has been defined using a combination of criteria including a defined minimum of paid claims for dialysis services and/or presence of a Medicare inpatient claim during an eligibility period.  With the recent increase in Medicare Advantage (MA) coverage for Medicare chronic dialysis patients, and the known systemic issue of unavailable outpatient claims data for MA patients, these criteria have the potential to introduce significant bias into measure calculations that could affect results for dialysis facilities with either very low or high MA patient populations.</w:t>
      </w:r>
    </w:p>
    <w:p w14:paraId="745CB583" w14:textId="77777777" w:rsidR="00E80583" w:rsidRPr="00A25024" w:rsidRDefault="00E80583" w:rsidP="00E80583">
      <w:pPr>
        <w:autoSpaceDE w:val="0"/>
        <w:autoSpaceDN w:val="0"/>
        <w:adjustRightInd w:val="0"/>
        <w:spacing w:after="0" w:line="240" w:lineRule="auto"/>
        <w:rPr>
          <w:rFonts w:cstheme="minorHAnsi"/>
          <w:bCs/>
        </w:rPr>
      </w:pPr>
    </w:p>
    <w:p w14:paraId="23AC5622" w14:textId="77777777" w:rsidR="00E80583" w:rsidRPr="009D3882" w:rsidRDefault="00E80583" w:rsidP="00E80583">
      <w:pPr>
        <w:pStyle w:val="ListParagraph"/>
        <w:autoSpaceDE w:val="0"/>
        <w:autoSpaceDN w:val="0"/>
        <w:adjustRightInd w:val="0"/>
        <w:spacing w:after="0" w:line="240" w:lineRule="auto"/>
        <w:ind w:left="0"/>
        <w:rPr>
          <w:rFonts w:cstheme="minorHAnsi"/>
          <w:bCs/>
          <w:sz w:val="18"/>
        </w:rPr>
      </w:pPr>
    </w:p>
    <w:p w14:paraId="25710D6D" w14:textId="77777777" w:rsidR="00E80583" w:rsidRPr="00186387" w:rsidRDefault="00E80583" w:rsidP="00E80583">
      <w:pPr>
        <w:spacing w:after="120" w:line="240" w:lineRule="auto"/>
        <w:rPr>
          <w:color w:val="C00000"/>
        </w:rPr>
      </w:pPr>
      <w:r>
        <w:rPr>
          <w:rFonts w:cstheme="minorHAnsi"/>
          <w:b/>
          <w:bCs/>
        </w:rPr>
        <w:t xml:space="preserve">2b6.2. </w:t>
      </w:r>
      <w:proofErr w:type="gramStart"/>
      <w:r w:rsidRPr="00FC5DE1">
        <w:rPr>
          <w:rFonts w:cstheme="minorHAnsi"/>
          <w:b/>
          <w:bCs/>
        </w:rPr>
        <w:t>What</w:t>
      </w:r>
      <w:proofErr w:type="gramEnd"/>
      <w:r w:rsidRPr="00FC5DE1">
        <w:rPr>
          <w:rFonts w:cstheme="minorHAnsi"/>
          <w:b/>
          <w:bCs/>
        </w:rPr>
        <w:t xml:space="preserve">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r w:rsidRPr="00A25024">
        <w:rPr>
          <w:rFonts w:cstheme="minorHAnsi"/>
          <w:bCs/>
        </w:rPr>
        <w:br/>
      </w:r>
      <w:r w:rsidRPr="00186387">
        <w:rPr>
          <w:color w:val="C00000"/>
        </w:rPr>
        <w:t>As part of the comprehensive measure review process, we assessed the extent of MA coverage for ESRD dialysis patients and the effect of our historical definition of “active Medicare” status on the measure result.  Medicare Advantage patient status was defined using Medicare Enrollment Database (EDB) criteria.  Primary Medicare Fee for Service (FFS) coverage was identified using CMS administrative data, and active Medicare status utilized the combination of minimum dialysis paid claims and/or inpatient Medicare hospitalization claims briefly described above. We confirmed the presence of usable ICD diagnosis codes from MA inpatient claims and the nearly complete absence of outpatient Medicare claims data for patients identified as MA in the CMS data used for our measure calculation.</w:t>
      </w:r>
    </w:p>
    <w:p w14:paraId="7D1CD57A" w14:textId="77777777" w:rsidR="00E80583" w:rsidRPr="00186387" w:rsidRDefault="00E80583" w:rsidP="00E80583">
      <w:pPr>
        <w:autoSpaceDE w:val="0"/>
        <w:autoSpaceDN w:val="0"/>
        <w:adjustRightInd w:val="0"/>
        <w:spacing w:after="0" w:line="240" w:lineRule="auto"/>
        <w:rPr>
          <w:rFonts w:cstheme="minorHAnsi"/>
          <w:bCs/>
          <w:color w:val="C00000"/>
        </w:rPr>
      </w:pPr>
    </w:p>
    <w:p w14:paraId="5636A314" w14:textId="77777777" w:rsidR="00E80583" w:rsidRPr="00186387" w:rsidRDefault="00E80583" w:rsidP="00E80583">
      <w:pPr>
        <w:spacing w:after="120" w:line="240" w:lineRule="auto"/>
        <w:rPr>
          <w:color w:val="C00000"/>
        </w:rPr>
      </w:pPr>
      <w:r w:rsidRPr="00186387">
        <w:rPr>
          <w:color w:val="C00000"/>
        </w:rPr>
        <w:t>Summary findings:</w:t>
      </w:r>
    </w:p>
    <w:p w14:paraId="091B168D" w14:textId="77777777" w:rsidR="00E80583" w:rsidRPr="00186387" w:rsidRDefault="00E80583" w:rsidP="00E80583">
      <w:pPr>
        <w:pStyle w:val="ListParagraph"/>
        <w:numPr>
          <w:ilvl w:val="0"/>
          <w:numId w:val="46"/>
        </w:numPr>
        <w:spacing w:after="120" w:line="240" w:lineRule="auto"/>
        <w:rPr>
          <w:color w:val="C00000"/>
        </w:rPr>
      </w:pPr>
      <w:r w:rsidRPr="00186387">
        <w:rPr>
          <w:color w:val="C00000"/>
        </w:rPr>
        <w:t>The percentage of patients with MA coverage receiving chronic dialysis in US dialysis facilities has approximately doubled in the last decade and is approaching 20% based on 2017 data.</w:t>
      </w:r>
    </w:p>
    <w:p w14:paraId="0DC4B3AC" w14:textId="77777777" w:rsidR="00E80583" w:rsidRPr="00186387" w:rsidRDefault="00E80583" w:rsidP="00E80583">
      <w:pPr>
        <w:pStyle w:val="ListParagraph"/>
        <w:numPr>
          <w:ilvl w:val="0"/>
          <w:numId w:val="46"/>
        </w:numPr>
        <w:spacing w:after="120" w:line="240" w:lineRule="auto"/>
        <w:rPr>
          <w:color w:val="C00000"/>
        </w:rPr>
      </w:pPr>
      <w:r w:rsidRPr="00186387">
        <w:rPr>
          <w:color w:val="C00000"/>
        </w:rPr>
        <w:t>We confirmed the presence of usable ICD diagnosis codes from MA inpatient claims and the nearly complete absence of outpatient Medicare claims data for patients identified as MA in the CMS data used for our measure calculation</w:t>
      </w:r>
    </w:p>
    <w:p w14:paraId="4E2D95A4" w14:textId="77777777" w:rsidR="00E80583" w:rsidRPr="00186387" w:rsidRDefault="00E80583" w:rsidP="00E80583">
      <w:pPr>
        <w:autoSpaceDE w:val="0"/>
        <w:autoSpaceDN w:val="0"/>
        <w:adjustRightInd w:val="0"/>
        <w:spacing w:after="0" w:line="240" w:lineRule="auto"/>
        <w:ind w:left="360"/>
        <w:rPr>
          <w:color w:val="C00000"/>
        </w:rPr>
      </w:pPr>
    </w:p>
    <w:p w14:paraId="45D28B58" w14:textId="7F994058" w:rsidR="00E80583" w:rsidRPr="00186387" w:rsidRDefault="00E80583" w:rsidP="00E80583">
      <w:pPr>
        <w:autoSpaceDE w:val="0"/>
        <w:autoSpaceDN w:val="0"/>
        <w:adjustRightInd w:val="0"/>
        <w:spacing w:after="0" w:line="240" w:lineRule="auto"/>
        <w:rPr>
          <w:color w:val="C00000"/>
        </w:rPr>
      </w:pPr>
      <w:r w:rsidRPr="00186387">
        <w:rPr>
          <w:color w:val="C00000"/>
        </w:rPr>
        <w:t>Additional analyses (</w:t>
      </w:r>
      <w:r w:rsidR="00B42261">
        <w:rPr>
          <w:color w:val="C00000"/>
        </w:rPr>
        <w:t>Table</w:t>
      </w:r>
      <w:r w:rsidR="00B42261" w:rsidRPr="00186387">
        <w:rPr>
          <w:color w:val="C00000"/>
        </w:rPr>
        <w:t xml:space="preserve"> </w:t>
      </w:r>
      <w:r w:rsidR="00D955A1">
        <w:rPr>
          <w:color w:val="C00000"/>
        </w:rPr>
        <w:t>5</w:t>
      </w:r>
      <w:r w:rsidRPr="00186387">
        <w:rPr>
          <w:color w:val="C00000"/>
        </w:rPr>
        <w:t xml:space="preserve">) demonstrate a variable distribution of Medicare Advantage ESRD dialysis patient proportion following geographic boundaries.  For example, the percentage of MA ESRD patient time at risk relative to total Medicare ESRD patient time at risk varies from a low of 2.2% in </w:t>
      </w:r>
      <w:r w:rsidR="003C34D5">
        <w:rPr>
          <w:color w:val="C00000"/>
        </w:rPr>
        <w:t>Wyoming</w:t>
      </w:r>
      <w:r w:rsidRPr="00186387">
        <w:rPr>
          <w:color w:val="C00000"/>
        </w:rPr>
        <w:t xml:space="preserve"> to a high of </w:t>
      </w:r>
      <w:r w:rsidR="003C34D5">
        <w:rPr>
          <w:color w:val="C00000"/>
        </w:rPr>
        <w:t>44</w:t>
      </w:r>
      <w:r w:rsidRPr="00186387">
        <w:rPr>
          <w:color w:val="C00000"/>
        </w:rPr>
        <w:t>.</w:t>
      </w:r>
      <w:r w:rsidR="003C34D5">
        <w:rPr>
          <w:color w:val="C00000"/>
        </w:rPr>
        <w:t>2</w:t>
      </w:r>
      <w:r w:rsidRPr="00186387">
        <w:rPr>
          <w:color w:val="C00000"/>
        </w:rPr>
        <w:t xml:space="preserve">% in Puerto Rico. </w:t>
      </w:r>
    </w:p>
    <w:p w14:paraId="393895D9" w14:textId="77777777" w:rsidR="00E80583" w:rsidRPr="00186387" w:rsidRDefault="00E80583" w:rsidP="00E80583">
      <w:pPr>
        <w:pStyle w:val="ListParagraph"/>
        <w:autoSpaceDE w:val="0"/>
        <w:autoSpaceDN w:val="0"/>
        <w:adjustRightInd w:val="0"/>
        <w:spacing w:after="0" w:line="240" w:lineRule="auto"/>
        <w:rPr>
          <w:color w:val="C00000"/>
        </w:rPr>
      </w:pPr>
    </w:p>
    <w:p w14:paraId="1C5E1A5D" w14:textId="20E80C03" w:rsidR="00E80583" w:rsidRPr="00423A4F" w:rsidRDefault="00800CE0" w:rsidP="00E80583">
      <w:pPr>
        <w:autoSpaceDE w:val="0"/>
        <w:autoSpaceDN w:val="0"/>
        <w:adjustRightInd w:val="0"/>
        <w:spacing w:after="0" w:line="240" w:lineRule="auto"/>
        <w:rPr>
          <w:rFonts w:cstheme="minorHAnsi"/>
          <w:bCs/>
          <w:color w:val="C00000"/>
        </w:rPr>
      </w:pPr>
      <w:r w:rsidRPr="00423A4F">
        <w:rPr>
          <w:rFonts w:cstheme="minorHAnsi"/>
          <w:bCs/>
          <w:color w:val="C00000"/>
        </w:rPr>
        <w:t xml:space="preserve">Table </w:t>
      </w:r>
      <w:r w:rsidR="00D955A1">
        <w:rPr>
          <w:rFonts w:cstheme="minorHAnsi"/>
          <w:bCs/>
          <w:color w:val="C00000"/>
        </w:rPr>
        <w:t>5</w:t>
      </w:r>
      <w:r w:rsidRPr="00423A4F">
        <w:rPr>
          <w:rFonts w:cstheme="minorHAnsi"/>
          <w:bCs/>
          <w:color w:val="C00000"/>
        </w:rPr>
        <w:t>.</w:t>
      </w:r>
      <w:r w:rsidR="00900FB5" w:rsidRPr="00423A4F">
        <w:rPr>
          <w:rFonts w:cstheme="minorHAnsi"/>
          <w:bCs/>
          <w:color w:val="C00000"/>
        </w:rPr>
        <w:t xml:space="preserve"> Average </w:t>
      </w:r>
      <w:r w:rsidR="00CD7DF8" w:rsidRPr="00423A4F">
        <w:rPr>
          <w:rFonts w:cstheme="minorHAnsi"/>
          <w:bCs/>
          <w:color w:val="C00000"/>
        </w:rPr>
        <w:t xml:space="preserve">of </w:t>
      </w:r>
      <w:r w:rsidR="00900FB5" w:rsidRPr="00423A4F">
        <w:rPr>
          <w:rFonts w:cstheme="minorHAnsi"/>
          <w:bCs/>
          <w:color w:val="C00000"/>
        </w:rPr>
        <w:t>Dial</w:t>
      </w:r>
      <w:r w:rsidR="00CD7DF8" w:rsidRPr="00423A4F">
        <w:rPr>
          <w:rFonts w:cstheme="minorHAnsi"/>
          <w:bCs/>
          <w:color w:val="C00000"/>
        </w:rPr>
        <w:t>ysis Facilities’</w:t>
      </w:r>
      <w:r w:rsidR="00900FB5" w:rsidRPr="00423A4F">
        <w:rPr>
          <w:rFonts w:cstheme="minorHAnsi"/>
          <w:bCs/>
          <w:color w:val="C00000"/>
        </w:rPr>
        <w:t xml:space="preserve"> Percent of MA Patients</w:t>
      </w:r>
      <w:r w:rsidR="00900FB5" w:rsidRPr="00423A4F">
        <w:rPr>
          <w:rFonts w:cstheme="minorHAnsi"/>
          <w:bCs/>
          <w:color w:val="C00000"/>
          <w:vertAlign w:val="superscript"/>
        </w:rPr>
        <w:t>1</w:t>
      </w:r>
      <w:r w:rsidR="00900FB5" w:rsidRPr="00423A4F">
        <w:rPr>
          <w:rFonts w:cstheme="minorHAnsi"/>
          <w:bCs/>
          <w:color w:val="C00000"/>
        </w:rPr>
        <w:t xml:space="preserve"> by State, 2018.</w:t>
      </w:r>
    </w:p>
    <w:tbl>
      <w:tblPr>
        <w:tblStyle w:val="TableGrid"/>
        <w:tblW w:w="0" w:type="auto"/>
        <w:tblBorders>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Description w:val="Table 5. Average of Dialysis Facilities’ Percent of MA Patients1 by State, 2018."/>
      </w:tblPr>
      <w:tblGrid>
        <w:gridCol w:w="1470"/>
        <w:gridCol w:w="1470"/>
        <w:gridCol w:w="1470"/>
      </w:tblGrid>
      <w:tr w:rsidR="00013662" w:rsidRPr="00013662" w14:paraId="5CF96866" w14:textId="77777777" w:rsidTr="00423A4F">
        <w:trPr>
          <w:trHeight w:val="300"/>
          <w:tblHeader/>
        </w:trPr>
        <w:tc>
          <w:tcPr>
            <w:tcW w:w="1470" w:type="dxa"/>
            <w:tcBorders>
              <w:top w:val="single" w:sz="4" w:space="0" w:color="auto"/>
              <w:bottom w:val="single" w:sz="4" w:space="0" w:color="auto"/>
            </w:tcBorders>
            <w:noWrap/>
            <w:vAlign w:val="bottom"/>
            <w:hideMark/>
          </w:tcPr>
          <w:p w14:paraId="31C9DCEF" w14:textId="110B586D" w:rsidR="00CD7DF8" w:rsidRPr="00423A4F" w:rsidRDefault="00CD7DF8" w:rsidP="00800CE0">
            <w:pPr>
              <w:autoSpaceDE w:val="0"/>
              <w:autoSpaceDN w:val="0"/>
              <w:adjustRightInd w:val="0"/>
              <w:rPr>
                <w:rFonts w:cstheme="minorHAnsi"/>
                <w:bCs/>
                <w:color w:val="C00000"/>
              </w:rPr>
            </w:pPr>
            <w:bookmarkStart w:id="16" w:name="RANGE!A1:B57"/>
            <w:r w:rsidRPr="00423A4F">
              <w:rPr>
                <w:rFonts w:cstheme="minorHAnsi"/>
                <w:bCs/>
                <w:color w:val="C00000"/>
              </w:rPr>
              <w:t>State</w:t>
            </w:r>
            <w:bookmarkEnd w:id="16"/>
          </w:p>
        </w:tc>
        <w:tc>
          <w:tcPr>
            <w:tcW w:w="1470" w:type="dxa"/>
            <w:tcBorders>
              <w:top w:val="single" w:sz="4" w:space="0" w:color="auto"/>
              <w:bottom w:val="single" w:sz="4" w:space="0" w:color="auto"/>
            </w:tcBorders>
            <w:vAlign w:val="bottom"/>
          </w:tcPr>
          <w:p w14:paraId="5D4BCB7C" w14:textId="125C4D3F" w:rsidR="00CD7DF8" w:rsidRPr="00423A4F" w:rsidRDefault="00CD7DF8" w:rsidP="00CD7DF8">
            <w:pPr>
              <w:autoSpaceDE w:val="0"/>
              <w:autoSpaceDN w:val="0"/>
              <w:adjustRightInd w:val="0"/>
              <w:jc w:val="right"/>
              <w:rPr>
                <w:rFonts w:cstheme="minorHAnsi"/>
                <w:bCs/>
                <w:color w:val="C00000"/>
              </w:rPr>
            </w:pPr>
            <w:r w:rsidRPr="00423A4F">
              <w:rPr>
                <w:rFonts w:cstheme="minorHAnsi"/>
                <w:bCs/>
                <w:color w:val="C00000"/>
              </w:rPr>
              <w:t>N</w:t>
            </w:r>
          </w:p>
        </w:tc>
        <w:tc>
          <w:tcPr>
            <w:tcW w:w="1470" w:type="dxa"/>
            <w:tcBorders>
              <w:top w:val="single" w:sz="4" w:space="0" w:color="auto"/>
              <w:bottom w:val="single" w:sz="4" w:space="0" w:color="auto"/>
            </w:tcBorders>
            <w:noWrap/>
            <w:vAlign w:val="bottom"/>
            <w:hideMark/>
          </w:tcPr>
          <w:p w14:paraId="7411766F" w14:textId="7BC8B16E" w:rsidR="00CD7DF8" w:rsidRPr="00423A4F" w:rsidRDefault="00CD7DF8" w:rsidP="00CD7DF8">
            <w:pPr>
              <w:autoSpaceDE w:val="0"/>
              <w:autoSpaceDN w:val="0"/>
              <w:adjustRightInd w:val="0"/>
              <w:jc w:val="right"/>
              <w:rPr>
                <w:rFonts w:cstheme="minorHAnsi"/>
                <w:bCs/>
                <w:color w:val="C00000"/>
              </w:rPr>
            </w:pPr>
            <w:r w:rsidRPr="00423A4F">
              <w:rPr>
                <w:rFonts w:cstheme="minorHAnsi"/>
                <w:bCs/>
                <w:color w:val="C00000"/>
              </w:rPr>
              <w:t>Mean (SD)</w:t>
            </w:r>
          </w:p>
        </w:tc>
      </w:tr>
      <w:tr w:rsidR="00013662" w:rsidRPr="00013662" w14:paraId="1419F94D" w14:textId="77777777" w:rsidTr="00685847">
        <w:trPr>
          <w:trHeight w:val="300"/>
        </w:trPr>
        <w:tc>
          <w:tcPr>
            <w:tcW w:w="1470" w:type="dxa"/>
            <w:tcBorders>
              <w:top w:val="single" w:sz="4" w:space="0" w:color="auto"/>
            </w:tcBorders>
            <w:noWrap/>
            <w:vAlign w:val="center"/>
            <w:hideMark/>
          </w:tcPr>
          <w:p w14:paraId="6726F66E"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PR</w:t>
            </w:r>
          </w:p>
        </w:tc>
        <w:tc>
          <w:tcPr>
            <w:tcW w:w="1470" w:type="dxa"/>
            <w:tcBorders>
              <w:top w:val="nil"/>
              <w:left w:val="nil"/>
              <w:bottom w:val="nil"/>
              <w:right w:val="nil"/>
            </w:tcBorders>
            <w:shd w:val="clear" w:color="auto" w:fill="auto"/>
            <w:vAlign w:val="center"/>
          </w:tcPr>
          <w:p w14:paraId="4CBC1334" w14:textId="6B9985E6"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44</w:t>
            </w:r>
          </w:p>
        </w:tc>
        <w:tc>
          <w:tcPr>
            <w:tcW w:w="1470" w:type="dxa"/>
            <w:tcBorders>
              <w:top w:val="nil"/>
              <w:left w:val="nil"/>
              <w:bottom w:val="nil"/>
              <w:right w:val="nil"/>
            </w:tcBorders>
            <w:shd w:val="clear" w:color="auto" w:fill="auto"/>
            <w:noWrap/>
            <w:vAlign w:val="center"/>
          </w:tcPr>
          <w:p w14:paraId="1F04BED7" w14:textId="3FCA3E12"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44.2 (14.5)</w:t>
            </w:r>
          </w:p>
        </w:tc>
      </w:tr>
      <w:tr w:rsidR="00013662" w:rsidRPr="00013662" w14:paraId="198C235A" w14:textId="77777777" w:rsidTr="00685847">
        <w:trPr>
          <w:trHeight w:val="300"/>
        </w:trPr>
        <w:tc>
          <w:tcPr>
            <w:tcW w:w="1470" w:type="dxa"/>
            <w:noWrap/>
            <w:vAlign w:val="center"/>
            <w:hideMark/>
          </w:tcPr>
          <w:p w14:paraId="437DC57B"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RI</w:t>
            </w:r>
          </w:p>
        </w:tc>
        <w:tc>
          <w:tcPr>
            <w:tcW w:w="1470" w:type="dxa"/>
            <w:tcBorders>
              <w:top w:val="nil"/>
              <w:left w:val="nil"/>
              <w:bottom w:val="nil"/>
              <w:right w:val="nil"/>
            </w:tcBorders>
            <w:shd w:val="clear" w:color="auto" w:fill="auto"/>
            <w:vAlign w:val="center"/>
          </w:tcPr>
          <w:p w14:paraId="477624D5" w14:textId="7BB2B473"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16</w:t>
            </w:r>
          </w:p>
        </w:tc>
        <w:tc>
          <w:tcPr>
            <w:tcW w:w="1470" w:type="dxa"/>
            <w:tcBorders>
              <w:top w:val="nil"/>
              <w:left w:val="nil"/>
              <w:bottom w:val="nil"/>
              <w:right w:val="nil"/>
            </w:tcBorders>
            <w:shd w:val="clear" w:color="auto" w:fill="auto"/>
            <w:noWrap/>
            <w:vAlign w:val="center"/>
          </w:tcPr>
          <w:p w14:paraId="6CEEA065" w14:textId="6639837C"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33.6 (18.5)</w:t>
            </w:r>
          </w:p>
        </w:tc>
      </w:tr>
      <w:tr w:rsidR="00013662" w:rsidRPr="00013662" w14:paraId="51F780CA" w14:textId="77777777" w:rsidTr="00685847">
        <w:trPr>
          <w:trHeight w:val="300"/>
        </w:trPr>
        <w:tc>
          <w:tcPr>
            <w:tcW w:w="1470" w:type="dxa"/>
            <w:noWrap/>
            <w:vAlign w:val="center"/>
            <w:hideMark/>
          </w:tcPr>
          <w:p w14:paraId="3034F376"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HI</w:t>
            </w:r>
          </w:p>
        </w:tc>
        <w:tc>
          <w:tcPr>
            <w:tcW w:w="1470" w:type="dxa"/>
            <w:tcBorders>
              <w:top w:val="nil"/>
              <w:left w:val="nil"/>
              <w:bottom w:val="nil"/>
              <w:right w:val="nil"/>
            </w:tcBorders>
            <w:shd w:val="clear" w:color="auto" w:fill="auto"/>
            <w:vAlign w:val="center"/>
          </w:tcPr>
          <w:p w14:paraId="4ECD97F3" w14:textId="11C18F33"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31</w:t>
            </w:r>
          </w:p>
        </w:tc>
        <w:tc>
          <w:tcPr>
            <w:tcW w:w="1470" w:type="dxa"/>
            <w:tcBorders>
              <w:top w:val="nil"/>
              <w:left w:val="nil"/>
              <w:bottom w:val="nil"/>
              <w:right w:val="nil"/>
            </w:tcBorders>
            <w:shd w:val="clear" w:color="auto" w:fill="auto"/>
            <w:noWrap/>
            <w:vAlign w:val="center"/>
          </w:tcPr>
          <w:p w14:paraId="38F9607D" w14:textId="1A6FD1BA"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27.8 (11.2)</w:t>
            </w:r>
          </w:p>
        </w:tc>
      </w:tr>
      <w:tr w:rsidR="00013662" w:rsidRPr="00013662" w14:paraId="604956EC" w14:textId="77777777" w:rsidTr="00685847">
        <w:trPr>
          <w:trHeight w:val="300"/>
        </w:trPr>
        <w:tc>
          <w:tcPr>
            <w:tcW w:w="1470" w:type="dxa"/>
            <w:noWrap/>
            <w:vAlign w:val="center"/>
            <w:hideMark/>
          </w:tcPr>
          <w:p w14:paraId="1F149602"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OH</w:t>
            </w:r>
          </w:p>
        </w:tc>
        <w:tc>
          <w:tcPr>
            <w:tcW w:w="1470" w:type="dxa"/>
            <w:tcBorders>
              <w:top w:val="nil"/>
              <w:left w:val="nil"/>
              <w:bottom w:val="nil"/>
              <w:right w:val="nil"/>
            </w:tcBorders>
            <w:shd w:val="clear" w:color="auto" w:fill="auto"/>
            <w:vAlign w:val="center"/>
          </w:tcPr>
          <w:p w14:paraId="1B68E56B" w14:textId="499F4EE6"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323</w:t>
            </w:r>
          </w:p>
        </w:tc>
        <w:tc>
          <w:tcPr>
            <w:tcW w:w="1470" w:type="dxa"/>
            <w:tcBorders>
              <w:top w:val="nil"/>
              <w:left w:val="nil"/>
              <w:bottom w:val="nil"/>
              <w:right w:val="nil"/>
            </w:tcBorders>
            <w:shd w:val="clear" w:color="auto" w:fill="auto"/>
            <w:noWrap/>
            <w:vAlign w:val="center"/>
          </w:tcPr>
          <w:p w14:paraId="6344C513" w14:textId="404B14C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26.8 (11.4)</w:t>
            </w:r>
          </w:p>
        </w:tc>
      </w:tr>
      <w:tr w:rsidR="00013662" w:rsidRPr="00013662" w14:paraId="7E004D25" w14:textId="77777777" w:rsidTr="00685847">
        <w:trPr>
          <w:trHeight w:val="300"/>
        </w:trPr>
        <w:tc>
          <w:tcPr>
            <w:tcW w:w="1470" w:type="dxa"/>
            <w:noWrap/>
            <w:vAlign w:val="center"/>
            <w:hideMark/>
          </w:tcPr>
          <w:p w14:paraId="78988096"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PA</w:t>
            </w:r>
          </w:p>
        </w:tc>
        <w:tc>
          <w:tcPr>
            <w:tcW w:w="1470" w:type="dxa"/>
            <w:tcBorders>
              <w:top w:val="nil"/>
              <w:left w:val="nil"/>
              <w:bottom w:val="nil"/>
              <w:right w:val="nil"/>
            </w:tcBorders>
            <w:shd w:val="clear" w:color="auto" w:fill="auto"/>
            <w:vAlign w:val="center"/>
          </w:tcPr>
          <w:p w14:paraId="0E8B0B35" w14:textId="7FA2B04E"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307</w:t>
            </w:r>
          </w:p>
        </w:tc>
        <w:tc>
          <w:tcPr>
            <w:tcW w:w="1470" w:type="dxa"/>
            <w:tcBorders>
              <w:top w:val="nil"/>
              <w:left w:val="nil"/>
              <w:bottom w:val="nil"/>
              <w:right w:val="nil"/>
            </w:tcBorders>
            <w:shd w:val="clear" w:color="auto" w:fill="auto"/>
            <w:noWrap/>
            <w:vAlign w:val="center"/>
          </w:tcPr>
          <w:p w14:paraId="7E72324A" w14:textId="22360C85"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25 (14.5)</w:t>
            </w:r>
          </w:p>
        </w:tc>
      </w:tr>
      <w:tr w:rsidR="00013662" w:rsidRPr="00013662" w14:paraId="6FEA07D3" w14:textId="77777777" w:rsidTr="00685847">
        <w:trPr>
          <w:trHeight w:val="300"/>
        </w:trPr>
        <w:tc>
          <w:tcPr>
            <w:tcW w:w="1470" w:type="dxa"/>
            <w:noWrap/>
            <w:vAlign w:val="center"/>
            <w:hideMark/>
          </w:tcPr>
          <w:p w14:paraId="6C9C85D7"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AZ</w:t>
            </w:r>
          </w:p>
        </w:tc>
        <w:tc>
          <w:tcPr>
            <w:tcW w:w="1470" w:type="dxa"/>
            <w:tcBorders>
              <w:top w:val="nil"/>
              <w:left w:val="nil"/>
              <w:bottom w:val="nil"/>
              <w:right w:val="nil"/>
            </w:tcBorders>
            <w:shd w:val="clear" w:color="auto" w:fill="auto"/>
            <w:vAlign w:val="center"/>
          </w:tcPr>
          <w:p w14:paraId="4B05BAB0" w14:textId="1F52AFFA"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121</w:t>
            </w:r>
          </w:p>
        </w:tc>
        <w:tc>
          <w:tcPr>
            <w:tcW w:w="1470" w:type="dxa"/>
            <w:tcBorders>
              <w:top w:val="nil"/>
              <w:left w:val="nil"/>
              <w:bottom w:val="nil"/>
              <w:right w:val="nil"/>
            </w:tcBorders>
            <w:shd w:val="clear" w:color="auto" w:fill="auto"/>
            <w:noWrap/>
            <w:vAlign w:val="center"/>
          </w:tcPr>
          <w:p w14:paraId="3F2B019F" w14:textId="0739AF46"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24.6 (12.5)</w:t>
            </w:r>
          </w:p>
        </w:tc>
      </w:tr>
      <w:tr w:rsidR="00013662" w:rsidRPr="00013662" w14:paraId="31F2440D" w14:textId="77777777" w:rsidTr="00685847">
        <w:trPr>
          <w:trHeight w:val="300"/>
        </w:trPr>
        <w:tc>
          <w:tcPr>
            <w:tcW w:w="1470" w:type="dxa"/>
            <w:noWrap/>
            <w:vAlign w:val="center"/>
            <w:hideMark/>
          </w:tcPr>
          <w:p w14:paraId="003B2C68"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CA</w:t>
            </w:r>
          </w:p>
        </w:tc>
        <w:tc>
          <w:tcPr>
            <w:tcW w:w="1470" w:type="dxa"/>
            <w:tcBorders>
              <w:top w:val="nil"/>
              <w:left w:val="nil"/>
              <w:bottom w:val="nil"/>
              <w:right w:val="nil"/>
            </w:tcBorders>
            <w:shd w:val="clear" w:color="auto" w:fill="auto"/>
            <w:vAlign w:val="center"/>
          </w:tcPr>
          <w:p w14:paraId="3540C57B" w14:textId="4235C53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658</w:t>
            </w:r>
          </w:p>
        </w:tc>
        <w:tc>
          <w:tcPr>
            <w:tcW w:w="1470" w:type="dxa"/>
            <w:tcBorders>
              <w:top w:val="nil"/>
              <w:left w:val="nil"/>
              <w:bottom w:val="nil"/>
              <w:right w:val="nil"/>
            </w:tcBorders>
            <w:shd w:val="clear" w:color="auto" w:fill="auto"/>
            <w:noWrap/>
            <w:vAlign w:val="center"/>
          </w:tcPr>
          <w:p w14:paraId="58F108FA" w14:textId="35D7DCDC"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23.9 (16.6)</w:t>
            </w:r>
          </w:p>
        </w:tc>
      </w:tr>
      <w:tr w:rsidR="00013662" w:rsidRPr="00013662" w14:paraId="0D006FC3" w14:textId="77777777" w:rsidTr="00685847">
        <w:trPr>
          <w:trHeight w:val="300"/>
        </w:trPr>
        <w:tc>
          <w:tcPr>
            <w:tcW w:w="1470" w:type="dxa"/>
            <w:tcBorders>
              <w:bottom w:val="nil"/>
            </w:tcBorders>
            <w:noWrap/>
            <w:vAlign w:val="center"/>
            <w:hideMark/>
          </w:tcPr>
          <w:p w14:paraId="36296969"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MN</w:t>
            </w:r>
          </w:p>
        </w:tc>
        <w:tc>
          <w:tcPr>
            <w:tcW w:w="1470" w:type="dxa"/>
            <w:tcBorders>
              <w:top w:val="nil"/>
              <w:left w:val="nil"/>
              <w:bottom w:val="nil"/>
              <w:right w:val="nil"/>
            </w:tcBorders>
            <w:shd w:val="clear" w:color="auto" w:fill="auto"/>
            <w:vAlign w:val="center"/>
          </w:tcPr>
          <w:p w14:paraId="33941CB8" w14:textId="23DC9093"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119</w:t>
            </w:r>
          </w:p>
        </w:tc>
        <w:tc>
          <w:tcPr>
            <w:tcW w:w="1470" w:type="dxa"/>
            <w:tcBorders>
              <w:top w:val="nil"/>
              <w:left w:val="nil"/>
              <w:bottom w:val="nil"/>
              <w:right w:val="nil"/>
            </w:tcBorders>
            <w:shd w:val="clear" w:color="auto" w:fill="auto"/>
            <w:noWrap/>
            <w:vAlign w:val="center"/>
          </w:tcPr>
          <w:p w14:paraId="20C6FDB9" w14:textId="10E4C632"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23.5 (10.6)</w:t>
            </w:r>
          </w:p>
        </w:tc>
      </w:tr>
      <w:tr w:rsidR="00013662" w:rsidRPr="00013662" w14:paraId="58186FFA" w14:textId="77777777" w:rsidTr="00685847">
        <w:trPr>
          <w:trHeight w:val="300"/>
        </w:trPr>
        <w:tc>
          <w:tcPr>
            <w:tcW w:w="1470" w:type="dxa"/>
            <w:tcBorders>
              <w:top w:val="nil"/>
              <w:bottom w:val="nil"/>
            </w:tcBorders>
            <w:noWrap/>
            <w:vAlign w:val="center"/>
            <w:hideMark/>
          </w:tcPr>
          <w:p w14:paraId="64CC3F3D"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OR</w:t>
            </w:r>
          </w:p>
        </w:tc>
        <w:tc>
          <w:tcPr>
            <w:tcW w:w="1470" w:type="dxa"/>
            <w:tcBorders>
              <w:top w:val="nil"/>
              <w:left w:val="nil"/>
              <w:bottom w:val="nil"/>
              <w:right w:val="nil"/>
            </w:tcBorders>
            <w:shd w:val="clear" w:color="auto" w:fill="auto"/>
            <w:vAlign w:val="center"/>
          </w:tcPr>
          <w:p w14:paraId="331F56E8" w14:textId="5FA321F4"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71</w:t>
            </w:r>
          </w:p>
        </w:tc>
        <w:tc>
          <w:tcPr>
            <w:tcW w:w="1470" w:type="dxa"/>
            <w:tcBorders>
              <w:top w:val="nil"/>
              <w:left w:val="nil"/>
              <w:bottom w:val="nil"/>
              <w:right w:val="nil"/>
            </w:tcBorders>
            <w:shd w:val="clear" w:color="auto" w:fill="auto"/>
            <w:noWrap/>
            <w:vAlign w:val="center"/>
          </w:tcPr>
          <w:p w14:paraId="2919A695" w14:textId="541E8D4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22.9 (15.3)</w:t>
            </w:r>
          </w:p>
        </w:tc>
      </w:tr>
      <w:tr w:rsidR="00013662" w:rsidRPr="00013662" w14:paraId="7CABB120" w14:textId="77777777" w:rsidTr="00685847">
        <w:trPr>
          <w:trHeight w:val="300"/>
        </w:trPr>
        <w:tc>
          <w:tcPr>
            <w:tcW w:w="1470" w:type="dxa"/>
            <w:tcBorders>
              <w:top w:val="nil"/>
            </w:tcBorders>
            <w:noWrap/>
            <w:vAlign w:val="center"/>
            <w:hideMark/>
          </w:tcPr>
          <w:p w14:paraId="3C8CBF7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MI</w:t>
            </w:r>
          </w:p>
        </w:tc>
        <w:tc>
          <w:tcPr>
            <w:tcW w:w="1470" w:type="dxa"/>
            <w:tcBorders>
              <w:top w:val="nil"/>
              <w:left w:val="nil"/>
              <w:bottom w:val="nil"/>
              <w:right w:val="nil"/>
            </w:tcBorders>
            <w:shd w:val="clear" w:color="auto" w:fill="auto"/>
            <w:vAlign w:val="center"/>
          </w:tcPr>
          <w:p w14:paraId="78FC5032" w14:textId="105A8395"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211</w:t>
            </w:r>
          </w:p>
        </w:tc>
        <w:tc>
          <w:tcPr>
            <w:tcW w:w="1470" w:type="dxa"/>
            <w:tcBorders>
              <w:top w:val="nil"/>
              <w:left w:val="nil"/>
              <w:bottom w:val="nil"/>
              <w:right w:val="nil"/>
            </w:tcBorders>
            <w:shd w:val="clear" w:color="auto" w:fill="auto"/>
            <w:noWrap/>
            <w:vAlign w:val="center"/>
          </w:tcPr>
          <w:p w14:paraId="6D374700" w14:textId="5455C1E5"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22.4 (10.1)</w:t>
            </w:r>
          </w:p>
        </w:tc>
      </w:tr>
      <w:tr w:rsidR="00013662" w:rsidRPr="00013662" w14:paraId="56C515D5" w14:textId="77777777" w:rsidTr="00685847">
        <w:trPr>
          <w:trHeight w:val="300"/>
        </w:trPr>
        <w:tc>
          <w:tcPr>
            <w:tcW w:w="1470" w:type="dxa"/>
            <w:noWrap/>
            <w:vAlign w:val="center"/>
            <w:hideMark/>
          </w:tcPr>
          <w:p w14:paraId="61B708A4"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TN</w:t>
            </w:r>
          </w:p>
        </w:tc>
        <w:tc>
          <w:tcPr>
            <w:tcW w:w="1470" w:type="dxa"/>
            <w:tcBorders>
              <w:top w:val="nil"/>
              <w:left w:val="nil"/>
              <w:bottom w:val="nil"/>
              <w:right w:val="nil"/>
            </w:tcBorders>
            <w:shd w:val="clear" w:color="auto" w:fill="auto"/>
            <w:vAlign w:val="center"/>
          </w:tcPr>
          <w:p w14:paraId="6F0A194F" w14:textId="7B769ADB"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185</w:t>
            </w:r>
          </w:p>
        </w:tc>
        <w:tc>
          <w:tcPr>
            <w:tcW w:w="1470" w:type="dxa"/>
            <w:tcBorders>
              <w:top w:val="nil"/>
              <w:left w:val="nil"/>
              <w:bottom w:val="nil"/>
              <w:right w:val="nil"/>
            </w:tcBorders>
            <w:shd w:val="clear" w:color="auto" w:fill="auto"/>
            <w:noWrap/>
            <w:vAlign w:val="center"/>
          </w:tcPr>
          <w:p w14:paraId="5AB116D0" w14:textId="029D7E7C"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21 (8.9)</w:t>
            </w:r>
          </w:p>
        </w:tc>
      </w:tr>
      <w:tr w:rsidR="00013662" w:rsidRPr="00013662" w14:paraId="62797BB5" w14:textId="77777777" w:rsidTr="00685847">
        <w:trPr>
          <w:trHeight w:val="300"/>
        </w:trPr>
        <w:tc>
          <w:tcPr>
            <w:tcW w:w="1470" w:type="dxa"/>
            <w:noWrap/>
            <w:vAlign w:val="center"/>
            <w:hideMark/>
          </w:tcPr>
          <w:p w14:paraId="61E37846"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AL</w:t>
            </w:r>
          </w:p>
        </w:tc>
        <w:tc>
          <w:tcPr>
            <w:tcW w:w="1470" w:type="dxa"/>
            <w:tcBorders>
              <w:top w:val="nil"/>
              <w:left w:val="nil"/>
              <w:bottom w:val="nil"/>
              <w:right w:val="nil"/>
            </w:tcBorders>
            <w:shd w:val="clear" w:color="auto" w:fill="auto"/>
            <w:vAlign w:val="center"/>
          </w:tcPr>
          <w:p w14:paraId="6D08896A" w14:textId="101FB873"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176</w:t>
            </w:r>
          </w:p>
        </w:tc>
        <w:tc>
          <w:tcPr>
            <w:tcW w:w="1470" w:type="dxa"/>
            <w:tcBorders>
              <w:top w:val="nil"/>
              <w:left w:val="nil"/>
              <w:bottom w:val="nil"/>
              <w:right w:val="nil"/>
            </w:tcBorders>
            <w:shd w:val="clear" w:color="auto" w:fill="auto"/>
            <w:noWrap/>
            <w:vAlign w:val="center"/>
          </w:tcPr>
          <w:p w14:paraId="3FE8D67E" w14:textId="7179E9BA"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19.8 (10.5)</w:t>
            </w:r>
          </w:p>
        </w:tc>
      </w:tr>
      <w:tr w:rsidR="00013662" w:rsidRPr="00013662" w14:paraId="59265134" w14:textId="77777777" w:rsidTr="00685847">
        <w:trPr>
          <w:trHeight w:val="300"/>
        </w:trPr>
        <w:tc>
          <w:tcPr>
            <w:tcW w:w="1470" w:type="dxa"/>
            <w:noWrap/>
            <w:vAlign w:val="center"/>
            <w:hideMark/>
          </w:tcPr>
          <w:p w14:paraId="698BCA1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FL</w:t>
            </w:r>
          </w:p>
        </w:tc>
        <w:tc>
          <w:tcPr>
            <w:tcW w:w="1470" w:type="dxa"/>
            <w:tcBorders>
              <w:top w:val="nil"/>
              <w:left w:val="nil"/>
              <w:bottom w:val="nil"/>
              <w:right w:val="nil"/>
            </w:tcBorders>
            <w:shd w:val="clear" w:color="auto" w:fill="auto"/>
            <w:vAlign w:val="center"/>
          </w:tcPr>
          <w:p w14:paraId="5E557F80" w14:textId="2BF3D50B"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456</w:t>
            </w:r>
          </w:p>
        </w:tc>
        <w:tc>
          <w:tcPr>
            <w:tcW w:w="1470" w:type="dxa"/>
            <w:tcBorders>
              <w:top w:val="nil"/>
              <w:left w:val="nil"/>
              <w:bottom w:val="nil"/>
              <w:right w:val="nil"/>
            </w:tcBorders>
            <w:shd w:val="clear" w:color="auto" w:fill="auto"/>
            <w:noWrap/>
            <w:vAlign w:val="center"/>
          </w:tcPr>
          <w:p w14:paraId="1E4F0959" w14:textId="7B8CA9A8"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19.6 (10.3)</w:t>
            </w:r>
          </w:p>
        </w:tc>
      </w:tr>
      <w:tr w:rsidR="00013662" w:rsidRPr="00013662" w14:paraId="4FCADA80" w14:textId="77777777" w:rsidTr="00685847">
        <w:trPr>
          <w:trHeight w:val="300"/>
        </w:trPr>
        <w:tc>
          <w:tcPr>
            <w:tcW w:w="1470" w:type="dxa"/>
            <w:noWrap/>
            <w:vAlign w:val="center"/>
            <w:hideMark/>
          </w:tcPr>
          <w:p w14:paraId="2E0628BC"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CO</w:t>
            </w:r>
          </w:p>
        </w:tc>
        <w:tc>
          <w:tcPr>
            <w:tcW w:w="1470" w:type="dxa"/>
            <w:tcBorders>
              <w:top w:val="nil"/>
              <w:left w:val="nil"/>
              <w:bottom w:val="nil"/>
              <w:right w:val="nil"/>
            </w:tcBorders>
            <w:shd w:val="clear" w:color="auto" w:fill="auto"/>
            <w:vAlign w:val="center"/>
          </w:tcPr>
          <w:p w14:paraId="29FE2131" w14:textId="4440C27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125</w:t>
            </w:r>
          </w:p>
        </w:tc>
        <w:tc>
          <w:tcPr>
            <w:tcW w:w="1470" w:type="dxa"/>
            <w:tcBorders>
              <w:top w:val="nil"/>
              <w:left w:val="nil"/>
              <w:bottom w:val="nil"/>
              <w:right w:val="nil"/>
            </w:tcBorders>
            <w:shd w:val="clear" w:color="auto" w:fill="auto"/>
            <w:noWrap/>
            <w:vAlign w:val="center"/>
          </w:tcPr>
          <w:p w14:paraId="13A58422" w14:textId="110939E1"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18.7 (8.9)</w:t>
            </w:r>
          </w:p>
        </w:tc>
      </w:tr>
      <w:tr w:rsidR="00013662" w:rsidRPr="00013662" w14:paraId="5434B623" w14:textId="77777777" w:rsidTr="00685847">
        <w:trPr>
          <w:trHeight w:val="300"/>
        </w:trPr>
        <w:tc>
          <w:tcPr>
            <w:tcW w:w="1470" w:type="dxa"/>
            <w:noWrap/>
            <w:vAlign w:val="center"/>
            <w:hideMark/>
          </w:tcPr>
          <w:p w14:paraId="342D4BA6"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WI</w:t>
            </w:r>
          </w:p>
        </w:tc>
        <w:tc>
          <w:tcPr>
            <w:tcW w:w="1470" w:type="dxa"/>
            <w:tcBorders>
              <w:top w:val="nil"/>
              <w:left w:val="nil"/>
              <w:bottom w:val="nil"/>
              <w:right w:val="nil"/>
            </w:tcBorders>
            <w:shd w:val="clear" w:color="auto" w:fill="auto"/>
            <w:vAlign w:val="center"/>
          </w:tcPr>
          <w:p w14:paraId="21C0D3A3" w14:textId="037217CC"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80</w:t>
            </w:r>
          </w:p>
        </w:tc>
        <w:tc>
          <w:tcPr>
            <w:tcW w:w="1470" w:type="dxa"/>
            <w:tcBorders>
              <w:top w:val="nil"/>
              <w:left w:val="nil"/>
              <w:bottom w:val="nil"/>
              <w:right w:val="nil"/>
            </w:tcBorders>
            <w:shd w:val="clear" w:color="auto" w:fill="auto"/>
            <w:noWrap/>
            <w:vAlign w:val="center"/>
          </w:tcPr>
          <w:p w14:paraId="6CDC22EC" w14:textId="154C0DF9"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18.7 (11)</w:t>
            </w:r>
          </w:p>
        </w:tc>
      </w:tr>
      <w:tr w:rsidR="00013662" w:rsidRPr="00013662" w14:paraId="6F98290E" w14:textId="77777777" w:rsidTr="00685847">
        <w:trPr>
          <w:trHeight w:val="300"/>
        </w:trPr>
        <w:tc>
          <w:tcPr>
            <w:tcW w:w="1470" w:type="dxa"/>
            <w:noWrap/>
            <w:vAlign w:val="center"/>
            <w:hideMark/>
          </w:tcPr>
          <w:p w14:paraId="053C470B"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TX</w:t>
            </w:r>
          </w:p>
        </w:tc>
        <w:tc>
          <w:tcPr>
            <w:tcW w:w="1470" w:type="dxa"/>
            <w:tcBorders>
              <w:top w:val="nil"/>
              <w:left w:val="nil"/>
              <w:bottom w:val="nil"/>
              <w:right w:val="nil"/>
            </w:tcBorders>
            <w:shd w:val="clear" w:color="auto" w:fill="auto"/>
            <w:vAlign w:val="center"/>
          </w:tcPr>
          <w:p w14:paraId="484DAC66" w14:textId="4B078D2E"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675</w:t>
            </w:r>
          </w:p>
        </w:tc>
        <w:tc>
          <w:tcPr>
            <w:tcW w:w="1470" w:type="dxa"/>
            <w:tcBorders>
              <w:top w:val="nil"/>
              <w:left w:val="nil"/>
              <w:bottom w:val="nil"/>
              <w:right w:val="nil"/>
            </w:tcBorders>
            <w:shd w:val="clear" w:color="auto" w:fill="auto"/>
            <w:noWrap/>
            <w:vAlign w:val="center"/>
          </w:tcPr>
          <w:p w14:paraId="24D73850" w14:textId="7D83E74F"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18.6 (10.9)</w:t>
            </w:r>
          </w:p>
        </w:tc>
      </w:tr>
      <w:tr w:rsidR="00013662" w:rsidRPr="00013662" w14:paraId="69CFEB81" w14:textId="77777777" w:rsidTr="00685847">
        <w:trPr>
          <w:trHeight w:val="300"/>
        </w:trPr>
        <w:tc>
          <w:tcPr>
            <w:tcW w:w="1470" w:type="dxa"/>
            <w:noWrap/>
            <w:vAlign w:val="center"/>
            <w:hideMark/>
          </w:tcPr>
          <w:p w14:paraId="3B6BEFAE"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NY</w:t>
            </w:r>
          </w:p>
        </w:tc>
        <w:tc>
          <w:tcPr>
            <w:tcW w:w="1470" w:type="dxa"/>
            <w:tcBorders>
              <w:top w:val="nil"/>
              <w:left w:val="nil"/>
              <w:bottom w:val="nil"/>
              <w:right w:val="nil"/>
            </w:tcBorders>
            <w:shd w:val="clear" w:color="auto" w:fill="auto"/>
            <w:vAlign w:val="center"/>
          </w:tcPr>
          <w:p w14:paraId="10719FA1" w14:textId="7BBFEDA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353</w:t>
            </w:r>
          </w:p>
        </w:tc>
        <w:tc>
          <w:tcPr>
            <w:tcW w:w="1470" w:type="dxa"/>
            <w:tcBorders>
              <w:top w:val="nil"/>
              <w:left w:val="nil"/>
              <w:bottom w:val="nil"/>
              <w:right w:val="nil"/>
            </w:tcBorders>
            <w:shd w:val="clear" w:color="auto" w:fill="auto"/>
            <w:noWrap/>
            <w:vAlign w:val="center"/>
          </w:tcPr>
          <w:p w14:paraId="63EF2E4B" w14:textId="66DB91B4"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17.2 (7.6)</w:t>
            </w:r>
          </w:p>
        </w:tc>
      </w:tr>
      <w:tr w:rsidR="00013662" w:rsidRPr="00013662" w14:paraId="5F542778" w14:textId="77777777" w:rsidTr="00685847">
        <w:trPr>
          <w:trHeight w:val="300"/>
        </w:trPr>
        <w:tc>
          <w:tcPr>
            <w:tcW w:w="1470" w:type="dxa"/>
            <w:noWrap/>
            <w:vAlign w:val="center"/>
            <w:hideMark/>
          </w:tcPr>
          <w:p w14:paraId="688AA228"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GA</w:t>
            </w:r>
          </w:p>
        </w:tc>
        <w:tc>
          <w:tcPr>
            <w:tcW w:w="1470" w:type="dxa"/>
            <w:tcBorders>
              <w:top w:val="nil"/>
              <w:left w:val="nil"/>
              <w:bottom w:val="nil"/>
              <w:right w:val="nil"/>
            </w:tcBorders>
            <w:shd w:val="clear" w:color="auto" w:fill="auto"/>
            <w:vAlign w:val="center"/>
          </w:tcPr>
          <w:p w14:paraId="5AE21A62" w14:textId="0D0D3EF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296</w:t>
            </w:r>
          </w:p>
        </w:tc>
        <w:tc>
          <w:tcPr>
            <w:tcW w:w="1470" w:type="dxa"/>
            <w:tcBorders>
              <w:top w:val="nil"/>
              <w:left w:val="nil"/>
              <w:bottom w:val="nil"/>
              <w:right w:val="nil"/>
            </w:tcBorders>
            <w:shd w:val="clear" w:color="auto" w:fill="auto"/>
            <w:noWrap/>
            <w:vAlign w:val="center"/>
          </w:tcPr>
          <w:p w14:paraId="0B9E9F5B" w14:textId="720592EA"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17.2 (8.8)</w:t>
            </w:r>
          </w:p>
        </w:tc>
      </w:tr>
      <w:tr w:rsidR="00013662" w:rsidRPr="00013662" w14:paraId="68BFC12D" w14:textId="77777777" w:rsidTr="00685847">
        <w:trPr>
          <w:trHeight w:val="300"/>
        </w:trPr>
        <w:tc>
          <w:tcPr>
            <w:tcW w:w="1470" w:type="dxa"/>
            <w:noWrap/>
            <w:vAlign w:val="center"/>
            <w:hideMark/>
          </w:tcPr>
          <w:p w14:paraId="3A7B1663"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NV</w:t>
            </w:r>
          </w:p>
        </w:tc>
        <w:tc>
          <w:tcPr>
            <w:tcW w:w="1470" w:type="dxa"/>
            <w:tcBorders>
              <w:top w:val="nil"/>
              <w:left w:val="nil"/>
              <w:bottom w:val="nil"/>
              <w:right w:val="nil"/>
            </w:tcBorders>
            <w:shd w:val="clear" w:color="auto" w:fill="auto"/>
            <w:vAlign w:val="center"/>
          </w:tcPr>
          <w:p w14:paraId="3DB63B7A" w14:textId="50356A2A"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49</w:t>
            </w:r>
          </w:p>
        </w:tc>
        <w:tc>
          <w:tcPr>
            <w:tcW w:w="1470" w:type="dxa"/>
            <w:tcBorders>
              <w:top w:val="nil"/>
              <w:left w:val="nil"/>
              <w:bottom w:val="nil"/>
              <w:right w:val="nil"/>
            </w:tcBorders>
            <w:shd w:val="clear" w:color="auto" w:fill="auto"/>
            <w:noWrap/>
            <w:vAlign w:val="center"/>
          </w:tcPr>
          <w:p w14:paraId="442208FE" w14:textId="2F1B19B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16.9 (9.7)</w:t>
            </w:r>
          </w:p>
        </w:tc>
      </w:tr>
      <w:tr w:rsidR="00013662" w:rsidRPr="00013662" w14:paraId="029A61FC" w14:textId="77777777" w:rsidTr="00685847">
        <w:trPr>
          <w:trHeight w:val="300"/>
        </w:trPr>
        <w:tc>
          <w:tcPr>
            <w:tcW w:w="1470" w:type="dxa"/>
            <w:noWrap/>
            <w:vAlign w:val="center"/>
            <w:hideMark/>
          </w:tcPr>
          <w:p w14:paraId="1F62D170"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WV</w:t>
            </w:r>
          </w:p>
        </w:tc>
        <w:tc>
          <w:tcPr>
            <w:tcW w:w="1470" w:type="dxa"/>
            <w:tcBorders>
              <w:top w:val="nil"/>
              <w:left w:val="nil"/>
              <w:bottom w:val="nil"/>
              <w:right w:val="nil"/>
            </w:tcBorders>
            <w:shd w:val="clear" w:color="auto" w:fill="auto"/>
            <w:vAlign w:val="center"/>
          </w:tcPr>
          <w:p w14:paraId="14B5FEBA" w14:textId="2C369E55"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45</w:t>
            </w:r>
          </w:p>
        </w:tc>
        <w:tc>
          <w:tcPr>
            <w:tcW w:w="1470" w:type="dxa"/>
            <w:tcBorders>
              <w:top w:val="nil"/>
              <w:left w:val="nil"/>
              <w:bottom w:val="nil"/>
              <w:right w:val="nil"/>
            </w:tcBorders>
            <w:shd w:val="clear" w:color="auto" w:fill="auto"/>
            <w:noWrap/>
            <w:vAlign w:val="center"/>
          </w:tcPr>
          <w:p w14:paraId="5E9B3057" w14:textId="1314816D"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16.6 (8.2)</w:t>
            </w:r>
          </w:p>
        </w:tc>
      </w:tr>
      <w:tr w:rsidR="00013662" w:rsidRPr="00013662" w14:paraId="387AFAA7" w14:textId="77777777" w:rsidTr="00685847">
        <w:trPr>
          <w:trHeight w:val="300"/>
        </w:trPr>
        <w:tc>
          <w:tcPr>
            <w:tcW w:w="1470" w:type="dxa"/>
            <w:noWrap/>
            <w:vAlign w:val="center"/>
            <w:hideMark/>
          </w:tcPr>
          <w:p w14:paraId="77ADB4FE"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KY</w:t>
            </w:r>
          </w:p>
        </w:tc>
        <w:tc>
          <w:tcPr>
            <w:tcW w:w="1470" w:type="dxa"/>
            <w:tcBorders>
              <w:top w:val="nil"/>
              <w:left w:val="nil"/>
              <w:bottom w:val="nil"/>
              <w:right w:val="nil"/>
            </w:tcBorders>
            <w:shd w:val="clear" w:color="auto" w:fill="auto"/>
            <w:vAlign w:val="center"/>
          </w:tcPr>
          <w:p w14:paraId="232D4ED2" w14:textId="4664EAE3"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120</w:t>
            </w:r>
          </w:p>
        </w:tc>
        <w:tc>
          <w:tcPr>
            <w:tcW w:w="1470" w:type="dxa"/>
            <w:tcBorders>
              <w:top w:val="nil"/>
              <w:left w:val="nil"/>
              <w:bottom w:val="nil"/>
              <w:right w:val="nil"/>
            </w:tcBorders>
            <w:shd w:val="clear" w:color="auto" w:fill="auto"/>
            <w:noWrap/>
            <w:vAlign w:val="center"/>
          </w:tcPr>
          <w:p w14:paraId="132CCB2B" w14:textId="24F9EE0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16.2 (6.7)</w:t>
            </w:r>
          </w:p>
        </w:tc>
      </w:tr>
      <w:tr w:rsidR="00013662" w:rsidRPr="00013662" w14:paraId="612BD02D" w14:textId="77777777" w:rsidTr="00685847">
        <w:trPr>
          <w:trHeight w:val="300"/>
        </w:trPr>
        <w:tc>
          <w:tcPr>
            <w:tcW w:w="1470" w:type="dxa"/>
            <w:noWrap/>
            <w:vAlign w:val="center"/>
            <w:hideMark/>
          </w:tcPr>
          <w:p w14:paraId="60EE9DD3"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MO</w:t>
            </w:r>
          </w:p>
        </w:tc>
        <w:tc>
          <w:tcPr>
            <w:tcW w:w="1470" w:type="dxa"/>
            <w:tcBorders>
              <w:top w:val="nil"/>
              <w:left w:val="nil"/>
              <w:bottom w:val="nil"/>
              <w:right w:val="nil"/>
            </w:tcBorders>
            <w:shd w:val="clear" w:color="auto" w:fill="auto"/>
            <w:vAlign w:val="center"/>
          </w:tcPr>
          <w:p w14:paraId="50FB919C" w14:textId="2893CF4C"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165</w:t>
            </w:r>
          </w:p>
        </w:tc>
        <w:tc>
          <w:tcPr>
            <w:tcW w:w="1470" w:type="dxa"/>
            <w:tcBorders>
              <w:top w:val="nil"/>
              <w:left w:val="nil"/>
              <w:bottom w:val="nil"/>
              <w:right w:val="nil"/>
            </w:tcBorders>
            <w:shd w:val="clear" w:color="auto" w:fill="auto"/>
            <w:noWrap/>
            <w:vAlign w:val="center"/>
          </w:tcPr>
          <w:p w14:paraId="001C8520" w14:textId="1C35A4AF"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15.2 (9.1)</w:t>
            </w:r>
          </w:p>
        </w:tc>
      </w:tr>
      <w:tr w:rsidR="00013662" w:rsidRPr="00013662" w14:paraId="5183EC4D" w14:textId="77777777" w:rsidTr="00685847">
        <w:trPr>
          <w:trHeight w:val="300"/>
        </w:trPr>
        <w:tc>
          <w:tcPr>
            <w:tcW w:w="1470" w:type="dxa"/>
            <w:noWrap/>
            <w:vAlign w:val="center"/>
            <w:hideMark/>
          </w:tcPr>
          <w:p w14:paraId="68DE26FD"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NC</w:t>
            </w:r>
          </w:p>
        </w:tc>
        <w:tc>
          <w:tcPr>
            <w:tcW w:w="1470" w:type="dxa"/>
            <w:tcBorders>
              <w:top w:val="nil"/>
              <w:left w:val="nil"/>
              <w:bottom w:val="nil"/>
              <w:right w:val="nil"/>
            </w:tcBorders>
            <w:shd w:val="clear" w:color="auto" w:fill="auto"/>
            <w:vAlign w:val="center"/>
          </w:tcPr>
          <w:p w14:paraId="560FE2EB" w14:textId="49845F5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220</w:t>
            </w:r>
          </w:p>
        </w:tc>
        <w:tc>
          <w:tcPr>
            <w:tcW w:w="1470" w:type="dxa"/>
            <w:tcBorders>
              <w:top w:val="nil"/>
              <w:left w:val="nil"/>
              <w:bottom w:val="nil"/>
              <w:right w:val="nil"/>
            </w:tcBorders>
            <w:shd w:val="clear" w:color="auto" w:fill="auto"/>
            <w:noWrap/>
            <w:vAlign w:val="center"/>
          </w:tcPr>
          <w:p w14:paraId="397ED37B" w14:textId="5E0DE4D0"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14.9 (8.6)</w:t>
            </w:r>
          </w:p>
        </w:tc>
      </w:tr>
      <w:tr w:rsidR="00013662" w:rsidRPr="00013662" w14:paraId="6925983A" w14:textId="77777777" w:rsidTr="00685847">
        <w:trPr>
          <w:trHeight w:val="300"/>
        </w:trPr>
        <w:tc>
          <w:tcPr>
            <w:tcW w:w="1470" w:type="dxa"/>
            <w:noWrap/>
            <w:vAlign w:val="center"/>
            <w:hideMark/>
          </w:tcPr>
          <w:p w14:paraId="4D0D1EE9"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SC</w:t>
            </w:r>
          </w:p>
        </w:tc>
        <w:tc>
          <w:tcPr>
            <w:tcW w:w="1470" w:type="dxa"/>
            <w:tcBorders>
              <w:top w:val="nil"/>
              <w:left w:val="nil"/>
              <w:bottom w:val="nil"/>
              <w:right w:val="nil"/>
            </w:tcBorders>
            <w:shd w:val="clear" w:color="auto" w:fill="auto"/>
            <w:vAlign w:val="center"/>
          </w:tcPr>
          <w:p w14:paraId="078ED1DD" w14:textId="764B5AEF"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150</w:t>
            </w:r>
          </w:p>
        </w:tc>
        <w:tc>
          <w:tcPr>
            <w:tcW w:w="1470" w:type="dxa"/>
            <w:tcBorders>
              <w:top w:val="nil"/>
              <w:left w:val="nil"/>
              <w:bottom w:val="nil"/>
              <w:right w:val="nil"/>
            </w:tcBorders>
            <w:shd w:val="clear" w:color="auto" w:fill="auto"/>
            <w:noWrap/>
            <w:vAlign w:val="center"/>
          </w:tcPr>
          <w:p w14:paraId="26822080" w14:textId="3A8125A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14.4 (6.6)</w:t>
            </w:r>
          </w:p>
        </w:tc>
      </w:tr>
      <w:tr w:rsidR="00013662" w:rsidRPr="00013662" w14:paraId="6C18DE64" w14:textId="77777777" w:rsidTr="00685847">
        <w:trPr>
          <w:trHeight w:val="300"/>
        </w:trPr>
        <w:tc>
          <w:tcPr>
            <w:tcW w:w="1470" w:type="dxa"/>
            <w:noWrap/>
            <w:vAlign w:val="center"/>
            <w:hideMark/>
          </w:tcPr>
          <w:p w14:paraId="624DDF1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IN</w:t>
            </w:r>
          </w:p>
        </w:tc>
        <w:tc>
          <w:tcPr>
            <w:tcW w:w="1470" w:type="dxa"/>
            <w:tcBorders>
              <w:top w:val="nil"/>
              <w:left w:val="nil"/>
              <w:bottom w:val="nil"/>
              <w:right w:val="nil"/>
            </w:tcBorders>
            <w:shd w:val="clear" w:color="auto" w:fill="auto"/>
            <w:vAlign w:val="center"/>
          </w:tcPr>
          <w:p w14:paraId="15E814A7" w14:textId="43EC6F1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166</w:t>
            </w:r>
          </w:p>
        </w:tc>
        <w:tc>
          <w:tcPr>
            <w:tcW w:w="1470" w:type="dxa"/>
            <w:tcBorders>
              <w:top w:val="nil"/>
              <w:left w:val="nil"/>
              <w:bottom w:val="nil"/>
              <w:right w:val="nil"/>
            </w:tcBorders>
            <w:shd w:val="clear" w:color="auto" w:fill="auto"/>
            <w:noWrap/>
            <w:vAlign w:val="center"/>
          </w:tcPr>
          <w:p w14:paraId="5E0B21B4" w14:textId="0D15BC5E"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14.2 (8.1)</w:t>
            </w:r>
          </w:p>
        </w:tc>
      </w:tr>
      <w:tr w:rsidR="00013662" w:rsidRPr="00013662" w14:paraId="5C4376A5" w14:textId="77777777" w:rsidTr="00685847">
        <w:trPr>
          <w:trHeight w:val="300"/>
        </w:trPr>
        <w:tc>
          <w:tcPr>
            <w:tcW w:w="1470" w:type="dxa"/>
            <w:noWrap/>
            <w:vAlign w:val="center"/>
            <w:hideMark/>
          </w:tcPr>
          <w:p w14:paraId="111880AB"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LA</w:t>
            </w:r>
          </w:p>
        </w:tc>
        <w:tc>
          <w:tcPr>
            <w:tcW w:w="1470" w:type="dxa"/>
            <w:tcBorders>
              <w:top w:val="nil"/>
              <w:left w:val="nil"/>
              <w:bottom w:val="nil"/>
              <w:right w:val="nil"/>
            </w:tcBorders>
            <w:shd w:val="clear" w:color="auto" w:fill="auto"/>
            <w:vAlign w:val="center"/>
          </w:tcPr>
          <w:p w14:paraId="09D146ED" w14:textId="606ED7B0"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175</w:t>
            </w:r>
          </w:p>
        </w:tc>
        <w:tc>
          <w:tcPr>
            <w:tcW w:w="1470" w:type="dxa"/>
            <w:tcBorders>
              <w:top w:val="nil"/>
              <w:left w:val="nil"/>
              <w:bottom w:val="nil"/>
              <w:right w:val="nil"/>
            </w:tcBorders>
            <w:shd w:val="clear" w:color="auto" w:fill="auto"/>
            <w:noWrap/>
            <w:vAlign w:val="center"/>
          </w:tcPr>
          <w:p w14:paraId="29527AF3" w14:textId="036D0E7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14 (10)</w:t>
            </w:r>
          </w:p>
        </w:tc>
      </w:tr>
      <w:tr w:rsidR="00013662" w:rsidRPr="00013662" w14:paraId="67C69836" w14:textId="77777777" w:rsidTr="00685847">
        <w:trPr>
          <w:trHeight w:val="300"/>
        </w:trPr>
        <w:tc>
          <w:tcPr>
            <w:tcW w:w="1470" w:type="dxa"/>
            <w:noWrap/>
            <w:vAlign w:val="center"/>
            <w:hideMark/>
          </w:tcPr>
          <w:p w14:paraId="232B84E4"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NM</w:t>
            </w:r>
          </w:p>
        </w:tc>
        <w:tc>
          <w:tcPr>
            <w:tcW w:w="1470" w:type="dxa"/>
            <w:tcBorders>
              <w:top w:val="nil"/>
              <w:left w:val="nil"/>
              <w:bottom w:val="nil"/>
              <w:right w:val="nil"/>
            </w:tcBorders>
            <w:shd w:val="clear" w:color="auto" w:fill="auto"/>
            <w:vAlign w:val="center"/>
          </w:tcPr>
          <w:p w14:paraId="11566687" w14:textId="17557154"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54</w:t>
            </w:r>
          </w:p>
        </w:tc>
        <w:tc>
          <w:tcPr>
            <w:tcW w:w="1470" w:type="dxa"/>
            <w:tcBorders>
              <w:top w:val="nil"/>
              <w:left w:val="nil"/>
              <w:bottom w:val="nil"/>
              <w:right w:val="nil"/>
            </w:tcBorders>
            <w:shd w:val="clear" w:color="auto" w:fill="auto"/>
            <w:noWrap/>
            <w:vAlign w:val="center"/>
          </w:tcPr>
          <w:p w14:paraId="2A4D0507" w14:textId="3C9A951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13.9 (12.2)</w:t>
            </w:r>
          </w:p>
        </w:tc>
      </w:tr>
      <w:tr w:rsidR="00013662" w:rsidRPr="00013662" w14:paraId="553A7A34" w14:textId="77777777" w:rsidTr="00685847">
        <w:trPr>
          <w:trHeight w:val="300"/>
        </w:trPr>
        <w:tc>
          <w:tcPr>
            <w:tcW w:w="1470" w:type="dxa"/>
            <w:noWrap/>
            <w:vAlign w:val="center"/>
            <w:hideMark/>
          </w:tcPr>
          <w:p w14:paraId="48CA3213"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IL</w:t>
            </w:r>
          </w:p>
        </w:tc>
        <w:tc>
          <w:tcPr>
            <w:tcW w:w="1470" w:type="dxa"/>
            <w:tcBorders>
              <w:top w:val="nil"/>
              <w:left w:val="nil"/>
              <w:bottom w:val="nil"/>
              <w:right w:val="nil"/>
            </w:tcBorders>
            <w:shd w:val="clear" w:color="auto" w:fill="auto"/>
            <w:vAlign w:val="center"/>
          </w:tcPr>
          <w:p w14:paraId="5D2162DC" w14:textId="43E956B1"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317</w:t>
            </w:r>
          </w:p>
        </w:tc>
        <w:tc>
          <w:tcPr>
            <w:tcW w:w="1470" w:type="dxa"/>
            <w:tcBorders>
              <w:top w:val="nil"/>
              <w:left w:val="nil"/>
              <w:bottom w:val="nil"/>
              <w:right w:val="nil"/>
            </w:tcBorders>
            <w:shd w:val="clear" w:color="auto" w:fill="auto"/>
            <w:noWrap/>
            <w:vAlign w:val="center"/>
          </w:tcPr>
          <w:p w14:paraId="7E170C29" w14:textId="3AA81459"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13.2 (9.5)</w:t>
            </w:r>
          </w:p>
        </w:tc>
      </w:tr>
      <w:tr w:rsidR="00013662" w:rsidRPr="00013662" w14:paraId="6827AD5C" w14:textId="77777777" w:rsidTr="00685847">
        <w:trPr>
          <w:trHeight w:val="300"/>
        </w:trPr>
        <w:tc>
          <w:tcPr>
            <w:tcW w:w="1470" w:type="dxa"/>
            <w:noWrap/>
            <w:vAlign w:val="center"/>
            <w:hideMark/>
          </w:tcPr>
          <w:p w14:paraId="3F6EF9BA"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MA</w:t>
            </w:r>
          </w:p>
        </w:tc>
        <w:tc>
          <w:tcPr>
            <w:tcW w:w="1470" w:type="dxa"/>
            <w:tcBorders>
              <w:top w:val="nil"/>
              <w:left w:val="nil"/>
              <w:bottom w:val="nil"/>
              <w:right w:val="nil"/>
            </w:tcBorders>
            <w:shd w:val="clear" w:color="auto" w:fill="auto"/>
            <w:vAlign w:val="center"/>
          </w:tcPr>
          <w:p w14:paraId="2F27B2AE" w14:textId="69AFA076"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84</w:t>
            </w:r>
          </w:p>
        </w:tc>
        <w:tc>
          <w:tcPr>
            <w:tcW w:w="1470" w:type="dxa"/>
            <w:tcBorders>
              <w:top w:val="nil"/>
              <w:left w:val="nil"/>
              <w:bottom w:val="nil"/>
              <w:right w:val="nil"/>
            </w:tcBorders>
            <w:shd w:val="clear" w:color="auto" w:fill="auto"/>
            <w:noWrap/>
            <w:vAlign w:val="center"/>
          </w:tcPr>
          <w:p w14:paraId="07A1E054" w14:textId="64DA8B8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13.1 (11.8)</w:t>
            </w:r>
          </w:p>
        </w:tc>
      </w:tr>
      <w:tr w:rsidR="00013662" w:rsidRPr="00013662" w14:paraId="572124AB" w14:textId="77777777" w:rsidTr="00685847">
        <w:trPr>
          <w:trHeight w:val="300"/>
        </w:trPr>
        <w:tc>
          <w:tcPr>
            <w:tcW w:w="1470" w:type="dxa"/>
            <w:noWrap/>
            <w:vAlign w:val="center"/>
            <w:hideMark/>
          </w:tcPr>
          <w:p w14:paraId="5532A120"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NJ</w:t>
            </w:r>
          </w:p>
        </w:tc>
        <w:tc>
          <w:tcPr>
            <w:tcW w:w="1470" w:type="dxa"/>
            <w:tcBorders>
              <w:top w:val="nil"/>
              <w:left w:val="nil"/>
              <w:bottom w:val="nil"/>
              <w:right w:val="nil"/>
            </w:tcBorders>
            <w:shd w:val="clear" w:color="auto" w:fill="auto"/>
            <w:vAlign w:val="center"/>
          </w:tcPr>
          <w:p w14:paraId="5EBF8461" w14:textId="11ABB8BE"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48</w:t>
            </w:r>
          </w:p>
        </w:tc>
        <w:tc>
          <w:tcPr>
            <w:tcW w:w="1470" w:type="dxa"/>
            <w:tcBorders>
              <w:top w:val="nil"/>
              <w:left w:val="nil"/>
              <w:bottom w:val="nil"/>
              <w:right w:val="nil"/>
            </w:tcBorders>
            <w:shd w:val="clear" w:color="auto" w:fill="auto"/>
            <w:noWrap/>
            <w:vAlign w:val="center"/>
          </w:tcPr>
          <w:p w14:paraId="748616AF" w14:textId="20FE819F"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12.7 (4.9)</w:t>
            </w:r>
          </w:p>
        </w:tc>
      </w:tr>
      <w:tr w:rsidR="00013662" w:rsidRPr="00013662" w14:paraId="0A0D6226" w14:textId="77777777" w:rsidTr="00685847">
        <w:trPr>
          <w:trHeight w:val="300"/>
        </w:trPr>
        <w:tc>
          <w:tcPr>
            <w:tcW w:w="1470" w:type="dxa"/>
            <w:noWrap/>
            <w:vAlign w:val="center"/>
            <w:hideMark/>
          </w:tcPr>
          <w:p w14:paraId="2D889FF2"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CT</w:t>
            </w:r>
          </w:p>
        </w:tc>
        <w:tc>
          <w:tcPr>
            <w:tcW w:w="1470" w:type="dxa"/>
            <w:tcBorders>
              <w:top w:val="nil"/>
              <w:left w:val="nil"/>
              <w:bottom w:val="nil"/>
              <w:right w:val="nil"/>
            </w:tcBorders>
            <w:shd w:val="clear" w:color="auto" w:fill="auto"/>
            <w:vAlign w:val="center"/>
          </w:tcPr>
          <w:p w14:paraId="4D9DBCDD" w14:textId="03DB1DC1"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179</w:t>
            </w:r>
          </w:p>
        </w:tc>
        <w:tc>
          <w:tcPr>
            <w:tcW w:w="1470" w:type="dxa"/>
            <w:tcBorders>
              <w:top w:val="nil"/>
              <w:left w:val="nil"/>
              <w:bottom w:val="nil"/>
              <w:right w:val="nil"/>
            </w:tcBorders>
            <w:shd w:val="clear" w:color="auto" w:fill="auto"/>
            <w:noWrap/>
            <w:vAlign w:val="center"/>
          </w:tcPr>
          <w:p w14:paraId="0167E6C9" w14:textId="74467259"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12.7 (6.3)</w:t>
            </w:r>
          </w:p>
        </w:tc>
      </w:tr>
      <w:tr w:rsidR="00013662" w:rsidRPr="00013662" w14:paraId="1F7F9FA7" w14:textId="77777777" w:rsidTr="00685847">
        <w:trPr>
          <w:trHeight w:val="300"/>
        </w:trPr>
        <w:tc>
          <w:tcPr>
            <w:tcW w:w="1470" w:type="dxa"/>
            <w:noWrap/>
            <w:vAlign w:val="center"/>
            <w:hideMark/>
          </w:tcPr>
          <w:p w14:paraId="3E7AF6F7"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VI</w:t>
            </w:r>
          </w:p>
        </w:tc>
        <w:tc>
          <w:tcPr>
            <w:tcW w:w="1470" w:type="dxa"/>
            <w:tcBorders>
              <w:top w:val="nil"/>
              <w:left w:val="nil"/>
              <w:bottom w:val="nil"/>
              <w:right w:val="nil"/>
            </w:tcBorders>
            <w:shd w:val="clear" w:color="auto" w:fill="auto"/>
            <w:vAlign w:val="center"/>
          </w:tcPr>
          <w:p w14:paraId="75985889" w14:textId="0811289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w:t>
            </w:r>
          </w:p>
        </w:tc>
        <w:tc>
          <w:tcPr>
            <w:tcW w:w="1470" w:type="dxa"/>
            <w:tcBorders>
              <w:top w:val="nil"/>
              <w:left w:val="nil"/>
              <w:bottom w:val="nil"/>
              <w:right w:val="nil"/>
            </w:tcBorders>
            <w:shd w:val="clear" w:color="auto" w:fill="auto"/>
            <w:noWrap/>
            <w:vAlign w:val="center"/>
          </w:tcPr>
          <w:p w14:paraId="42C876BA" w14:textId="37633FEE"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12.5 (25)</w:t>
            </w:r>
          </w:p>
        </w:tc>
      </w:tr>
      <w:tr w:rsidR="00013662" w:rsidRPr="00013662" w14:paraId="002994E3" w14:textId="77777777" w:rsidTr="00685847">
        <w:trPr>
          <w:trHeight w:val="300"/>
        </w:trPr>
        <w:tc>
          <w:tcPr>
            <w:tcW w:w="1470" w:type="dxa"/>
            <w:noWrap/>
            <w:vAlign w:val="center"/>
            <w:hideMark/>
          </w:tcPr>
          <w:p w14:paraId="7E1C9A96"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ID</w:t>
            </w:r>
          </w:p>
        </w:tc>
        <w:tc>
          <w:tcPr>
            <w:tcW w:w="1470" w:type="dxa"/>
            <w:tcBorders>
              <w:top w:val="nil"/>
              <w:left w:val="nil"/>
              <w:bottom w:val="nil"/>
              <w:right w:val="nil"/>
            </w:tcBorders>
            <w:shd w:val="clear" w:color="auto" w:fill="auto"/>
            <w:vAlign w:val="center"/>
          </w:tcPr>
          <w:p w14:paraId="660504F1" w14:textId="154EFA8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43</w:t>
            </w:r>
          </w:p>
        </w:tc>
        <w:tc>
          <w:tcPr>
            <w:tcW w:w="1470" w:type="dxa"/>
            <w:tcBorders>
              <w:top w:val="nil"/>
              <w:left w:val="nil"/>
              <w:bottom w:val="nil"/>
              <w:right w:val="nil"/>
            </w:tcBorders>
            <w:shd w:val="clear" w:color="auto" w:fill="auto"/>
            <w:noWrap/>
            <w:vAlign w:val="center"/>
          </w:tcPr>
          <w:p w14:paraId="444AAF08" w14:textId="7089801E"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12.1 (8.5)</w:t>
            </w:r>
          </w:p>
        </w:tc>
      </w:tr>
      <w:tr w:rsidR="00013662" w:rsidRPr="00013662" w14:paraId="02037D4D" w14:textId="77777777" w:rsidTr="00685847">
        <w:trPr>
          <w:trHeight w:val="300"/>
        </w:trPr>
        <w:tc>
          <w:tcPr>
            <w:tcW w:w="1470" w:type="dxa"/>
            <w:noWrap/>
            <w:vAlign w:val="center"/>
            <w:hideMark/>
          </w:tcPr>
          <w:p w14:paraId="564166CF"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UT</w:t>
            </w:r>
          </w:p>
        </w:tc>
        <w:tc>
          <w:tcPr>
            <w:tcW w:w="1470" w:type="dxa"/>
            <w:tcBorders>
              <w:top w:val="nil"/>
              <w:left w:val="nil"/>
              <w:bottom w:val="nil"/>
              <w:right w:val="nil"/>
            </w:tcBorders>
            <w:shd w:val="clear" w:color="auto" w:fill="auto"/>
            <w:vAlign w:val="center"/>
          </w:tcPr>
          <w:p w14:paraId="0FF42DA2" w14:textId="11EDE670"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28</w:t>
            </w:r>
          </w:p>
        </w:tc>
        <w:tc>
          <w:tcPr>
            <w:tcW w:w="1470" w:type="dxa"/>
            <w:tcBorders>
              <w:top w:val="nil"/>
              <w:left w:val="nil"/>
              <w:bottom w:val="nil"/>
              <w:right w:val="nil"/>
            </w:tcBorders>
            <w:shd w:val="clear" w:color="auto" w:fill="auto"/>
            <w:noWrap/>
            <w:vAlign w:val="center"/>
          </w:tcPr>
          <w:p w14:paraId="1BFE3351" w14:textId="699B901A"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12.1 (8.9)</w:t>
            </w:r>
          </w:p>
        </w:tc>
      </w:tr>
      <w:tr w:rsidR="00013662" w:rsidRPr="00013662" w14:paraId="54EEE158" w14:textId="77777777" w:rsidTr="00685847">
        <w:trPr>
          <w:trHeight w:val="300"/>
        </w:trPr>
        <w:tc>
          <w:tcPr>
            <w:tcW w:w="1470" w:type="dxa"/>
            <w:noWrap/>
            <w:vAlign w:val="center"/>
            <w:hideMark/>
          </w:tcPr>
          <w:p w14:paraId="5AEAA267"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ME</w:t>
            </w:r>
          </w:p>
        </w:tc>
        <w:tc>
          <w:tcPr>
            <w:tcW w:w="1470" w:type="dxa"/>
            <w:tcBorders>
              <w:top w:val="nil"/>
              <w:left w:val="nil"/>
              <w:bottom w:val="nil"/>
              <w:right w:val="nil"/>
            </w:tcBorders>
            <w:shd w:val="clear" w:color="auto" w:fill="auto"/>
            <w:vAlign w:val="center"/>
          </w:tcPr>
          <w:p w14:paraId="5599F7E8" w14:textId="6EADFE8C"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17</w:t>
            </w:r>
          </w:p>
        </w:tc>
        <w:tc>
          <w:tcPr>
            <w:tcW w:w="1470" w:type="dxa"/>
            <w:tcBorders>
              <w:top w:val="nil"/>
              <w:left w:val="nil"/>
              <w:bottom w:val="nil"/>
              <w:right w:val="nil"/>
            </w:tcBorders>
            <w:shd w:val="clear" w:color="auto" w:fill="auto"/>
            <w:noWrap/>
            <w:vAlign w:val="center"/>
          </w:tcPr>
          <w:p w14:paraId="20E6E514" w14:textId="258760D1"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11.6 (5.3)</w:t>
            </w:r>
          </w:p>
        </w:tc>
      </w:tr>
      <w:tr w:rsidR="00013662" w:rsidRPr="00013662" w14:paraId="67A5A2E0" w14:textId="77777777" w:rsidTr="00685847">
        <w:trPr>
          <w:trHeight w:val="300"/>
        </w:trPr>
        <w:tc>
          <w:tcPr>
            <w:tcW w:w="1470" w:type="dxa"/>
            <w:noWrap/>
            <w:vAlign w:val="center"/>
            <w:hideMark/>
          </w:tcPr>
          <w:p w14:paraId="6B47C5D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WA</w:t>
            </w:r>
          </w:p>
        </w:tc>
        <w:tc>
          <w:tcPr>
            <w:tcW w:w="1470" w:type="dxa"/>
            <w:tcBorders>
              <w:top w:val="nil"/>
              <w:left w:val="nil"/>
              <w:bottom w:val="nil"/>
              <w:right w:val="nil"/>
            </w:tcBorders>
            <w:shd w:val="clear" w:color="auto" w:fill="auto"/>
            <w:vAlign w:val="center"/>
          </w:tcPr>
          <w:p w14:paraId="3ACFE0BD" w14:textId="240B32FA"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93</w:t>
            </w:r>
          </w:p>
        </w:tc>
        <w:tc>
          <w:tcPr>
            <w:tcW w:w="1470" w:type="dxa"/>
            <w:tcBorders>
              <w:top w:val="nil"/>
              <w:left w:val="nil"/>
              <w:bottom w:val="nil"/>
              <w:right w:val="nil"/>
            </w:tcBorders>
            <w:shd w:val="clear" w:color="auto" w:fill="auto"/>
            <w:noWrap/>
            <w:vAlign w:val="center"/>
          </w:tcPr>
          <w:p w14:paraId="54D417E6" w14:textId="0EC87226"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11 (8.5)</w:t>
            </w:r>
          </w:p>
        </w:tc>
      </w:tr>
      <w:tr w:rsidR="00013662" w:rsidRPr="00013662" w14:paraId="5447D84B" w14:textId="77777777" w:rsidTr="00685847">
        <w:trPr>
          <w:trHeight w:val="300"/>
        </w:trPr>
        <w:tc>
          <w:tcPr>
            <w:tcW w:w="1470" w:type="dxa"/>
            <w:noWrap/>
            <w:vAlign w:val="center"/>
            <w:hideMark/>
          </w:tcPr>
          <w:p w14:paraId="586660C9"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VA</w:t>
            </w:r>
          </w:p>
        </w:tc>
        <w:tc>
          <w:tcPr>
            <w:tcW w:w="1470" w:type="dxa"/>
            <w:tcBorders>
              <w:top w:val="nil"/>
              <w:left w:val="nil"/>
              <w:bottom w:val="nil"/>
              <w:right w:val="nil"/>
            </w:tcBorders>
            <w:shd w:val="clear" w:color="auto" w:fill="auto"/>
            <w:vAlign w:val="center"/>
          </w:tcPr>
          <w:p w14:paraId="5BD4D4EE" w14:textId="5CAF6CDF"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189</w:t>
            </w:r>
          </w:p>
        </w:tc>
        <w:tc>
          <w:tcPr>
            <w:tcW w:w="1470" w:type="dxa"/>
            <w:tcBorders>
              <w:top w:val="nil"/>
              <w:left w:val="nil"/>
              <w:bottom w:val="nil"/>
              <w:right w:val="nil"/>
            </w:tcBorders>
            <w:shd w:val="clear" w:color="auto" w:fill="auto"/>
            <w:noWrap/>
            <w:vAlign w:val="center"/>
          </w:tcPr>
          <w:p w14:paraId="7B7BB7D1" w14:textId="53ED90B2"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10.9 (6.3)</w:t>
            </w:r>
          </w:p>
        </w:tc>
      </w:tr>
      <w:tr w:rsidR="00013662" w:rsidRPr="00013662" w14:paraId="7AB8679E" w14:textId="77777777" w:rsidTr="00685847">
        <w:trPr>
          <w:trHeight w:val="300"/>
        </w:trPr>
        <w:tc>
          <w:tcPr>
            <w:tcW w:w="1470" w:type="dxa"/>
            <w:noWrap/>
            <w:vAlign w:val="center"/>
            <w:hideMark/>
          </w:tcPr>
          <w:p w14:paraId="63418964"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AR</w:t>
            </w:r>
          </w:p>
        </w:tc>
        <w:tc>
          <w:tcPr>
            <w:tcW w:w="1470" w:type="dxa"/>
            <w:tcBorders>
              <w:top w:val="nil"/>
              <w:left w:val="nil"/>
              <w:bottom w:val="nil"/>
              <w:right w:val="nil"/>
            </w:tcBorders>
            <w:shd w:val="clear" w:color="auto" w:fill="auto"/>
            <w:vAlign w:val="center"/>
          </w:tcPr>
          <w:p w14:paraId="15C68575" w14:textId="50F08ED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70</w:t>
            </w:r>
          </w:p>
        </w:tc>
        <w:tc>
          <w:tcPr>
            <w:tcW w:w="1470" w:type="dxa"/>
            <w:tcBorders>
              <w:top w:val="nil"/>
              <w:left w:val="nil"/>
              <w:bottom w:val="nil"/>
              <w:right w:val="nil"/>
            </w:tcBorders>
            <w:shd w:val="clear" w:color="auto" w:fill="auto"/>
            <w:noWrap/>
            <w:vAlign w:val="center"/>
          </w:tcPr>
          <w:p w14:paraId="1D73B376" w14:textId="0EF98741"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10.8 (6.4)</w:t>
            </w:r>
          </w:p>
        </w:tc>
      </w:tr>
      <w:tr w:rsidR="00013662" w:rsidRPr="00013662" w14:paraId="7017C7F1" w14:textId="77777777" w:rsidTr="00685847">
        <w:trPr>
          <w:trHeight w:val="300"/>
        </w:trPr>
        <w:tc>
          <w:tcPr>
            <w:tcW w:w="1470" w:type="dxa"/>
            <w:noWrap/>
            <w:vAlign w:val="center"/>
            <w:hideMark/>
          </w:tcPr>
          <w:p w14:paraId="0F6C099E"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KS</w:t>
            </w:r>
          </w:p>
        </w:tc>
        <w:tc>
          <w:tcPr>
            <w:tcW w:w="1470" w:type="dxa"/>
            <w:tcBorders>
              <w:top w:val="nil"/>
              <w:left w:val="nil"/>
              <w:bottom w:val="nil"/>
              <w:right w:val="nil"/>
            </w:tcBorders>
            <w:shd w:val="clear" w:color="auto" w:fill="auto"/>
            <w:vAlign w:val="center"/>
          </w:tcPr>
          <w:p w14:paraId="58D3AA44" w14:textId="37A584AF"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57</w:t>
            </w:r>
          </w:p>
        </w:tc>
        <w:tc>
          <w:tcPr>
            <w:tcW w:w="1470" w:type="dxa"/>
            <w:tcBorders>
              <w:top w:val="nil"/>
              <w:left w:val="nil"/>
              <w:bottom w:val="nil"/>
              <w:right w:val="nil"/>
            </w:tcBorders>
            <w:shd w:val="clear" w:color="auto" w:fill="auto"/>
            <w:noWrap/>
            <w:vAlign w:val="center"/>
          </w:tcPr>
          <w:p w14:paraId="75C3B586" w14:textId="7BFA9FDC"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9.3 (7.5)</w:t>
            </w:r>
          </w:p>
        </w:tc>
      </w:tr>
      <w:tr w:rsidR="00013662" w:rsidRPr="00013662" w14:paraId="38CE19AB" w14:textId="77777777" w:rsidTr="00685847">
        <w:trPr>
          <w:trHeight w:val="300"/>
        </w:trPr>
        <w:tc>
          <w:tcPr>
            <w:tcW w:w="1470" w:type="dxa"/>
            <w:noWrap/>
            <w:vAlign w:val="center"/>
            <w:hideMark/>
          </w:tcPr>
          <w:p w14:paraId="5B5E68E7"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IA</w:t>
            </w:r>
          </w:p>
        </w:tc>
        <w:tc>
          <w:tcPr>
            <w:tcW w:w="1470" w:type="dxa"/>
            <w:tcBorders>
              <w:top w:val="nil"/>
              <w:left w:val="nil"/>
              <w:bottom w:val="nil"/>
              <w:right w:val="nil"/>
            </w:tcBorders>
            <w:shd w:val="clear" w:color="auto" w:fill="auto"/>
            <w:vAlign w:val="center"/>
          </w:tcPr>
          <w:p w14:paraId="363BC758" w14:textId="63E00397"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67</w:t>
            </w:r>
          </w:p>
        </w:tc>
        <w:tc>
          <w:tcPr>
            <w:tcW w:w="1470" w:type="dxa"/>
            <w:tcBorders>
              <w:top w:val="nil"/>
              <w:left w:val="nil"/>
              <w:bottom w:val="nil"/>
              <w:right w:val="nil"/>
            </w:tcBorders>
            <w:shd w:val="clear" w:color="auto" w:fill="auto"/>
            <w:noWrap/>
            <w:vAlign w:val="center"/>
          </w:tcPr>
          <w:p w14:paraId="0FD9FD10" w14:textId="4B37C98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8.2 (6.6)</w:t>
            </w:r>
          </w:p>
        </w:tc>
      </w:tr>
      <w:tr w:rsidR="00013662" w:rsidRPr="00013662" w14:paraId="55B66E3D" w14:textId="77777777" w:rsidTr="00685847">
        <w:trPr>
          <w:trHeight w:val="300"/>
        </w:trPr>
        <w:tc>
          <w:tcPr>
            <w:tcW w:w="1470" w:type="dxa"/>
            <w:noWrap/>
            <w:vAlign w:val="center"/>
            <w:hideMark/>
          </w:tcPr>
          <w:p w14:paraId="55BB7A34"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DC</w:t>
            </w:r>
          </w:p>
        </w:tc>
        <w:tc>
          <w:tcPr>
            <w:tcW w:w="1470" w:type="dxa"/>
            <w:tcBorders>
              <w:top w:val="nil"/>
              <w:left w:val="nil"/>
              <w:bottom w:val="nil"/>
              <w:right w:val="nil"/>
            </w:tcBorders>
            <w:shd w:val="clear" w:color="auto" w:fill="auto"/>
            <w:vAlign w:val="center"/>
          </w:tcPr>
          <w:p w14:paraId="7CB54A33" w14:textId="23F6A5C7"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86</w:t>
            </w:r>
          </w:p>
        </w:tc>
        <w:tc>
          <w:tcPr>
            <w:tcW w:w="1470" w:type="dxa"/>
            <w:tcBorders>
              <w:top w:val="nil"/>
              <w:left w:val="nil"/>
              <w:bottom w:val="nil"/>
              <w:right w:val="nil"/>
            </w:tcBorders>
            <w:shd w:val="clear" w:color="auto" w:fill="auto"/>
            <w:noWrap/>
            <w:vAlign w:val="center"/>
          </w:tcPr>
          <w:p w14:paraId="43FCD64F" w14:textId="2E5B3963"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7.8 (6.6)</w:t>
            </w:r>
          </w:p>
        </w:tc>
      </w:tr>
      <w:tr w:rsidR="00013662" w:rsidRPr="00013662" w14:paraId="6C7AB5E2" w14:textId="77777777" w:rsidTr="00685847">
        <w:trPr>
          <w:trHeight w:val="300"/>
        </w:trPr>
        <w:tc>
          <w:tcPr>
            <w:tcW w:w="1470" w:type="dxa"/>
            <w:noWrap/>
            <w:vAlign w:val="center"/>
            <w:hideMark/>
          </w:tcPr>
          <w:p w14:paraId="52AFF652"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MS</w:t>
            </w:r>
          </w:p>
        </w:tc>
        <w:tc>
          <w:tcPr>
            <w:tcW w:w="1470" w:type="dxa"/>
            <w:tcBorders>
              <w:top w:val="nil"/>
              <w:left w:val="nil"/>
              <w:bottom w:val="nil"/>
              <w:right w:val="nil"/>
            </w:tcBorders>
            <w:shd w:val="clear" w:color="auto" w:fill="auto"/>
            <w:vAlign w:val="center"/>
          </w:tcPr>
          <w:p w14:paraId="7BB9F181" w14:textId="484288A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90</w:t>
            </w:r>
          </w:p>
        </w:tc>
        <w:tc>
          <w:tcPr>
            <w:tcW w:w="1470" w:type="dxa"/>
            <w:tcBorders>
              <w:top w:val="nil"/>
              <w:left w:val="nil"/>
              <w:bottom w:val="nil"/>
              <w:right w:val="nil"/>
            </w:tcBorders>
            <w:shd w:val="clear" w:color="auto" w:fill="auto"/>
            <w:noWrap/>
            <w:vAlign w:val="center"/>
          </w:tcPr>
          <w:p w14:paraId="0FA5F37D" w14:textId="51EC926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7.8 (5.1)</w:t>
            </w:r>
          </w:p>
        </w:tc>
      </w:tr>
      <w:tr w:rsidR="00013662" w:rsidRPr="00013662" w14:paraId="621DF5CD" w14:textId="77777777" w:rsidTr="00685847">
        <w:trPr>
          <w:trHeight w:val="300"/>
        </w:trPr>
        <w:tc>
          <w:tcPr>
            <w:tcW w:w="1470" w:type="dxa"/>
            <w:noWrap/>
            <w:vAlign w:val="center"/>
            <w:hideMark/>
          </w:tcPr>
          <w:p w14:paraId="3AA09723"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OK</w:t>
            </w:r>
          </w:p>
        </w:tc>
        <w:tc>
          <w:tcPr>
            <w:tcW w:w="1470" w:type="dxa"/>
            <w:tcBorders>
              <w:top w:val="nil"/>
              <w:left w:val="nil"/>
              <w:bottom w:val="nil"/>
              <w:right w:val="nil"/>
            </w:tcBorders>
            <w:shd w:val="clear" w:color="auto" w:fill="auto"/>
            <w:vAlign w:val="center"/>
          </w:tcPr>
          <w:p w14:paraId="79F63EEC" w14:textId="3B823654"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21</w:t>
            </w:r>
          </w:p>
        </w:tc>
        <w:tc>
          <w:tcPr>
            <w:tcW w:w="1470" w:type="dxa"/>
            <w:tcBorders>
              <w:top w:val="nil"/>
              <w:left w:val="nil"/>
              <w:bottom w:val="nil"/>
              <w:right w:val="nil"/>
            </w:tcBorders>
            <w:shd w:val="clear" w:color="auto" w:fill="auto"/>
            <w:noWrap/>
            <w:vAlign w:val="center"/>
          </w:tcPr>
          <w:p w14:paraId="60CAE0C6" w14:textId="2772CB84"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7.7 (10.1)</w:t>
            </w:r>
          </w:p>
        </w:tc>
      </w:tr>
      <w:tr w:rsidR="00013662" w:rsidRPr="00013662" w14:paraId="5FC3307E" w14:textId="77777777" w:rsidTr="00685847">
        <w:trPr>
          <w:trHeight w:val="300"/>
        </w:trPr>
        <w:tc>
          <w:tcPr>
            <w:tcW w:w="1470" w:type="dxa"/>
            <w:noWrap/>
            <w:vAlign w:val="center"/>
            <w:hideMark/>
          </w:tcPr>
          <w:p w14:paraId="326BAC90"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NE</w:t>
            </w:r>
          </w:p>
        </w:tc>
        <w:tc>
          <w:tcPr>
            <w:tcW w:w="1470" w:type="dxa"/>
            <w:tcBorders>
              <w:top w:val="nil"/>
              <w:left w:val="nil"/>
              <w:bottom w:val="nil"/>
              <w:right w:val="nil"/>
            </w:tcBorders>
            <w:shd w:val="clear" w:color="auto" w:fill="auto"/>
            <w:vAlign w:val="center"/>
          </w:tcPr>
          <w:p w14:paraId="77DE74D4" w14:textId="0D6B1A6C"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166</w:t>
            </w:r>
          </w:p>
        </w:tc>
        <w:tc>
          <w:tcPr>
            <w:tcW w:w="1470" w:type="dxa"/>
            <w:tcBorders>
              <w:top w:val="nil"/>
              <w:left w:val="nil"/>
              <w:bottom w:val="nil"/>
              <w:right w:val="nil"/>
            </w:tcBorders>
            <w:shd w:val="clear" w:color="auto" w:fill="auto"/>
            <w:noWrap/>
            <w:vAlign w:val="center"/>
          </w:tcPr>
          <w:p w14:paraId="7B6EABD6" w14:textId="76D8D7DF"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7.4 (9.7)</w:t>
            </w:r>
          </w:p>
        </w:tc>
      </w:tr>
      <w:tr w:rsidR="00013662" w:rsidRPr="00013662" w14:paraId="7A27E641" w14:textId="77777777" w:rsidTr="00685847">
        <w:trPr>
          <w:trHeight w:val="300"/>
        </w:trPr>
        <w:tc>
          <w:tcPr>
            <w:tcW w:w="1470" w:type="dxa"/>
            <w:noWrap/>
            <w:vAlign w:val="center"/>
            <w:hideMark/>
          </w:tcPr>
          <w:p w14:paraId="5E28466F"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MD</w:t>
            </w:r>
          </w:p>
        </w:tc>
        <w:tc>
          <w:tcPr>
            <w:tcW w:w="1470" w:type="dxa"/>
            <w:tcBorders>
              <w:top w:val="nil"/>
              <w:left w:val="nil"/>
              <w:bottom w:val="nil"/>
              <w:right w:val="nil"/>
            </w:tcBorders>
            <w:shd w:val="clear" w:color="auto" w:fill="auto"/>
            <w:vAlign w:val="center"/>
          </w:tcPr>
          <w:p w14:paraId="02DE7260" w14:textId="60E155E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38</w:t>
            </w:r>
          </w:p>
        </w:tc>
        <w:tc>
          <w:tcPr>
            <w:tcW w:w="1470" w:type="dxa"/>
            <w:tcBorders>
              <w:top w:val="nil"/>
              <w:left w:val="nil"/>
              <w:bottom w:val="nil"/>
              <w:right w:val="nil"/>
            </w:tcBorders>
            <w:shd w:val="clear" w:color="auto" w:fill="auto"/>
            <w:noWrap/>
            <w:vAlign w:val="center"/>
          </w:tcPr>
          <w:p w14:paraId="3D2CC900" w14:textId="2C34DBBB"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7.2 (7)</w:t>
            </w:r>
          </w:p>
        </w:tc>
      </w:tr>
      <w:tr w:rsidR="00013662" w:rsidRPr="00013662" w14:paraId="526370A5" w14:textId="77777777" w:rsidTr="00685847">
        <w:trPr>
          <w:trHeight w:val="300"/>
        </w:trPr>
        <w:tc>
          <w:tcPr>
            <w:tcW w:w="1470" w:type="dxa"/>
            <w:noWrap/>
            <w:vAlign w:val="center"/>
            <w:hideMark/>
          </w:tcPr>
          <w:p w14:paraId="67B942F9"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ND</w:t>
            </w:r>
          </w:p>
        </w:tc>
        <w:tc>
          <w:tcPr>
            <w:tcW w:w="1470" w:type="dxa"/>
            <w:tcBorders>
              <w:top w:val="nil"/>
              <w:left w:val="nil"/>
              <w:bottom w:val="nil"/>
              <w:right w:val="nil"/>
            </w:tcBorders>
            <w:shd w:val="clear" w:color="auto" w:fill="auto"/>
            <w:vAlign w:val="center"/>
          </w:tcPr>
          <w:p w14:paraId="7F2F8F16" w14:textId="3FA999B8"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16</w:t>
            </w:r>
          </w:p>
        </w:tc>
        <w:tc>
          <w:tcPr>
            <w:tcW w:w="1470" w:type="dxa"/>
            <w:tcBorders>
              <w:top w:val="nil"/>
              <w:left w:val="nil"/>
              <w:bottom w:val="nil"/>
              <w:right w:val="nil"/>
            </w:tcBorders>
            <w:shd w:val="clear" w:color="auto" w:fill="auto"/>
            <w:noWrap/>
            <w:vAlign w:val="center"/>
          </w:tcPr>
          <w:p w14:paraId="64C771BE" w14:textId="2AD66D65"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6.7 (4.9)</w:t>
            </w:r>
          </w:p>
        </w:tc>
      </w:tr>
      <w:tr w:rsidR="00013662" w:rsidRPr="00013662" w14:paraId="4DE3EFC7" w14:textId="77777777" w:rsidTr="00685847">
        <w:trPr>
          <w:trHeight w:val="300"/>
        </w:trPr>
        <w:tc>
          <w:tcPr>
            <w:tcW w:w="1470" w:type="dxa"/>
            <w:noWrap/>
            <w:vAlign w:val="center"/>
            <w:hideMark/>
          </w:tcPr>
          <w:p w14:paraId="4BE555FD"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DE</w:t>
            </w:r>
          </w:p>
        </w:tc>
        <w:tc>
          <w:tcPr>
            <w:tcW w:w="1470" w:type="dxa"/>
            <w:tcBorders>
              <w:top w:val="nil"/>
              <w:left w:val="nil"/>
              <w:bottom w:val="nil"/>
              <w:right w:val="nil"/>
            </w:tcBorders>
            <w:shd w:val="clear" w:color="auto" w:fill="auto"/>
            <w:vAlign w:val="center"/>
          </w:tcPr>
          <w:p w14:paraId="03D9426F" w14:textId="687B0C05"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28</w:t>
            </w:r>
          </w:p>
        </w:tc>
        <w:tc>
          <w:tcPr>
            <w:tcW w:w="1470" w:type="dxa"/>
            <w:tcBorders>
              <w:top w:val="nil"/>
              <w:left w:val="nil"/>
              <w:bottom w:val="nil"/>
              <w:right w:val="nil"/>
            </w:tcBorders>
            <w:shd w:val="clear" w:color="auto" w:fill="auto"/>
            <w:noWrap/>
            <w:vAlign w:val="center"/>
          </w:tcPr>
          <w:p w14:paraId="56EFF056" w14:textId="5E913634"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6.2 (4.6)</w:t>
            </w:r>
          </w:p>
        </w:tc>
      </w:tr>
      <w:tr w:rsidR="00013662" w:rsidRPr="00013662" w14:paraId="7F8A991F" w14:textId="77777777" w:rsidTr="00685847">
        <w:trPr>
          <w:trHeight w:val="300"/>
        </w:trPr>
        <w:tc>
          <w:tcPr>
            <w:tcW w:w="1470" w:type="dxa"/>
            <w:noWrap/>
            <w:vAlign w:val="center"/>
            <w:hideMark/>
          </w:tcPr>
          <w:p w14:paraId="3C728BA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VT</w:t>
            </w:r>
          </w:p>
        </w:tc>
        <w:tc>
          <w:tcPr>
            <w:tcW w:w="1470" w:type="dxa"/>
            <w:tcBorders>
              <w:top w:val="nil"/>
              <w:left w:val="nil"/>
              <w:bottom w:val="nil"/>
              <w:right w:val="nil"/>
            </w:tcBorders>
            <w:shd w:val="clear" w:color="auto" w:fill="auto"/>
            <w:vAlign w:val="center"/>
          </w:tcPr>
          <w:p w14:paraId="79195922" w14:textId="53891666"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8</w:t>
            </w:r>
          </w:p>
        </w:tc>
        <w:tc>
          <w:tcPr>
            <w:tcW w:w="1470" w:type="dxa"/>
            <w:tcBorders>
              <w:top w:val="nil"/>
              <w:left w:val="nil"/>
              <w:bottom w:val="nil"/>
              <w:right w:val="nil"/>
            </w:tcBorders>
            <w:shd w:val="clear" w:color="auto" w:fill="auto"/>
            <w:noWrap/>
            <w:vAlign w:val="center"/>
          </w:tcPr>
          <w:p w14:paraId="47E38C4F" w14:textId="40D6521F"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5.5 (2.8)</w:t>
            </w:r>
          </w:p>
        </w:tc>
      </w:tr>
      <w:tr w:rsidR="00013662" w:rsidRPr="00013662" w14:paraId="7B56D222" w14:textId="77777777" w:rsidTr="00685847">
        <w:trPr>
          <w:trHeight w:val="300"/>
        </w:trPr>
        <w:tc>
          <w:tcPr>
            <w:tcW w:w="1470" w:type="dxa"/>
            <w:tcBorders>
              <w:bottom w:val="nil"/>
            </w:tcBorders>
            <w:noWrap/>
            <w:vAlign w:val="center"/>
            <w:hideMark/>
          </w:tcPr>
          <w:p w14:paraId="03214615"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SD</w:t>
            </w:r>
          </w:p>
        </w:tc>
        <w:tc>
          <w:tcPr>
            <w:tcW w:w="1470" w:type="dxa"/>
            <w:tcBorders>
              <w:top w:val="nil"/>
              <w:left w:val="nil"/>
              <w:bottom w:val="nil"/>
              <w:right w:val="nil"/>
            </w:tcBorders>
            <w:shd w:val="clear" w:color="auto" w:fill="auto"/>
            <w:vAlign w:val="center"/>
          </w:tcPr>
          <w:p w14:paraId="50E9A8E4" w14:textId="4D2D2730"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27</w:t>
            </w:r>
          </w:p>
        </w:tc>
        <w:tc>
          <w:tcPr>
            <w:tcW w:w="1470" w:type="dxa"/>
            <w:tcBorders>
              <w:top w:val="nil"/>
              <w:left w:val="nil"/>
              <w:bottom w:val="nil"/>
              <w:right w:val="nil"/>
            </w:tcBorders>
            <w:shd w:val="clear" w:color="auto" w:fill="auto"/>
            <w:noWrap/>
            <w:vAlign w:val="center"/>
          </w:tcPr>
          <w:p w14:paraId="09862C1C" w14:textId="5C7D6071"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5.3 (6)</w:t>
            </w:r>
          </w:p>
        </w:tc>
      </w:tr>
      <w:tr w:rsidR="00013662" w:rsidRPr="00013662" w14:paraId="710495BA" w14:textId="77777777" w:rsidTr="00685847">
        <w:trPr>
          <w:trHeight w:val="300"/>
        </w:trPr>
        <w:tc>
          <w:tcPr>
            <w:tcW w:w="1470" w:type="dxa"/>
            <w:tcBorders>
              <w:top w:val="nil"/>
              <w:bottom w:val="nil"/>
            </w:tcBorders>
            <w:noWrap/>
            <w:vAlign w:val="center"/>
            <w:hideMark/>
          </w:tcPr>
          <w:p w14:paraId="4CC869BF"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NH</w:t>
            </w:r>
          </w:p>
        </w:tc>
        <w:tc>
          <w:tcPr>
            <w:tcW w:w="1470" w:type="dxa"/>
            <w:tcBorders>
              <w:top w:val="nil"/>
              <w:left w:val="nil"/>
              <w:bottom w:val="nil"/>
              <w:right w:val="nil"/>
            </w:tcBorders>
            <w:shd w:val="clear" w:color="auto" w:fill="auto"/>
            <w:vAlign w:val="center"/>
          </w:tcPr>
          <w:p w14:paraId="55167BE3" w14:textId="58453800"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19</w:t>
            </w:r>
          </w:p>
        </w:tc>
        <w:tc>
          <w:tcPr>
            <w:tcW w:w="1470" w:type="dxa"/>
            <w:tcBorders>
              <w:top w:val="nil"/>
              <w:left w:val="nil"/>
              <w:bottom w:val="nil"/>
              <w:right w:val="nil"/>
            </w:tcBorders>
            <w:shd w:val="clear" w:color="auto" w:fill="auto"/>
            <w:noWrap/>
            <w:vAlign w:val="center"/>
          </w:tcPr>
          <w:p w14:paraId="384959BE" w14:textId="2F010480"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4.8 (3.3)</w:t>
            </w:r>
          </w:p>
        </w:tc>
      </w:tr>
      <w:tr w:rsidR="00013662" w:rsidRPr="00013662" w14:paraId="22BFADD4" w14:textId="77777777" w:rsidTr="00685847">
        <w:trPr>
          <w:trHeight w:val="300"/>
        </w:trPr>
        <w:tc>
          <w:tcPr>
            <w:tcW w:w="1470" w:type="dxa"/>
            <w:tcBorders>
              <w:top w:val="nil"/>
            </w:tcBorders>
            <w:noWrap/>
            <w:vAlign w:val="center"/>
            <w:hideMark/>
          </w:tcPr>
          <w:p w14:paraId="57F0FA41"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MT</w:t>
            </w:r>
          </w:p>
        </w:tc>
        <w:tc>
          <w:tcPr>
            <w:tcW w:w="1470" w:type="dxa"/>
            <w:tcBorders>
              <w:top w:val="nil"/>
              <w:left w:val="nil"/>
              <w:bottom w:val="nil"/>
              <w:right w:val="nil"/>
            </w:tcBorders>
            <w:shd w:val="clear" w:color="auto" w:fill="auto"/>
            <w:vAlign w:val="center"/>
          </w:tcPr>
          <w:p w14:paraId="208AECD7" w14:textId="7282307D"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15</w:t>
            </w:r>
          </w:p>
        </w:tc>
        <w:tc>
          <w:tcPr>
            <w:tcW w:w="1470" w:type="dxa"/>
            <w:tcBorders>
              <w:top w:val="nil"/>
              <w:left w:val="nil"/>
              <w:bottom w:val="nil"/>
              <w:right w:val="nil"/>
            </w:tcBorders>
            <w:shd w:val="clear" w:color="auto" w:fill="auto"/>
            <w:noWrap/>
            <w:vAlign w:val="center"/>
          </w:tcPr>
          <w:p w14:paraId="476C59D9" w14:textId="5A9BA80D"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3.6 (3.7)</w:t>
            </w:r>
          </w:p>
        </w:tc>
      </w:tr>
      <w:tr w:rsidR="00013662" w:rsidRPr="00013662" w14:paraId="069E937E" w14:textId="77777777" w:rsidTr="00685847">
        <w:trPr>
          <w:trHeight w:val="300"/>
        </w:trPr>
        <w:tc>
          <w:tcPr>
            <w:tcW w:w="1470" w:type="dxa"/>
            <w:noWrap/>
            <w:vAlign w:val="center"/>
            <w:hideMark/>
          </w:tcPr>
          <w:p w14:paraId="2E7C693F"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AK</w:t>
            </w:r>
          </w:p>
        </w:tc>
        <w:tc>
          <w:tcPr>
            <w:tcW w:w="1470" w:type="dxa"/>
            <w:tcBorders>
              <w:top w:val="nil"/>
              <w:left w:val="nil"/>
              <w:bottom w:val="nil"/>
              <w:right w:val="nil"/>
            </w:tcBorders>
            <w:shd w:val="clear" w:color="auto" w:fill="auto"/>
            <w:vAlign w:val="center"/>
          </w:tcPr>
          <w:p w14:paraId="5A51C683" w14:textId="078B191C"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9</w:t>
            </w:r>
          </w:p>
        </w:tc>
        <w:tc>
          <w:tcPr>
            <w:tcW w:w="1470" w:type="dxa"/>
            <w:tcBorders>
              <w:top w:val="nil"/>
              <w:left w:val="nil"/>
              <w:bottom w:val="nil"/>
              <w:right w:val="nil"/>
            </w:tcBorders>
            <w:shd w:val="clear" w:color="auto" w:fill="auto"/>
            <w:noWrap/>
            <w:vAlign w:val="center"/>
          </w:tcPr>
          <w:p w14:paraId="6DCDAE24" w14:textId="0CACC016"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2.3 (3.2)</w:t>
            </w:r>
          </w:p>
        </w:tc>
      </w:tr>
      <w:tr w:rsidR="00013662" w:rsidRPr="00013662" w14:paraId="773FDE4E" w14:textId="77777777" w:rsidTr="00685847">
        <w:trPr>
          <w:trHeight w:val="300"/>
        </w:trPr>
        <w:tc>
          <w:tcPr>
            <w:tcW w:w="1470" w:type="dxa"/>
            <w:noWrap/>
            <w:vAlign w:val="center"/>
            <w:hideMark/>
          </w:tcPr>
          <w:p w14:paraId="0C8CF85B"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WY</w:t>
            </w:r>
          </w:p>
        </w:tc>
        <w:tc>
          <w:tcPr>
            <w:tcW w:w="1470" w:type="dxa"/>
            <w:tcBorders>
              <w:top w:val="nil"/>
              <w:left w:val="nil"/>
              <w:bottom w:val="nil"/>
              <w:right w:val="nil"/>
            </w:tcBorders>
            <w:shd w:val="clear" w:color="auto" w:fill="auto"/>
            <w:vAlign w:val="center"/>
          </w:tcPr>
          <w:p w14:paraId="4AC25BD1" w14:textId="7E4EF7A6"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10</w:t>
            </w:r>
          </w:p>
        </w:tc>
        <w:tc>
          <w:tcPr>
            <w:tcW w:w="1470" w:type="dxa"/>
            <w:tcBorders>
              <w:top w:val="nil"/>
              <w:left w:val="nil"/>
              <w:bottom w:val="nil"/>
              <w:right w:val="nil"/>
            </w:tcBorders>
            <w:shd w:val="clear" w:color="auto" w:fill="auto"/>
            <w:noWrap/>
            <w:vAlign w:val="center"/>
          </w:tcPr>
          <w:p w14:paraId="543458CF" w14:textId="0E39641D"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2.2 (3.2)</w:t>
            </w:r>
          </w:p>
        </w:tc>
      </w:tr>
      <w:tr w:rsidR="00013662" w:rsidRPr="00013662" w14:paraId="726FE88B" w14:textId="77777777" w:rsidTr="00685847">
        <w:trPr>
          <w:trHeight w:val="300"/>
        </w:trPr>
        <w:tc>
          <w:tcPr>
            <w:tcW w:w="1470" w:type="dxa"/>
            <w:noWrap/>
            <w:vAlign w:val="center"/>
            <w:hideMark/>
          </w:tcPr>
          <w:p w14:paraId="68403FC2"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AS</w:t>
            </w:r>
          </w:p>
        </w:tc>
        <w:tc>
          <w:tcPr>
            <w:tcW w:w="1470" w:type="dxa"/>
            <w:tcBorders>
              <w:top w:val="nil"/>
              <w:left w:val="nil"/>
              <w:bottom w:val="nil"/>
              <w:right w:val="nil"/>
            </w:tcBorders>
            <w:shd w:val="clear" w:color="auto" w:fill="auto"/>
            <w:vAlign w:val="center"/>
          </w:tcPr>
          <w:p w14:paraId="1B29FC5B" w14:textId="367F8927"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1</w:t>
            </w:r>
          </w:p>
        </w:tc>
        <w:tc>
          <w:tcPr>
            <w:tcW w:w="1470" w:type="dxa"/>
            <w:tcBorders>
              <w:top w:val="nil"/>
              <w:left w:val="nil"/>
              <w:bottom w:val="nil"/>
              <w:right w:val="nil"/>
            </w:tcBorders>
            <w:shd w:val="clear" w:color="auto" w:fill="auto"/>
            <w:noWrap/>
            <w:vAlign w:val="center"/>
          </w:tcPr>
          <w:p w14:paraId="7F978255" w14:textId="1D492C02"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0.6 (0)</w:t>
            </w:r>
          </w:p>
        </w:tc>
      </w:tr>
      <w:tr w:rsidR="00013662" w:rsidRPr="00013662" w14:paraId="6AF5FE59" w14:textId="77777777" w:rsidTr="00685847">
        <w:trPr>
          <w:trHeight w:val="300"/>
        </w:trPr>
        <w:tc>
          <w:tcPr>
            <w:tcW w:w="1470" w:type="dxa"/>
            <w:tcBorders>
              <w:bottom w:val="nil"/>
            </w:tcBorders>
            <w:noWrap/>
            <w:vAlign w:val="center"/>
            <w:hideMark/>
          </w:tcPr>
          <w:p w14:paraId="4A390B77"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GU</w:t>
            </w:r>
          </w:p>
        </w:tc>
        <w:tc>
          <w:tcPr>
            <w:tcW w:w="1470" w:type="dxa"/>
            <w:tcBorders>
              <w:top w:val="nil"/>
              <w:left w:val="nil"/>
              <w:bottom w:val="nil"/>
              <w:right w:val="nil"/>
            </w:tcBorders>
            <w:shd w:val="clear" w:color="auto" w:fill="auto"/>
            <w:vAlign w:val="center"/>
          </w:tcPr>
          <w:p w14:paraId="3456C97C" w14:textId="55BD5BBB"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5</w:t>
            </w:r>
          </w:p>
        </w:tc>
        <w:tc>
          <w:tcPr>
            <w:tcW w:w="1470" w:type="dxa"/>
            <w:tcBorders>
              <w:top w:val="nil"/>
              <w:left w:val="nil"/>
              <w:bottom w:val="nil"/>
              <w:right w:val="nil"/>
            </w:tcBorders>
            <w:shd w:val="clear" w:color="auto" w:fill="auto"/>
            <w:noWrap/>
            <w:vAlign w:val="center"/>
          </w:tcPr>
          <w:p w14:paraId="1C28F970" w14:textId="34C2E84E"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0.4 (0.4)</w:t>
            </w:r>
          </w:p>
        </w:tc>
      </w:tr>
      <w:tr w:rsidR="00013662" w:rsidRPr="00013662" w14:paraId="7C89DCA7" w14:textId="77777777" w:rsidTr="00685847">
        <w:trPr>
          <w:trHeight w:val="300"/>
        </w:trPr>
        <w:tc>
          <w:tcPr>
            <w:tcW w:w="1470" w:type="dxa"/>
            <w:tcBorders>
              <w:top w:val="nil"/>
              <w:bottom w:val="single" w:sz="4" w:space="0" w:color="auto"/>
            </w:tcBorders>
            <w:noWrap/>
            <w:vAlign w:val="center"/>
            <w:hideMark/>
          </w:tcPr>
          <w:p w14:paraId="7A2B932A" w14:textId="77777777" w:rsidR="00CD7DF8" w:rsidRPr="00423A4F" w:rsidRDefault="00CD7DF8" w:rsidP="00CD7DF8">
            <w:pPr>
              <w:autoSpaceDE w:val="0"/>
              <w:autoSpaceDN w:val="0"/>
              <w:adjustRightInd w:val="0"/>
              <w:rPr>
                <w:rFonts w:cstheme="minorHAnsi"/>
                <w:bCs/>
                <w:color w:val="C00000"/>
              </w:rPr>
            </w:pPr>
            <w:r w:rsidRPr="00423A4F">
              <w:rPr>
                <w:rFonts w:cstheme="minorHAnsi"/>
                <w:bCs/>
                <w:color w:val="C00000"/>
              </w:rPr>
              <w:t>MP</w:t>
            </w:r>
          </w:p>
        </w:tc>
        <w:tc>
          <w:tcPr>
            <w:tcW w:w="1470" w:type="dxa"/>
            <w:tcBorders>
              <w:top w:val="nil"/>
              <w:left w:val="nil"/>
              <w:bottom w:val="single" w:sz="4" w:space="0" w:color="auto"/>
              <w:right w:val="nil"/>
            </w:tcBorders>
            <w:shd w:val="clear" w:color="auto" w:fill="auto"/>
            <w:vAlign w:val="center"/>
          </w:tcPr>
          <w:p w14:paraId="3FD5CFE4" w14:textId="5C750879" w:rsidR="00CD7DF8" w:rsidRPr="00423A4F" w:rsidRDefault="00CD7DF8" w:rsidP="00CD7DF8">
            <w:pPr>
              <w:autoSpaceDE w:val="0"/>
              <w:autoSpaceDN w:val="0"/>
              <w:adjustRightInd w:val="0"/>
              <w:jc w:val="right"/>
              <w:rPr>
                <w:rFonts w:ascii="Calibri" w:hAnsi="Calibri" w:cs="Calibri"/>
                <w:color w:val="C00000"/>
              </w:rPr>
            </w:pPr>
            <w:r w:rsidRPr="00423A4F">
              <w:rPr>
                <w:rFonts w:ascii="Calibri" w:hAnsi="Calibri" w:cs="Calibri"/>
                <w:color w:val="C00000"/>
              </w:rPr>
              <w:t>2</w:t>
            </w:r>
          </w:p>
        </w:tc>
        <w:tc>
          <w:tcPr>
            <w:tcW w:w="1470" w:type="dxa"/>
            <w:tcBorders>
              <w:top w:val="nil"/>
              <w:left w:val="nil"/>
              <w:bottom w:val="single" w:sz="4" w:space="0" w:color="auto"/>
              <w:right w:val="nil"/>
            </w:tcBorders>
            <w:shd w:val="clear" w:color="auto" w:fill="auto"/>
            <w:noWrap/>
            <w:vAlign w:val="center"/>
          </w:tcPr>
          <w:p w14:paraId="137EA4ED" w14:textId="007C6907" w:rsidR="00CD7DF8" w:rsidRPr="00423A4F" w:rsidRDefault="00CD7DF8" w:rsidP="00CD7DF8">
            <w:pPr>
              <w:autoSpaceDE w:val="0"/>
              <w:autoSpaceDN w:val="0"/>
              <w:adjustRightInd w:val="0"/>
              <w:jc w:val="right"/>
              <w:rPr>
                <w:rFonts w:cstheme="minorHAnsi"/>
                <w:bCs/>
                <w:color w:val="C00000"/>
              </w:rPr>
            </w:pPr>
            <w:r w:rsidRPr="00423A4F">
              <w:rPr>
                <w:rFonts w:ascii="Calibri" w:hAnsi="Calibri" w:cs="Calibri"/>
                <w:color w:val="C00000"/>
              </w:rPr>
              <w:t>0 (0)</w:t>
            </w:r>
          </w:p>
        </w:tc>
      </w:tr>
    </w:tbl>
    <w:p w14:paraId="687E38F2" w14:textId="570C31AA" w:rsidR="00800CE0" w:rsidRPr="00423A4F" w:rsidRDefault="004E2B1E" w:rsidP="00E80583">
      <w:pPr>
        <w:autoSpaceDE w:val="0"/>
        <w:autoSpaceDN w:val="0"/>
        <w:adjustRightInd w:val="0"/>
        <w:spacing w:after="0" w:line="240" w:lineRule="auto"/>
        <w:rPr>
          <w:rFonts w:cstheme="minorHAnsi"/>
          <w:bCs/>
          <w:color w:val="C00000"/>
          <w:sz w:val="18"/>
          <w:szCs w:val="18"/>
        </w:rPr>
      </w:pPr>
      <w:r w:rsidRPr="00423A4F">
        <w:rPr>
          <w:rFonts w:cstheme="minorHAnsi"/>
          <w:bCs/>
          <w:color w:val="C00000"/>
          <w:sz w:val="18"/>
          <w:szCs w:val="18"/>
          <w:vertAlign w:val="superscript"/>
        </w:rPr>
        <w:t>1</w:t>
      </w:r>
      <w:r w:rsidRPr="00423A4F">
        <w:rPr>
          <w:rFonts w:cstheme="minorHAnsi"/>
          <w:bCs/>
          <w:color w:val="C00000"/>
          <w:sz w:val="18"/>
          <w:szCs w:val="18"/>
        </w:rPr>
        <w:t xml:space="preserve"> Each facility’s percent of MA was based on patient assignment on January 1, 2018.</w:t>
      </w:r>
    </w:p>
    <w:p w14:paraId="61262F56" w14:textId="77777777" w:rsidR="00E80583" w:rsidRPr="00E1508F" w:rsidRDefault="00E80583" w:rsidP="00E80583">
      <w:pPr>
        <w:autoSpaceDE w:val="0"/>
        <w:autoSpaceDN w:val="0"/>
        <w:adjustRightInd w:val="0"/>
        <w:spacing w:after="0" w:line="240" w:lineRule="auto"/>
        <w:rPr>
          <w:rFonts w:cstheme="minorHAnsi"/>
          <w:bCs/>
        </w:rPr>
      </w:pPr>
    </w:p>
    <w:p w14:paraId="10F2DB83" w14:textId="77777777" w:rsidR="00E80583" w:rsidRDefault="00E80583" w:rsidP="00E80583">
      <w:pPr>
        <w:autoSpaceDE w:val="0"/>
        <w:autoSpaceDN w:val="0"/>
        <w:adjustRightInd w:val="0"/>
        <w:spacing w:after="0" w:line="240" w:lineRule="auto"/>
        <w:rPr>
          <w:rFonts w:cstheme="minorHAnsi"/>
          <w:bCs/>
        </w:rPr>
      </w:pPr>
      <w:r>
        <w:rPr>
          <w:rFonts w:cstheme="minorHAnsi"/>
          <w:b/>
          <w:bCs/>
        </w:rPr>
        <w:t xml:space="preserve">2b6.3. </w:t>
      </w:r>
      <w:proofErr w:type="gramStart"/>
      <w:r w:rsidRPr="00A25024">
        <w:rPr>
          <w:rFonts w:cstheme="minorHAnsi"/>
          <w:b/>
          <w:bCs/>
        </w:rPr>
        <w:t>What</w:t>
      </w:r>
      <w:proofErr w:type="gramEnd"/>
      <w:r w:rsidRPr="00A25024">
        <w:rPr>
          <w:rFonts w:cstheme="minorHAnsi"/>
          <w:b/>
          <w:bCs/>
        </w:rPr>
        <w:t xml:space="preserve">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w:t>
      </w:r>
      <w:proofErr w:type="spellStart"/>
      <w:r w:rsidRPr="006A028C">
        <w:rPr>
          <w:rFonts w:ascii="Calibri" w:eastAsia="Calibri" w:hAnsi="Calibri" w:cs="Calibri"/>
        </w:rPr>
        <w:t>nonresponders</w:t>
      </w:r>
      <w:proofErr w:type="spellEnd"/>
      <w:r w:rsidRPr="006A028C">
        <w:rPr>
          <w:rFonts w:ascii="Calibri" w:eastAsia="Calibri" w:hAnsi="Calibri" w:cs="Calibri"/>
        </w:rPr>
        <w:t>)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in terms 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14:paraId="4FDBE38A" w14:textId="77777777" w:rsidR="00E80583" w:rsidRPr="00186387" w:rsidRDefault="00E80583" w:rsidP="00E80583">
      <w:pPr>
        <w:spacing w:after="120"/>
        <w:rPr>
          <w:color w:val="C00000"/>
        </w:rPr>
      </w:pPr>
      <w:r w:rsidRPr="00186387">
        <w:rPr>
          <w:color w:val="C00000"/>
        </w:rPr>
        <w:t xml:space="preserve">Based on the above results, we have included </w:t>
      </w:r>
      <w:proofErr w:type="spellStart"/>
      <w:r w:rsidRPr="00186387">
        <w:rPr>
          <w:color w:val="C00000"/>
        </w:rPr>
        <w:t>Mediare</w:t>
      </w:r>
      <w:proofErr w:type="spellEnd"/>
      <w:r w:rsidRPr="00186387">
        <w:rPr>
          <w:color w:val="C00000"/>
        </w:rPr>
        <w:t xml:space="preserve"> Advantage patients in the measure, but have limited the identification of comorbidities to inpatient claims (which are available for patients of all insurance types) and added an adjustment factor to account for Medicare advantage patients in the model.  This minimizes risk of biased results at the dialysis facility level and is consistent with a number of other NQF-endorsed measures that are based on Medicare claims data.  </w:t>
      </w:r>
    </w:p>
    <w:p w14:paraId="0CABD020" w14:textId="77777777" w:rsidR="00BA053B" w:rsidRPr="005560E7" w:rsidRDefault="00BA053B">
      <w:pPr>
        <w:autoSpaceDE w:val="0"/>
        <w:autoSpaceDN w:val="0"/>
        <w:adjustRightInd w:val="0"/>
        <w:spacing w:after="0" w:line="240" w:lineRule="auto"/>
        <w:rPr>
          <w:rFonts w:cstheme="minorHAnsi"/>
          <w:bCs/>
        </w:rPr>
      </w:pPr>
    </w:p>
    <w:sectPr w:rsidR="00BA053B" w:rsidRPr="005560E7" w:rsidSect="008505D1">
      <w:footerReference w:type="default" r:id="rId2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8957B6" w14:textId="77777777" w:rsidR="00131F17" w:rsidRDefault="00131F17" w:rsidP="005C73CA">
      <w:pPr>
        <w:spacing w:after="0" w:line="240" w:lineRule="auto"/>
      </w:pPr>
      <w:r>
        <w:separator/>
      </w:r>
    </w:p>
  </w:endnote>
  <w:endnote w:type="continuationSeparator" w:id="0">
    <w:p w14:paraId="0DF9EE06" w14:textId="77777777" w:rsidR="00131F17" w:rsidRDefault="00131F17"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MSL12">
    <w:altName w:val="Times New Roman"/>
    <w:panose1 w:val="00000000000000000000"/>
    <w:charset w:val="00"/>
    <w:family w:val="auto"/>
    <w:notTrueType/>
    <w:pitch w:val="default"/>
    <w:sig w:usb0="00000003" w:usb1="00000000" w:usb2="00000000" w:usb3="00000000" w:csb0="00000001" w:csb1="00000000"/>
  </w:font>
  <w:font w:name="CMR12">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ABD026" w14:textId="7775169C" w:rsidR="00131F17" w:rsidRDefault="00131F17">
    <w:pPr>
      <w:pStyle w:val="Footer"/>
    </w:pPr>
    <w:r>
      <w:t>Version 7.1 9/6/2017</w:t>
    </w:r>
    <w:r>
      <w:ptab w:relativeTo="margin" w:alignment="right" w:leader="none"/>
    </w:r>
    <w:r>
      <w:fldChar w:fldCharType="begin"/>
    </w:r>
    <w:r>
      <w:instrText xml:space="preserve"> PAGE   \* MERGEFORMAT </w:instrText>
    </w:r>
    <w:r>
      <w:fldChar w:fldCharType="separate"/>
    </w:r>
    <w:r w:rsidR="00DE4858">
      <w:rPr>
        <w:noProof/>
      </w:rPr>
      <w:t>22</w:t>
    </w:r>
    <w:r>
      <w:rPr>
        <w:noProof/>
      </w:rPr>
      <w:fldChar w:fldCharType="end"/>
    </w:r>
  </w:p>
  <w:p w14:paraId="50861600" w14:textId="77777777" w:rsidR="00131F17" w:rsidRDefault="00131F17"/>
  <w:p w14:paraId="0975740E" w14:textId="77777777" w:rsidR="00131F17" w:rsidRDefault="00131F1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745C05" w14:textId="77777777" w:rsidR="00131F17" w:rsidRDefault="00131F17" w:rsidP="005C73CA">
      <w:pPr>
        <w:spacing w:after="0" w:line="240" w:lineRule="auto"/>
      </w:pPr>
      <w:r>
        <w:separator/>
      </w:r>
    </w:p>
  </w:footnote>
  <w:footnote w:type="continuationSeparator" w:id="0">
    <w:p w14:paraId="3B116D61" w14:textId="77777777" w:rsidR="00131F17" w:rsidRDefault="00131F17" w:rsidP="005C73C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7549C9"/>
    <w:multiLevelType w:val="hybridMultilevel"/>
    <w:tmpl w:val="F22C32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6145FEE"/>
    <w:multiLevelType w:val="hybridMultilevel"/>
    <w:tmpl w:val="42B6D458"/>
    <w:lvl w:ilvl="0" w:tplc="BC1648EE">
      <w:start w:val="1"/>
      <w:numFmt w:val="bullet"/>
      <w:lvlText w:val=""/>
      <w:lvlJc w:val="left"/>
      <w:pPr>
        <w:ind w:left="1080" w:hanging="360"/>
      </w:pPr>
      <w:rPr>
        <w:rFonts w:ascii="Symbol" w:hAnsi="Symbol" w:hint="default"/>
        <w:color w:val="auto"/>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F5B3A9D"/>
    <w:multiLevelType w:val="hybridMultilevel"/>
    <w:tmpl w:val="CB5414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8F644CB"/>
    <w:multiLevelType w:val="hybridMultilevel"/>
    <w:tmpl w:val="D4660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B56ECD"/>
    <w:multiLevelType w:val="hybridMultilevel"/>
    <w:tmpl w:val="E8083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A0251D7"/>
    <w:multiLevelType w:val="hybridMultilevel"/>
    <w:tmpl w:val="5226D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4F31B7A"/>
    <w:multiLevelType w:val="hybridMultilevel"/>
    <w:tmpl w:val="AD1E0D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CA781C"/>
    <w:multiLevelType w:val="hybridMultilevel"/>
    <w:tmpl w:val="69A8D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4F20D4"/>
    <w:multiLevelType w:val="hybridMultilevel"/>
    <w:tmpl w:val="5226DB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AB2FF3"/>
    <w:multiLevelType w:val="hybridMultilevel"/>
    <w:tmpl w:val="E3E68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9BF4123"/>
    <w:multiLevelType w:val="hybridMultilevel"/>
    <w:tmpl w:val="5574AA0E"/>
    <w:lvl w:ilvl="0" w:tplc="771E5ECC">
      <w:start w:val="1"/>
      <w:numFmt w:val="bullet"/>
      <w:lvlText w:val=""/>
      <w:lvlJc w:val="left"/>
      <w:pPr>
        <w:ind w:left="720" w:hanging="360"/>
      </w:pPr>
      <w:rPr>
        <w:rFonts w:ascii="Wingdings" w:hAnsi="Wingdings" w:hint="default"/>
        <w:color w:val="002060"/>
        <w:sz w:val="14"/>
      </w:rPr>
    </w:lvl>
    <w:lvl w:ilvl="1" w:tplc="8E76C016">
      <w:start w:val="1"/>
      <w:numFmt w:val="bullet"/>
      <w:lvlText w:val=""/>
      <w:lvlJc w:val="left"/>
      <w:pPr>
        <w:ind w:left="1440" w:hanging="360"/>
      </w:pPr>
      <w:rPr>
        <w:rFonts w:ascii="Symbol" w:hAnsi="Symbol" w:hint="default"/>
        <w:color w:val="auto"/>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2462B3"/>
    <w:multiLevelType w:val="hybridMultilevel"/>
    <w:tmpl w:val="4FD6403C"/>
    <w:lvl w:ilvl="0" w:tplc="B442E786">
      <w:start w:val="1"/>
      <w:numFmt w:val="decimal"/>
      <w:lvlText w:val="%1."/>
      <w:lvlJc w:val="left"/>
      <w:pPr>
        <w:ind w:left="120" w:hanging="178"/>
      </w:pPr>
      <w:rPr>
        <w:rFonts w:ascii="Calibri" w:eastAsia="Calibri" w:hAnsi="Calibri" w:cs="Calibri" w:hint="default"/>
        <w:spacing w:val="-2"/>
        <w:w w:val="100"/>
        <w:sz w:val="18"/>
        <w:szCs w:val="18"/>
      </w:rPr>
    </w:lvl>
    <w:lvl w:ilvl="1" w:tplc="B1C693E4">
      <w:numFmt w:val="bullet"/>
      <w:lvlText w:val="•"/>
      <w:lvlJc w:val="left"/>
      <w:pPr>
        <w:ind w:left="1068" w:hanging="178"/>
      </w:pPr>
      <w:rPr>
        <w:rFonts w:hint="default"/>
      </w:rPr>
    </w:lvl>
    <w:lvl w:ilvl="2" w:tplc="109A3716">
      <w:numFmt w:val="bullet"/>
      <w:lvlText w:val="•"/>
      <w:lvlJc w:val="left"/>
      <w:pPr>
        <w:ind w:left="2016" w:hanging="178"/>
      </w:pPr>
      <w:rPr>
        <w:rFonts w:hint="default"/>
      </w:rPr>
    </w:lvl>
    <w:lvl w:ilvl="3" w:tplc="99F26A3E">
      <w:numFmt w:val="bullet"/>
      <w:lvlText w:val="•"/>
      <w:lvlJc w:val="left"/>
      <w:pPr>
        <w:ind w:left="2964" w:hanging="178"/>
      </w:pPr>
      <w:rPr>
        <w:rFonts w:hint="default"/>
      </w:rPr>
    </w:lvl>
    <w:lvl w:ilvl="4" w:tplc="42AC548A">
      <w:numFmt w:val="bullet"/>
      <w:lvlText w:val="•"/>
      <w:lvlJc w:val="left"/>
      <w:pPr>
        <w:ind w:left="3912" w:hanging="178"/>
      </w:pPr>
      <w:rPr>
        <w:rFonts w:hint="default"/>
      </w:rPr>
    </w:lvl>
    <w:lvl w:ilvl="5" w:tplc="AE662586">
      <w:numFmt w:val="bullet"/>
      <w:lvlText w:val="•"/>
      <w:lvlJc w:val="left"/>
      <w:pPr>
        <w:ind w:left="4860" w:hanging="178"/>
      </w:pPr>
      <w:rPr>
        <w:rFonts w:hint="default"/>
      </w:rPr>
    </w:lvl>
    <w:lvl w:ilvl="6" w:tplc="F8DA5910">
      <w:numFmt w:val="bullet"/>
      <w:lvlText w:val="•"/>
      <w:lvlJc w:val="left"/>
      <w:pPr>
        <w:ind w:left="5808" w:hanging="178"/>
      </w:pPr>
      <w:rPr>
        <w:rFonts w:hint="default"/>
      </w:rPr>
    </w:lvl>
    <w:lvl w:ilvl="7" w:tplc="3BF4564E">
      <w:numFmt w:val="bullet"/>
      <w:lvlText w:val="•"/>
      <w:lvlJc w:val="left"/>
      <w:pPr>
        <w:ind w:left="6756" w:hanging="178"/>
      </w:pPr>
      <w:rPr>
        <w:rFonts w:hint="default"/>
      </w:rPr>
    </w:lvl>
    <w:lvl w:ilvl="8" w:tplc="6CF44868">
      <w:numFmt w:val="bullet"/>
      <w:lvlText w:val="•"/>
      <w:lvlJc w:val="left"/>
      <w:pPr>
        <w:ind w:left="7704" w:hanging="178"/>
      </w:pPr>
      <w:rPr>
        <w:rFonts w:hint="default"/>
      </w:rPr>
    </w:lvl>
  </w:abstractNum>
  <w:abstractNum w:abstractNumId="36"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F6F7950"/>
    <w:multiLevelType w:val="hybridMultilevel"/>
    <w:tmpl w:val="69A8D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1803B7D"/>
    <w:multiLevelType w:val="hybridMultilevel"/>
    <w:tmpl w:val="69A8D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1F06E1C"/>
    <w:multiLevelType w:val="hybridMultilevel"/>
    <w:tmpl w:val="35FEA4AC"/>
    <w:lvl w:ilvl="0" w:tplc="096270BE">
      <w:start w:val="1"/>
      <w:numFmt w:val="decimal"/>
      <w:lvlText w:val="%1."/>
      <w:lvlJc w:val="left"/>
      <w:pPr>
        <w:ind w:left="120" w:hanging="178"/>
      </w:pPr>
      <w:rPr>
        <w:rFonts w:ascii="Calibri" w:eastAsia="Calibri" w:hAnsi="Calibri" w:cs="Calibri" w:hint="default"/>
        <w:spacing w:val="-2"/>
        <w:w w:val="100"/>
        <w:sz w:val="22"/>
        <w:szCs w:val="18"/>
      </w:rPr>
    </w:lvl>
    <w:lvl w:ilvl="1" w:tplc="B1C693E4">
      <w:numFmt w:val="bullet"/>
      <w:lvlText w:val="•"/>
      <w:lvlJc w:val="left"/>
      <w:pPr>
        <w:ind w:left="1068" w:hanging="178"/>
      </w:pPr>
      <w:rPr>
        <w:rFonts w:hint="default"/>
      </w:rPr>
    </w:lvl>
    <w:lvl w:ilvl="2" w:tplc="109A3716">
      <w:numFmt w:val="bullet"/>
      <w:lvlText w:val="•"/>
      <w:lvlJc w:val="left"/>
      <w:pPr>
        <w:ind w:left="2016" w:hanging="178"/>
      </w:pPr>
      <w:rPr>
        <w:rFonts w:hint="default"/>
      </w:rPr>
    </w:lvl>
    <w:lvl w:ilvl="3" w:tplc="99F26A3E">
      <w:numFmt w:val="bullet"/>
      <w:lvlText w:val="•"/>
      <w:lvlJc w:val="left"/>
      <w:pPr>
        <w:ind w:left="2964" w:hanging="178"/>
      </w:pPr>
      <w:rPr>
        <w:rFonts w:hint="default"/>
      </w:rPr>
    </w:lvl>
    <w:lvl w:ilvl="4" w:tplc="42AC548A">
      <w:numFmt w:val="bullet"/>
      <w:lvlText w:val="•"/>
      <w:lvlJc w:val="left"/>
      <w:pPr>
        <w:ind w:left="3912" w:hanging="178"/>
      </w:pPr>
      <w:rPr>
        <w:rFonts w:hint="default"/>
      </w:rPr>
    </w:lvl>
    <w:lvl w:ilvl="5" w:tplc="AE662586">
      <w:numFmt w:val="bullet"/>
      <w:lvlText w:val="•"/>
      <w:lvlJc w:val="left"/>
      <w:pPr>
        <w:ind w:left="4860" w:hanging="178"/>
      </w:pPr>
      <w:rPr>
        <w:rFonts w:hint="default"/>
      </w:rPr>
    </w:lvl>
    <w:lvl w:ilvl="6" w:tplc="F8DA5910">
      <w:numFmt w:val="bullet"/>
      <w:lvlText w:val="•"/>
      <w:lvlJc w:val="left"/>
      <w:pPr>
        <w:ind w:left="5808" w:hanging="178"/>
      </w:pPr>
      <w:rPr>
        <w:rFonts w:hint="default"/>
      </w:rPr>
    </w:lvl>
    <w:lvl w:ilvl="7" w:tplc="3BF4564E">
      <w:numFmt w:val="bullet"/>
      <w:lvlText w:val="•"/>
      <w:lvlJc w:val="left"/>
      <w:pPr>
        <w:ind w:left="6756" w:hanging="178"/>
      </w:pPr>
      <w:rPr>
        <w:rFonts w:hint="default"/>
      </w:rPr>
    </w:lvl>
    <w:lvl w:ilvl="8" w:tplc="6CF44868">
      <w:numFmt w:val="bullet"/>
      <w:lvlText w:val="•"/>
      <w:lvlJc w:val="left"/>
      <w:pPr>
        <w:ind w:left="7704" w:hanging="178"/>
      </w:pPr>
      <w:rPr>
        <w:rFonts w:hint="default"/>
      </w:rPr>
    </w:lvl>
  </w:abstractNum>
  <w:abstractNum w:abstractNumId="4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7770581"/>
    <w:multiLevelType w:val="hybridMultilevel"/>
    <w:tmpl w:val="994C92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8FD73F4"/>
    <w:multiLevelType w:val="hybridMultilevel"/>
    <w:tmpl w:val="E200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AE06E46"/>
    <w:multiLevelType w:val="hybridMultilevel"/>
    <w:tmpl w:val="69A8D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6E612C"/>
    <w:multiLevelType w:val="hybridMultilevel"/>
    <w:tmpl w:val="22C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F02A53"/>
    <w:multiLevelType w:val="hybridMultilevel"/>
    <w:tmpl w:val="E200DF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7"/>
  </w:num>
  <w:num w:numId="3">
    <w:abstractNumId w:val="5"/>
  </w:num>
  <w:num w:numId="4">
    <w:abstractNumId w:val="9"/>
  </w:num>
  <w:num w:numId="5">
    <w:abstractNumId w:val="3"/>
  </w:num>
  <w:num w:numId="6">
    <w:abstractNumId w:val="2"/>
  </w:num>
  <w:num w:numId="7">
    <w:abstractNumId w:val="6"/>
  </w:num>
  <w:num w:numId="8">
    <w:abstractNumId w:val="28"/>
  </w:num>
  <w:num w:numId="9">
    <w:abstractNumId w:val="16"/>
  </w:num>
  <w:num w:numId="10">
    <w:abstractNumId w:val="41"/>
  </w:num>
  <w:num w:numId="11">
    <w:abstractNumId w:val="18"/>
  </w:num>
  <w:num w:numId="12">
    <w:abstractNumId w:val="36"/>
  </w:num>
  <w:num w:numId="13">
    <w:abstractNumId w:val="26"/>
  </w:num>
  <w:num w:numId="14">
    <w:abstractNumId w:val="26"/>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5"/>
  </w:num>
  <w:num w:numId="16">
    <w:abstractNumId w:val="13"/>
  </w:num>
  <w:num w:numId="17">
    <w:abstractNumId w:val="38"/>
  </w:num>
  <w:num w:numId="18">
    <w:abstractNumId w:val="30"/>
  </w:num>
  <w:num w:numId="19">
    <w:abstractNumId w:val="29"/>
  </w:num>
  <w:num w:numId="20">
    <w:abstractNumId w:val="23"/>
  </w:num>
  <w:num w:numId="21">
    <w:abstractNumId w:val="27"/>
  </w:num>
  <w:num w:numId="22">
    <w:abstractNumId w:val="22"/>
  </w:num>
  <w:num w:numId="23">
    <w:abstractNumId w:val="10"/>
  </w:num>
  <w:num w:numId="24">
    <w:abstractNumId w:val="20"/>
  </w:num>
  <w:num w:numId="25">
    <w:abstractNumId w:val="19"/>
  </w:num>
  <w:num w:numId="26">
    <w:abstractNumId w:val="45"/>
  </w:num>
  <w:num w:numId="27">
    <w:abstractNumId w:val="0"/>
  </w:num>
  <w:num w:numId="28">
    <w:abstractNumId w:val="14"/>
  </w:num>
  <w:num w:numId="29">
    <w:abstractNumId w:val="24"/>
  </w:num>
  <w:num w:numId="30">
    <w:abstractNumId w:val="32"/>
  </w:num>
  <w:num w:numId="31">
    <w:abstractNumId w:val="15"/>
  </w:num>
  <w:num w:numId="32">
    <w:abstractNumId w:val="37"/>
  </w:num>
  <w:num w:numId="33">
    <w:abstractNumId w:val="12"/>
  </w:num>
  <w:num w:numId="34">
    <w:abstractNumId w:val="47"/>
  </w:num>
  <w:num w:numId="35">
    <w:abstractNumId w:val="35"/>
  </w:num>
  <w:num w:numId="36">
    <w:abstractNumId w:val="34"/>
  </w:num>
  <w:num w:numId="37">
    <w:abstractNumId w:val="4"/>
  </w:num>
  <w:num w:numId="38">
    <w:abstractNumId w:val="1"/>
  </w:num>
  <w:num w:numId="39">
    <w:abstractNumId w:val="31"/>
  </w:num>
  <w:num w:numId="40">
    <w:abstractNumId w:val="43"/>
  </w:num>
  <w:num w:numId="41">
    <w:abstractNumId w:val="44"/>
  </w:num>
  <w:num w:numId="42">
    <w:abstractNumId w:val="40"/>
  </w:num>
  <w:num w:numId="43">
    <w:abstractNumId w:val="8"/>
  </w:num>
  <w:num w:numId="44">
    <w:abstractNumId w:val="39"/>
  </w:num>
  <w:num w:numId="45">
    <w:abstractNumId w:val="42"/>
  </w:num>
  <w:num w:numId="46">
    <w:abstractNumId w:val="21"/>
  </w:num>
  <w:num w:numId="47">
    <w:abstractNumId w:val="46"/>
  </w:num>
  <w:num w:numId="48">
    <w:abstractNumId w:val="11"/>
  </w:num>
  <w:num w:numId="49">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proofState w:spelling="clean" w:grammar="clean"/>
  <w:defaultTabStop w:val="720"/>
  <w:characterSpacingControl w:val="doNotCompress"/>
  <w:hdrShapeDefaults>
    <o:shapedefaults v:ext="edit" spidmax="134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26A4"/>
    <w:rsid w:val="00003469"/>
    <w:rsid w:val="00006EFE"/>
    <w:rsid w:val="0001094F"/>
    <w:rsid w:val="00013662"/>
    <w:rsid w:val="000149A6"/>
    <w:rsid w:val="00021170"/>
    <w:rsid w:val="0002128B"/>
    <w:rsid w:val="000216BC"/>
    <w:rsid w:val="00024DFD"/>
    <w:rsid w:val="00026038"/>
    <w:rsid w:val="00026C50"/>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4AAC"/>
    <w:rsid w:val="000775F8"/>
    <w:rsid w:val="00080CF7"/>
    <w:rsid w:val="000851B2"/>
    <w:rsid w:val="00091145"/>
    <w:rsid w:val="00092566"/>
    <w:rsid w:val="00093B3B"/>
    <w:rsid w:val="000943C5"/>
    <w:rsid w:val="000968F8"/>
    <w:rsid w:val="00097012"/>
    <w:rsid w:val="000B032A"/>
    <w:rsid w:val="000B2DF7"/>
    <w:rsid w:val="000B3880"/>
    <w:rsid w:val="000B4989"/>
    <w:rsid w:val="000B7D57"/>
    <w:rsid w:val="000C036D"/>
    <w:rsid w:val="000C0FF8"/>
    <w:rsid w:val="000C3034"/>
    <w:rsid w:val="000C4611"/>
    <w:rsid w:val="000C4F93"/>
    <w:rsid w:val="000D2722"/>
    <w:rsid w:val="000D2A14"/>
    <w:rsid w:val="000D2E60"/>
    <w:rsid w:val="000D7948"/>
    <w:rsid w:val="000D7C84"/>
    <w:rsid w:val="000E305F"/>
    <w:rsid w:val="000E4E13"/>
    <w:rsid w:val="000E602F"/>
    <w:rsid w:val="000E78F6"/>
    <w:rsid w:val="000F034A"/>
    <w:rsid w:val="000F06B5"/>
    <w:rsid w:val="000F1B7A"/>
    <w:rsid w:val="000F39E9"/>
    <w:rsid w:val="00104B45"/>
    <w:rsid w:val="00104C15"/>
    <w:rsid w:val="00105D8B"/>
    <w:rsid w:val="001077EF"/>
    <w:rsid w:val="00110941"/>
    <w:rsid w:val="0011342F"/>
    <w:rsid w:val="001202E9"/>
    <w:rsid w:val="00121404"/>
    <w:rsid w:val="001231C2"/>
    <w:rsid w:val="0012454F"/>
    <w:rsid w:val="00125273"/>
    <w:rsid w:val="0012575E"/>
    <w:rsid w:val="00127C06"/>
    <w:rsid w:val="001317CB"/>
    <w:rsid w:val="00131F17"/>
    <w:rsid w:val="001362D0"/>
    <w:rsid w:val="001369BC"/>
    <w:rsid w:val="00144462"/>
    <w:rsid w:val="00145149"/>
    <w:rsid w:val="00145D4F"/>
    <w:rsid w:val="00146581"/>
    <w:rsid w:val="0014773C"/>
    <w:rsid w:val="0015157A"/>
    <w:rsid w:val="00162C4D"/>
    <w:rsid w:val="0017696D"/>
    <w:rsid w:val="00177A91"/>
    <w:rsid w:val="001813F3"/>
    <w:rsid w:val="0018394D"/>
    <w:rsid w:val="001848FC"/>
    <w:rsid w:val="001878D9"/>
    <w:rsid w:val="00190758"/>
    <w:rsid w:val="00192858"/>
    <w:rsid w:val="00193F21"/>
    <w:rsid w:val="001969C5"/>
    <w:rsid w:val="001A1A7E"/>
    <w:rsid w:val="001A5600"/>
    <w:rsid w:val="001A6CDD"/>
    <w:rsid w:val="001B09D9"/>
    <w:rsid w:val="001B1F9E"/>
    <w:rsid w:val="001B29A8"/>
    <w:rsid w:val="001B4B6D"/>
    <w:rsid w:val="001B578E"/>
    <w:rsid w:val="001C12EE"/>
    <w:rsid w:val="001C6AF1"/>
    <w:rsid w:val="001C7B02"/>
    <w:rsid w:val="001D3A0D"/>
    <w:rsid w:val="001D7B5A"/>
    <w:rsid w:val="001E1B98"/>
    <w:rsid w:val="001E3141"/>
    <w:rsid w:val="001E4DD4"/>
    <w:rsid w:val="001E5D96"/>
    <w:rsid w:val="001E69DC"/>
    <w:rsid w:val="001F169D"/>
    <w:rsid w:val="001F1DA1"/>
    <w:rsid w:val="001F6F93"/>
    <w:rsid w:val="001F7A20"/>
    <w:rsid w:val="00204115"/>
    <w:rsid w:val="00205C24"/>
    <w:rsid w:val="0021054A"/>
    <w:rsid w:val="00211599"/>
    <w:rsid w:val="0021195A"/>
    <w:rsid w:val="00212E65"/>
    <w:rsid w:val="00213383"/>
    <w:rsid w:val="00214C3B"/>
    <w:rsid w:val="00216A2E"/>
    <w:rsid w:val="00220250"/>
    <w:rsid w:val="00222444"/>
    <w:rsid w:val="0022691B"/>
    <w:rsid w:val="00232163"/>
    <w:rsid w:val="002376F8"/>
    <w:rsid w:val="002407F2"/>
    <w:rsid w:val="002408E4"/>
    <w:rsid w:val="00241510"/>
    <w:rsid w:val="00241591"/>
    <w:rsid w:val="00250B4F"/>
    <w:rsid w:val="002541CA"/>
    <w:rsid w:val="0025762F"/>
    <w:rsid w:val="00265249"/>
    <w:rsid w:val="00275563"/>
    <w:rsid w:val="0028114D"/>
    <w:rsid w:val="002816C8"/>
    <w:rsid w:val="00287649"/>
    <w:rsid w:val="00287E84"/>
    <w:rsid w:val="0029286C"/>
    <w:rsid w:val="0029300E"/>
    <w:rsid w:val="00293724"/>
    <w:rsid w:val="0029387E"/>
    <w:rsid w:val="002954FF"/>
    <w:rsid w:val="002A1A9E"/>
    <w:rsid w:val="002A623C"/>
    <w:rsid w:val="002A6F7B"/>
    <w:rsid w:val="002B0C3A"/>
    <w:rsid w:val="002B2116"/>
    <w:rsid w:val="002B2D9B"/>
    <w:rsid w:val="002B5016"/>
    <w:rsid w:val="002B742C"/>
    <w:rsid w:val="002B7F4D"/>
    <w:rsid w:val="002C056B"/>
    <w:rsid w:val="002C0899"/>
    <w:rsid w:val="002C285C"/>
    <w:rsid w:val="002C4BF7"/>
    <w:rsid w:val="002C5546"/>
    <w:rsid w:val="002C7BE4"/>
    <w:rsid w:val="002D09F3"/>
    <w:rsid w:val="002D417D"/>
    <w:rsid w:val="002D5E5D"/>
    <w:rsid w:val="002D6363"/>
    <w:rsid w:val="002E78A0"/>
    <w:rsid w:val="002F2687"/>
    <w:rsid w:val="002F48E1"/>
    <w:rsid w:val="002F4F3B"/>
    <w:rsid w:val="00304C86"/>
    <w:rsid w:val="003059EB"/>
    <w:rsid w:val="00307A7D"/>
    <w:rsid w:val="0031002D"/>
    <w:rsid w:val="003116AC"/>
    <w:rsid w:val="00313E2E"/>
    <w:rsid w:val="00315567"/>
    <w:rsid w:val="00330144"/>
    <w:rsid w:val="00332C67"/>
    <w:rsid w:val="00334018"/>
    <w:rsid w:val="00334329"/>
    <w:rsid w:val="003416BF"/>
    <w:rsid w:val="00345CBA"/>
    <w:rsid w:val="00346245"/>
    <w:rsid w:val="00356267"/>
    <w:rsid w:val="00356BAD"/>
    <w:rsid w:val="00356D01"/>
    <w:rsid w:val="003605B4"/>
    <w:rsid w:val="003627AC"/>
    <w:rsid w:val="0036431A"/>
    <w:rsid w:val="00366914"/>
    <w:rsid w:val="003710D7"/>
    <w:rsid w:val="00372FE3"/>
    <w:rsid w:val="003755CB"/>
    <w:rsid w:val="00375E9F"/>
    <w:rsid w:val="00377A6F"/>
    <w:rsid w:val="00383F85"/>
    <w:rsid w:val="00384D61"/>
    <w:rsid w:val="00386062"/>
    <w:rsid w:val="00387BA1"/>
    <w:rsid w:val="00387EAA"/>
    <w:rsid w:val="003936B7"/>
    <w:rsid w:val="003A1F60"/>
    <w:rsid w:val="003A306C"/>
    <w:rsid w:val="003A706C"/>
    <w:rsid w:val="003A7DE7"/>
    <w:rsid w:val="003B1006"/>
    <w:rsid w:val="003B10D3"/>
    <w:rsid w:val="003B29DC"/>
    <w:rsid w:val="003B445D"/>
    <w:rsid w:val="003C34D5"/>
    <w:rsid w:val="003C5ACA"/>
    <w:rsid w:val="003C5F11"/>
    <w:rsid w:val="003C7E7A"/>
    <w:rsid w:val="003D294B"/>
    <w:rsid w:val="003D6401"/>
    <w:rsid w:val="003E1863"/>
    <w:rsid w:val="003F041B"/>
    <w:rsid w:val="003F0781"/>
    <w:rsid w:val="003F1F83"/>
    <w:rsid w:val="003F2E7E"/>
    <w:rsid w:val="003F5803"/>
    <w:rsid w:val="003F59B3"/>
    <w:rsid w:val="004078FC"/>
    <w:rsid w:val="00414944"/>
    <w:rsid w:val="0041606D"/>
    <w:rsid w:val="00416962"/>
    <w:rsid w:val="004206A8"/>
    <w:rsid w:val="00421263"/>
    <w:rsid w:val="00423A4F"/>
    <w:rsid w:val="00423F10"/>
    <w:rsid w:val="00425762"/>
    <w:rsid w:val="0042670E"/>
    <w:rsid w:val="00426B60"/>
    <w:rsid w:val="00434486"/>
    <w:rsid w:val="004348CC"/>
    <w:rsid w:val="004351AF"/>
    <w:rsid w:val="00436343"/>
    <w:rsid w:val="004403C9"/>
    <w:rsid w:val="004438C5"/>
    <w:rsid w:val="00450136"/>
    <w:rsid w:val="00450C58"/>
    <w:rsid w:val="0045150B"/>
    <w:rsid w:val="004650C2"/>
    <w:rsid w:val="004658FF"/>
    <w:rsid w:val="00474ED7"/>
    <w:rsid w:val="00475407"/>
    <w:rsid w:val="004756E1"/>
    <w:rsid w:val="0048008A"/>
    <w:rsid w:val="00483E94"/>
    <w:rsid w:val="00484120"/>
    <w:rsid w:val="004853A0"/>
    <w:rsid w:val="004874AA"/>
    <w:rsid w:val="00491DC2"/>
    <w:rsid w:val="00495019"/>
    <w:rsid w:val="00496B5F"/>
    <w:rsid w:val="004A069B"/>
    <w:rsid w:val="004A2E10"/>
    <w:rsid w:val="004A796A"/>
    <w:rsid w:val="004B036D"/>
    <w:rsid w:val="004B04DD"/>
    <w:rsid w:val="004B17FF"/>
    <w:rsid w:val="004B1BA0"/>
    <w:rsid w:val="004B4F03"/>
    <w:rsid w:val="004B507C"/>
    <w:rsid w:val="004B55F2"/>
    <w:rsid w:val="004B6CEE"/>
    <w:rsid w:val="004C1736"/>
    <w:rsid w:val="004C2443"/>
    <w:rsid w:val="004C498F"/>
    <w:rsid w:val="004C5D29"/>
    <w:rsid w:val="004C681A"/>
    <w:rsid w:val="004C7C1D"/>
    <w:rsid w:val="004D308B"/>
    <w:rsid w:val="004D31C1"/>
    <w:rsid w:val="004D4D8A"/>
    <w:rsid w:val="004E2B1E"/>
    <w:rsid w:val="004E5824"/>
    <w:rsid w:val="004F68EE"/>
    <w:rsid w:val="005037F6"/>
    <w:rsid w:val="005038D5"/>
    <w:rsid w:val="00511BA4"/>
    <w:rsid w:val="00512869"/>
    <w:rsid w:val="005149E7"/>
    <w:rsid w:val="005161C3"/>
    <w:rsid w:val="00521287"/>
    <w:rsid w:val="005223C7"/>
    <w:rsid w:val="005232D6"/>
    <w:rsid w:val="0053002C"/>
    <w:rsid w:val="005310FA"/>
    <w:rsid w:val="005333CC"/>
    <w:rsid w:val="005363F1"/>
    <w:rsid w:val="00536464"/>
    <w:rsid w:val="00537C1B"/>
    <w:rsid w:val="0054482A"/>
    <w:rsid w:val="0055007C"/>
    <w:rsid w:val="00554922"/>
    <w:rsid w:val="0055502B"/>
    <w:rsid w:val="00555282"/>
    <w:rsid w:val="005560E7"/>
    <w:rsid w:val="005612CC"/>
    <w:rsid w:val="00563029"/>
    <w:rsid w:val="00565946"/>
    <w:rsid w:val="00567D12"/>
    <w:rsid w:val="00572DFB"/>
    <w:rsid w:val="00576062"/>
    <w:rsid w:val="00580235"/>
    <w:rsid w:val="00580462"/>
    <w:rsid w:val="00587537"/>
    <w:rsid w:val="0059559F"/>
    <w:rsid w:val="005A2217"/>
    <w:rsid w:val="005A49FF"/>
    <w:rsid w:val="005A7634"/>
    <w:rsid w:val="005A7E30"/>
    <w:rsid w:val="005B3EDB"/>
    <w:rsid w:val="005B6F04"/>
    <w:rsid w:val="005C0447"/>
    <w:rsid w:val="005C2269"/>
    <w:rsid w:val="005C324F"/>
    <w:rsid w:val="005C731A"/>
    <w:rsid w:val="005C739F"/>
    <w:rsid w:val="005C73CA"/>
    <w:rsid w:val="005C7C30"/>
    <w:rsid w:val="005D19A1"/>
    <w:rsid w:val="005D29EE"/>
    <w:rsid w:val="005D4768"/>
    <w:rsid w:val="005E2CAB"/>
    <w:rsid w:val="005E3CC5"/>
    <w:rsid w:val="005E429E"/>
    <w:rsid w:val="00601ED4"/>
    <w:rsid w:val="006030BC"/>
    <w:rsid w:val="00604457"/>
    <w:rsid w:val="00604FCC"/>
    <w:rsid w:val="00612866"/>
    <w:rsid w:val="00616EB5"/>
    <w:rsid w:val="00625652"/>
    <w:rsid w:val="0062648C"/>
    <w:rsid w:val="006269D4"/>
    <w:rsid w:val="006327D8"/>
    <w:rsid w:val="006363C2"/>
    <w:rsid w:val="0064070A"/>
    <w:rsid w:val="006430FA"/>
    <w:rsid w:val="00643A01"/>
    <w:rsid w:val="0064547A"/>
    <w:rsid w:val="00650F3C"/>
    <w:rsid w:val="00651D44"/>
    <w:rsid w:val="006574D2"/>
    <w:rsid w:val="00661075"/>
    <w:rsid w:val="0066220E"/>
    <w:rsid w:val="00663563"/>
    <w:rsid w:val="00665D55"/>
    <w:rsid w:val="006676D4"/>
    <w:rsid w:val="006715E6"/>
    <w:rsid w:val="00675535"/>
    <w:rsid w:val="00681359"/>
    <w:rsid w:val="006850F4"/>
    <w:rsid w:val="00685847"/>
    <w:rsid w:val="0069157C"/>
    <w:rsid w:val="00692619"/>
    <w:rsid w:val="00696262"/>
    <w:rsid w:val="00697B2D"/>
    <w:rsid w:val="006A6AF7"/>
    <w:rsid w:val="006C182E"/>
    <w:rsid w:val="006C3A4F"/>
    <w:rsid w:val="006C4845"/>
    <w:rsid w:val="006D6BC1"/>
    <w:rsid w:val="006E2BFC"/>
    <w:rsid w:val="006E5C57"/>
    <w:rsid w:val="006E6870"/>
    <w:rsid w:val="006F22A5"/>
    <w:rsid w:val="00702C73"/>
    <w:rsid w:val="00713394"/>
    <w:rsid w:val="00713708"/>
    <w:rsid w:val="00714EDD"/>
    <w:rsid w:val="00724677"/>
    <w:rsid w:val="007248F6"/>
    <w:rsid w:val="00725AC2"/>
    <w:rsid w:val="00732880"/>
    <w:rsid w:val="00734CF5"/>
    <w:rsid w:val="00735F76"/>
    <w:rsid w:val="007409D8"/>
    <w:rsid w:val="007416B9"/>
    <w:rsid w:val="007422FD"/>
    <w:rsid w:val="00743E46"/>
    <w:rsid w:val="00747C45"/>
    <w:rsid w:val="00756FDB"/>
    <w:rsid w:val="007629B6"/>
    <w:rsid w:val="007665BF"/>
    <w:rsid w:val="00771B2A"/>
    <w:rsid w:val="00773048"/>
    <w:rsid w:val="007757CE"/>
    <w:rsid w:val="00775800"/>
    <w:rsid w:val="00787F65"/>
    <w:rsid w:val="0079122A"/>
    <w:rsid w:val="0079180E"/>
    <w:rsid w:val="007950CC"/>
    <w:rsid w:val="0079538B"/>
    <w:rsid w:val="0079606B"/>
    <w:rsid w:val="007961B8"/>
    <w:rsid w:val="00797624"/>
    <w:rsid w:val="007A01F7"/>
    <w:rsid w:val="007A03D8"/>
    <w:rsid w:val="007A4828"/>
    <w:rsid w:val="007B093D"/>
    <w:rsid w:val="007B2069"/>
    <w:rsid w:val="007B52CD"/>
    <w:rsid w:val="007B546F"/>
    <w:rsid w:val="007B6310"/>
    <w:rsid w:val="007C04A1"/>
    <w:rsid w:val="007C21FA"/>
    <w:rsid w:val="007C3AF6"/>
    <w:rsid w:val="007D13B1"/>
    <w:rsid w:val="007D4351"/>
    <w:rsid w:val="007D64C7"/>
    <w:rsid w:val="007D668C"/>
    <w:rsid w:val="007D7019"/>
    <w:rsid w:val="007E18DB"/>
    <w:rsid w:val="007E4F84"/>
    <w:rsid w:val="007E6BF8"/>
    <w:rsid w:val="007E6F1C"/>
    <w:rsid w:val="007F0E9C"/>
    <w:rsid w:val="00800CE0"/>
    <w:rsid w:val="00804604"/>
    <w:rsid w:val="00804C69"/>
    <w:rsid w:val="00804FAA"/>
    <w:rsid w:val="00805457"/>
    <w:rsid w:val="0080711D"/>
    <w:rsid w:val="0081116C"/>
    <w:rsid w:val="0081540B"/>
    <w:rsid w:val="008155CD"/>
    <w:rsid w:val="0082468F"/>
    <w:rsid w:val="0082531C"/>
    <w:rsid w:val="00826A9B"/>
    <w:rsid w:val="00826AF1"/>
    <w:rsid w:val="00827654"/>
    <w:rsid w:val="00833325"/>
    <w:rsid w:val="00840A41"/>
    <w:rsid w:val="00842F3C"/>
    <w:rsid w:val="00843E8A"/>
    <w:rsid w:val="008452CC"/>
    <w:rsid w:val="008505D1"/>
    <w:rsid w:val="008524AC"/>
    <w:rsid w:val="00855158"/>
    <w:rsid w:val="00855C3F"/>
    <w:rsid w:val="00857EE8"/>
    <w:rsid w:val="008628DC"/>
    <w:rsid w:val="0086464B"/>
    <w:rsid w:val="008647FC"/>
    <w:rsid w:val="00864CA8"/>
    <w:rsid w:val="00865E2D"/>
    <w:rsid w:val="008677F9"/>
    <w:rsid w:val="00870E6C"/>
    <w:rsid w:val="00875846"/>
    <w:rsid w:val="008806FD"/>
    <w:rsid w:val="008831E0"/>
    <w:rsid w:val="00884486"/>
    <w:rsid w:val="008871A9"/>
    <w:rsid w:val="008916BA"/>
    <w:rsid w:val="00892176"/>
    <w:rsid w:val="008A1DB7"/>
    <w:rsid w:val="008A403A"/>
    <w:rsid w:val="008A4C13"/>
    <w:rsid w:val="008A545E"/>
    <w:rsid w:val="008B604D"/>
    <w:rsid w:val="008B6443"/>
    <w:rsid w:val="008C0730"/>
    <w:rsid w:val="008C1E08"/>
    <w:rsid w:val="008C3225"/>
    <w:rsid w:val="008C54A9"/>
    <w:rsid w:val="008D16E2"/>
    <w:rsid w:val="008E0BF1"/>
    <w:rsid w:val="008E4FDD"/>
    <w:rsid w:val="008E67C3"/>
    <w:rsid w:val="008F4BC7"/>
    <w:rsid w:val="008F589F"/>
    <w:rsid w:val="008F76A9"/>
    <w:rsid w:val="008F7E67"/>
    <w:rsid w:val="00900DBF"/>
    <w:rsid w:val="00900FB5"/>
    <w:rsid w:val="00901CB0"/>
    <w:rsid w:val="009048B9"/>
    <w:rsid w:val="00904E91"/>
    <w:rsid w:val="009123CA"/>
    <w:rsid w:val="00915886"/>
    <w:rsid w:val="009214DC"/>
    <w:rsid w:val="009219AC"/>
    <w:rsid w:val="00927027"/>
    <w:rsid w:val="009272AE"/>
    <w:rsid w:val="00934167"/>
    <w:rsid w:val="009344BA"/>
    <w:rsid w:val="0094527E"/>
    <w:rsid w:val="00945748"/>
    <w:rsid w:val="009469B6"/>
    <w:rsid w:val="00946E61"/>
    <w:rsid w:val="00947F78"/>
    <w:rsid w:val="00953234"/>
    <w:rsid w:val="0095395E"/>
    <w:rsid w:val="00953FF1"/>
    <w:rsid w:val="009549B1"/>
    <w:rsid w:val="00961EAF"/>
    <w:rsid w:val="0096278F"/>
    <w:rsid w:val="00964535"/>
    <w:rsid w:val="00964EDC"/>
    <w:rsid w:val="00965AA7"/>
    <w:rsid w:val="009726E1"/>
    <w:rsid w:val="00972A04"/>
    <w:rsid w:val="00975953"/>
    <w:rsid w:val="00977591"/>
    <w:rsid w:val="00980B3E"/>
    <w:rsid w:val="00980E75"/>
    <w:rsid w:val="00982521"/>
    <w:rsid w:val="00994BE0"/>
    <w:rsid w:val="009A25B1"/>
    <w:rsid w:val="009A4608"/>
    <w:rsid w:val="009A6A57"/>
    <w:rsid w:val="009A70BF"/>
    <w:rsid w:val="009A7902"/>
    <w:rsid w:val="009B07A2"/>
    <w:rsid w:val="009B1A15"/>
    <w:rsid w:val="009B344D"/>
    <w:rsid w:val="009B4244"/>
    <w:rsid w:val="009B5BB2"/>
    <w:rsid w:val="009C0852"/>
    <w:rsid w:val="009C13CA"/>
    <w:rsid w:val="009C32C6"/>
    <w:rsid w:val="009C5492"/>
    <w:rsid w:val="009C665F"/>
    <w:rsid w:val="009C7513"/>
    <w:rsid w:val="009D2E8B"/>
    <w:rsid w:val="009D3882"/>
    <w:rsid w:val="009D4065"/>
    <w:rsid w:val="009D7E38"/>
    <w:rsid w:val="009E095B"/>
    <w:rsid w:val="009E15F1"/>
    <w:rsid w:val="009E1846"/>
    <w:rsid w:val="009E486F"/>
    <w:rsid w:val="009E78FF"/>
    <w:rsid w:val="009F3425"/>
    <w:rsid w:val="009F370C"/>
    <w:rsid w:val="00A01494"/>
    <w:rsid w:val="00A15850"/>
    <w:rsid w:val="00A22FA9"/>
    <w:rsid w:val="00A25024"/>
    <w:rsid w:val="00A315F1"/>
    <w:rsid w:val="00A32F00"/>
    <w:rsid w:val="00A33CB1"/>
    <w:rsid w:val="00A35F8F"/>
    <w:rsid w:val="00A41377"/>
    <w:rsid w:val="00A4263D"/>
    <w:rsid w:val="00A45DD4"/>
    <w:rsid w:val="00A50772"/>
    <w:rsid w:val="00A509B8"/>
    <w:rsid w:val="00A52AB9"/>
    <w:rsid w:val="00A6048B"/>
    <w:rsid w:val="00A6080A"/>
    <w:rsid w:val="00A6210B"/>
    <w:rsid w:val="00A64EBF"/>
    <w:rsid w:val="00A71200"/>
    <w:rsid w:val="00A7306D"/>
    <w:rsid w:val="00A7323A"/>
    <w:rsid w:val="00A73A8F"/>
    <w:rsid w:val="00A77764"/>
    <w:rsid w:val="00A779E2"/>
    <w:rsid w:val="00A8092F"/>
    <w:rsid w:val="00A831B4"/>
    <w:rsid w:val="00A92B69"/>
    <w:rsid w:val="00A94A9A"/>
    <w:rsid w:val="00A97798"/>
    <w:rsid w:val="00AA5213"/>
    <w:rsid w:val="00AA65A6"/>
    <w:rsid w:val="00AA68D6"/>
    <w:rsid w:val="00AC1D8E"/>
    <w:rsid w:val="00AC48FA"/>
    <w:rsid w:val="00AC7258"/>
    <w:rsid w:val="00AD0240"/>
    <w:rsid w:val="00AD4137"/>
    <w:rsid w:val="00AE2299"/>
    <w:rsid w:val="00AE40D9"/>
    <w:rsid w:val="00AF2D68"/>
    <w:rsid w:val="00B037BA"/>
    <w:rsid w:val="00B11499"/>
    <w:rsid w:val="00B11EDD"/>
    <w:rsid w:val="00B12D41"/>
    <w:rsid w:val="00B20139"/>
    <w:rsid w:val="00B218DA"/>
    <w:rsid w:val="00B279D5"/>
    <w:rsid w:val="00B342FA"/>
    <w:rsid w:val="00B35B2B"/>
    <w:rsid w:val="00B362A0"/>
    <w:rsid w:val="00B42261"/>
    <w:rsid w:val="00B43854"/>
    <w:rsid w:val="00B53E8B"/>
    <w:rsid w:val="00B62CE4"/>
    <w:rsid w:val="00B63543"/>
    <w:rsid w:val="00B75591"/>
    <w:rsid w:val="00B774D2"/>
    <w:rsid w:val="00B8015A"/>
    <w:rsid w:val="00B8115E"/>
    <w:rsid w:val="00B82A57"/>
    <w:rsid w:val="00B857D2"/>
    <w:rsid w:val="00B93B7C"/>
    <w:rsid w:val="00BA053B"/>
    <w:rsid w:val="00BB35AE"/>
    <w:rsid w:val="00BB4E53"/>
    <w:rsid w:val="00BC03A1"/>
    <w:rsid w:val="00BC0D25"/>
    <w:rsid w:val="00BC224D"/>
    <w:rsid w:val="00BC2E67"/>
    <w:rsid w:val="00BC48B5"/>
    <w:rsid w:val="00BD2505"/>
    <w:rsid w:val="00BD25D4"/>
    <w:rsid w:val="00BD40B8"/>
    <w:rsid w:val="00BE0152"/>
    <w:rsid w:val="00BE40DA"/>
    <w:rsid w:val="00BE592D"/>
    <w:rsid w:val="00BE7F63"/>
    <w:rsid w:val="00BF52B0"/>
    <w:rsid w:val="00BF5697"/>
    <w:rsid w:val="00C139B4"/>
    <w:rsid w:val="00C13B32"/>
    <w:rsid w:val="00C14CCC"/>
    <w:rsid w:val="00C153AE"/>
    <w:rsid w:val="00C1695E"/>
    <w:rsid w:val="00C22C1C"/>
    <w:rsid w:val="00C22C45"/>
    <w:rsid w:val="00C233F3"/>
    <w:rsid w:val="00C314F4"/>
    <w:rsid w:val="00C32371"/>
    <w:rsid w:val="00C32C53"/>
    <w:rsid w:val="00C32DB8"/>
    <w:rsid w:val="00C33F2E"/>
    <w:rsid w:val="00C34936"/>
    <w:rsid w:val="00C34C14"/>
    <w:rsid w:val="00C355B9"/>
    <w:rsid w:val="00C37EF1"/>
    <w:rsid w:val="00C401C4"/>
    <w:rsid w:val="00C403DC"/>
    <w:rsid w:val="00C405C0"/>
    <w:rsid w:val="00C41680"/>
    <w:rsid w:val="00C42AAF"/>
    <w:rsid w:val="00C463A4"/>
    <w:rsid w:val="00C47FC4"/>
    <w:rsid w:val="00C60A25"/>
    <w:rsid w:val="00C61D24"/>
    <w:rsid w:val="00C740FB"/>
    <w:rsid w:val="00C74F48"/>
    <w:rsid w:val="00C765C5"/>
    <w:rsid w:val="00C775CE"/>
    <w:rsid w:val="00C82479"/>
    <w:rsid w:val="00C867F0"/>
    <w:rsid w:val="00C869B4"/>
    <w:rsid w:val="00C91CA7"/>
    <w:rsid w:val="00C965B9"/>
    <w:rsid w:val="00CA06D8"/>
    <w:rsid w:val="00CA1D79"/>
    <w:rsid w:val="00CA345A"/>
    <w:rsid w:val="00CB194E"/>
    <w:rsid w:val="00CB24BB"/>
    <w:rsid w:val="00CB49FF"/>
    <w:rsid w:val="00CC02CF"/>
    <w:rsid w:val="00CC086A"/>
    <w:rsid w:val="00CC5E12"/>
    <w:rsid w:val="00CD0E24"/>
    <w:rsid w:val="00CD0F66"/>
    <w:rsid w:val="00CD1F5A"/>
    <w:rsid w:val="00CD364B"/>
    <w:rsid w:val="00CD7DF8"/>
    <w:rsid w:val="00CE0FE7"/>
    <w:rsid w:val="00CE23B8"/>
    <w:rsid w:val="00CE284E"/>
    <w:rsid w:val="00CE2BF6"/>
    <w:rsid w:val="00CE50D7"/>
    <w:rsid w:val="00CF0F6F"/>
    <w:rsid w:val="00CF4CBE"/>
    <w:rsid w:val="00CF4DB8"/>
    <w:rsid w:val="00D00344"/>
    <w:rsid w:val="00D03429"/>
    <w:rsid w:val="00D070B8"/>
    <w:rsid w:val="00D11EE6"/>
    <w:rsid w:val="00D14BE7"/>
    <w:rsid w:val="00D16876"/>
    <w:rsid w:val="00D1754D"/>
    <w:rsid w:val="00D176D3"/>
    <w:rsid w:val="00D20E6F"/>
    <w:rsid w:val="00D2223F"/>
    <w:rsid w:val="00D25018"/>
    <w:rsid w:val="00D274A4"/>
    <w:rsid w:val="00D277AF"/>
    <w:rsid w:val="00D31163"/>
    <w:rsid w:val="00D320B1"/>
    <w:rsid w:val="00D33AFD"/>
    <w:rsid w:val="00D34F5B"/>
    <w:rsid w:val="00D36489"/>
    <w:rsid w:val="00D369E9"/>
    <w:rsid w:val="00D37D33"/>
    <w:rsid w:val="00D42195"/>
    <w:rsid w:val="00D47507"/>
    <w:rsid w:val="00D50704"/>
    <w:rsid w:val="00D5760A"/>
    <w:rsid w:val="00D61410"/>
    <w:rsid w:val="00D7051B"/>
    <w:rsid w:val="00D73EE4"/>
    <w:rsid w:val="00D762AC"/>
    <w:rsid w:val="00D800F5"/>
    <w:rsid w:val="00D8090D"/>
    <w:rsid w:val="00D8181D"/>
    <w:rsid w:val="00D955A1"/>
    <w:rsid w:val="00D968D8"/>
    <w:rsid w:val="00DA563D"/>
    <w:rsid w:val="00DA7277"/>
    <w:rsid w:val="00DA7415"/>
    <w:rsid w:val="00DB35B2"/>
    <w:rsid w:val="00DB3627"/>
    <w:rsid w:val="00DB4724"/>
    <w:rsid w:val="00DB6944"/>
    <w:rsid w:val="00DC4746"/>
    <w:rsid w:val="00DD1B73"/>
    <w:rsid w:val="00DD72DD"/>
    <w:rsid w:val="00DE3DFC"/>
    <w:rsid w:val="00DE4858"/>
    <w:rsid w:val="00DE696E"/>
    <w:rsid w:val="00DE7149"/>
    <w:rsid w:val="00DF4102"/>
    <w:rsid w:val="00DF5F21"/>
    <w:rsid w:val="00E02623"/>
    <w:rsid w:val="00E0314C"/>
    <w:rsid w:val="00E05A80"/>
    <w:rsid w:val="00E07A4E"/>
    <w:rsid w:val="00E143F1"/>
    <w:rsid w:val="00E1508F"/>
    <w:rsid w:val="00E21187"/>
    <w:rsid w:val="00E23EF7"/>
    <w:rsid w:val="00E261DF"/>
    <w:rsid w:val="00E26A04"/>
    <w:rsid w:val="00E27240"/>
    <w:rsid w:val="00E27EDD"/>
    <w:rsid w:val="00E30584"/>
    <w:rsid w:val="00E30648"/>
    <w:rsid w:val="00E310B9"/>
    <w:rsid w:val="00E37E1B"/>
    <w:rsid w:val="00E444C0"/>
    <w:rsid w:val="00E44BCE"/>
    <w:rsid w:val="00E46A55"/>
    <w:rsid w:val="00E562C0"/>
    <w:rsid w:val="00E56E67"/>
    <w:rsid w:val="00E57FAF"/>
    <w:rsid w:val="00E62F09"/>
    <w:rsid w:val="00E672D6"/>
    <w:rsid w:val="00E76024"/>
    <w:rsid w:val="00E80583"/>
    <w:rsid w:val="00E856A2"/>
    <w:rsid w:val="00E87125"/>
    <w:rsid w:val="00E967AD"/>
    <w:rsid w:val="00E96884"/>
    <w:rsid w:val="00EA5435"/>
    <w:rsid w:val="00EA5F47"/>
    <w:rsid w:val="00EB162E"/>
    <w:rsid w:val="00EB455E"/>
    <w:rsid w:val="00EC2818"/>
    <w:rsid w:val="00EC79DE"/>
    <w:rsid w:val="00ED0BCA"/>
    <w:rsid w:val="00ED11E0"/>
    <w:rsid w:val="00ED4ACE"/>
    <w:rsid w:val="00ED666C"/>
    <w:rsid w:val="00ED7898"/>
    <w:rsid w:val="00EE4D35"/>
    <w:rsid w:val="00EE5F19"/>
    <w:rsid w:val="00EF2DA7"/>
    <w:rsid w:val="00EF59F3"/>
    <w:rsid w:val="00F003FB"/>
    <w:rsid w:val="00F04439"/>
    <w:rsid w:val="00F1412B"/>
    <w:rsid w:val="00F15BFA"/>
    <w:rsid w:val="00F17A7C"/>
    <w:rsid w:val="00F17C53"/>
    <w:rsid w:val="00F20E55"/>
    <w:rsid w:val="00F3009C"/>
    <w:rsid w:val="00F3087B"/>
    <w:rsid w:val="00F31C70"/>
    <w:rsid w:val="00F321CD"/>
    <w:rsid w:val="00F33313"/>
    <w:rsid w:val="00F34FAB"/>
    <w:rsid w:val="00F3552C"/>
    <w:rsid w:val="00F37D07"/>
    <w:rsid w:val="00F4169F"/>
    <w:rsid w:val="00F435AA"/>
    <w:rsid w:val="00F43AF3"/>
    <w:rsid w:val="00F50946"/>
    <w:rsid w:val="00F527B4"/>
    <w:rsid w:val="00F5738A"/>
    <w:rsid w:val="00F612D4"/>
    <w:rsid w:val="00F64DC0"/>
    <w:rsid w:val="00F730F2"/>
    <w:rsid w:val="00F7389E"/>
    <w:rsid w:val="00F74071"/>
    <w:rsid w:val="00F77F1D"/>
    <w:rsid w:val="00F77F79"/>
    <w:rsid w:val="00F8374E"/>
    <w:rsid w:val="00F85479"/>
    <w:rsid w:val="00F87C96"/>
    <w:rsid w:val="00F87CCB"/>
    <w:rsid w:val="00FA256B"/>
    <w:rsid w:val="00FA48C7"/>
    <w:rsid w:val="00FA6EAF"/>
    <w:rsid w:val="00FB516D"/>
    <w:rsid w:val="00FB51FB"/>
    <w:rsid w:val="00FB6ACD"/>
    <w:rsid w:val="00FB73C1"/>
    <w:rsid w:val="00FC0999"/>
    <w:rsid w:val="00FC163A"/>
    <w:rsid w:val="00FC6074"/>
    <w:rsid w:val="00FD0E4C"/>
    <w:rsid w:val="00FD3442"/>
    <w:rsid w:val="00FF05DB"/>
    <w:rsid w:val="00FF1914"/>
    <w:rsid w:val="00FF66B3"/>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34145"/>
    <o:shapelayout v:ext="edit">
      <o:idmap v:ext="edit" data="1"/>
    </o:shapelayout>
  </w:shapeDefaults>
  <w:decimalSymbol w:val="."/>
  <w:listSeparator w:val=","/>
  <w14:docId w14:val="0CABCF53"/>
  <w15:docId w15:val="{4928671E-0322-4D24-9596-9C4C15962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E0BF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F87C9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ed List Level 1"/>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aliases w:val="Bulleted List Level 1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7D668C"/>
    <w:pPr>
      <w:autoSpaceDE w:val="0"/>
      <w:autoSpaceDN w:val="0"/>
      <w:adjustRightInd w:val="0"/>
      <w:spacing w:after="0" w:line="240" w:lineRule="auto"/>
    </w:pPr>
    <w:rPr>
      <w:rFonts w:ascii="Calibri" w:hAnsi="Calibri" w:cs="Calibri"/>
      <w:color w:val="000000"/>
      <w:sz w:val="24"/>
      <w:szCs w:val="24"/>
    </w:rPr>
  </w:style>
  <w:style w:type="paragraph" w:styleId="BodyText">
    <w:name w:val="Body Text"/>
    <w:basedOn w:val="Normal"/>
    <w:link w:val="BodyTextChar"/>
    <w:uiPriority w:val="1"/>
    <w:qFormat/>
    <w:rsid w:val="00F87C96"/>
    <w:pPr>
      <w:widowControl w:val="0"/>
      <w:autoSpaceDE w:val="0"/>
      <w:autoSpaceDN w:val="0"/>
      <w:spacing w:after="0" w:line="240" w:lineRule="auto"/>
    </w:pPr>
    <w:rPr>
      <w:rFonts w:ascii="Calibri" w:eastAsia="Calibri" w:hAnsi="Calibri" w:cs="Calibri"/>
    </w:rPr>
  </w:style>
  <w:style w:type="character" w:customStyle="1" w:styleId="BodyTextChar">
    <w:name w:val="Body Text Char"/>
    <w:basedOn w:val="DefaultParagraphFont"/>
    <w:link w:val="BodyText"/>
    <w:uiPriority w:val="1"/>
    <w:rsid w:val="00F87C96"/>
    <w:rPr>
      <w:rFonts w:ascii="Calibri" w:eastAsia="Calibri" w:hAnsi="Calibri" w:cs="Calibri"/>
    </w:rPr>
  </w:style>
  <w:style w:type="character" w:customStyle="1" w:styleId="Heading2Char">
    <w:name w:val="Heading 2 Char"/>
    <w:basedOn w:val="DefaultParagraphFont"/>
    <w:link w:val="Heading2"/>
    <w:uiPriority w:val="9"/>
    <w:rsid w:val="00F87C9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8E0BF1"/>
    <w:rPr>
      <w:rFonts w:asciiTheme="majorHAnsi" w:eastAsiaTheme="majorEastAsia" w:hAnsiTheme="majorHAnsi" w:cstheme="majorBidi"/>
      <w:color w:val="365F91" w:themeColor="accent1" w:themeShade="BF"/>
      <w:sz w:val="32"/>
      <w:szCs w:val="32"/>
    </w:rPr>
  </w:style>
  <w:style w:type="paragraph" w:customStyle="1" w:styleId="TableParagraph">
    <w:name w:val="Table Paragraph"/>
    <w:basedOn w:val="Normal"/>
    <w:uiPriority w:val="1"/>
    <w:qFormat/>
    <w:rsid w:val="008E0BF1"/>
    <w:pPr>
      <w:widowControl w:val="0"/>
      <w:autoSpaceDE w:val="0"/>
      <w:autoSpaceDN w:val="0"/>
      <w:spacing w:after="0" w:line="240" w:lineRule="auto"/>
      <w:jc w:val="right"/>
    </w:pPr>
    <w:rPr>
      <w:rFonts w:ascii="Calibri" w:eastAsia="Calibri" w:hAnsi="Calibri" w:cs="Calibri"/>
    </w:rPr>
  </w:style>
  <w:style w:type="character" w:customStyle="1" w:styleId="slug-pages">
    <w:name w:val="slug-pages"/>
    <w:basedOn w:val="DefaultParagraphFont"/>
    <w:rsid w:val="00FD3442"/>
  </w:style>
  <w:style w:type="character" w:customStyle="1" w:styleId="ref-journal">
    <w:name w:val="ref-journal"/>
    <w:basedOn w:val="DefaultParagraphFont"/>
    <w:rsid w:val="00423A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860420">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618873256">
      <w:bodyDiv w:val="1"/>
      <w:marLeft w:val="0"/>
      <w:marRight w:val="0"/>
      <w:marTop w:val="0"/>
      <w:marBottom w:val="0"/>
      <w:divBdr>
        <w:top w:val="none" w:sz="0" w:space="0" w:color="auto"/>
        <w:left w:val="none" w:sz="0" w:space="0" w:color="auto"/>
        <w:bottom w:val="none" w:sz="0" w:space="0" w:color="auto"/>
        <w:right w:val="none" w:sz="0" w:space="0" w:color="auto"/>
      </w:divBdr>
    </w:div>
    <w:div w:id="648049207">
      <w:bodyDiv w:val="1"/>
      <w:marLeft w:val="0"/>
      <w:marRight w:val="0"/>
      <w:marTop w:val="0"/>
      <w:marBottom w:val="0"/>
      <w:divBdr>
        <w:top w:val="none" w:sz="0" w:space="0" w:color="auto"/>
        <w:left w:val="none" w:sz="0" w:space="0" w:color="auto"/>
        <w:bottom w:val="none" w:sz="0" w:space="0" w:color="auto"/>
        <w:right w:val="none" w:sz="0" w:space="0" w:color="auto"/>
      </w:divBdr>
    </w:div>
    <w:div w:id="1038356170">
      <w:bodyDiv w:val="1"/>
      <w:marLeft w:val="0"/>
      <w:marRight w:val="0"/>
      <w:marTop w:val="0"/>
      <w:marBottom w:val="0"/>
      <w:divBdr>
        <w:top w:val="none" w:sz="0" w:space="0" w:color="auto"/>
        <w:left w:val="none" w:sz="0" w:space="0" w:color="auto"/>
        <w:bottom w:val="none" w:sz="0" w:space="0" w:color="auto"/>
        <w:right w:val="none" w:sz="0" w:space="0" w:color="auto"/>
      </w:divBdr>
    </w:div>
    <w:div w:id="1083531233">
      <w:bodyDiv w:val="1"/>
      <w:marLeft w:val="0"/>
      <w:marRight w:val="0"/>
      <w:marTop w:val="0"/>
      <w:marBottom w:val="0"/>
      <w:divBdr>
        <w:top w:val="none" w:sz="0" w:space="0" w:color="auto"/>
        <w:left w:val="none" w:sz="0" w:space="0" w:color="auto"/>
        <w:bottom w:val="none" w:sz="0" w:space="0" w:color="auto"/>
        <w:right w:val="none" w:sz="0" w:space="0" w:color="auto"/>
      </w:divBdr>
    </w:div>
    <w:div w:id="1220748926">
      <w:bodyDiv w:val="1"/>
      <w:marLeft w:val="0"/>
      <w:marRight w:val="0"/>
      <w:marTop w:val="0"/>
      <w:marBottom w:val="0"/>
      <w:divBdr>
        <w:top w:val="none" w:sz="0" w:space="0" w:color="auto"/>
        <w:left w:val="none" w:sz="0" w:space="0" w:color="auto"/>
        <w:bottom w:val="none" w:sz="0" w:space="0" w:color="auto"/>
        <w:right w:val="none" w:sz="0" w:space="0" w:color="auto"/>
      </w:divBdr>
    </w:div>
    <w:div w:id="1324044168">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509952616">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35674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3.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s://www.neighborhoodatlas.medicine.wisc.edu"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archive.ahrq.gov/research/findings/final-reports/medicareindicators/medicareindicators3.html"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naph.org/Unpublished-Documents/Hospital-Wide-All-Condition-30-Day-Risk-Standardized-Readmission-"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MSL12">
    <w:altName w:val="Times New Roman"/>
    <w:panose1 w:val="00000000000000000000"/>
    <w:charset w:val="00"/>
    <w:family w:val="auto"/>
    <w:notTrueType/>
    <w:pitch w:val="default"/>
    <w:sig w:usb0="00000003" w:usb1="00000000" w:usb2="00000000" w:usb3="00000000" w:csb0="00000001" w:csb1="00000000"/>
  </w:font>
  <w:font w:name="CMR12">
    <w:panose1 w:val="00000000000000000000"/>
    <w:charset w:val="00"/>
    <w:family w:val="auto"/>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panose1 w:val="00000000000000000000"/>
    <w:charset w:val="00"/>
    <w:family w:val="swiss"/>
    <w:notTrueType/>
    <w:pitch w:val="default"/>
    <w:sig w:usb0="00000003" w:usb1="00000000" w:usb2="00000000" w:usb3="00000000" w:csb0="00000001"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0E7612"/>
    <w:rsid w:val="00127222"/>
    <w:rsid w:val="0017146F"/>
    <w:rsid w:val="001736D7"/>
    <w:rsid w:val="00190AF4"/>
    <w:rsid w:val="001A52A4"/>
    <w:rsid w:val="002031D2"/>
    <w:rsid w:val="00223FA3"/>
    <w:rsid w:val="002502B9"/>
    <w:rsid w:val="00271B9B"/>
    <w:rsid w:val="00277EDD"/>
    <w:rsid w:val="002A288F"/>
    <w:rsid w:val="002C65A7"/>
    <w:rsid w:val="002F052A"/>
    <w:rsid w:val="00350176"/>
    <w:rsid w:val="003840F0"/>
    <w:rsid w:val="00437537"/>
    <w:rsid w:val="0043763B"/>
    <w:rsid w:val="00463857"/>
    <w:rsid w:val="00472C74"/>
    <w:rsid w:val="00472F6E"/>
    <w:rsid w:val="00475BA3"/>
    <w:rsid w:val="004D785E"/>
    <w:rsid w:val="0051213A"/>
    <w:rsid w:val="00513FC9"/>
    <w:rsid w:val="0053654E"/>
    <w:rsid w:val="00580725"/>
    <w:rsid w:val="005F62D0"/>
    <w:rsid w:val="00610196"/>
    <w:rsid w:val="00632A7E"/>
    <w:rsid w:val="00632AB6"/>
    <w:rsid w:val="006E7A4F"/>
    <w:rsid w:val="00730B33"/>
    <w:rsid w:val="00772B2A"/>
    <w:rsid w:val="007C6467"/>
    <w:rsid w:val="007C672A"/>
    <w:rsid w:val="007D4368"/>
    <w:rsid w:val="00822666"/>
    <w:rsid w:val="00823ECC"/>
    <w:rsid w:val="00826796"/>
    <w:rsid w:val="00866C97"/>
    <w:rsid w:val="009017AE"/>
    <w:rsid w:val="009C3F32"/>
    <w:rsid w:val="009C542D"/>
    <w:rsid w:val="00A01A18"/>
    <w:rsid w:val="00A95183"/>
    <w:rsid w:val="00AA120C"/>
    <w:rsid w:val="00AB4AF7"/>
    <w:rsid w:val="00AD7C4F"/>
    <w:rsid w:val="00B079E6"/>
    <w:rsid w:val="00B445F5"/>
    <w:rsid w:val="00B62B31"/>
    <w:rsid w:val="00B803AD"/>
    <w:rsid w:val="00BD40CB"/>
    <w:rsid w:val="00BE64B8"/>
    <w:rsid w:val="00C362A2"/>
    <w:rsid w:val="00C77E30"/>
    <w:rsid w:val="00C90121"/>
    <w:rsid w:val="00C96E73"/>
    <w:rsid w:val="00CA1FE8"/>
    <w:rsid w:val="00CA344F"/>
    <w:rsid w:val="00CA660C"/>
    <w:rsid w:val="00CE148B"/>
    <w:rsid w:val="00D1676E"/>
    <w:rsid w:val="00D76EAC"/>
    <w:rsid w:val="00DC0246"/>
    <w:rsid w:val="00E6518A"/>
    <w:rsid w:val="00F540AB"/>
    <w:rsid w:val="00F75440"/>
    <w:rsid w:val="00F87ECC"/>
    <w:rsid w:val="00F915BA"/>
    <w:rsid w:val="00FB33BF"/>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elements/1.1/"/>
    <ds:schemaRef ds:uri="http://schemas.microsoft.com/office/infopath/2007/PartnerControls"/>
    <ds:schemaRef ds:uri="http://purl.org/dc/terms/"/>
    <ds:schemaRef ds:uri="http://schemas.openxmlformats.org/package/2006/metadata/core-properties"/>
    <ds:schemaRef ds:uri="http://schemas.microsoft.com/office/2006/metadata/properties"/>
    <ds:schemaRef ds:uri="http://schemas.microsoft.com/office/2006/documentManagement/type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4.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5.xml><?xml version="1.0" encoding="utf-8"?>
<ds:datastoreItem xmlns:ds="http://schemas.openxmlformats.org/officeDocument/2006/customXml" ds:itemID="{AE001B4A-C744-49DB-AA57-2C766B5C0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48</Pages>
  <Words>16391</Words>
  <Characters>93434</Characters>
  <Application>Microsoft Office Word</Application>
  <DocSecurity>0</DocSecurity>
  <Lines>778</Lines>
  <Paragraphs>219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dc:description/>
  <cp:lastModifiedBy>Jennifer Sardone</cp:lastModifiedBy>
  <cp:revision>7</cp:revision>
  <dcterms:created xsi:type="dcterms:W3CDTF">2020-04-30T15:06:00Z</dcterms:created>
  <dcterms:modified xsi:type="dcterms:W3CDTF">2020-04-30T16:13:00Z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