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1412FF2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rPr>
              <w:id w:val="-1192988732"/>
              <w:placeholder>
                <w:docPart w:val="F18A07967229422FA3B25674AF0CD910"/>
              </w:placeholder>
            </w:sdtPr>
            <w:sdtEndPr>
              <w:rPr>
                <w:rStyle w:val="DefaultParagraphFont"/>
                <w:noProof/>
                <w:color w:val="auto"/>
              </w:rPr>
            </w:sdtEndPr>
            <w:sdtContent>
              <w:r w:rsidR="00146383" w:rsidRPr="00AD1E8F">
                <w:rPr>
                  <w:rStyle w:val="Style1"/>
                  <w:color w:val="7030A0"/>
                </w:rPr>
                <w:t>2515</w:t>
              </w:r>
            </w:sdtContent>
          </w:sdt>
        </w:sdtContent>
      </w:sdt>
    </w:p>
    <w:p w14:paraId="55B8DA2F" w14:textId="148C5E1C"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10619667"/>
              <w:placeholder>
                <w:docPart w:val="587366B5308E48209098951B8EC46B41"/>
              </w:placeholder>
            </w:sdtPr>
            <w:sdtEndPr>
              <w:rPr>
                <w:rStyle w:val="DefaultParagraphFont"/>
                <w:noProof/>
                <w:color w:val="7030A0"/>
              </w:rPr>
            </w:sdtEndPr>
            <w:sdtContent>
              <w:r w:rsidR="00146383" w:rsidRPr="006844ED">
                <w:rPr>
                  <w:rFonts w:eastAsiaTheme="minorEastAsia" w:cs="Arial"/>
                  <w:color w:val="7030A0"/>
                  <w:szCs w:val="20"/>
                </w:rPr>
                <w:t xml:space="preserve">Hospital </w:t>
              </w:r>
              <w:r w:rsidR="00146383" w:rsidRPr="006844ED">
                <w:rPr>
                  <w:rFonts w:eastAsiaTheme="minorEastAsia" w:cs="Times New Roman"/>
                  <w:iCs/>
                  <w:color w:val="7030A0"/>
                  <w:szCs w:val="20"/>
                </w:rPr>
                <w:t xml:space="preserve">30-day, all-cause, unplanned, </w:t>
              </w:r>
              <w:r w:rsidR="00146383" w:rsidRPr="006844ED">
                <w:rPr>
                  <w:rFonts w:eastAsiaTheme="minorEastAsia" w:cs="Arial"/>
                  <w:color w:val="7030A0"/>
                  <w:szCs w:val="20"/>
                </w:rPr>
                <w:t>risk-standardized</w:t>
              </w:r>
              <w:r w:rsidR="00146383" w:rsidRPr="006844ED">
                <w:rPr>
                  <w:rFonts w:eastAsiaTheme="minorEastAsia" w:cs="Times New Roman"/>
                  <w:iCs/>
                  <w:color w:val="7030A0"/>
                  <w:szCs w:val="20"/>
                </w:rPr>
                <w:t xml:space="preserve"> readmission rate (RSRR) following coronary artery bypass graft (CABG) surgery  </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0AA4133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C00000"/>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u w:val="none"/>
          </w:rPr>
        </w:sdtEndPr>
        <w:sdtContent>
          <w:r w:rsidR="00480BF7" w:rsidRPr="006844ED">
            <w:rPr>
              <w:rStyle w:val="Style2"/>
              <w:color w:val="C00000"/>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5DDAD3F2" w:rsidR="00496AF8" w:rsidRPr="00AD1E8F" w:rsidRDefault="001A7C4A"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sidRPr="00AD1E8F">
            <w:rPr>
              <w:rFonts w:ascii="MS Gothic" w:eastAsia="MS Gothic" w:hAnsi="MS Gothic" w:hint="eastAsia"/>
              <w:bCs/>
              <w:color w:val="0000FF"/>
              <w:u w:val="single"/>
            </w:rPr>
            <w:t>☒</w:t>
          </w:r>
        </w:sdtContent>
      </w:sdt>
      <w:r w:rsidR="0015535B" w:rsidRPr="00AD1E8F">
        <w:rPr>
          <w:bCs/>
          <w:color w:val="0000FF"/>
        </w:rPr>
        <w:t xml:space="preserve"> </w:t>
      </w:r>
      <w:r w:rsidR="00CC0F87" w:rsidRPr="00AD1E8F">
        <w:rPr>
          <w:bCs/>
          <w:color w:val="0000FF"/>
        </w:rPr>
        <w:t>O</w:t>
      </w:r>
      <w:r w:rsidR="00BE6373" w:rsidRPr="00AD1E8F">
        <w:rPr>
          <w:bCs/>
        </w:rPr>
        <w:t>utc</w:t>
      </w:r>
      <w:r w:rsidR="00496AF8" w:rsidRPr="00AD1E8F">
        <w:rPr>
          <w:bCs/>
        </w:rPr>
        <w:t>ome</w:t>
      </w:r>
      <w:r w:rsidR="00B117D0" w:rsidRPr="00AD1E8F">
        <w:rPr>
          <w:bCs/>
        </w:rPr>
        <w:t xml:space="preserve">: </w:t>
      </w:r>
      <w:sdt>
        <w:sdtPr>
          <w:rPr>
            <w:rStyle w:val="Style2"/>
            <w:rFonts w:cstheme="minorHAnsi"/>
          </w:rPr>
          <w:id w:val="-768232283"/>
        </w:sdtPr>
        <w:sdtEndPr>
          <w:rPr>
            <w:rStyle w:val="DefaultParagraphFont"/>
            <w:rFonts w:cstheme="minorBidi"/>
            <w:color w:val="auto"/>
            <w:u w:val="none"/>
          </w:rPr>
        </w:sdtEndPr>
        <w:sdtContent>
          <w:r w:rsidR="00146383" w:rsidRPr="00AD1E8F">
            <w:rPr>
              <w:bCs/>
              <w:color w:val="7030A0"/>
            </w:rPr>
            <w:t xml:space="preserve">30-day, all-cause, unplanned, risk-standardized readmission rate (RSRR) following coronary artery bypass graft (CABG) surgery  </w:t>
          </w:r>
        </w:sdtContent>
      </w:sdt>
    </w:p>
    <w:p w14:paraId="55B8DA52" w14:textId="77777777" w:rsidR="00236F87" w:rsidRPr="00AD1E8F" w:rsidRDefault="001A7C4A"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sidRPr="00AD1E8F">
            <w:rPr>
              <w:rFonts w:ascii="MS Gothic" w:eastAsia="MS Gothic" w:hAnsi="MS Gothic" w:hint="eastAsia"/>
              <w:bCs/>
              <w:color w:val="0000FF"/>
            </w:rPr>
            <w:t>☐</w:t>
          </w:r>
        </w:sdtContent>
      </w:sdt>
      <w:r w:rsidR="00236F87" w:rsidRPr="00AD1E8F">
        <w:rPr>
          <w:bCs/>
        </w:rPr>
        <w:t>Patient-reported outc</w:t>
      </w:r>
      <w:r w:rsidR="00C613EB" w:rsidRPr="00AD1E8F">
        <w:rPr>
          <w:bCs/>
        </w:rPr>
        <w:t>o</w:t>
      </w:r>
      <w:r w:rsidR="00236F87" w:rsidRPr="00AD1E8F">
        <w:rPr>
          <w:bCs/>
        </w:rPr>
        <w:t>me</w:t>
      </w:r>
      <w:r w:rsidR="009C291F" w:rsidRPr="00AD1E8F">
        <w:rPr>
          <w:bCs/>
        </w:rPr>
        <w:t xml:space="preserve"> (PRO)</w:t>
      </w:r>
      <w:r w:rsidR="00236F87" w:rsidRPr="00AD1E8F">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AD1E8F">
            <w:rPr>
              <w:color w:val="A6A6A6" w:themeColor="background1" w:themeShade="A6"/>
            </w:rPr>
            <w:t>Click here to n</w:t>
          </w:r>
          <w:r w:rsidR="00236F87" w:rsidRPr="00AD1E8F">
            <w:rPr>
              <w:rStyle w:val="PlaceholderText"/>
              <w:rFonts w:cstheme="minorHAnsi"/>
              <w:color w:val="A6A6A6" w:themeColor="background1" w:themeShade="A6"/>
            </w:rPr>
            <w:t xml:space="preserve">ame the </w:t>
          </w:r>
          <w:r w:rsidR="001E6153" w:rsidRPr="00AD1E8F">
            <w:rPr>
              <w:rStyle w:val="PlaceholderText"/>
              <w:rFonts w:cstheme="minorHAnsi"/>
              <w:color w:val="A6A6A6" w:themeColor="background1" w:themeShade="A6"/>
            </w:rPr>
            <w:t>PRO</w:t>
          </w:r>
        </w:sdtContent>
      </w:sdt>
    </w:p>
    <w:p w14:paraId="55B8DA53" w14:textId="77777777" w:rsidR="00B117D0" w:rsidRPr="00AD1E8F" w:rsidRDefault="00B117D0" w:rsidP="005857F8">
      <w:pPr>
        <w:ind w:left="720" w:firstLine="0"/>
        <w:rPr>
          <w:rFonts w:eastAsia="MS Gothic" w:cs="MS Gothic"/>
          <w:bCs/>
          <w:i/>
          <w:color w:val="0000FF"/>
        </w:rPr>
      </w:pPr>
      <w:r w:rsidRPr="00AD1E8F">
        <w:rPr>
          <w:bCs/>
          <w:i/>
        </w:rPr>
        <w:t>PRO</w:t>
      </w:r>
      <w:r w:rsidR="009C291F" w:rsidRPr="00AD1E8F">
        <w:rPr>
          <w:bCs/>
          <w:i/>
        </w:rPr>
        <w:t xml:space="preserve">s include </w:t>
      </w:r>
      <w:r w:rsidR="005857F8" w:rsidRPr="00AD1E8F">
        <w:rPr>
          <w:bCs/>
          <w:i/>
        </w:rPr>
        <w:t>HRQoL/functional status, symptom/</w:t>
      </w:r>
      <w:r w:rsidR="003008F4" w:rsidRPr="00AD1E8F">
        <w:rPr>
          <w:bCs/>
          <w:i/>
        </w:rPr>
        <w:t xml:space="preserve">symptom </w:t>
      </w:r>
      <w:r w:rsidR="005857F8" w:rsidRPr="00AD1E8F">
        <w:rPr>
          <w:bCs/>
          <w:i/>
        </w:rPr>
        <w:t>burden, experience with care, health-related behaviors</w:t>
      </w:r>
      <w:r w:rsidR="0061327A" w:rsidRPr="00AD1E8F">
        <w:rPr>
          <w:bCs/>
          <w:i/>
        </w:rPr>
        <w:t>.</w:t>
      </w:r>
      <w:r w:rsidR="0061327A" w:rsidRPr="00AD1E8F">
        <w:rPr>
          <w:rFonts w:eastAsia="Calibri" w:cs="Calibri"/>
          <w:sz w:val="20"/>
          <w:szCs w:val="20"/>
        </w:rPr>
        <w:t xml:space="preserve"> </w:t>
      </w:r>
      <w:r w:rsidR="0061327A" w:rsidRPr="00AD1E8F">
        <w:rPr>
          <w:rFonts w:eastAsia="Calibri" w:cs="Calibri"/>
        </w:rPr>
        <w:t>(</w:t>
      </w:r>
      <w:r w:rsidR="0061327A" w:rsidRPr="00AD1E8F">
        <w:rPr>
          <w:rFonts w:eastAsia="Calibri" w:cs="Calibri"/>
          <w:i/>
        </w:rPr>
        <w:t>A PRO</w:t>
      </w:r>
      <w:r w:rsidR="00E42FAA" w:rsidRPr="00AD1E8F">
        <w:rPr>
          <w:rFonts w:eastAsia="Calibri" w:cs="Calibri"/>
          <w:i/>
        </w:rPr>
        <w:t>-based performance</w:t>
      </w:r>
      <w:r w:rsidR="0061327A" w:rsidRPr="00AD1E8F">
        <w:rPr>
          <w:rFonts w:eastAsia="Calibri" w:cs="Calibri"/>
          <w:i/>
        </w:rPr>
        <w:t xml:space="preserve"> measure is not a survey instrument. Data may be collected using a survey instrument to construct a PRO measure.)</w:t>
      </w:r>
    </w:p>
    <w:p w14:paraId="55B8DA54" w14:textId="77777777" w:rsidR="00496AF8" w:rsidRPr="00AD1E8F" w:rsidRDefault="001A7C4A"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AD1E8F">
            <w:rPr>
              <w:rFonts w:ascii="Segoe UI Symbol" w:hAnsi="Segoe UI Symbol" w:cs="Segoe UI Symbol"/>
              <w:bCs/>
              <w:color w:val="0000FF"/>
            </w:rPr>
            <w:t>☐</w:t>
          </w:r>
        </w:sdtContent>
      </w:sdt>
      <w:r w:rsidR="00D73685" w:rsidRPr="00AD1E8F" w:rsidDel="00D73685">
        <w:rPr>
          <w:bCs/>
          <w:color w:val="0000FF"/>
        </w:rPr>
        <w:t xml:space="preserve"> </w:t>
      </w:r>
      <w:r w:rsidR="00E41417" w:rsidRPr="00AD1E8F">
        <w:rPr>
          <w:bCs/>
        </w:rPr>
        <w:t>I</w:t>
      </w:r>
      <w:r w:rsidR="00496AF8" w:rsidRPr="00AD1E8F">
        <w:rPr>
          <w:bCs/>
        </w:rPr>
        <w:t>ntermediate clinical outcome</w:t>
      </w:r>
      <w:r w:rsidR="00851466" w:rsidRPr="00AD1E8F">
        <w:rPr>
          <w:bCs/>
        </w:rPr>
        <w:t xml:space="preserve"> (</w:t>
      </w:r>
      <w:r w:rsidR="00851466" w:rsidRPr="00AD1E8F">
        <w:rPr>
          <w:bCs/>
          <w:i/>
        </w:rPr>
        <w:t>e.g., lab value</w:t>
      </w:r>
      <w:r w:rsidR="00851466" w:rsidRPr="00AD1E8F">
        <w:rPr>
          <w:bCs/>
        </w:rPr>
        <w:t>)</w:t>
      </w:r>
      <w:r w:rsidR="00496AF8" w:rsidRPr="00AD1E8F">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AD1E8F">
            <w:rPr>
              <w:rStyle w:val="PlaceholderText"/>
              <w:rFonts w:cstheme="minorHAnsi"/>
              <w:color w:val="A6A6A6" w:themeColor="background1" w:themeShade="A6"/>
            </w:rPr>
            <w:t>Click here to name the intermediate outcome</w:t>
          </w:r>
        </w:sdtContent>
      </w:sdt>
    </w:p>
    <w:p w14:paraId="55B8DA55" w14:textId="77777777" w:rsidR="00D73685" w:rsidRPr="00AD1E8F" w:rsidRDefault="001A7C4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sidRPr="00AD1E8F">
            <w:rPr>
              <w:rFonts w:ascii="MS Gothic" w:eastAsia="MS Gothic" w:hAnsi="MS Gothic" w:hint="eastAsia"/>
              <w:bCs/>
              <w:color w:val="0000FF"/>
            </w:rPr>
            <w:t>☐</w:t>
          </w:r>
        </w:sdtContent>
      </w:sdt>
      <w:r w:rsidR="0015535B" w:rsidRPr="00AD1E8F">
        <w:rPr>
          <w:bCs/>
        </w:rPr>
        <w:t xml:space="preserve"> </w:t>
      </w:r>
      <w:r w:rsidR="00E41417" w:rsidRPr="00AD1E8F">
        <w:rPr>
          <w:bCs/>
        </w:rPr>
        <w:t>P</w:t>
      </w:r>
      <w:r w:rsidR="00496AF8" w:rsidRPr="00AD1E8F">
        <w:rPr>
          <w:bCs/>
        </w:rPr>
        <w:t>rocess:</w:t>
      </w:r>
      <w:r w:rsidR="00D73685" w:rsidRPr="00AD1E8F">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AD1E8F">
            <w:rPr>
              <w:rStyle w:val="PlaceholderText"/>
              <w:rFonts w:cstheme="minorHAnsi"/>
              <w:color w:val="A6A6A6" w:themeColor="background1" w:themeShade="A6"/>
            </w:rPr>
            <w:t>Click here to name what is being measured</w:t>
          </w:r>
        </w:sdtContent>
      </w:sdt>
    </w:p>
    <w:p w14:paraId="55B8DA56" w14:textId="77777777" w:rsidR="00496AF8" w:rsidRPr="00AD1E8F" w:rsidRDefault="00D73685" w:rsidP="00D73685">
      <w:pPr>
        <w:ind w:left="432" w:hanging="432"/>
        <w:rPr>
          <w:rFonts w:ascii="MS Gothic" w:eastAsia="MS Gothic" w:hAnsi="MS Gothic"/>
          <w:b/>
          <w:bCs/>
          <w:color w:val="0000FF"/>
        </w:rPr>
      </w:pPr>
      <w:r w:rsidRPr="00AD1E8F">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AD1E8F">
            <w:rPr>
              <w:rFonts w:ascii="MS Gothic" w:eastAsia="MS Gothic" w:hAnsi="MS Gothic" w:hint="eastAsia"/>
              <w:bCs/>
              <w:color w:val="0000FF"/>
            </w:rPr>
            <w:t>☐</w:t>
          </w:r>
        </w:sdtContent>
      </w:sdt>
      <w:r w:rsidRPr="00AD1E8F">
        <w:rPr>
          <w:rFonts w:ascii="MS Gothic" w:eastAsia="MS Gothic" w:hAnsi="MS Gothic"/>
          <w:bCs/>
          <w:color w:val="0000FF"/>
        </w:rPr>
        <w:t xml:space="preserve"> </w:t>
      </w:r>
      <w:r w:rsidRPr="00AD1E8F">
        <w:rPr>
          <w:rFonts w:eastAsia="MS Gothic"/>
          <w:bCs/>
        </w:rPr>
        <w:t>Appropriate use measure:</w:t>
      </w:r>
      <w:r w:rsidR="00496AF8" w:rsidRPr="00AD1E8F">
        <w:rPr>
          <w:bCs/>
        </w:rPr>
        <w:t xml:space="preserve"> </w:t>
      </w:r>
      <w:r w:rsidRPr="00AD1E8F">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AD1E8F">
            <w:rPr>
              <w:rStyle w:val="PlaceholderText"/>
              <w:rFonts w:cstheme="minorHAnsi"/>
              <w:color w:val="A6A6A6" w:themeColor="background1" w:themeShade="A6"/>
            </w:rPr>
            <w:t>Click here to name what is being measured</w:t>
          </w:r>
        </w:sdtContent>
      </w:sdt>
      <w:r w:rsidRPr="00AD1E8F">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AD1E8F">
            <w:rPr>
              <w:rStyle w:val="Style2"/>
              <w:rFonts w:cstheme="minorHAnsi"/>
            </w:rPr>
            <w:t xml:space="preserve">     </w:t>
          </w:r>
        </w:sdtContent>
      </w:sdt>
    </w:p>
    <w:p w14:paraId="55B8DA57" w14:textId="77777777" w:rsidR="00496AF8" w:rsidRPr="00AD1E8F" w:rsidRDefault="001A7C4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AD1E8F">
            <w:rPr>
              <w:rFonts w:ascii="MS Gothic" w:eastAsia="MS Gothic" w:hAnsi="MS Gothic" w:hint="eastAsia"/>
              <w:bCs/>
              <w:color w:val="0000FF"/>
            </w:rPr>
            <w:t>☐</w:t>
          </w:r>
        </w:sdtContent>
      </w:sdt>
      <w:r w:rsidR="0015535B" w:rsidRPr="00AD1E8F">
        <w:rPr>
          <w:bCs/>
        </w:rPr>
        <w:t xml:space="preserve"> </w:t>
      </w:r>
      <w:r w:rsidR="00E41417" w:rsidRPr="00AD1E8F">
        <w:rPr>
          <w:bCs/>
        </w:rPr>
        <w:t>S</w:t>
      </w:r>
      <w:r w:rsidR="00496AF8" w:rsidRPr="00AD1E8F">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AD1E8F">
            <w:rPr>
              <w:rStyle w:val="PlaceholderText"/>
              <w:rFonts w:cstheme="minorHAnsi"/>
              <w:color w:val="A6A6A6" w:themeColor="background1" w:themeShade="A6"/>
            </w:rPr>
            <w:t>Click here to name the structure</w:t>
          </w:r>
        </w:sdtContent>
      </w:sdt>
    </w:p>
    <w:p w14:paraId="55B8DA58" w14:textId="77777777" w:rsidR="00496AF8" w:rsidRPr="00AD1E8F" w:rsidRDefault="001A7C4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AD1E8F">
            <w:rPr>
              <w:rFonts w:ascii="MS Gothic" w:eastAsia="MS Gothic" w:hAnsi="MS Gothic" w:cs="MS Gothic" w:hint="eastAsia"/>
              <w:bCs/>
              <w:color w:val="0000FF"/>
            </w:rPr>
            <w:t>☐</w:t>
          </w:r>
        </w:sdtContent>
      </w:sdt>
      <w:r w:rsidR="0015535B" w:rsidRPr="00AD1E8F">
        <w:rPr>
          <w:bCs/>
        </w:rPr>
        <w:t xml:space="preserve"> </w:t>
      </w:r>
      <w:r w:rsidR="00D73685" w:rsidRPr="00AD1E8F">
        <w:rPr>
          <w:bCs/>
        </w:rPr>
        <w:t>Composite</w:t>
      </w:r>
      <w:r w:rsidR="00496AF8" w:rsidRPr="00AD1E8F">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AD1E8F">
            <w:rPr>
              <w:rStyle w:val="PlaceholderText"/>
              <w:rFonts w:cstheme="minorHAnsi"/>
              <w:color w:val="A6A6A6" w:themeColor="background1" w:themeShade="A6"/>
            </w:rPr>
            <w:t>Click here to name what is being measured</w:t>
          </w:r>
        </w:sdtContent>
      </w:sdt>
    </w:p>
    <w:p w14:paraId="55B8DA59" w14:textId="77777777" w:rsidR="00496AF8" w:rsidRPr="00AD1E8F" w:rsidRDefault="00496AF8" w:rsidP="002E2177">
      <w:pPr>
        <w:ind w:left="0" w:firstLine="0"/>
        <w:rPr>
          <w:bCs/>
        </w:rPr>
      </w:pPr>
    </w:p>
    <w:p w14:paraId="55B8DA5A" w14:textId="7D68642D" w:rsidR="002B06BD" w:rsidRDefault="00676BD4" w:rsidP="002B06BD">
      <w:pPr>
        <w:ind w:left="432" w:hanging="432"/>
        <w:rPr>
          <w:iCs/>
        </w:rPr>
      </w:pPr>
      <w:r w:rsidRPr="00AD1E8F">
        <w:rPr>
          <w:b/>
          <w:bCs/>
          <w:color w:val="0000FF"/>
        </w:rPr>
        <w:t>1a.</w:t>
      </w:r>
      <w:r w:rsidR="00C41794" w:rsidRPr="00AD1E8F">
        <w:rPr>
          <w:b/>
          <w:bCs/>
          <w:color w:val="0000FF"/>
        </w:rPr>
        <w:t>2</w:t>
      </w:r>
      <w:r w:rsidR="002B06BD" w:rsidRPr="00AD1E8F">
        <w:rPr>
          <w:bCs/>
        </w:rPr>
        <w:t xml:space="preserve"> </w:t>
      </w:r>
      <w:r w:rsidRPr="00AD1E8F">
        <w:rPr>
          <w:b/>
          <w:bCs/>
        </w:rPr>
        <w:t>LOGIC MODEL</w:t>
      </w:r>
      <w:r w:rsidRPr="00AD1E8F">
        <w:rPr>
          <w:bCs/>
        </w:rPr>
        <w:t xml:space="preserve"> </w:t>
      </w:r>
      <w:r w:rsidRPr="00AD1E8F">
        <w:rPr>
          <w:iCs/>
        </w:rPr>
        <w:t>Diagram or briefly describe</w:t>
      </w:r>
      <w:r w:rsidR="002B06BD" w:rsidRPr="00AD1E8F">
        <w:rPr>
          <w:iCs/>
        </w:rPr>
        <w:t xml:space="preserve"> the </w:t>
      </w:r>
      <w:r w:rsidRPr="00AD1E8F">
        <w:rPr>
          <w:iCs/>
        </w:rPr>
        <w:t>steps</w:t>
      </w:r>
      <w:r w:rsidR="00236F87" w:rsidRPr="00AD1E8F">
        <w:rPr>
          <w:iCs/>
        </w:rPr>
        <w:t xml:space="preserve"> </w:t>
      </w:r>
      <w:r w:rsidR="002B06BD" w:rsidRPr="00AD1E8F">
        <w:rPr>
          <w:iCs/>
        </w:rPr>
        <w:t xml:space="preserve">between </w:t>
      </w:r>
      <w:r w:rsidR="00CB06C9" w:rsidRPr="00AD1E8F">
        <w:rPr>
          <w:iCs/>
        </w:rPr>
        <w:t>the</w:t>
      </w:r>
      <w:r w:rsidR="002B06BD" w:rsidRPr="00AD1E8F">
        <w:rPr>
          <w:iCs/>
        </w:rPr>
        <w:t xml:space="preserve"> healthcare structure</w:t>
      </w:r>
      <w:r w:rsidR="00CB06C9" w:rsidRPr="00AD1E8F">
        <w:rPr>
          <w:iCs/>
        </w:rPr>
        <w:t>s</w:t>
      </w:r>
      <w:r w:rsidR="00F90F82" w:rsidRPr="00AD1E8F">
        <w:rPr>
          <w:iCs/>
        </w:rPr>
        <w:t xml:space="preserve"> and</w:t>
      </w:r>
      <w:r w:rsidR="002B06BD" w:rsidRPr="00AD1E8F">
        <w:rPr>
          <w:iCs/>
        </w:rPr>
        <w:t xml:space="preserve"> process</w:t>
      </w:r>
      <w:r w:rsidR="00CB06C9" w:rsidRPr="00AD1E8F">
        <w:rPr>
          <w:iCs/>
        </w:rPr>
        <w:t>es</w:t>
      </w:r>
      <w:r w:rsidRPr="00AD1E8F">
        <w:rPr>
          <w:iCs/>
        </w:rPr>
        <w:t xml:space="preserve"> (e.g.,</w:t>
      </w:r>
      <w:r w:rsidR="002B06BD" w:rsidRPr="00AD1E8F">
        <w:rPr>
          <w:iCs/>
        </w:rPr>
        <w:t xml:space="preserve"> intervention</w:t>
      </w:r>
      <w:r w:rsidR="00CB06C9" w:rsidRPr="00AD1E8F">
        <w:rPr>
          <w:iCs/>
        </w:rPr>
        <w:t>s</w:t>
      </w:r>
      <w:r w:rsidR="002B06BD" w:rsidRPr="00AD1E8F">
        <w:rPr>
          <w:iCs/>
        </w:rPr>
        <w:t>, or service</w:t>
      </w:r>
      <w:r w:rsidR="00CB06C9" w:rsidRPr="00AD1E8F">
        <w:rPr>
          <w:iCs/>
        </w:rPr>
        <w:t>s</w:t>
      </w:r>
      <w:r w:rsidRPr="00AD1E8F">
        <w:rPr>
          <w:iCs/>
        </w:rPr>
        <w:t>)</w:t>
      </w:r>
      <w:r w:rsidR="00CB06C9" w:rsidRPr="00AD1E8F">
        <w:rPr>
          <w:iCs/>
        </w:rPr>
        <w:t xml:space="preserve"> </w:t>
      </w:r>
      <w:r w:rsidRPr="00AD1E8F">
        <w:rPr>
          <w:iCs/>
        </w:rPr>
        <w:t>and the patient’s health outcome</w:t>
      </w:r>
      <w:r w:rsidR="00F90F82" w:rsidRPr="00AD1E8F">
        <w:rPr>
          <w:iCs/>
        </w:rPr>
        <w:t>(s)</w:t>
      </w:r>
      <w:r w:rsidRPr="00AD1E8F">
        <w:rPr>
          <w:iCs/>
        </w:rPr>
        <w:t xml:space="preserve">. The relationships in the diagram should be easily understood by general, non-technical audiences. Indicate the </w:t>
      </w:r>
      <w:r w:rsidR="00F90F82" w:rsidRPr="00AD1E8F">
        <w:rPr>
          <w:iCs/>
        </w:rPr>
        <w:t xml:space="preserve">structure, </w:t>
      </w:r>
      <w:r w:rsidRPr="00AD1E8F">
        <w:rPr>
          <w:iCs/>
        </w:rPr>
        <w:t>process or outcome being measured.</w:t>
      </w:r>
    </w:p>
    <w:p w14:paraId="28D80AB0" w14:textId="723772CF" w:rsidR="00674E7F" w:rsidRPr="00674E7F" w:rsidRDefault="009811A6" w:rsidP="00674E7F">
      <w:pPr>
        <w:spacing w:before="120"/>
        <w:ind w:left="432" w:hanging="432"/>
        <w:rPr>
          <w:iCs/>
          <w:color w:val="C00000"/>
        </w:rPr>
      </w:pPr>
      <w:r>
        <w:rPr>
          <w:iCs/>
          <w:color w:val="C00000"/>
        </w:rPr>
        <w:t xml:space="preserve">Figure </w:t>
      </w:r>
      <w:r w:rsidR="00674E7F" w:rsidRPr="00674E7F">
        <w:rPr>
          <w:iCs/>
          <w:color w:val="C00000"/>
        </w:rPr>
        <w:t>1. CABG Readmission Logic Model</w:t>
      </w:r>
    </w:p>
    <w:p w14:paraId="04D7E9C4" w14:textId="6AB1F886" w:rsidR="00674E7F" w:rsidRPr="00AD1E8F" w:rsidRDefault="001A7C4A" w:rsidP="002B06BD">
      <w:pPr>
        <w:ind w:left="432" w:hanging="432"/>
        <w:rPr>
          <w:iCs/>
        </w:rPr>
      </w:pPr>
      <w:r>
        <w:object w:dxaOrig="12711" w:dyaOrig="5041" w14:anchorId="415A2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goal of this measure is to improve patient outcomes by providing patients, physicians, and hospitals with information about hospital-level, risk-standardized readmission rates following coronary artery bypass graft (CABG) surgery. Measurement of patient outcomes allows for a broad view of quality of care that encompasses more than what can be captured by individual process-of-care measures. Complex and critical aspects of care, such as: communication between providers; prevention of, and response to, complications; and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readmission measure was developed to identify institutions, whose performance is better or worse than would be expected based on their patient case-mix, and therefore promote hospital quality improvement and better inform consumers about care quality." style="width:468pt;height:186pt" o:ole="">
            <v:imagedata r:id="rId16" o:title=""/>
          </v:shape>
          <o:OLEObject Type="Embed" ProgID="Visio.Drawing.15" ShapeID="_x0000_i1025" DrawAspect="Content" ObjectID="_1654602290" r:id="rId17"/>
        </w:object>
      </w:r>
    </w:p>
    <w:p w14:paraId="1F5BBBF6" w14:textId="77777777" w:rsidR="00AD1E8F" w:rsidRDefault="00AD1E8F" w:rsidP="00AD1E8F">
      <w:pPr>
        <w:ind w:left="0" w:firstLine="0"/>
        <w:rPr>
          <w:bCs/>
          <w:color w:val="7030A0"/>
        </w:rPr>
      </w:pPr>
    </w:p>
    <w:p w14:paraId="55B8DA5C" w14:textId="7D622894" w:rsidR="00676BD4" w:rsidRPr="00AD1E8F" w:rsidRDefault="006844ED" w:rsidP="00AD1E8F">
      <w:pPr>
        <w:ind w:left="0" w:firstLine="0"/>
        <w:rPr>
          <w:bCs/>
          <w:color w:val="7030A0"/>
        </w:rPr>
      </w:pPr>
      <w:r w:rsidRPr="00AD1E8F">
        <w:rPr>
          <w:bCs/>
          <w:color w:val="7030A0"/>
        </w:rPr>
        <w:t>The goal of this measure is to improve patient outcomes by providing patients, physicians, and hospitals with information about hospital-level, risk-standardized readmission rates following coronary artery bypass graft (CABG) surgery. Measurement of patient outcomes allows for a broad view of quality of care that encompasses more than what can be captured by individual process-of-care measures. Complex and critical aspects of care, such as</w:t>
      </w:r>
      <w:r w:rsidR="00AA2421">
        <w:rPr>
          <w:bCs/>
          <w:color w:val="7030A0"/>
        </w:rPr>
        <w:t>:</w:t>
      </w:r>
      <w:r w:rsidRPr="00AD1E8F">
        <w:rPr>
          <w:bCs/>
          <w:color w:val="7030A0"/>
        </w:rPr>
        <w:t xml:space="preserve"> communication between providers</w:t>
      </w:r>
      <w:r w:rsidR="00AA2421">
        <w:rPr>
          <w:bCs/>
          <w:color w:val="7030A0"/>
        </w:rPr>
        <w:t>;</w:t>
      </w:r>
      <w:r w:rsidRPr="00AD1E8F">
        <w:rPr>
          <w:bCs/>
          <w:color w:val="7030A0"/>
        </w:rPr>
        <w:t xml:space="preserve"> prevention of, and response to, complications</w:t>
      </w:r>
      <w:r w:rsidR="00AA2421">
        <w:rPr>
          <w:bCs/>
          <w:color w:val="7030A0"/>
        </w:rPr>
        <w:t>; and</w:t>
      </w:r>
      <w:r w:rsidRPr="00AD1E8F">
        <w:rPr>
          <w:bCs/>
          <w:color w:val="7030A0"/>
        </w:rPr>
        <w:t xml:space="preserve"> patient safety and coordinated transitions to the outpatient environment all contribute to patient outcomes but are difficult to measure by individual process measures. The goal of outcomes measurement is to risk-adjust for patients’ conditions at the time of </w:t>
      </w:r>
      <w:r w:rsidRPr="00AD1E8F">
        <w:rPr>
          <w:bCs/>
          <w:color w:val="7030A0"/>
        </w:rPr>
        <w:lastRenderedPageBreak/>
        <w:t>hospital admission and then evaluate patient outcomes. This readmission measure was developed to identify institutions, whose performance is better or worse than would be expected based on their patient case-mix, and therefore promote hospital quality improvement and better inform consumers about care quality.</w:t>
      </w:r>
    </w:p>
    <w:p w14:paraId="6C7F6FD6" w14:textId="77777777" w:rsidR="006844ED" w:rsidRPr="00AD1E8F" w:rsidRDefault="006844ED" w:rsidP="002E2177">
      <w:pPr>
        <w:ind w:left="432" w:hanging="432"/>
        <w:rPr>
          <w:bCs/>
        </w:rPr>
      </w:pPr>
    </w:p>
    <w:p w14:paraId="33C7741B" w14:textId="4993289B" w:rsidR="004922E4" w:rsidRPr="00AD1E8F" w:rsidRDefault="004922E4" w:rsidP="004922E4">
      <w:pPr>
        <w:ind w:right="140"/>
        <w:rPr>
          <w:b/>
          <w:iCs/>
        </w:rPr>
      </w:pPr>
      <w:r w:rsidRPr="00AD1E8F">
        <w:rPr>
          <w:b/>
          <w:bCs/>
          <w:color w:val="0000FF"/>
        </w:rPr>
        <w:t>1a.3</w:t>
      </w:r>
      <w:r w:rsidRPr="00AD1E8F">
        <w:rPr>
          <w:bCs/>
        </w:rPr>
        <w:t xml:space="preserve"> </w:t>
      </w:r>
      <w:r w:rsidRPr="00AD1E8F">
        <w:rPr>
          <w:b/>
          <w:bCs/>
        </w:rPr>
        <w:t xml:space="preserve">Value and Meaningfulness:  </w:t>
      </w:r>
      <w:r w:rsidRPr="00AD1E8F">
        <w:rPr>
          <w:bCs/>
        </w:rPr>
        <w:t xml:space="preserve"> </w:t>
      </w:r>
      <w:r w:rsidRPr="00AD1E8F">
        <w:rPr>
          <w:b/>
          <w:iCs/>
        </w:rPr>
        <w:t xml:space="preserve">IF </w:t>
      </w:r>
      <w:r w:rsidRPr="00AD1E8F">
        <w:rPr>
          <w:iCs/>
        </w:rPr>
        <w:t xml:space="preserve">this measure is derived from patient report, provide evidence that the target population values the measured </w:t>
      </w:r>
      <w:r w:rsidRPr="00AD1E8F">
        <w:rPr>
          <w:b/>
          <w:i/>
          <w:iCs/>
        </w:rPr>
        <w:t>outcome, process, or structure</w:t>
      </w:r>
      <w:r w:rsidRPr="00AD1E8F">
        <w:rPr>
          <w:iCs/>
        </w:rPr>
        <w:t xml:space="preserve"> and finds it meaningful. (Describe how and from whom their input was obtained.)</w:t>
      </w:r>
    </w:p>
    <w:p w14:paraId="55B8DA5F" w14:textId="7359D90E" w:rsidR="00676BD4" w:rsidRPr="00AD1E8F" w:rsidRDefault="00676BD4" w:rsidP="00A9011D">
      <w:pPr>
        <w:ind w:left="0" w:firstLine="0"/>
      </w:pPr>
    </w:p>
    <w:p w14:paraId="0964D220" w14:textId="77777777" w:rsidR="006844ED" w:rsidRPr="00AD1E8F" w:rsidRDefault="006844ED" w:rsidP="006844ED">
      <w:pPr>
        <w:ind w:left="0" w:firstLine="0"/>
      </w:pPr>
      <w:r w:rsidRPr="00AD1E8F">
        <w:rPr>
          <w:color w:val="7030A0"/>
        </w:rPr>
        <w:t>N/A. This measure is not an intermediate outcome, process, or structure performance measure.</w:t>
      </w:r>
    </w:p>
    <w:p w14:paraId="58E8D88F" w14:textId="77777777" w:rsidR="006844ED" w:rsidRPr="00AD1E8F" w:rsidRDefault="006844ED" w:rsidP="00A9011D">
      <w:pPr>
        <w:ind w:left="0" w:firstLine="0"/>
        <w:rPr>
          <w:b/>
          <w:color w:val="0000FF"/>
        </w:rPr>
      </w:pPr>
    </w:p>
    <w:p w14:paraId="55B8DA61" w14:textId="77777777" w:rsidR="00676BD4" w:rsidRPr="00AD1E8F" w:rsidRDefault="00C41794" w:rsidP="002E2177">
      <w:pPr>
        <w:ind w:left="432" w:hanging="432"/>
        <w:rPr>
          <w:b/>
          <w:color w:val="0000FF"/>
        </w:rPr>
      </w:pPr>
      <w:r w:rsidRPr="00AD1E8F">
        <w:rPr>
          <w:b/>
          <w:color w:val="0000FF"/>
        </w:rPr>
        <w:t xml:space="preserve">**RESPOND TO ONLY ONE SECTION </w:t>
      </w:r>
      <w:r w:rsidR="004E7215" w:rsidRPr="00AD1E8F">
        <w:rPr>
          <w:b/>
          <w:color w:val="0000FF"/>
        </w:rPr>
        <w:t>BELOW -</w:t>
      </w:r>
      <w:r w:rsidRPr="00AD1E8F">
        <w:rPr>
          <w:b/>
          <w:color w:val="0000FF"/>
        </w:rPr>
        <w:t xml:space="preserve">EITHER 1a.2, 1a.3 or 1a.4) </w:t>
      </w:r>
      <w:r w:rsidR="00AB4ECE" w:rsidRPr="00AD1E8F">
        <w:rPr>
          <w:b/>
          <w:color w:val="0000FF"/>
        </w:rPr>
        <w:t>**</w:t>
      </w:r>
    </w:p>
    <w:p w14:paraId="55B8DA62" w14:textId="77777777" w:rsidR="00676BD4" w:rsidRPr="00AD1E8F" w:rsidRDefault="00676BD4" w:rsidP="002E2177">
      <w:pPr>
        <w:ind w:left="432" w:hanging="432"/>
        <w:rPr>
          <w:b/>
          <w:color w:val="0000FF"/>
        </w:rPr>
      </w:pPr>
    </w:p>
    <w:p w14:paraId="55B8DA63" w14:textId="79D8CB3D" w:rsidR="00496AF8" w:rsidRPr="00AD1E8F" w:rsidRDefault="00B058A6" w:rsidP="00C41794">
      <w:pPr>
        <w:ind w:left="432" w:hanging="432"/>
        <w:rPr>
          <w:b/>
          <w:iCs/>
        </w:rPr>
      </w:pPr>
      <w:r w:rsidRPr="00AD1E8F">
        <w:rPr>
          <w:b/>
          <w:color w:val="0000FF"/>
        </w:rPr>
        <w:t>1</w:t>
      </w:r>
      <w:r w:rsidR="00773485" w:rsidRPr="00AD1E8F">
        <w:rPr>
          <w:b/>
          <w:color w:val="0000FF"/>
        </w:rPr>
        <w:t>a</w:t>
      </w:r>
      <w:r w:rsidRPr="00AD1E8F">
        <w:rPr>
          <w:b/>
          <w:color w:val="0000FF"/>
        </w:rPr>
        <w:t>.2</w:t>
      </w:r>
      <w:r w:rsidR="00E41417" w:rsidRPr="00AD1E8F">
        <w:rPr>
          <w:iCs/>
        </w:rPr>
        <w:t xml:space="preserve"> </w:t>
      </w:r>
      <w:r w:rsidR="00C41794" w:rsidRPr="00AD1E8F">
        <w:rPr>
          <w:b/>
        </w:rPr>
        <w:t>FOR OUTCOME MEASURES including PATIENT REPORTED OUTCOMES</w:t>
      </w:r>
      <w:r w:rsidR="003D6721" w:rsidRPr="00AD1E8F">
        <w:rPr>
          <w:b/>
        </w:rPr>
        <w:t xml:space="preserve"> </w:t>
      </w:r>
      <w:r w:rsidR="00C41794" w:rsidRPr="00AD1E8F">
        <w:rPr>
          <w:b/>
        </w:rPr>
        <w:t>-</w:t>
      </w:r>
      <w:r w:rsidR="00C41794" w:rsidRPr="00AD1E8F">
        <w:rPr>
          <w:b/>
          <w:iCs/>
        </w:rPr>
        <w:t xml:space="preserve"> </w:t>
      </w:r>
      <w:r w:rsidR="003D6721" w:rsidRPr="00AD1E8F">
        <w:rPr>
          <w:b/>
          <w:iCs/>
        </w:rPr>
        <w:t xml:space="preserve">Provide empirical data demonstrating </w:t>
      </w:r>
      <w:r w:rsidR="008B51D9" w:rsidRPr="00AD1E8F">
        <w:rPr>
          <w:b/>
          <w:iCs/>
        </w:rPr>
        <w:t xml:space="preserve">the </w:t>
      </w:r>
      <w:r w:rsidR="005D25E9" w:rsidRPr="00AD1E8F">
        <w:rPr>
          <w:b/>
          <w:iCs/>
        </w:rPr>
        <w:t xml:space="preserve">relationship </w:t>
      </w:r>
      <w:r w:rsidR="00AC1E53" w:rsidRPr="00AD1E8F">
        <w:rPr>
          <w:b/>
          <w:iCs/>
        </w:rPr>
        <w:t>between</w:t>
      </w:r>
      <w:r w:rsidR="005D25E9" w:rsidRPr="00AD1E8F">
        <w:rPr>
          <w:b/>
          <w:iCs/>
        </w:rPr>
        <w:t xml:space="preserve"> the </w:t>
      </w:r>
      <w:r w:rsidR="008B51D9" w:rsidRPr="00AD1E8F">
        <w:rPr>
          <w:b/>
          <w:iCs/>
        </w:rPr>
        <w:t>outcome</w:t>
      </w:r>
      <w:r w:rsidR="005857F8" w:rsidRPr="00AD1E8F">
        <w:rPr>
          <w:b/>
          <w:iCs/>
        </w:rPr>
        <w:t xml:space="preserve"> </w:t>
      </w:r>
      <w:r w:rsidR="00AA5587" w:rsidRPr="00AD1E8F">
        <w:rPr>
          <w:b/>
          <w:iCs/>
        </w:rPr>
        <w:t>(</w:t>
      </w:r>
      <w:r w:rsidR="005857F8" w:rsidRPr="00AD1E8F">
        <w:rPr>
          <w:b/>
          <w:iCs/>
        </w:rPr>
        <w:t>or PRO</w:t>
      </w:r>
      <w:r w:rsidR="00AA5587" w:rsidRPr="00AD1E8F">
        <w:rPr>
          <w:b/>
          <w:iCs/>
        </w:rPr>
        <w:t>)</w:t>
      </w:r>
      <w:r w:rsidR="008B51D9" w:rsidRPr="00AD1E8F">
        <w:rPr>
          <w:b/>
          <w:iCs/>
        </w:rPr>
        <w:t xml:space="preserve"> </w:t>
      </w:r>
      <w:r w:rsidR="005D25E9" w:rsidRPr="00AD1E8F">
        <w:rPr>
          <w:b/>
          <w:iCs/>
        </w:rPr>
        <w:t>to</w:t>
      </w:r>
      <w:r w:rsidR="00236F87" w:rsidRPr="00AD1E8F">
        <w:rPr>
          <w:b/>
          <w:iCs/>
        </w:rPr>
        <w:t xml:space="preserve"> </w:t>
      </w:r>
      <w:r w:rsidR="00496AF8" w:rsidRPr="00AD1E8F">
        <w:rPr>
          <w:b/>
          <w:iCs/>
        </w:rPr>
        <w:t>at least one</w:t>
      </w:r>
      <w:r w:rsidR="009B5BEA" w:rsidRPr="00AD1E8F">
        <w:rPr>
          <w:b/>
          <w:iCs/>
        </w:rPr>
        <w:t xml:space="preserve"> </w:t>
      </w:r>
      <w:r w:rsidR="003D6721" w:rsidRPr="00AD1E8F">
        <w:rPr>
          <w:b/>
          <w:iCs/>
        </w:rPr>
        <w:t xml:space="preserve">healthcare structure, process, </w:t>
      </w:r>
      <w:r w:rsidR="00496AF8" w:rsidRPr="00AD1E8F">
        <w:rPr>
          <w:b/>
          <w:iCs/>
        </w:rPr>
        <w:t>intervention, or service</w:t>
      </w:r>
      <w:r w:rsidR="00676BD4" w:rsidRPr="00AD1E8F">
        <w:rPr>
          <w:b/>
          <w:iCs/>
        </w:rPr>
        <w:t>.</w:t>
      </w:r>
      <w:r w:rsidR="00AC1E53" w:rsidRPr="00AD1E8F">
        <w:rPr>
          <w:b/>
          <w:iCs/>
        </w:rPr>
        <w:t xml:space="preserve"> </w:t>
      </w:r>
    </w:p>
    <w:p w14:paraId="5A73C1BD" w14:textId="77777777" w:rsidR="00674E7F" w:rsidRDefault="00674E7F" w:rsidP="006844ED">
      <w:pPr>
        <w:ind w:left="432" w:firstLine="18"/>
        <w:rPr>
          <w:iCs/>
          <w:color w:val="7030A0"/>
        </w:rPr>
      </w:pPr>
    </w:p>
    <w:p w14:paraId="5BCA8DFD" w14:textId="6086EF81" w:rsidR="00B15675" w:rsidRDefault="000118A5" w:rsidP="00B15675">
      <w:pPr>
        <w:ind w:left="0" w:firstLine="18"/>
        <w:rPr>
          <w:rFonts w:cstheme="minorHAnsi"/>
          <w:color w:val="C00000"/>
        </w:rPr>
      </w:pPr>
      <w:r w:rsidRPr="000118A5">
        <w:rPr>
          <w:color w:val="C00000"/>
        </w:rPr>
        <w:t xml:space="preserve">CABG is a priority area for outcome measure development because it is a common procedure associated with considerable morbidity, </w:t>
      </w:r>
      <w:r>
        <w:rPr>
          <w:color w:val="C00000"/>
        </w:rPr>
        <w:t xml:space="preserve">readmissions, </w:t>
      </w:r>
      <w:r w:rsidRPr="000118A5">
        <w:rPr>
          <w:color w:val="C00000"/>
        </w:rPr>
        <w:t>mortality, and health care spending. Acute myocardial infarction and coronary atherosclerosis, which are often treated by CABG procedures, represent the 5</w:t>
      </w:r>
      <w:r w:rsidRPr="000118A5">
        <w:rPr>
          <w:color w:val="C00000"/>
          <w:vertAlign w:val="superscript"/>
        </w:rPr>
        <w:t>th</w:t>
      </w:r>
      <w:r w:rsidRPr="000118A5">
        <w:rPr>
          <w:color w:val="C00000"/>
        </w:rPr>
        <w:t xml:space="preserve"> and 9</w:t>
      </w:r>
      <w:r w:rsidRPr="000118A5">
        <w:rPr>
          <w:color w:val="C00000"/>
          <w:vertAlign w:val="superscript"/>
        </w:rPr>
        <w:t>th</w:t>
      </w:r>
      <w:r w:rsidRPr="000118A5">
        <w:rPr>
          <w:color w:val="C00000"/>
        </w:rPr>
        <w:t xml:space="preserve"> most costly conditions in the US across all ages and payers respectively, despite being relatively less common reasons for inpatient admission; the ranking for these conditions rises among patients 65 years and older (Torio et al., 2016). </w:t>
      </w:r>
      <w:r w:rsidRPr="000118A5">
        <w:rPr>
          <w:rFonts w:cstheme="minorHAnsi"/>
          <w:color w:val="C00000"/>
        </w:rPr>
        <w:t xml:space="preserve">In fiscal year 2014, isolated CABG surgeries accounted for almost half (40.59%) of all cardiac surgery hospital admissions in Massachusetts </w:t>
      </w:r>
      <w:r w:rsidRPr="000118A5">
        <w:rPr>
          <w:color w:val="C00000"/>
        </w:rPr>
        <w:t>(Massachusetts Data Analysis Center, 2014).</w:t>
      </w:r>
      <w:r w:rsidRPr="000118A5">
        <w:rPr>
          <w:rFonts w:cstheme="minorHAnsi"/>
          <w:color w:val="C00000"/>
        </w:rPr>
        <w:t xml:space="preserve"> In 2014, the average Medicare payment was $32,499 for CABG without valve and $45,873 for CABG plus valve surgeries (Drye et al., 2009; Pennsylvania Health Care Cost Containment Council, 2014).</w:t>
      </w:r>
    </w:p>
    <w:p w14:paraId="7CCCB248" w14:textId="77777777" w:rsidR="000118A5" w:rsidRPr="000118A5" w:rsidRDefault="000118A5" w:rsidP="00B15675">
      <w:pPr>
        <w:ind w:left="0" w:firstLine="18"/>
        <w:rPr>
          <w:iCs/>
          <w:color w:val="C00000"/>
        </w:rPr>
      </w:pPr>
    </w:p>
    <w:p w14:paraId="534C9C29" w14:textId="0379124E" w:rsidR="00674E7F" w:rsidRPr="00674E7F" w:rsidRDefault="00B15675" w:rsidP="00B15675">
      <w:pPr>
        <w:ind w:left="0" w:firstLine="18"/>
        <w:rPr>
          <w:iCs/>
          <w:color w:val="C00000"/>
        </w:rPr>
      </w:pPr>
      <w:r>
        <w:rPr>
          <w:iCs/>
          <w:color w:val="C00000"/>
        </w:rPr>
        <w:t>Although there have been advancements over the last two decades in the management of coronary artery disease</w:t>
      </w:r>
      <w:r w:rsidR="000118A5">
        <w:rPr>
          <w:iCs/>
          <w:color w:val="C00000"/>
        </w:rPr>
        <w:t xml:space="preserve"> and therefore a subsequent decline in CABG</w:t>
      </w:r>
      <w:r w:rsidR="00B05443">
        <w:rPr>
          <w:iCs/>
          <w:color w:val="C00000"/>
        </w:rPr>
        <w:t xml:space="preserve"> procedures and</w:t>
      </w:r>
      <w:r w:rsidR="000118A5">
        <w:rPr>
          <w:iCs/>
          <w:color w:val="C00000"/>
        </w:rPr>
        <w:t xml:space="preserve"> readmissions</w:t>
      </w:r>
      <w:r w:rsidR="00A97849">
        <w:rPr>
          <w:iCs/>
          <w:color w:val="C00000"/>
        </w:rPr>
        <w:t xml:space="preserve"> (McNeely et al., 2017</w:t>
      </w:r>
      <w:r w:rsidR="00B05443">
        <w:rPr>
          <w:iCs/>
          <w:color w:val="C00000"/>
        </w:rPr>
        <w:t>; Weiss et al., 2014</w:t>
      </w:r>
      <w:r w:rsidR="00A97849">
        <w:rPr>
          <w:iCs/>
          <w:color w:val="C00000"/>
        </w:rPr>
        <w:t>)</w:t>
      </w:r>
      <w:r>
        <w:rPr>
          <w:iCs/>
          <w:color w:val="C00000"/>
        </w:rPr>
        <w:t>, c</w:t>
      </w:r>
      <w:r w:rsidR="00674E7F" w:rsidRPr="00674E7F">
        <w:rPr>
          <w:iCs/>
          <w:color w:val="C00000"/>
        </w:rPr>
        <w:t xml:space="preserve">onsiderable variation in CABG readmission rates suggests that there is </w:t>
      </w:r>
      <w:r w:rsidR="000118A5">
        <w:rPr>
          <w:iCs/>
          <w:color w:val="C00000"/>
        </w:rPr>
        <w:t xml:space="preserve">still </w:t>
      </w:r>
      <w:r w:rsidR="00674E7F" w:rsidRPr="00674E7F">
        <w:rPr>
          <w:iCs/>
          <w:color w:val="C00000"/>
        </w:rPr>
        <w:t>room for quality improvement</w:t>
      </w:r>
      <w:r>
        <w:rPr>
          <w:iCs/>
          <w:color w:val="C00000"/>
        </w:rPr>
        <w:t>; notably,</w:t>
      </w:r>
      <w:r w:rsidRPr="003F7797">
        <w:rPr>
          <w:iCs/>
          <w:color w:val="C00000"/>
        </w:rPr>
        <w:t xml:space="preserve"> for the time period of July 2015-June 2018, publicly reported 30-day risk-standardized re</w:t>
      </w:r>
      <w:r>
        <w:rPr>
          <w:iCs/>
          <w:color w:val="C00000"/>
        </w:rPr>
        <w:t>admission rates ranged from 9.3% to 22.1</w:t>
      </w:r>
      <w:r w:rsidRPr="003F7797">
        <w:rPr>
          <w:iCs/>
          <w:color w:val="C00000"/>
        </w:rPr>
        <w:t>% fo</w:t>
      </w:r>
      <w:r>
        <w:rPr>
          <w:iCs/>
          <w:color w:val="C00000"/>
        </w:rPr>
        <w:t xml:space="preserve">r Medicare </w:t>
      </w:r>
      <w:r w:rsidR="00AA2421">
        <w:rPr>
          <w:iCs/>
          <w:color w:val="C00000"/>
        </w:rPr>
        <w:t>fee-for-service (</w:t>
      </w:r>
      <w:r>
        <w:rPr>
          <w:iCs/>
          <w:color w:val="C00000"/>
        </w:rPr>
        <w:t>FFS</w:t>
      </w:r>
      <w:r w:rsidR="00AA2421">
        <w:rPr>
          <w:iCs/>
          <w:color w:val="C00000"/>
        </w:rPr>
        <w:t>)</w:t>
      </w:r>
      <w:r>
        <w:rPr>
          <w:iCs/>
          <w:color w:val="C00000"/>
        </w:rPr>
        <w:t xml:space="preserve"> patients undergoing isolate</w:t>
      </w:r>
      <w:r w:rsidR="00AA2421">
        <w:rPr>
          <w:iCs/>
          <w:color w:val="C00000"/>
        </w:rPr>
        <w:t>d</w:t>
      </w:r>
      <w:r>
        <w:rPr>
          <w:iCs/>
          <w:color w:val="C00000"/>
        </w:rPr>
        <w:t xml:space="preserve"> CABG surgery (Wallace et al.</w:t>
      </w:r>
      <w:r w:rsidRPr="003F7797">
        <w:rPr>
          <w:iCs/>
          <w:color w:val="C00000"/>
        </w:rPr>
        <w:t>, 2019</w:t>
      </w:r>
      <w:r w:rsidR="00674E7F" w:rsidRPr="00674E7F">
        <w:rPr>
          <w:iCs/>
          <w:color w:val="C00000"/>
        </w:rPr>
        <w:t xml:space="preserve">). </w:t>
      </w:r>
      <w:r w:rsidR="00674E7F" w:rsidRPr="00674E7F">
        <w:rPr>
          <w:color w:val="C00000"/>
        </w:rPr>
        <w:t>Although many current hospital interventions are known to decrease the risk of readmission within 30 days of hospital discharge, current process-based performance measures cannot capture all the ways that care within the hospital might influence outcomes. Measurement of patient outcomes allows for a comprehensive view of quality of care that reflects complex aspects of care such as communication between providers and coordinated transitions to the outpatient environment. These aspects are critical to patient outcomes, and are broader than what can be captured by individual process-of-care measures.</w:t>
      </w:r>
    </w:p>
    <w:p w14:paraId="1EFED39E" w14:textId="77777777" w:rsidR="00674E7F" w:rsidRDefault="00674E7F" w:rsidP="00B15675">
      <w:pPr>
        <w:ind w:left="0" w:firstLine="18"/>
        <w:rPr>
          <w:iCs/>
          <w:color w:val="7030A0"/>
        </w:rPr>
      </w:pPr>
    </w:p>
    <w:p w14:paraId="77729014" w14:textId="1E2493F3" w:rsidR="006844ED" w:rsidRPr="00AD1E8F" w:rsidRDefault="006844ED" w:rsidP="00B15675">
      <w:pPr>
        <w:ind w:left="0" w:firstLine="0"/>
        <w:rPr>
          <w:iCs/>
          <w:color w:val="7030A0"/>
          <w:vertAlign w:val="superscript"/>
        </w:rPr>
      </w:pPr>
      <w:r w:rsidRPr="00AD1E8F">
        <w:rPr>
          <w:iCs/>
          <w:color w:val="7030A0"/>
        </w:rPr>
        <w:t>Furthermore, research on a variety of conditions and procedures has shown that readmission rates are influenced by the quality of care provided within the health system and, specifically, that interventions such as improved discharge planning, reconciling patient medications, and improving communications with outpatient providers can reduce readmission rates. A number of recent studies have demonstrated that improvements in care at the time of patient discharge can r</w:t>
      </w:r>
      <w:r w:rsidR="00B05443">
        <w:rPr>
          <w:iCs/>
          <w:color w:val="7030A0"/>
        </w:rPr>
        <w:t xml:space="preserve">educe 30-day readmission rates (Naylor et al., 1994, 1999; Krumholz et al., 2002; van Walraven et al., 2002; Conley et al., 2003; Coleman et al., 2004; Philips et al., 2004; </w:t>
      </w:r>
      <w:r w:rsidR="00B05443" w:rsidRPr="00AD1E8F">
        <w:rPr>
          <w:iCs/>
          <w:color w:val="7030A0"/>
        </w:rPr>
        <w:t>Jovicic</w:t>
      </w:r>
      <w:r w:rsidR="00B05443" w:rsidRPr="00B05443">
        <w:rPr>
          <w:iCs/>
          <w:color w:val="C00000"/>
        </w:rPr>
        <w:t xml:space="preserve"> </w:t>
      </w:r>
      <w:r w:rsidR="00B05443" w:rsidRPr="00B05443">
        <w:rPr>
          <w:iCs/>
          <w:color w:val="7030A0"/>
        </w:rPr>
        <w:t>et al., 2006;</w:t>
      </w:r>
      <w:r w:rsidR="00B05443">
        <w:rPr>
          <w:iCs/>
          <w:color w:val="7030A0"/>
        </w:rPr>
        <w:t xml:space="preserve"> </w:t>
      </w:r>
      <w:r w:rsidR="00B05443" w:rsidRPr="00AD1E8F">
        <w:rPr>
          <w:iCs/>
          <w:color w:val="7030A0"/>
        </w:rPr>
        <w:t>Garasen</w:t>
      </w:r>
      <w:r w:rsidR="00B05443">
        <w:rPr>
          <w:iCs/>
          <w:color w:val="7030A0"/>
        </w:rPr>
        <w:t xml:space="preserve"> et al., 2007; </w:t>
      </w:r>
      <w:r w:rsidR="00B05443" w:rsidRPr="00AD1E8F">
        <w:rPr>
          <w:iCs/>
          <w:color w:val="7030A0"/>
        </w:rPr>
        <w:t>Mistiaen</w:t>
      </w:r>
      <w:r w:rsidR="00B05443">
        <w:rPr>
          <w:iCs/>
          <w:color w:val="7030A0"/>
        </w:rPr>
        <w:t xml:space="preserve"> et al., 2007; Courtney et al., </w:t>
      </w:r>
      <w:r w:rsidR="00B05443">
        <w:rPr>
          <w:iCs/>
          <w:color w:val="7030A0"/>
        </w:rPr>
        <w:lastRenderedPageBreak/>
        <w:t>2009; Koehler et al., 2009; Jack et al., 2009; Weiss et al., 2010; Stauffer et al., 2011; Voss et al., 2011,</w:t>
      </w:r>
      <w:r w:rsidR="00B05443" w:rsidRPr="00B05443">
        <w:rPr>
          <w:iCs/>
          <w:color w:val="7030A0"/>
        </w:rPr>
        <w:t xml:space="preserve"> </w:t>
      </w:r>
      <w:r w:rsidR="00B05443" w:rsidRPr="00B05443">
        <w:rPr>
          <w:iCs/>
          <w:color w:val="C00000"/>
        </w:rPr>
        <w:t>Williams et al., 2011; Bates et al., 2014).</w:t>
      </w:r>
    </w:p>
    <w:p w14:paraId="010E42BC" w14:textId="77777777" w:rsidR="006844ED" w:rsidRPr="00AD1E8F" w:rsidRDefault="006844ED" w:rsidP="006844ED">
      <w:pPr>
        <w:ind w:left="432" w:firstLine="18"/>
        <w:rPr>
          <w:iCs/>
          <w:color w:val="7030A0"/>
          <w:vertAlign w:val="superscript"/>
        </w:rPr>
      </w:pPr>
    </w:p>
    <w:p w14:paraId="1B22D654" w14:textId="77777777" w:rsidR="006844ED" w:rsidRPr="00AD1E8F" w:rsidRDefault="006844ED" w:rsidP="00B15675">
      <w:pPr>
        <w:ind w:left="0" w:firstLine="18"/>
        <w:rPr>
          <w:iCs/>
          <w:color w:val="7030A0"/>
        </w:rPr>
      </w:pPr>
      <w:r w:rsidRPr="003F6FCC">
        <w:rPr>
          <w:iCs/>
          <w:color w:val="7030A0"/>
          <w:u w:val="single"/>
        </w:rPr>
        <w:t>References</w:t>
      </w:r>
      <w:bookmarkStart w:id="5" w:name="_GoBack"/>
      <w:bookmarkEnd w:id="5"/>
      <w:r w:rsidRPr="00AD1E8F">
        <w:rPr>
          <w:iCs/>
          <w:color w:val="7030A0"/>
        </w:rPr>
        <w:t>:</w:t>
      </w:r>
    </w:p>
    <w:p w14:paraId="62933FB5" w14:textId="43348317" w:rsidR="00B05443" w:rsidRPr="00B05443" w:rsidRDefault="00B05443" w:rsidP="00F768F7">
      <w:pPr>
        <w:spacing w:before="120" w:after="120"/>
        <w:ind w:left="0" w:firstLine="18"/>
        <w:rPr>
          <w:rFonts w:cstheme="minorHAnsi"/>
          <w:iCs/>
          <w:color w:val="C00000"/>
          <w:vertAlign w:val="superscript"/>
        </w:rPr>
      </w:pPr>
      <w:bookmarkStart w:id="6" w:name="_ENREF_25"/>
      <w:r w:rsidRPr="00B05443">
        <w:rPr>
          <w:rFonts w:cstheme="minorHAnsi"/>
          <w:color w:val="C00000"/>
          <w:shd w:val="clear" w:color="auto" w:fill="FFFFFF"/>
        </w:rPr>
        <w:t>Bates OL, O'Connor N, Dunn D, Hasenau SM. Applying STAAR interventions in incremental bundles: improving post-CABG surgical patient care. </w:t>
      </w:r>
      <w:r w:rsidRPr="00B05443">
        <w:rPr>
          <w:rFonts w:cstheme="minorHAnsi"/>
          <w:i/>
          <w:iCs/>
          <w:color w:val="C00000"/>
          <w:shd w:val="clear" w:color="auto" w:fill="FFFFFF"/>
        </w:rPr>
        <w:t>Worldviews Evid Based Nurs</w:t>
      </w:r>
      <w:r w:rsidRPr="00B05443">
        <w:rPr>
          <w:rFonts w:cstheme="minorHAnsi"/>
          <w:color w:val="C00000"/>
          <w:shd w:val="clear" w:color="auto" w:fill="FFFFFF"/>
        </w:rPr>
        <w:t xml:space="preserve">. 2014;11(2):89‐97. </w:t>
      </w:r>
      <w:r w:rsidR="00F768F7">
        <w:rPr>
          <w:rFonts w:cstheme="minorHAnsi"/>
          <w:color w:val="C00000"/>
          <w:shd w:val="clear" w:color="auto" w:fill="FFFFFF"/>
        </w:rPr>
        <w:t>d</w:t>
      </w:r>
      <w:r w:rsidRPr="00B05443">
        <w:rPr>
          <w:rFonts w:cstheme="minorHAnsi"/>
          <w:color w:val="C00000"/>
          <w:shd w:val="clear" w:color="auto" w:fill="FFFFFF"/>
        </w:rPr>
        <w:t>oi:10.1111/wvn.12028.</w:t>
      </w:r>
    </w:p>
    <w:p w14:paraId="17019ACE" w14:textId="0ED344DA" w:rsidR="006844ED" w:rsidRPr="00AD1E8F" w:rsidRDefault="006844ED" w:rsidP="00F768F7">
      <w:pPr>
        <w:spacing w:before="120" w:after="120"/>
        <w:ind w:left="0" w:firstLine="18"/>
        <w:rPr>
          <w:iCs/>
          <w:color w:val="7030A0"/>
          <w:vertAlign w:val="superscript"/>
        </w:rPr>
      </w:pPr>
      <w:r w:rsidRPr="00AD1E8F">
        <w:rPr>
          <w:iCs/>
          <w:color w:val="7030A0"/>
        </w:rPr>
        <w:t xml:space="preserve">Conley RR, Kelly DL, Love RC, McMahon RP. Rehospitalization risk with second-generation and depot antipsychotics. </w:t>
      </w:r>
      <w:r w:rsidRPr="00AD1E8F">
        <w:rPr>
          <w:i/>
          <w:iCs/>
          <w:color w:val="7030A0"/>
        </w:rPr>
        <w:t xml:space="preserve">Ann Clin Psychiatry. </w:t>
      </w:r>
      <w:r w:rsidRPr="00AD1E8F">
        <w:rPr>
          <w:iCs/>
          <w:color w:val="7030A0"/>
        </w:rPr>
        <w:t>Mar 2003;15(1):23-31.</w:t>
      </w:r>
      <w:bookmarkStart w:id="7" w:name="_ENREF_26"/>
      <w:bookmarkEnd w:id="6"/>
    </w:p>
    <w:p w14:paraId="339C93AC" w14:textId="0C95D664" w:rsidR="006844ED" w:rsidRDefault="006844ED" w:rsidP="00F768F7">
      <w:pPr>
        <w:spacing w:before="120" w:after="120"/>
        <w:ind w:left="0" w:firstLine="18"/>
        <w:rPr>
          <w:iCs/>
          <w:color w:val="7030A0"/>
        </w:rPr>
      </w:pPr>
      <w:r w:rsidRPr="00AD1E8F">
        <w:rPr>
          <w:iCs/>
          <w:color w:val="7030A0"/>
        </w:rPr>
        <w:t xml:space="preserve">Coleman EA, Smith JD, Frank JC, Min S-J, Parry C, Kramer AM. Preparing patients and caregivers to participate in care delivered across settings: the Care Transitions Intervention. </w:t>
      </w:r>
      <w:r w:rsidRPr="00AD1E8F">
        <w:rPr>
          <w:i/>
          <w:iCs/>
          <w:color w:val="7030A0"/>
        </w:rPr>
        <w:t xml:space="preserve">J Am Geriatr Soc. </w:t>
      </w:r>
      <w:r w:rsidRPr="00AD1E8F">
        <w:rPr>
          <w:iCs/>
          <w:color w:val="7030A0"/>
        </w:rPr>
        <w:t>Nov 2004;52(11):1817-1825.</w:t>
      </w:r>
      <w:bookmarkStart w:id="8" w:name="_ENREF_27"/>
      <w:bookmarkEnd w:id="7"/>
    </w:p>
    <w:p w14:paraId="6B4E6C61" w14:textId="020FAAF1" w:rsidR="00F768F7" w:rsidRPr="00F768F7" w:rsidRDefault="00F768F7" w:rsidP="00F768F7">
      <w:pPr>
        <w:spacing w:before="120" w:after="120"/>
        <w:ind w:left="0" w:firstLine="18"/>
        <w:rPr>
          <w:iCs/>
          <w:color w:val="7030A0"/>
          <w:vertAlign w:val="superscript"/>
        </w:rPr>
      </w:pPr>
      <w:r w:rsidRPr="00AD1E8F">
        <w:rPr>
          <w:iCs/>
          <w:color w:val="7030A0"/>
        </w:rPr>
        <w:t xml:space="preserve">Courtney M, Edwards H, Chang A, Parker A, Finlayson K, Hamilton K. Fewer emergency readmissions and better quality of life for older adults at risk of hospital readmission: a randomized controlled trial to determine the effectiveness of a 24-week exercise and telephone follow-up program. </w:t>
      </w:r>
      <w:r w:rsidRPr="00AD1E8F">
        <w:rPr>
          <w:i/>
          <w:iCs/>
          <w:color w:val="7030A0"/>
        </w:rPr>
        <w:t xml:space="preserve">J Am Geriatr Soc. </w:t>
      </w:r>
      <w:r w:rsidRPr="00AD1E8F">
        <w:rPr>
          <w:iCs/>
          <w:color w:val="7030A0"/>
        </w:rPr>
        <w:t>Mar 2009;57(3):395-402.</w:t>
      </w:r>
    </w:p>
    <w:p w14:paraId="09A36CE8" w14:textId="3658E6EB" w:rsidR="00F768F7" w:rsidRPr="00F768F7" w:rsidRDefault="000118A5" w:rsidP="00F768F7">
      <w:pPr>
        <w:spacing w:before="120" w:after="120"/>
        <w:ind w:left="0" w:firstLine="18"/>
        <w:rPr>
          <w:iCs/>
          <w:color w:val="C00000"/>
        </w:rPr>
      </w:pPr>
      <w:r w:rsidRPr="000118A5">
        <w:rPr>
          <w:iCs/>
          <w:color w:val="C00000"/>
        </w:rPr>
        <w:t>Drye E, Krumholz H, Vellanky S, Wang Y. Probing New Conditions and Procedures for New Measure Development: Yale New Haven Health Systems Corporation; Center for Outcomes Research and Evaluation; 2009:7.</w:t>
      </w:r>
      <w:bookmarkStart w:id="9" w:name="_ENREF_29"/>
      <w:bookmarkEnd w:id="8"/>
    </w:p>
    <w:p w14:paraId="11A68ABC" w14:textId="46ED403F" w:rsidR="006844ED" w:rsidRDefault="006844ED" w:rsidP="00F768F7">
      <w:pPr>
        <w:spacing w:before="120" w:after="120"/>
        <w:ind w:left="0" w:firstLine="18"/>
        <w:rPr>
          <w:iCs/>
          <w:color w:val="7030A0"/>
        </w:rPr>
      </w:pPr>
      <w:r w:rsidRPr="00AD1E8F">
        <w:rPr>
          <w:iCs/>
          <w:color w:val="7030A0"/>
        </w:rPr>
        <w:t xml:space="preserve">Garasen H, Windspoll R, Johnsen R. Intermediate care at a community hospital as an alternative to prolonged general hospital care for elderly patients: a randomised controlled trial. </w:t>
      </w:r>
      <w:r w:rsidRPr="00AD1E8F">
        <w:rPr>
          <w:i/>
          <w:iCs/>
          <w:color w:val="7030A0"/>
        </w:rPr>
        <w:t xml:space="preserve">BMC Public Health. </w:t>
      </w:r>
      <w:r w:rsidRPr="00AD1E8F">
        <w:rPr>
          <w:iCs/>
          <w:color w:val="7030A0"/>
        </w:rPr>
        <w:t>2007;7:68.</w:t>
      </w:r>
      <w:bookmarkStart w:id="10" w:name="_ENREF_30"/>
      <w:bookmarkEnd w:id="9"/>
    </w:p>
    <w:p w14:paraId="16C68ACE" w14:textId="149AB9C5" w:rsidR="00F768F7" w:rsidRPr="00F768F7" w:rsidRDefault="00F768F7" w:rsidP="00F768F7">
      <w:pPr>
        <w:spacing w:before="120" w:after="120"/>
        <w:ind w:left="0" w:firstLine="18"/>
        <w:rPr>
          <w:iCs/>
          <w:color w:val="7030A0"/>
          <w:vertAlign w:val="superscript"/>
        </w:rPr>
      </w:pPr>
      <w:r w:rsidRPr="00AD1E8F">
        <w:rPr>
          <w:iCs/>
          <w:color w:val="7030A0"/>
        </w:rPr>
        <w:t xml:space="preserve">Jack BW, Chetty VK, Anthony D, et al. A reengineered hospital discharge program to decrease rehospitalization: a randomized trial. </w:t>
      </w:r>
      <w:r w:rsidRPr="00AD1E8F">
        <w:rPr>
          <w:i/>
          <w:iCs/>
          <w:color w:val="7030A0"/>
        </w:rPr>
        <w:t xml:space="preserve">Ann Intern Med. </w:t>
      </w:r>
      <w:r w:rsidRPr="00AD1E8F">
        <w:rPr>
          <w:iCs/>
          <w:color w:val="7030A0"/>
        </w:rPr>
        <w:t>Feb 3 2009;150(3):178-187.</w:t>
      </w:r>
    </w:p>
    <w:p w14:paraId="26F9BD81" w14:textId="498D301C" w:rsidR="00F768F7" w:rsidRDefault="00F768F7" w:rsidP="00F768F7">
      <w:pPr>
        <w:spacing w:before="120" w:after="120"/>
        <w:ind w:left="0" w:firstLine="18"/>
        <w:rPr>
          <w:iCs/>
          <w:color w:val="7030A0"/>
        </w:rPr>
      </w:pPr>
      <w:bookmarkStart w:id="11" w:name="_ENREF_28"/>
      <w:r w:rsidRPr="00AD1E8F">
        <w:rPr>
          <w:iCs/>
          <w:color w:val="7030A0"/>
        </w:rPr>
        <w:t xml:space="preserve">Jovicic A, Holroyd-Leduc JM, Straus SE. Effects of self-management intervention on health outcomes of patients with heart failure: a systematic review of randomized controlled trials. </w:t>
      </w:r>
      <w:r w:rsidRPr="00AD1E8F">
        <w:rPr>
          <w:i/>
          <w:iCs/>
          <w:color w:val="7030A0"/>
        </w:rPr>
        <w:t xml:space="preserve">BMC Cardiovasc Disord. </w:t>
      </w:r>
      <w:r w:rsidRPr="00AD1E8F">
        <w:rPr>
          <w:iCs/>
          <w:color w:val="7030A0"/>
        </w:rPr>
        <w:t>2006;6:43.</w:t>
      </w:r>
      <w:bookmarkEnd w:id="11"/>
    </w:p>
    <w:p w14:paraId="487B72B8" w14:textId="0676CF02" w:rsidR="00F768F7" w:rsidRDefault="00F768F7" w:rsidP="00F768F7">
      <w:pPr>
        <w:spacing w:before="120" w:after="120"/>
        <w:ind w:left="0" w:firstLine="18"/>
        <w:rPr>
          <w:iCs/>
          <w:color w:val="7030A0"/>
        </w:rPr>
      </w:pPr>
      <w:r w:rsidRPr="00AD1E8F">
        <w:rPr>
          <w:iCs/>
          <w:color w:val="7030A0"/>
        </w:rPr>
        <w:t xml:space="preserve">Koehler BE, Richter KM, Youngblood L, et al. Reduction of 30-day postdischarge hospital readmission or emergency department (ED) visit rates in high-risk elderly medical patients through delivery of a targeted care bundle. </w:t>
      </w:r>
      <w:r w:rsidRPr="00AD1E8F">
        <w:rPr>
          <w:i/>
          <w:iCs/>
          <w:color w:val="7030A0"/>
        </w:rPr>
        <w:t xml:space="preserve">Journal of Hospital Medicine. </w:t>
      </w:r>
      <w:r w:rsidRPr="00AD1E8F">
        <w:rPr>
          <w:iCs/>
          <w:color w:val="7030A0"/>
        </w:rPr>
        <w:t>Apr 2009;4(4):211-218.</w:t>
      </w:r>
    </w:p>
    <w:p w14:paraId="6BF542AC" w14:textId="1CBB4922" w:rsidR="00F768F7" w:rsidRPr="00F768F7" w:rsidRDefault="00F768F7" w:rsidP="00F768F7">
      <w:pPr>
        <w:spacing w:before="120" w:after="120"/>
        <w:ind w:left="0" w:firstLine="18"/>
        <w:rPr>
          <w:iCs/>
          <w:color w:val="7030A0"/>
          <w:vertAlign w:val="superscript"/>
        </w:rPr>
      </w:pPr>
      <w:r w:rsidRPr="00AD1E8F">
        <w:rPr>
          <w:iCs/>
          <w:color w:val="7030A0"/>
        </w:rPr>
        <w:t xml:space="preserve">Krumholz HM, Amatruda J, Smith GL, et al. Randomized trial of an education and support intervention to prevent readmission of patients with heart failure. </w:t>
      </w:r>
      <w:r w:rsidRPr="00AD1E8F">
        <w:rPr>
          <w:i/>
          <w:iCs/>
          <w:color w:val="7030A0"/>
        </w:rPr>
        <w:t xml:space="preserve">J Am Coll Cardiol. </w:t>
      </w:r>
      <w:r w:rsidRPr="00AD1E8F">
        <w:rPr>
          <w:iCs/>
          <w:color w:val="7030A0"/>
        </w:rPr>
        <w:t>Jan 2 2002;39(1):83-89.</w:t>
      </w:r>
    </w:p>
    <w:p w14:paraId="3DE9C225" w14:textId="084EAE36" w:rsidR="000118A5" w:rsidRDefault="000118A5" w:rsidP="00F768F7">
      <w:pPr>
        <w:spacing w:before="120" w:after="120"/>
        <w:ind w:left="0" w:firstLine="0"/>
        <w:rPr>
          <w:iCs/>
          <w:color w:val="C00000"/>
        </w:rPr>
      </w:pPr>
      <w:r w:rsidRPr="000118A5">
        <w:rPr>
          <w:iCs/>
          <w:color w:val="C00000"/>
        </w:rPr>
        <w:t>Massachusetts Data Analysis Center. Adult Coronary Artery Bypass Graft Surgery in the Commonwealth of Massachusetts. https://www.mass.gov/files/documents/2017/12/14/cabg-fy2014.pdf. Accessed March 23, 2018.</w:t>
      </w:r>
    </w:p>
    <w:p w14:paraId="67151465" w14:textId="50B6FACF" w:rsidR="000118A5" w:rsidRPr="00F768F7" w:rsidRDefault="00A97849" w:rsidP="00F768F7">
      <w:pPr>
        <w:spacing w:before="120" w:after="120"/>
        <w:ind w:left="0" w:firstLine="0"/>
        <w:rPr>
          <w:rFonts w:cstheme="minorHAnsi"/>
          <w:iCs/>
          <w:color w:val="C00000"/>
        </w:rPr>
      </w:pPr>
      <w:r w:rsidRPr="00A97849">
        <w:rPr>
          <w:rFonts w:cstheme="minorHAnsi"/>
          <w:color w:val="C00000"/>
          <w:shd w:val="clear" w:color="auto" w:fill="FFFFFF"/>
        </w:rPr>
        <w:t>McNeely C, Kwedar K, Markwell S, Vassileva CM. Improving coronary artery bypass grafting readmission outcomes from 2000 to 2012 in the Medicare population. </w:t>
      </w:r>
      <w:r w:rsidRPr="00A97849">
        <w:rPr>
          <w:rFonts w:cstheme="minorHAnsi"/>
          <w:i/>
          <w:iCs/>
          <w:color w:val="C00000"/>
          <w:shd w:val="clear" w:color="auto" w:fill="FFFFFF"/>
        </w:rPr>
        <w:t>J Thorac Cardiovasc Surg</w:t>
      </w:r>
      <w:r w:rsidRPr="00A97849">
        <w:rPr>
          <w:rFonts w:cstheme="minorHAnsi"/>
          <w:color w:val="C00000"/>
          <w:shd w:val="clear" w:color="auto" w:fill="FFFFFF"/>
        </w:rPr>
        <w:t>. 2017;154(4):1288‐1297. doi:10.1016/j.jtcvs.2017.04.085.</w:t>
      </w:r>
    </w:p>
    <w:p w14:paraId="3D24FABB" w14:textId="128D493C" w:rsidR="006844ED" w:rsidRPr="00AD1E8F" w:rsidRDefault="006844ED" w:rsidP="00F768F7">
      <w:pPr>
        <w:spacing w:before="120" w:after="120"/>
        <w:ind w:left="0" w:firstLine="18"/>
        <w:rPr>
          <w:iCs/>
          <w:color w:val="7030A0"/>
          <w:vertAlign w:val="superscript"/>
        </w:rPr>
      </w:pPr>
      <w:r w:rsidRPr="00AD1E8F">
        <w:rPr>
          <w:iCs/>
          <w:color w:val="7030A0"/>
        </w:rPr>
        <w:t xml:space="preserve">Mistiaen P, Francke AL, Poot E. Interventions aimed at reducing problems in adult patients discharged from hospital to home: a systematic meta-review. </w:t>
      </w:r>
      <w:r w:rsidRPr="00AD1E8F">
        <w:rPr>
          <w:i/>
          <w:iCs/>
          <w:color w:val="7030A0"/>
        </w:rPr>
        <w:t xml:space="preserve">BMC Health Serv Res. </w:t>
      </w:r>
      <w:r w:rsidRPr="00AD1E8F">
        <w:rPr>
          <w:iCs/>
          <w:color w:val="7030A0"/>
        </w:rPr>
        <w:t>2007;7:47.</w:t>
      </w:r>
      <w:bookmarkStart w:id="12" w:name="_ENREF_31"/>
      <w:bookmarkEnd w:id="10"/>
    </w:p>
    <w:p w14:paraId="1944250A" w14:textId="58616BB6" w:rsidR="00B15675" w:rsidRDefault="00F768F7" w:rsidP="00F768F7">
      <w:pPr>
        <w:spacing w:before="120" w:after="120"/>
        <w:ind w:left="0" w:firstLine="18"/>
        <w:rPr>
          <w:iCs/>
          <w:color w:val="7030A0"/>
        </w:rPr>
      </w:pPr>
      <w:bookmarkStart w:id="13" w:name="_ENREF_22"/>
      <w:r w:rsidRPr="00AD1E8F">
        <w:rPr>
          <w:iCs/>
          <w:color w:val="7030A0"/>
        </w:rPr>
        <w:t xml:space="preserve">Naylor MD, Brooten D, Campbell R, et al. Comprehensive discharge planning and home follow-up of hospitalized elders: a randomized clinical trial. </w:t>
      </w:r>
      <w:r w:rsidRPr="00AD1E8F">
        <w:rPr>
          <w:i/>
          <w:iCs/>
          <w:color w:val="7030A0"/>
        </w:rPr>
        <w:t xml:space="preserve">Jama. </w:t>
      </w:r>
      <w:r w:rsidRPr="00AD1E8F">
        <w:rPr>
          <w:iCs/>
          <w:color w:val="7030A0"/>
        </w:rPr>
        <w:t>Feb 17 1999;281(7):613-620.</w:t>
      </w:r>
      <w:bookmarkStart w:id="14" w:name="_ENREF_32"/>
      <w:bookmarkEnd w:id="13"/>
      <w:bookmarkEnd w:id="12"/>
    </w:p>
    <w:p w14:paraId="2C6DFC6A" w14:textId="5A482C39" w:rsidR="00AA2421" w:rsidRDefault="00AA2421" w:rsidP="009811A6">
      <w:pPr>
        <w:spacing w:before="120" w:after="120"/>
        <w:ind w:left="0" w:firstLine="18"/>
        <w:rPr>
          <w:iCs/>
          <w:color w:val="7030A0"/>
          <w:vertAlign w:val="superscript"/>
        </w:rPr>
      </w:pPr>
      <w:r w:rsidRPr="00AD1E8F">
        <w:rPr>
          <w:iCs/>
          <w:color w:val="7030A0"/>
        </w:rPr>
        <w:lastRenderedPageBreak/>
        <w:t>Naylor M</w:t>
      </w:r>
      <w:r>
        <w:rPr>
          <w:iCs/>
          <w:color w:val="7030A0"/>
        </w:rPr>
        <w:t>D</w:t>
      </w:r>
      <w:r w:rsidRPr="00AD1E8F">
        <w:rPr>
          <w:iCs/>
          <w:color w:val="7030A0"/>
        </w:rPr>
        <w:t xml:space="preserve">, Brooten D, Jones R, Lavizzo-Mourey R, Mezey M, Pauly M. Comprehensive discharge planning for the hospitalized elderly. A randomized clinical trial. </w:t>
      </w:r>
      <w:r w:rsidRPr="00AD1E8F">
        <w:rPr>
          <w:i/>
          <w:iCs/>
          <w:color w:val="7030A0"/>
        </w:rPr>
        <w:t xml:space="preserve">Ann Intern Med. </w:t>
      </w:r>
      <w:r w:rsidRPr="00AD1E8F">
        <w:rPr>
          <w:iCs/>
          <w:color w:val="7030A0"/>
        </w:rPr>
        <w:t>Jun 15 1994;120(12):999-1006.</w:t>
      </w:r>
    </w:p>
    <w:p w14:paraId="47F76256" w14:textId="4E4285C7" w:rsidR="000118A5" w:rsidRDefault="000118A5" w:rsidP="00F768F7">
      <w:pPr>
        <w:spacing w:before="120" w:after="120"/>
        <w:ind w:left="0" w:firstLine="0"/>
        <w:rPr>
          <w:iCs/>
          <w:color w:val="C00000"/>
        </w:rPr>
      </w:pPr>
      <w:bookmarkStart w:id="15" w:name="_ENREF_34"/>
      <w:bookmarkEnd w:id="14"/>
      <w:r w:rsidRPr="000118A5">
        <w:rPr>
          <w:iCs/>
          <w:color w:val="C00000"/>
        </w:rPr>
        <w:t>Pennsylvania Health Care Cost Containment Council. Hospital Medicare Payment. http://www.phc4.org/reports/cabg/16/docs/Hospital%20Medicare%20Payment.pdf. Accessed March 23, 2018.</w:t>
      </w:r>
    </w:p>
    <w:p w14:paraId="47F513FB" w14:textId="643D302A" w:rsidR="000118A5" w:rsidRPr="00F768F7" w:rsidRDefault="00F768F7" w:rsidP="00F768F7">
      <w:pPr>
        <w:spacing w:before="120" w:after="120"/>
        <w:ind w:left="0" w:firstLine="18"/>
        <w:rPr>
          <w:iCs/>
          <w:color w:val="7030A0"/>
          <w:vertAlign w:val="superscript"/>
        </w:rPr>
      </w:pPr>
      <w:r w:rsidRPr="00AD1E8F">
        <w:rPr>
          <w:iCs/>
          <w:color w:val="7030A0"/>
        </w:rPr>
        <w:t xml:space="preserve">Phillips CO, Wright SM, Kern DE, Singa RM, Shepperd S, Rubin HR. Comprehensive discharge planning with postdischarge support for older patients with congestive heart failure: a meta-analysis. </w:t>
      </w:r>
      <w:r w:rsidRPr="00AD1E8F">
        <w:rPr>
          <w:i/>
          <w:iCs/>
          <w:color w:val="7030A0"/>
        </w:rPr>
        <w:t xml:space="preserve">JAMA. </w:t>
      </w:r>
      <w:r w:rsidRPr="00AD1E8F">
        <w:rPr>
          <w:iCs/>
          <w:color w:val="7030A0"/>
        </w:rPr>
        <w:t>Mar 17 2004;291(11):1358-1367.</w:t>
      </w:r>
    </w:p>
    <w:p w14:paraId="61AFFAA4" w14:textId="46C71808" w:rsidR="00B15675" w:rsidRPr="00F768F7" w:rsidRDefault="000118A5" w:rsidP="00F768F7">
      <w:pPr>
        <w:spacing w:before="120" w:after="120"/>
        <w:ind w:left="0" w:firstLine="0"/>
        <w:rPr>
          <w:iCs/>
          <w:color w:val="C00000"/>
        </w:rPr>
      </w:pPr>
      <w:r w:rsidRPr="000118A5">
        <w:rPr>
          <w:iCs/>
          <w:color w:val="C00000"/>
        </w:rPr>
        <w:t>Torio CM, Moore BJ. National Inpatient Hospital Costs: The Most Expensive Conditions by Payer, 2013: Statistical Brief #204. Healthcare Cost and Utilization Project (HCUP) Statist</w:t>
      </w:r>
      <w:bookmarkStart w:id="16" w:name="_Hlk42094040"/>
      <w:r w:rsidR="00F768F7">
        <w:rPr>
          <w:iCs/>
          <w:color w:val="C00000"/>
        </w:rPr>
        <w:t>ical Briefs. Rockville (MD)2016.</w:t>
      </w:r>
    </w:p>
    <w:p w14:paraId="5FC3DCCB" w14:textId="129FD06C" w:rsidR="00B15675" w:rsidRDefault="00B15675" w:rsidP="00F768F7">
      <w:pPr>
        <w:spacing w:before="120" w:after="120"/>
        <w:ind w:left="0" w:firstLine="0"/>
        <w:rPr>
          <w:rFonts w:cstheme="minorHAnsi"/>
          <w:color w:val="C00000"/>
        </w:rPr>
      </w:pPr>
      <w:r w:rsidRPr="002F55D8">
        <w:rPr>
          <w:rFonts w:cstheme="minorHAnsi"/>
          <w:color w:val="C00000"/>
        </w:rPr>
        <w:t xml:space="preserve">Wallace L., Grady J., Djordjevic, D., et al. 2019 Condition-Specific Measures Updates and Specifications Report Hospital-Level 30-Day Risk-Standardized Readmission Measures: Acute Myocardial Infarction – Version 12.0, Chronic Obstructive Pulmonary Disease – Version 8.0, Heart Failure – Version 12.0, Pneumonia – Version 12.0. </w:t>
      </w:r>
      <w:bookmarkEnd w:id="16"/>
      <w:r w:rsidRPr="002F55D8">
        <w:rPr>
          <w:rFonts w:cstheme="minorHAnsi"/>
          <w:color w:val="C00000"/>
        </w:rPr>
        <w:t xml:space="preserve">2019; </w:t>
      </w:r>
      <w:hyperlink r:id="rId18" w:history="1">
        <w:r w:rsidRPr="002F55D8">
          <w:rPr>
            <w:rStyle w:val="Hyperlink"/>
            <w:rFonts w:cstheme="minorHAnsi"/>
            <w:color w:val="C00000"/>
          </w:rPr>
          <w:t>https://qualitynet.org/inpatient/measures/readmission/methodology</w:t>
        </w:r>
      </w:hyperlink>
      <w:r w:rsidRPr="002F55D8">
        <w:rPr>
          <w:rFonts w:cstheme="minorHAnsi"/>
          <w:color w:val="C00000"/>
        </w:rPr>
        <w:t>. Available as of April 23, 2019.</w:t>
      </w:r>
    </w:p>
    <w:p w14:paraId="7455FB44" w14:textId="35772D30" w:rsidR="00B15675" w:rsidRPr="00F768F7" w:rsidRDefault="00B15675" w:rsidP="00F768F7">
      <w:pPr>
        <w:spacing w:before="120" w:after="120"/>
        <w:ind w:left="0" w:firstLine="0"/>
        <w:rPr>
          <w:rFonts w:cstheme="minorHAnsi"/>
          <w:color w:val="C00000"/>
        </w:rPr>
      </w:pPr>
      <w:r w:rsidRPr="00B15675">
        <w:rPr>
          <w:color w:val="C00000"/>
          <w:shd w:val="clear" w:color="auto" w:fill="FFFFFF"/>
        </w:rPr>
        <w:t>Weiss A, Elixhauser A. </w:t>
      </w:r>
      <w:r w:rsidRPr="00B15675">
        <w:rPr>
          <w:rStyle w:val="ref-title"/>
          <w:color w:val="C00000"/>
          <w:shd w:val="clear" w:color="auto" w:fill="FFFFFF"/>
        </w:rPr>
        <w:t>Trends in operating room procedures in U.S. hospitals, 2001–2011: Statistical Brief #171. Healthcare Cost and Utilization Project (HCUP) Statistical Briefs: Agency for Healthcare Research and Quality (US)</w:t>
      </w:r>
      <w:r w:rsidRPr="00B15675">
        <w:rPr>
          <w:color w:val="C00000"/>
          <w:shd w:val="clear" w:color="auto" w:fill="FFFFFF"/>
        </w:rPr>
        <w:t>; 2014.</w:t>
      </w:r>
    </w:p>
    <w:p w14:paraId="33B6D13A" w14:textId="433CB88F" w:rsidR="00B15675" w:rsidRDefault="006844ED" w:rsidP="00F768F7">
      <w:pPr>
        <w:spacing w:before="120" w:after="120"/>
        <w:ind w:left="0" w:firstLine="18"/>
        <w:rPr>
          <w:iCs/>
          <w:color w:val="7030A0"/>
        </w:rPr>
      </w:pPr>
      <w:r w:rsidRPr="00AD1E8F">
        <w:rPr>
          <w:iCs/>
          <w:color w:val="7030A0"/>
        </w:rPr>
        <w:t xml:space="preserve">Weiss M, Yakusheva O, Bobay K. Nurse and patient perceptions of discharge readiness in relation to postdischarge utilization. </w:t>
      </w:r>
      <w:r w:rsidRPr="00AD1E8F">
        <w:rPr>
          <w:i/>
          <w:iCs/>
          <w:color w:val="7030A0"/>
        </w:rPr>
        <w:t xml:space="preserve">Med Care. </w:t>
      </w:r>
      <w:r w:rsidRPr="00AD1E8F">
        <w:rPr>
          <w:iCs/>
          <w:color w:val="7030A0"/>
        </w:rPr>
        <w:t>May 2010;48(5):482-486.</w:t>
      </w:r>
      <w:bookmarkStart w:id="17" w:name="_ENREF_35"/>
      <w:bookmarkEnd w:id="15"/>
    </w:p>
    <w:p w14:paraId="227367CE" w14:textId="6D995229" w:rsidR="00B05443" w:rsidRPr="00F768F7" w:rsidRDefault="00B15675" w:rsidP="00F768F7">
      <w:pPr>
        <w:spacing w:before="120" w:after="120"/>
        <w:ind w:left="0" w:firstLine="18"/>
        <w:rPr>
          <w:rFonts w:cstheme="minorHAnsi"/>
          <w:iCs/>
          <w:color w:val="C00000"/>
        </w:rPr>
      </w:pPr>
      <w:r w:rsidRPr="00B15675">
        <w:rPr>
          <w:rFonts w:cstheme="minorHAnsi"/>
          <w:iCs/>
          <w:color w:val="C00000"/>
        </w:rPr>
        <w:t>Williams JB, DeLong ER, Peterson ED, Dokholyan RS, Ou FS, Ferguson TB Jr.; Society of Thoracic Surgeons and the National Cardiac Database. Secondary prevention after coronary artery bypass graft surgery: findings of a national randomized controlled trial and sustained society-led incorporation into practice. Circulation. 2011; 123: 39– 45.</w:t>
      </w:r>
    </w:p>
    <w:p w14:paraId="29CF61D9" w14:textId="0C2684DB" w:rsidR="00B05443" w:rsidRDefault="006844ED" w:rsidP="00F768F7">
      <w:pPr>
        <w:spacing w:before="120" w:after="120"/>
        <w:ind w:left="0" w:firstLine="18"/>
        <w:rPr>
          <w:iCs/>
          <w:color w:val="7030A0"/>
        </w:rPr>
      </w:pPr>
      <w:r w:rsidRPr="00AD1E8F">
        <w:rPr>
          <w:iCs/>
          <w:color w:val="7030A0"/>
        </w:rPr>
        <w:t xml:space="preserve">Stauffer BD, Fullerton C, Fleming N, et al. Effectiveness and cost of a transitional care program for heart failure: a prospective study with concurrent controls. </w:t>
      </w:r>
      <w:r w:rsidRPr="00AD1E8F">
        <w:rPr>
          <w:i/>
          <w:iCs/>
          <w:color w:val="7030A0"/>
        </w:rPr>
        <w:t xml:space="preserve">Archives of Internal Medicine. </w:t>
      </w:r>
      <w:r w:rsidRPr="00AD1E8F">
        <w:rPr>
          <w:iCs/>
          <w:color w:val="7030A0"/>
        </w:rPr>
        <w:t>Jul 25 2011;171(14):1238-1243.</w:t>
      </w:r>
      <w:bookmarkStart w:id="18" w:name="_ENREF_36"/>
      <w:bookmarkEnd w:id="17"/>
    </w:p>
    <w:p w14:paraId="3CC36E3F" w14:textId="3B379654" w:rsidR="00AA2421" w:rsidRPr="009811A6" w:rsidRDefault="00AA2421" w:rsidP="009811A6">
      <w:pPr>
        <w:spacing w:before="120" w:after="120"/>
        <w:ind w:left="0" w:firstLine="18"/>
        <w:rPr>
          <w:iCs/>
          <w:color w:val="7030A0"/>
        </w:rPr>
      </w:pPr>
      <w:r w:rsidRPr="00AD1E8F">
        <w:rPr>
          <w:iCs/>
          <w:color w:val="7030A0"/>
        </w:rPr>
        <w:t xml:space="preserve">van Walraven C, Seth R, Austin PC, Laupacis A. Effect of discharge summary availability during post-discharge visits on hospital readmission. </w:t>
      </w:r>
      <w:r w:rsidRPr="00AD1E8F">
        <w:rPr>
          <w:i/>
          <w:iCs/>
          <w:color w:val="7030A0"/>
        </w:rPr>
        <w:t xml:space="preserve">J Gen Intern Med. </w:t>
      </w:r>
      <w:r w:rsidRPr="00AD1E8F">
        <w:rPr>
          <w:iCs/>
          <w:color w:val="7030A0"/>
        </w:rPr>
        <w:t>Mar 2002;17(3):186-192.</w:t>
      </w:r>
    </w:p>
    <w:p w14:paraId="55B8DA65" w14:textId="60BBBC70" w:rsidR="00676BD4" w:rsidRPr="009811A6" w:rsidRDefault="006844ED" w:rsidP="009811A6">
      <w:pPr>
        <w:spacing w:before="120" w:after="360"/>
        <w:ind w:left="0" w:firstLine="18"/>
        <w:rPr>
          <w:iCs/>
          <w:color w:val="7030A0"/>
        </w:rPr>
      </w:pPr>
      <w:r w:rsidRPr="00AD1E8F">
        <w:rPr>
          <w:iCs/>
          <w:color w:val="7030A0"/>
        </w:rPr>
        <w:t xml:space="preserve">Voss R, Gardner R, Baier R, Butterfield K, Lehrman S, Gravenstein S. The care transitions intervention: translating from efficacy to effectiveness. </w:t>
      </w:r>
      <w:r w:rsidRPr="00AD1E8F">
        <w:rPr>
          <w:i/>
          <w:iCs/>
          <w:color w:val="7030A0"/>
        </w:rPr>
        <w:t xml:space="preserve">Archives of Internal Medicine. </w:t>
      </w:r>
      <w:r w:rsidRPr="00AD1E8F">
        <w:rPr>
          <w:iCs/>
          <w:color w:val="7030A0"/>
        </w:rPr>
        <w:t>Jul 25 2011;171(14):1232-1237.</w:t>
      </w:r>
      <w:bookmarkEnd w:id="18"/>
    </w:p>
    <w:p w14:paraId="55B8DA66" w14:textId="725FE95F" w:rsidR="00C41794" w:rsidRPr="00AD1E8F" w:rsidRDefault="002B06BD" w:rsidP="00C41794">
      <w:pPr>
        <w:ind w:left="0" w:firstLine="0"/>
        <w:rPr>
          <w:b/>
          <w:iCs/>
        </w:rPr>
      </w:pPr>
      <w:bookmarkStart w:id="19" w:name="Section1a3"/>
      <w:bookmarkEnd w:id="19"/>
      <w:r w:rsidRPr="00AD1E8F">
        <w:rPr>
          <w:b/>
          <w:iCs/>
          <w:color w:val="0000FF"/>
        </w:rPr>
        <w:t>1a.3.</w:t>
      </w:r>
      <w:r w:rsidRPr="00AD1E8F">
        <w:rPr>
          <w:i/>
          <w:iCs/>
          <w:color w:val="0000FF"/>
        </w:rPr>
        <w:t xml:space="preserve"> </w:t>
      </w:r>
      <w:r w:rsidR="00C41794" w:rsidRPr="00AD1E8F">
        <w:rPr>
          <w:b/>
          <w:iCs/>
          <w:color w:val="0000FF"/>
        </w:rPr>
        <w:t>SYSTEMATIC REVIEW</w:t>
      </w:r>
      <w:r w:rsidR="00AB4ECE" w:rsidRPr="00AD1E8F">
        <w:rPr>
          <w:b/>
          <w:iCs/>
          <w:color w:val="0000FF"/>
        </w:rPr>
        <w:t>(SR)</w:t>
      </w:r>
      <w:r w:rsidR="00C41794" w:rsidRPr="00AD1E8F">
        <w:rPr>
          <w:b/>
          <w:iCs/>
          <w:color w:val="0000FF"/>
        </w:rPr>
        <w:t xml:space="preserve"> OF THE EVIDENCE (</w:t>
      </w:r>
      <w:r w:rsidR="00C41794" w:rsidRPr="00AD1E8F">
        <w:rPr>
          <w:b/>
          <w:iCs/>
        </w:rPr>
        <w:t>for</w:t>
      </w:r>
      <w:r w:rsidR="00C41794" w:rsidRPr="00AD1E8F">
        <w:rPr>
          <w:b/>
          <w:iCs/>
          <w:caps/>
        </w:rPr>
        <w:t xml:space="preserve">  intermediate outcome, PROCESS, or STRUCTURE PERFORMANCE measures</w:t>
      </w:r>
      <w:r w:rsidR="003D6721" w:rsidRPr="00AD1E8F">
        <w:rPr>
          <w:b/>
          <w:iCs/>
          <w:caps/>
        </w:rPr>
        <w:t>, including those that are instrument-based</w:t>
      </w:r>
      <w:r w:rsidR="00C41794" w:rsidRPr="00AD1E8F">
        <w:rPr>
          <w:b/>
          <w:iCs/>
          <w:caps/>
        </w:rPr>
        <w:t>)</w:t>
      </w:r>
      <w:r w:rsidR="00C41794" w:rsidRPr="00AD1E8F">
        <w:rPr>
          <w:b/>
          <w:iCs/>
        </w:rPr>
        <w:t xml:space="preserve"> If the evidence is not based on a system</w:t>
      </w:r>
      <w:r w:rsidR="00AB4ECE" w:rsidRPr="00AD1E8F">
        <w:rPr>
          <w:b/>
          <w:iCs/>
        </w:rPr>
        <w:t>a</w:t>
      </w:r>
      <w:r w:rsidR="00C41794" w:rsidRPr="00AD1E8F">
        <w:rPr>
          <w:b/>
          <w:iCs/>
        </w:rPr>
        <w:t>tic review go to section 1a.4)</w:t>
      </w:r>
      <w:r w:rsidR="00AB4ECE" w:rsidRPr="00AD1E8F">
        <w:rPr>
          <w:b/>
          <w:iCs/>
        </w:rPr>
        <w:t xml:space="preserve"> If you wish to include more than one systematic review, add </w:t>
      </w:r>
      <w:r w:rsidR="000F4A7F" w:rsidRPr="00AD1E8F">
        <w:rPr>
          <w:b/>
          <w:iCs/>
        </w:rPr>
        <w:t>additional tables.</w:t>
      </w:r>
      <w:r w:rsidR="00AB4ECE" w:rsidRPr="00AD1E8F">
        <w:rPr>
          <w:b/>
          <w:iCs/>
        </w:rPr>
        <w:t xml:space="preserve"> </w:t>
      </w:r>
    </w:p>
    <w:p w14:paraId="55B8DA67" w14:textId="77777777" w:rsidR="00496AF8" w:rsidRPr="00AD1E8F" w:rsidRDefault="00496AF8" w:rsidP="002E2177">
      <w:pPr>
        <w:ind w:left="0" w:firstLine="0"/>
        <w:rPr>
          <w:i/>
          <w:iCs/>
        </w:rPr>
      </w:pPr>
    </w:p>
    <w:p w14:paraId="55B8DA68" w14:textId="77777777" w:rsidR="00A9011D" w:rsidRPr="00AD1E8F" w:rsidRDefault="00A9011D" w:rsidP="00A9011D">
      <w:pPr>
        <w:ind w:left="0" w:firstLine="0"/>
        <w:rPr>
          <w:rFonts w:ascii="Calibri" w:eastAsia="Calibri" w:hAnsi="Calibri" w:cs="Times New Roman"/>
          <w:b/>
        </w:rPr>
      </w:pPr>
      <w:r w:rsidRPr="00AD1E8F">
        <w:rPr>
          <w:rFonts w:ascii="Calibri" w:eastAsia="Calibri" w:hAnsi="Calibri" w:cs="Times New Roman"/>
          <w:b/>
        </w:rPr>
        <w:t xml:space="preserve">What is the source of the </w:t>
      </w:r>
      <w:r w:rsidRPr="00AD1E8F">
        <w:rPr>
          <w:rFonts w:ascii="Calibri" w:eastAsia="Calibri" w:hAnsi="Calibri" w:cs="Times New Roman"/>
          <w:b/>
          <w:u w:val="single"/>
        </w:rPr>
        <w:t>systematic review of the body of evidence</w:t>
      </w:r>
      <w:r w:rsidRPr="00AD1E8F">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w:t>
      </w:r>
      <w:r w:rsidRPr="00AD1E8F">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D1E8F" w:rsidRDefault="00EC1225" w:rsidP="00A9011D">
      <w:pPr>
        <w:ind w:left="0" w:firstLine="0"/>
        <w:rPr>
          <w:rFonts w:ascii="Calibri" w:eastAsia="Calibri" w:hAnsi="Calibri" w:cs="Times New Roman"/>
        </w:rPr>
      </w:pPr>
      <w:r w:rsidRPr="00AD1E8F">
        <w:rPr>
          <w:rFonts w:ascii="Times New Roman" w:eastAsia="Arial Unicode MS" w:hAnsi="Times New Roman" w:cs="Mangal" w:hint="eastAsia"/>
          <w:color w:val="0000FF"/>
          <w:kern w:val="1"/>
          <w:sz w:val="24"/>
          <w:szCs w:val="24"/>
          <w:lang w:eastAsia="hi-IN" w:bidi="hi-IN"/>
        </w:rPr>
        <w:t>☐</w:t>
      </w:r>
      <w:r w:rsidRPr="00AD1E8F">
        <w:rPr>
          <w:rFonts w:ascii="Times New Roman" w:eastAsia="Arial Unicode MS" w:hAnsi="Times New Roman" w:cs="Mangal"/>
          <w:color w:val="0000FF"/>
          <w:kern w:val="1"/>
          <w:sz w:val="24"/>
          <w:szCs w:val="24"/>
          <w:lang w:eastAsia="hi-IN" w:bidi="hi-IN"/>
        </w:rPr>
        <w:t xml:space="preserve"> </w:t>
      </w:r>
      <w:r w:rsidR="00A9011D" w:rsidRPr="00AD1E8F">
        <w:rPr>
          <w:rFonts w:ascii="Calibri" w:eastAsia="Calibri" w:hAnsi="Calibri" w:cs="Times New Roman"/>
        </w:rPr>
        <w:t xml:space="preserve">Clinical Practice Guideline recommendation </w:t>
      </w:r>
      <w:r w:rsidRPr="00AD1E8F">
        <w:rPr>
          <w:rFonts w:ascii="Calibri" w:eastAsia="Calibri" w:hAnsi="Calibri" w:cs="Times New Roman"/>
        </w:rPr>
        <w:t xml:space="preserve"> (with evidence review)</w:t>
      </w:r>
    </w:p>
    <w:p w14:paraId="55B8DA6A" w14:textId="77777777" w:rsidR="00A9011D" w:rsidRPr="00AD1E8F" w:rsidRDefault="00A9011D" w:rsidP="00A9011D">
      <w:pPr>
        <w:ind w:left="0" w:firstLine="0"/>
        <w:rPr>
          <w:rFonts w:ascii="Calibri" w:eastAsia="Calibri" w:hAnsi="Calibri" w:cs="Times New Roman"/>
          <w:b/>
          <w:i/>
        </w:rPr>
      </w:pPr>
      <w:r w:rsidRPr="00AD1E8F">
        <w:rPr>
          <w:rFonts w:ascii="Times New Roman" w:eastAsia="Arial Unicode MS" w:hAnsi="Times New Roman" w:cs="Mangal" w:hint="eastAsia"/>
          <w:color w:val="0000FF"/>
          <w:kern w:val="1"/>
          <w:sz w:val="24"/>
          <w:szCs w:val="24"/>
          <w:lang w:eastAsia="hi-IN" w:bidi="hi-IN"/>
        </w:rPr>
        <w:t>☐</w:t>
      </w:r>
      <w:r w:rsidRPr="00AD1E8F">
        <w:rPr>
          <w:rFonts w:ascii="Calibri" w:eastAsia="Calibri" w:hAnsi="Calibri" w:cs="Times New Roman"/>
        </w:rPr>
        <w:t xml:space="preserve"> US Preventive Services Task Force Recommendation</w:t>
      </w:r>
    </w:p>
    <w:p w14:paraId="55B8DA6B" w14:textId="77777777" w:rsidR="00A9011D" w:rsidRPr="00AD1E8F" w:rsidRDefault="00A9011D" w:rsidP="00A9011D">
      <w:pPr>
        <w:ind w:left="0" w:firstLine="0"/>
        <w:rPr>
          <w:rFonts w:ascii="Calibri" w:eastAsia="Calibri" w:hAnsi="Calibri" w:cs="Times New Roman"/>
        </w:rPr>
      </w:pPr>
      <w:r w:rsidRPr="00AD1E8F">
        <w:rPr>
          <w:rFonts w:ascii="Times New Roman" w:eastAsia="Arial Unicode MS" w:hAnsi="Times New Roman" w:cs="Mangal" w:hint="eastAsia"/>
          <w:color w:val="0000FF"/>
          <w:kern w:val="1"/>
          <w:sz w:val="24"/>
          <w:szCs w:val="24"/>
          <w:lang w:eastAsia="hi-IN" w:bidi="hi-IN"/>
        </w:rPr>
        <w:t>☐</w:t>
      </w:r>
      <w:r w:rsidRPr="00AD1E8F">
        <w:rPr>
          <w:rFonts w:ascii="Calibri" w:eastAsia="Calibri" w:hAnsi="Calibri" w:cs="Times New Roman"/>
        </w:rPr>
        <w:t xml:space="preserve"> Other systematic review and grading of the body of evidence (</w:t>
      </w:r>
      <w:r w:rsidRPr="00AD1E8F">
        <w:rPr>
          <w:rFonts w:ascii="Calibri" w:eastAsia="Calibri" w:hAnsi="Calibri" w:cs="Times New Roman"/>
          <w:i/>
        </w:rPr>
        <w:t>e.g., Cochrane Collaboration, AHRQ Evidence Practice Center</w:t>
      </w:r>
      <w:r w:rsidRPr="00AD1E8F">
        <w:rPr>
          <w:rFonts w:ascii="Calibri" w:eastAsia="Calibri" w:hAnsi="Calibri" w:cs="Times New Roman"/>
        </w:rPr>
        <w:t xml:space="preserve">) </w:t>
      </w:r>
    </w:p>
    <w:p w14:paraId="55B8DA6C" w14:textId="77777777" w:rsidR="00A9011D" w:rsidRPr="00AD1E8F" w:rsidRDefault="00A9011D" w:rsidP="002E2177">
      <w:pPr>
        <w:ind w:left="0" w:firstLine="0"/>
        <w:rPr>
          <w:rFonts w:ascii="Calibri" w:eastAsia="Calibri" w:hAnsi="Calibri" w:cs="Times New Roman"/>
        </w:rPr>
      </w:pPr>
      <w:r w:rsidRPr="00AD1E8F">
        <w:rPr>
          <w:rFonts w:ascii="Times New Roman" w:eastAsia="Arial Unicode MS" w:hAnsi="Times New Roman" w:cs="Mangal" w:hint="eastAsia"/>
          <w:color w:val="0000FF"/>
          <w:kern w:val="1"/>
          <w:sz w:val="24"/>
          <w:szCs w:val="24"/>
          <w:lang w:eastAsia="hi-IN" w:bidi="hi-IN"/>
        </w:rPr>
        <w:t>☐</w:t>
      </w:r>
      <w:r w:rsidRPr="00AD1E8F">
        <w:rPr>
          <w:rFonts w:ascii="Calibri" w:eastAsia="Calibri" w:hAnsi="Calibri" w:cs="Times New Roman"/>
        </w:rPr>
        <w:t xml:space="preserve"> Other </w:t>
      </w:r>
    </w:p>
    <w:p w14:paraId="55B8DA6D" w14:textId="77777777" w:rsidR="00A9011D" w:rsidRPr="00AD1E8F" w:rsidRDefault="00A9011D" w:rsidP="002E2177">
      <w:pPr>
        <w:ind w:left="0" w:firstLine="0"/>
        <w:rPr>
          <w:i/>
          <w:iCs/>
        </w:rPr>
      </w:pPr>
    </w:p>
    <w:p w14:paraId="55B8DA6E" w14:textId="77777777" w:rsidR="004E7215" w:rsidRPr="00AD1E8F"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rsidRPr="00AD1E8F" w14:paraId="55B8DA76" w14:textId="77777777" w:rsidTr="00F90F82">
        <w:tc>
          <w:tcPr>
            <w:tcW w:w="4068" w:type="dxa"/>
          </w:tcPr>
          <w:p w14:paraId="55B8DA6F" w14:textId="77777777" w:rsidR="00AB4ECE" w:rsidRPr="00AD1E8F" w:rsidRDefault="00AB4ECE" w:rsidP="002E2177">
            <w:pPr>
              <w:ind w:left="0" w:firstLine="0"/>
              <w:rPr>
                <w:b/>
              </w:rPr>
            </w:pPr>
            <w:r w:rsidRPr="00AD1E8F">
              <w:rPr>
                <w:b/>
              </w:rPr>
              <w:t>Source of Systematic Review:</w:t>
            </w:r>
          </w:p>
          <w:p w14:paraId="55B8DA70" w14:textId="77777777" w:rsidR="00AB4ECE" w:rsidRPr="00AD1E8F" w:rsidRDefault="00AB4ECE" w:rsidP="00AB4ECE">
            <w:pPr>
              <w:pStyle w:val="ListParagraph"/>
              <w:numPr>
                <w:ilvl w:val="0"/>
                <w:numId w:val="9"/>
              </w:numPr>
              <w:rPr>
                <w:b/>
              </w:rPr>
            </w:pPr>
            <w:r w:rsidRPr="00AD1E8F">
              <w:rPr>
                <w:b/>
              </w:rPr>
              <w:t>Title</w:t>
            </w:r>
          </w:p>
          <w:p w14:paraId="55B8DA71" w14:textId="77777777" w:rsidR="00AB4ECE" w:rsidRPr="00AD1E8F" w:rsidRDefault="00AB4ECE" w:rsidP="00AB4ECE">
            <w:pPr>
              <w:pStyle w:val="ListParagraph"/>
              <w:numPr>
                <w:ilvl w:val="0"/>
                <w:numId w:val="9"/>
              </w:numPr>
              <w:rPr>
                <w:b/>
              </w:rPr>
            </w:pPr>
            <w:r w:rsidRPr="00AD1E8F">
              <w:rPr>
                <w:b/>
              </w:rPr>
              <w:t>Author</w:t>
            </w:r>
          </w:p>
          <w:p w14:paraId="55B8DA72" w14:textId="77777777" w:rsidR="00AB4ECE" w:rsidRPr="00AD1E8F" w:rsidRDefault="00AB4ECE" w:rsidP="00AB4ECE">
            <w:pPr>
              <w:pStyle w:val="ListParagraph"/>
              <w:numPr>
                <w:ilvl w:val="0"/>
                <w:numId w:val="9"/>
              </w:numPr>
              <w:rPr>
                <w:b/>
              </w:rPr>
            </w:pPr>
            <w:r w:rsidRPr="00AD1E8F">
              <w:rPr>
                <w:b/>
              </w:rPr>
              <w:t>Date</w:t>
            </w:r>
          </w:p>
          <w:p w14:paraId="55B8DA73" w14:textId="77777777" w:rsidR="00AB4ECE" w:rsidRPr="00AD1E8F" w:rsidRDefault="00AB4ECE" w:rsidP="00AB4ECE">
            <w:pPr>
              <w:pStyle w:val="ListParagraph"/>
              <w:numPr>
                <w:ilvl w:val="0"/>
                <w:numId w:val="9"/>
              </w:numPr>
              <w:rPr>
                <w:b/>
              </w:rPr>
            </w:pPr>
            <w:r w:rsidRPr="00AD1E8F">
              <w:rPr>
                <w:b/>
              </w:rPr>
              <w:t>Citation, including page number</w:t>
            </w:r>
          </w:p>
          <w:p w14:paraId="55B8DA74" w14:textId="77777777" w:rsidR="00AB4ECE" w:rsidRPr="00AD1E8F" w:rsidRDefault="00AB4ECE" w:rsidP="00AB4ECE">
            <w:pPr>
              <w:pStyle w:val="ListParagraph"/>
              <w:numPr>
                <w:ilvl w:val="0"/>
                <w:numId w:val="9"/>
              </w:numPr>
              <w:rPr>
                <w:b/>
              </w:rPr>
            </w:pPr>
            <w:r w:rsidRPr="00AD1E8F">
              <w:rPr>
                <w:b/>
              </w:rPr>
              <w:t>URL</w:t>
            </w:r>
          </w:p>
        </w:tc>
        <w:tc>
          <w:tcPr>
            <w:tcW w:w="5130" w:type="dxa"/>
          </w:tcPr>
          <w:p w14:paraId="55B8DA75" w14:textId="77777777" w:rsidR="00AB4ECE" w:rsidRPr="00AD1E8F" w:rsidRDefault="00AB4ECE" w:rsidP="002E2177">
            <w:pPr>
              <w:ind w:left="0" w:firstLine="0"/>
              <w:rPr>
                <w:b/>
              </w:rPr>
            </w:pPr>
          </w:p>
        </w:tc>
      </w:tr>
      <w:tr w:rsidR="00AB4ECE" w:rsidRPr="00AD1E8F" w14:paraId="55B8DA79" w14:textId="77777777" w:rsidTr="00F90F82">
        <w:tc>
          <w:tcPr>
            <w:tcW w:w="4068" w:type="dxa"/>
          </w:tcPr>
          <w:p w14:paraId="55B8DA77" w14:textId="77777777" w:rsidR="00AB4ECE" w:rsidRPr="00AD1E8F" w:rsidRDefault="00AB4ECE" w:rsidP="002E2177">
            <w:pPr>
              <w:ind w:left="0" w:firstLine="0"/>
            </w:pPr>
            <w:r w:rsidRPr="00AD1E8F">
              <w:t>Quote the guideline or recommendation verbatim about the process, structure or intermediate outcome being measured.</w:t>
            </w:r>
            <w:r w:rsidR="000E5C93" w:rsidRPr="00AD1E8F">
              <w:t xml:space="preserve"> If not a guideline, summarize the conclusions from the SR.</w:t>
            </w:r>
          </w:p>
        </w:tc>
        <w:tc>
          <w:tcPr>
            <w:tcW w:w="5130" w:type="dxa"/>
          </w:tcPr>
          <w:p w14:paraId="55B8DA78" w14:textId="77777777" w:rsidR="00AB4ECE" w:rsidRPr="00AD1E8F" w:rsidRDefault="00AB4ECE" w:rsidP="002E2177">
            <w:pPr>
              <w:ind w:left="0" w:firstLine="0"/>
            </w:pPr>
          </w:p>
        </w:tc>
      </w:tr>
      <w:tr w:rsidR="00AB4ECE" w:rsidRPr="00AD1E8F" w14:paraId="55B8DA7C" w14:textId="77777777" w:rsidTr="00F90F82">
        <w:tc>
          <w:tcPr>
            <w:tcW w:w="4068" w:type="dxa"/>
          </w:tcPr>
          <w:p w14:paraId="55B8DA7A" w14:textId="77777777" w:rsidR="00AB4ECE" w:rsidRPr="00AD1E8F" w:rsidRDefault="00AB4ECE" w:rsidP="00E42FAA">
            <w:pPr>
              <w:ind w:left="0" w:firstLine="0"/>
            </w:pPr>
            <w:r w:rsidRPr="00AD1E8F">
              <w:t xml:space="preserve">Grade assigned to the </w:t>
            </w:r>
            <w:r w:rsidRPr="00AD1E8F">
              <w:rPr>
                <w:b/>
              </w:rPr>
              <w:t>evidence</w:t>
            </w:r>
            <w:r w:rsidRPr="00AD1E8F">
              <w:t xml:space="preserve"> associated with the recommendation with the definition of the grade</w:t>
            </w:r>
          </w:p>
        </w:tc>
        <w:tc>
          <w:tcPr>
            <w:tcW w:w="5130" w:type="dxa"/>
          </w:tcPr>
          <w:p w14:paraId="55B8DA7B" w14:textId="77777777" w:rsidR="00AB4ECE" w:rsidRPr="00AD1E8F" w:rsidRDefault="00AB4ECE" w:rsidP="002E2177">
            <w:pPr>
              <w:ind w:left="0" w:firstLine="0"/>
            </w:pPr>
          </w:p>
        </w:tc>
      </w:tr>
      <w:tr w:rsidR="00AB4ECE" w:rsidRPr="00AD1E8F" w14:paraId="55B8DA7F" w14:textId="77777777" w:rsidTr="00F90F82">
        <w:tc>
          <w:tcPr>
            <w:tcW w:w="4068" w:type="dxa"/>
          </w:tcPr>
          <w:p w14:paraId="55B8DA7D" w14:textId="77777777" w:rsidR="00AB4ECE" w:rsidRPr="00AD1E8F" w:rsidRDefault="00AB4ECE" w:rsidP="00E42FAA">
            <w:pPr>
              <w:ind w:left="0" w:firstLine="0"/>
            </w:pPr>
            <w:r w:rsidRPr="00AD1E8F">
              <w:t>Provide all other grades and definitions from the evidence grading system</w:t>
            </w:r>
          </w:p>
        </w:tc>
        <w:tc>
          <w:tcPr>
            <w:tcW w:w="5130" w:type="dxa"/>
          </w:tcPr>
          <w:p w14:paraId="55B8DA7E" w14:textId="77777777" w:rsidR="00AB4ECE" w:rsidRPr="00AD1E8F" w:rsidRDefault="00AB4ECE" w:rsidP="002E2177">
            <w:pPr>
              <w:ind w:left="0" w:firstLine="0"/>
            </w:pPr>
          </w:p>
        </w:tc>
      </w:tr>
      <w:tr w:rsidR="00AB4ECE" w:rsidRPr="00AD1E8F" w14:paraId="55B8DA82" w14:textId="77777777" w:rsidTr="00F90F82">
        <w:tc>
          <w:tcPr>
            <w:tcW w:w="4068" w:type="dxa"/>
          </w:tcPr>
          <w:p w14:paraId="55B8DA80" w14:textId="77777777" w:rsidR="00AB4ECE" w:rsidRPr="00AD1E8F" w:rsidRDefault="00AB4ECE" w:rsidP="00E42FAA">
            <w:pPr>
              <w:ind w:left="0" w:firstLine="0"/>
            </w:pPr>
            <w:r w:rsidRPr="00AD1E8F">
              <w:t xml:space="preserve">Grade assigned to the </w:t>
            </w:r>
            <w:r w:rsidRPr="00AD1E8F">
              <w:rPr>
                <w:b/>
              </w:rPr>
              <w:t>recommendation</w:t>
            </w:r>
            <w:r w:rsidRPr="00AD1E8F">
              <w:t xml:space="preserve"> with definition of the grade</w:t>
            </w:r>
          </w:p>
        </w:tc>
        <w:tc>
          <w:tcPr>
            <w:tcW w:w="5130" w:type="dxa"/>
          </w:tcPr>
          <w:p w14:paraId="55B8DA81" w14:textId="77777777" w:rsidR="00AB4ECE" w:rsidRPr="00AD1E8F" w:rsidRDefault="00AB4ECE" w:rsidP="002E2177">
            <w:pPr>
              <w:ind w:left="0" w:firstLine="0"/>
            </w:pPr>
          </w:p>
        </w:tc>
      </w:tr>
      <w:tr w:rsidR="00AB4ECE" w:rsidRPr="00AD1E8F" w14:paraId="55B8DA85" w14:textId="77777777" w:rsidTr="00F90F82">
        <w:tc>
          <w:tcPr>
            <w:tcW w:w="4068" w:type="dxa"/>
          </w:tcPr>
          <w:p w14:paraId="55B8DA83" w14:textId="77777777" w:rsidR="00AB4ECE" w:rsidRPr="00AD1E8F" w:rsidRDefault="00AB4ECE" w:rsidP="00E42FAA">
            <w:pPr>
              <w:ind w:left="0" w:firstLine="0"/>
            </w:pPr>
            <w:r w:rsidRPr="00AD1E8F">
              <w:t>Provide all other grades and definitions from the recommendation grading system</w:t>
            </w:r>
          </w:p>
        </w:tc>
        <w:tc>
          <w:tcPr>
            <w:tcW w:w="5130" w:type="dxa"/>
          </w:tcPr>
          <w:p w14:paraId="55B8DA84" w14:textId="77777777" w:rsidR="00AB4ECE" w:rsidRPr="00AD1E8F" w:rsidRDefault="00AB4ECE" w:rsidP="002E2177">
            <w:pPr>
              <w:ind w:left="0" w:firstLine="0"/>
            </w:pPr>
          </w:p>
        </w:tc>
      </w:tr>
      <w:tr w:rsidR="00AB4ECE" w:rsidRPr="00AD1E8F" w14:paraId="55B8DA8A" w14:textId="77777777" w:rsidTr="00F90F82">
        <w:tc>
          <w:tcPr>
            <w:tcW w:w="4068" w:type="dxa"/>
          </w:tcPr>
          <w:p w14:paraId="55B8DA86" w14:textId="77777777" w:rsidR="00AB4ECE" w:rsidRPr="00AD1E8F" w:rsidRDefault="000E5C93" w:rsidP="002E2177">
            <w:pPr>
              <w:ind w:left="0" w:firstLine="0"/>
            </w:pPr>
            <w:r w:rsidRPr="00AD1E8F">
              <w:t>Body of evidence:</w:t>
            </w:r>
          </w:p>
          <w:p w14:paraId="55B8DA87" w14:textId="77777777" w:rsidR="000E5C93" w:rsidRPr="00AD1E8F" w:rsidRDefault="000E5C93" w:rsidP="000E5C93">
            <w:pPr>
              <w:pStyle w:val="ListParagraph"/>
              <w:numPr>
                <w:ilvl w:val="0"/>
                <w:numId w:val="10"/>
              </w:numPr>
            </w:pPr>
            <w:r w:rsidRPr="00AD1E8F">
              <w:t>Quantity – how many studies?</w:t>
            </w:r>
          </w:p>
          <w:p w14:paraId="55B8DA88" w14:textId="77777777" w:rsidR="000E5C93" w:rsidRPr="00AD1E8F" w:rsidRDefault="000E5C93" w:rsidP="000E5C93">
            <w:pPr>
              <w:pStyle w:val="ListParagraph"/>
              <w:numPr>
                <w:ilvl w:val="0"/>
                <w:numId w:val="10"/>
              </w:numPr>
            </w:pPr>
            <w:r w:rsidRPr="00AD1E8F">
              <w:t>Quality – what type of studies?</w:t>
            </w:r>
          </w:p>
        </w:tc>
        <w:tc>
          <w:tcPr>
            <w:tcW w:w="5130" w:type="dxa"/>
          </w:tcPr>
          <w:p w14:paraId="55B8DA89" w14:textId="77777777" w:rsidR="00AB4ECE" w:rsidRPr="00AD1E8F" w:rsidRDefault="00AB4ECE" w:rsidP="002E2177">
            <w:pPr>
              <w:ind w:left="0" w:firstLine="0"/>
            </w:pPr>
          </w:p>
        </w:tc>
      </w:tr>
      <w:tr w:rsidR="00AB4ECE" w:rsidRPr="00AD1E8F" w14:paraId="55B8DA8D" w14:textId="77777777" w:rsidTr="00F90F82">
        <w:tc>
          <w:tcPr>
            <w:tcW w:w="4068" w:type="dxa"/>
          </w:tcPr>
          <w:p w14:paraId="55B8DA8B" w14:textId="77777777" w:rsidR="00AB4ECE" w:rsidRPr="00AD1E8F" w:rsidRDefault="000E5C93" w:rsidP="002E2177">
            <w:pPr>
              <w:ind w:left="0" w:firstLine="0"/>
            </w:pPr>
            <w:r w:rsidRPr="00AD1E8F">
              <w:t xml:space="preserve">Estimates of benefit and consistency across studies </w:t>
            </w:r>
          </w:p>
        </w:tc>
        <w:tc>
          <w:tcPr>
            <w:tcW w:w="5130" w:type="dxa"/>
          </w:tcPr>
          <w:p w14:paraId="55B8DA8C" w14:textId="77777777" w:rsidR="00AB4ECE" w:rsidRPr="00AD1E8F" w:rsidRDefault="00AB4ECE" w:rsidP="002E2177">
            <w:pPr>
              <w:ind w:left="0" w:firstLine="0"/>
            </w:pPr>
          </w:p>
        </w:tc>
      </w:tr>
      <w:tr w:rsidR="000E5C93" w:rsidRPr="00AD1E8F" w14:paraId="55B8DA90" w14:textId="77777777" w:rsidTr="00F90F82">
        <w:tc>
          <w:tcPr>
            <w:tcW w:w="4068" w:type="dxa"/>
          </w:tcPr>
          <w:p w14:paraId="55B8DA8E" w14:textId="77777777" w:rsidR="000E5C93" w:rsidRPr="00AD1E8F" w:rsidRDefault="000E5C93" w:rsidP="002E2177">
            <w:pPr>
              <w:ind w:left="0" w:firstLine="0"/>
            </w:pPr>
            <w:r w:rsidRPr="00AD1E8F">
              <w:t>What harms were identified?</w:t>
            </w:r>
          </w:p>
        </w:tc>
        <w:tc>
          <w:tcPr>
            <w:tcW w:w="5130" w:type="dxa"/>
          </w:tcPr>
          <w:p w14:paraId="55B8DA8F" w14:textId="77777777" w:rsidR="000E5C93" w:rsidRPr="00AD1E8F" w:rsidRDefault="000E5C93" w:rsidP="002E2177">
            <w:pPr>
              <w:ind w:left="0" w:firstLine="0"/>
            </w:pPr>
          </w:p>
        </w:tc>
      </w:tr>
      <w:tr w:rsidR="000E5C93" w:rsidRPr="00AD1E8F" w14:paraId="55B8DA93" w14:textId="77777777" w:rsidTr="00F90F82">
        <w:tc>
          <w:tcPr>
            <w:tcW w:w="4068" w:type="dxa"/>
          </w:tcPr>
          <w:p w14:paraId="55B8DA91" w14:textId="77777777" w:rsidR="000E5C93" w:rsidRPr="00AD1E8F" w:rsidRDefault="000E5C93" w:rsidP="000E5C93">
            <w:pPr>
              <w:ind w:left="0" w:firstLine="0"/>
            </w:pPr>
            <w:r w:rsidRPr="00AD1E8F">
              <w:t>Identify any new studies conducted since the SR. Do the new studies change the conclusions from the SR?</w:t>
            </w:r>
          </w:p>
        </w:tc>
        <w:tc>
          <w:tcPr>
            <w:tcW w:w="5130" w:type="dxa"/>
          </w:tcPr>
          <w:p w14:paraId="55B8DA92" w14:textId="77777777" w:rsidR="000E5C93" w:rsidRPr="00AD1E8F" w:rsidRDefault="000E5C93" w:rsidP="002E2177">
            <w:pPr>
              <w:ind w:left="0" w:firstLine="0"/>
            </w:pPr>
          </w:p>
        </w:tc>
      </w:tr>
    </w:tbl>
    <w:p w14:paraId="55B8DA94" w14:textId="77777777" w:rsidR="007C1887" w:rsidRPr="00AD1E8F" w:rsidRDefault="007C1887" w:rsidP="002E2177">
      <w:pPr>
        <w:ind w:left="0" w:firstLine="0"/>
      </w:pPr>
    </w:p>
    <w:p w14:paraId="55B8DA95" w14:textId="77777777" w:rsidR="0094689F" w:rsidRPr="00AD1E8F" w:rsidRDefault="00925F11" w:rsidP="002E2177">
      <w:pPr>
        <w:ind w:left="0" w:firstLine="0"/>
        <w:rPr>
          <w:b/>
          <w:color w:val="0070C0"/>
        </w:rPr>
      </w:pPr>
      <w:r w:rsidRPr="00AD1E8F">
        <w:rPr>
          <w:b/>
          <w:iCs/>
          <w:caps/>
        </w:rPr>
        <w:t>________________________</w:t>
      </w:r>
    </w:p>
    <w:p w14:paraId="55B8DA96" w14:textId="77777777" w:rsidR="00837121" w:rsidRPr="00AD1E8F" w:rsidRDefault="000E5C93" w:rsidP="002E2177">
      <w:pPr>
        <w:ind w:left="0" w:firstLine="0"/>
        <w:rPr>
          <w:b/>
        </w:rPr>
      </w:pPr>
      <w:bookmarkStart w:id="20" w:name="Section1a8"/>
      <w:bookmarkEnd w:id="20"/>
      <w:r w:rsidRPr="00AD1E8F">
        <w:rPr>
          <w:b/>
          <w:color w:val="0000FF"/>
        </w:rPr>
        <w:t>1a.4</w:t>
      </w:r>
      <w:r w:rsidR="00837121" w:rsidRPr="00AD1E8F">
        <w:rPr>
          <w:b/>
          <w:color w:val="0000FF"/>
        </w:rPr>
        <w:t xml:space="preserve"> </w:t>
      </w:r>
      <w:r w:rsidR="00837121" w:rsidRPr="00AD1E8F">
        <w:rPr>
          <w:b/>
        </w:rPr>
        <w:t>OTHER SOURCE OF EVIDENCE</w:t>
      </w:r>
    </w:p>
    <w:p w14:paraId="55B8DA97" w14:textId="77777777" w:rsidR="00837121" w:rsidRPr="00AD1E8F" w:rsidRDefault="00837121" w:rsidP="002E2177">
      <w:pPr>
        <w:ind w:left="0" w:firstLine="0"/>
        <w:rPr>
          <w:i/>
        </w:rPr>
      </w:pPr>
      <w:r w:rsidRPr="00AD1E8F">
        <w:rPr>
          <w:i/>
        </w:rPr>
        <w:t xml:space="preserve">If source of evidence is </w:t>
      </w:r>
      <w:r w:rsidR="002B06BD" w:rsidRPr="00AD1E8F">
        <w:rPr>
          <w:i/>
        </w:rPr>
        <w:t xml:space="preserve">NOT </w:t>
      </w:r>
      <w:r w:rsidRPr="00AD1E8F">
        <w:rPr>
          <w:i/>
        </w:rPr>
        <w:t xml:space="preserve">from a clinical practice guideline, USPSTF, or systematic review, please describe the evidence on which you are basing </w:t>
      </w:r>
      <w:r w:rsidR="00EE1F87" w:rsidRPr="00AD1E8F">
        <w:rPr>
          <w:i/>
        </w:rPr>
        <w:t xml:space="preserve">the </w:t>
      </w:r>
      <w:r w:rsidRPr="00AD1E8F">
        <w:rPr>
          <w:i/>
        </w:rPr>
        <w:t>performance measure.</w:t>
      </w:r>
    </w:p>
    <w:p w14:paraId="24859266" w14:textId="33C19A34" w:rsidR="006844ED" w:rsidRPr="00AD1E8F" w:rsidRDefault="006844ED" w:rsidP="00146383">
      <w:pPr>
        <w:ind w:left="0" w:firstLine="0"/>
      </w:pPr>
    </w:p>
    <w:p w14:paraId="4F90F706" w14:textId="77777777" w:rsidR="006844ED" w:rsidRPr="00AD1E8F" w:rsidRDefault="006844ED" w:rsidP="006844ED">
      <w:pPr>
        <w:ind w:left="0" w:firstLine="0"/>
        <w:rPr>
          <w:color w:val="7030A0"/>
        </w:rPr>
      </w:pPr>
      <w:r w:rsidRPr="00AD1E8F">
        <w:rPr>
          <w:color w:val="7030A0"/>
        </w:rPr>
        <w:t>N/A</w:t>
      </w:r>
    </w:p>
    <w:p w14:paraId="583CE8F3" w14:textId="42A7D5C1" w:rsidR="006844ED" w:rsidRPr="00AD1E8F" w:rsidRDefault="006844ED" w:rsidP="00146383">
      <w:pPr>
        <w:ind w:left="0" w:firstLine="0"/>
      </w:pPr>
    </w:p>
    <w:p w14:paraId="3DAE05F5" w14:textId="79754FDC" w:rsidR="0023164B" w:rsidRPr="00AD1E8F" w:rsidRDefault="000E5C93" w:rsidP="00146383">
      <w:pPr>
        <w:ind w:left="0" w:firstLine="0"/>
      </w:pPr>
      <w:r w:rsidRPr="00AD1E8F">
        <w:rPr>
          <w:b/>
          <w:color w:val="0000FF"/>
        </w:rPr>
        <w:t>1a.4</w:t>
      </w:r>
      <w:r w:rsidR="00837121" w:rsidRPr="00AD1E8F">
        <w:rPr>
          <w:b/>
          <w:color w:val="0000FF"/>
        </w:rPr>
        <w:t>.1</w:t>
      </w:r>
      <w:r w:rsidR="00837121" w:rsidRPr="00AD1E8F">
        <w:rPr>
          <w:color w:val="0070C0"/>
        </w:rPr>
        <w:t xml:space="preserve"> </w:t>
      </w:r>
      <w:r w:rsidRPr="00AD1E8F">
        <w:rPr>
          <w:b/>
        </w:rPr>
        <w:t xml:space="preserve">Briefly </w:t>
      </w:r>
      <w:r w:rsidR="00E42FAA" w:rsidRPr="00AD1E8F">
        <w:rPr>
          <w:b/>
        </w:rPr>
        <w:t xml:space="preserve">SYNTHESIZE </w:t>
      </w:r>
      <w:r w:rsidRPr="00AD1E8F">
        <w:rPr>
          <w:b/>
        </w:rPr>
        <w:t xml:space="preserve">the evidence that supports the measure. </w:t>
      </w:r>
      <w:r w:rsidRPr="00AD1E8F">
        <w:t>A list of references without a summary is not acceptable.</w:t>
      </w:r>
    </w:p>
    <w:p w14:paraId="55B8DA9A" w14:textId="77777777" w:rsidR="000E5C93" w:rsidRPr="00AD1E8F" w:rsidRDefault="000E5C93" w:rsidP="002E2177">
      <w:pPr>
        <w:ind w:left="0" w:firstLine="0"/>
        <w:rPr>
          <w:b/>
        </w:rPr>
      </w:pPr>
    </w:p>
    <w:p w14:paraId="55B8DA9B" w14:textId="77777777" w:rsidR="00837121" w:rsidRPr="00AD1E8F" w:rsidRDefault="000E5C93" w:rsidP="002E2177">
      <w:pPr>
        <w:ind w:left="0" w:firstLine="0"/>
      </w:pPr>
      <w:r w:rsidRPr="00AD1E8F">
        <w:rPr>
          <w:b/>
          <w:color w:val="244061" w:themeColor="accent1" w:themeShade="80"/>
        </w:rPr>
        <w:t xml:space="preserve">1a.4.2 </w:t>
      </w:r>
      <w:r w:rsidR="00837121" w:rsidRPr="00AD1E8F">
        <w:rPr>
          <w:b/>
        </w:rPr>
        <w:t>What process was used to identify the evidence?</w:t>
      </w:r>
    </w:p>
    <w:p w14:paraId="458A5710" w14:textId="560D8B87" w:rsidR="0023164B" w:rsidRPr="00AD1E8F" w:rsidRDefault="0023164B" w:rsidP="002E2177">
      <w:pPr>
        <w:ind w:left="0" w:firstLine="0"/>
      </w:pPr>
    </w:p>
    <w:p w14:paraId="7AB8BE23" w14:textId="77777777" w:rsidR="006844ED" w:rsidRPr="00AD1E8F" w:rsidRDefault="006844ED" w:rsidP="006844ED">
      <w:pPr>
        <w:ind w:left="0" w:firstLine="0"/>
        <w:rPr>
          <w:color w:val="7030A0"/>
        </w:rPr>
      </w:pPr>
      <w:r w:rsidRPr="00AD1E8F">
        <w:rPr>
          <w:color w:val="7030A0"/>
        </w:rPr>
        <w:t>N/A</w:t>
      </w:r>
    </w:p>
    <w:p w14:paraId="659F688D" w14:textId="6959BA14" w:rsidR="006844ED" w:rsidRPr="00AD1E8F" w:rsidRDefault="006844ED" w:rsidP="002E2177">
      <w:pPr>
        <w:ind w:left="0" w:firstLine="0"/>
        <w:rPr>
          <w:b/>
          <w:color w:val="0000FF"/>
        </w:rPr>
      </w:pPr>
    </w:p>
    <w:p w14:paraId="401DA035" w14:textId="2E89E3E0" w:rsidR="0023164B" w:rsidRPr="00AD1E8F" w:rsidRDefault="000E5C93" w:rsidP="006844ED">
      <w:pPr>
        <w:ind w:left="0" w:firstLine="0"/>
        <w:rPr>
          <w:b/>
        </w:rPr>
      </w:pPr>
      <w:r w:rsidRPr="00AD1E8F">
        <w:rPr>
          <w:b/>
          <w:color w:val="0000FF"/>
        </w:rPr>
        <w:t>1a.4.3</w:t>
      </w:r>
      <w:r w:rsidR="00837121" w:rsidRPr="00AD1E8F">
        <w:rPr>
          <w:b/>
          <w:color w:val="0000FF"/>
        </w:rPr>
        <w:t>.</w:t>
      </w:r>
      <w:r w:rsidR="00837121" w:rsidRPr="00AD1E8F">
        <w:rPr>
          <w:color w:val="0070C0"/>
        </w:rPr>
        <w:t xml:space="preserve"> </w:t>
      </w:r>
      <w:r w:rsidR="006C7F30" w:rsidRPr="00AD1E8F">
        <w:rPr>
          <w:b/>
        </w:rPr>
        <w:t>Provide the citation</w:t>
      </w:r>
      <w:r w:rsidRPr="00AD1E8F">
        <w:rPr>
          <w:b/>
        </w:rPr>
        <w:t>(s)</w:t>
      </w:r>
      <w:r w:rsidR="009E6B86" w:rsidRPr="00AD1E8F">
        <w:rPr>
          <w:b/>
        </w:rPr>
        <w:t xml:space="preserve"> </w:t>
      </w:r>
      <w:r w:rsidRPr="00AD1E8F">
        <w:rPr>
          <w:b/>
        </w:rPr>
        <w:t>for the</w:t>
      </w:r>
      <w:r w:rsidR="006C7F30" w:rsidRPr="00AD1E8F">
        <w:rPr>
          <w:b/>
        </w:rPr>
        <w:t xml:space="preserve"> evidence.</w:t>
      </w:r>
    </w:p>
    <w:p w14:paraId="7AF7CAE8" w14:textId="0F3031E0" w:rsidR="006844ED" w:rsidRPr="00AD1E8F" w:rsidRDefault="006844ED" w:rsidP="006844ED">
      <w:pPr>
        <w:ind w:left="0" w:firstLine="0"/>
        <w:rPr>
          <w:b/>
        </w:rPr>
      </w:pPr>
    </w:p>
    <w:p w14:paraId="1E735653" w14:textId="77777777" w:rsidR="006844ED" w:rsidRPr="006844ED" w:rsidRDefault="006844ED" w:rsidP="006844ED">
      <w:pPr>
        <w:ind w:left="0" w:firstLine="0"/>
        <w:rPr>
          <w:color w:val="7030A0"/>
        </w:rPr>
      </w:pPr>
      <w:r w:rsidRPr="00AD1E8F">
        <w:rPr>
          <w:color w:val="7030A0"/>
        </w:rPr>
        <w:t>N/A</w:t>
      </w:r>
    </w:p>
    <w:p w14:paraId="46F62123" w14:textId="77777777" w:rsidR="006844ED" w:rsidRPr="006844ED" w:rsidRDefault="006844ED" w:rsidP="006844ED">
      <w:pPr>
        <w:ind w:left="0" w:firstLine="0"/>
        <w:rPr>
          <w:b/>
        </w:rPr>
      </w:pPr>
    </w:p>
    <w:sectPr w:rsidR="006844ED" w:rsidRPr="006844E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554C9EBE"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A7C4A">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18A5"/>
    <w:rsid w:val="00015986"/>
    <w:rsid w:val="000160E6"/>
    <w:rsid w:val="00024526"/>
    <w:rsid w:val="00030F43"/>
    <w:rsid w:val="00040DCF"/>
    <w:rsid w:val="00052C0B"/>
    <w:rsid w:val="00061CF3"/>
    <w:rsid w:val="00063601"/>
    <w:rsid w:val="00073079"/>
    <w:rsid w:val="0007593F"/>
    <w:rsid w:val="00090768"/>
    <w:rsid w:val="00095EC9"/>
    <w:rsid w:val="00096A37"/>
    <w:rsid w:val="000A0810"/>
    <w:rsid w:val="000B627F"/>
    <w:rsid w:val="000D649E"/>
    <w:rsid w:val="000D6D06"/>
    <w:rsid w:val="000E0E92"/>
    <w:rsid w:val="000E5C93"/>
    <w:rsid w:val="000F4A7F"/>
    <w:rsid w:val="00114848"/>
    <w:rsid w:val="00120934"/>
    <w:rsid w:val="00132070"/>
    <w:rsid w:val="00141875"/>
    <w:rsid w:val="0014347E"/>
    <w:rsid w:val="00146383"/>
    <w:rsid w:val="00154438"/>
    <w:rsid w:val="001551F6"/>
    <w:rsid w:val="0015535B"/>
    <w:rsid w:val="00162036"/>
    <w:rsid w:val="001632DD"/>
    <w:rsid w:val="00176E60"/>
    <w:rsid w:val="00194913"/>
    <w:rsid w:val="00194D9A"/>
    <w:rsid w:val="001A196B"/>
    <w:rsid w:val="001A6D05"/>
    <w:rsid w:val="001A7C4A"/>
    <w:rsid w:val="001B38BF"/>
    <w:rsid w:val="001B772D"/>
    <w:rsid w:val="001D5B5D"/>
    <w:rsid w:val="001E6153"/>
    <w:rsid w:val="00201FF9"/>
    <w:rsid w:val="00205857"/>
    <w:rsid w:val="0023164B"/>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3F6FCC"/>
    <w:rsid w:val="0040230E"/>
    <w:rsid w:val="0041662F"/>
    <w:rsid w:val="00422917"/>
    <w:rsid w:val="00440687"/>
    <w:rsid w:val="0044131D"/>
    <w:rsid w:val="00441ADA"/>
    <w:rsid w:val="00457E46"/>
    <w:rsid w:val="00480BF7"/>
    <w:rsid w:val="004922E4"/>
    <w:rsid w:val="00496AF8"/>
    <w:rsid w:val="004A575D"/>
    <w:rsid w:val="004B65C6"/>
    <w:rsid w:val="004D1DC7"/>
    <w:rsid w:val="004E7215"/>
    <w:rsid w:val="004F7D7E"/>
    <w:rsid w:val="00500B0C"/>
    <w:rsid w:val="00506B43"/>
    <w:rsid w:val="00515FDB"/>
    <w:rsid w:val="0052253B"/>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4E7F"/>
    <w:rsid w:val="00676BD4"/>
    <w:rsid w:val="0068184A"/>
    <w:rsid w:val="006844ED"/>
    <w:rsid w:val="006957DA"/>
    <w:rsid w:val="006A0249"/>
    <w:rsid w:val="006B5C51"/>
    <w:rsid w:val="006C7F30"/>
    <w:rsid w:val="006D43FF"/>
    <w:rsid w:val="006E6FDD"/>
    <w:rsid w:val="006F4B7F"/>
    <w:rsid w:val="006F760B"/>
    <w:rsid w:val="00701CC3"/>
    <w:rsid w:val="00724801"/>
    <w:rsid w:val="00734949"/>
    <w:rsid w:val="00736AEC"/>
    <w:rsid w:val="00736E0F"/>
    <w:rsid w:val="007434FA"/>
    <w:rsid w:val="00746BD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11A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97849"/>
    <w:rsid w:val="00AA2421"/>
    <w:rsid w:val="00AA5587"/>
    <w:rsid w:val="00AB4ECE"/>
    <w:rsid w:val="00AC1E53"/>
    <w:rsid w:val="00AD1E8F"/>
    <w:rsid w:val="00AD79C8"/>
    <w:rsid w:val="00AE6CE0"/>
    <w:rsid w:val="00B05443"/>
    <w:rsid w:val="00B058A6"/>
    <w:rsid w:val="00B117D0"/>
    <w:rsid w:val="00B13998"/>
    <w:rsid w:val="00B15675"/>
    <w:rsid w:val="00B35C5F"/>
    <w:rsid w:val="00B439DD"/>
    <w:rsid w:val="00B52E0F"/>
    <w:rsid w:val="00B74629"/>
    <w:rsid w:val="00B91F58"/>
    <w:rsid w:val="00BA579E"/>
    <w:rsid w:val="00BE2295"/>
    <w:rsid w:val="00BE6373"/>
    <w:rsid w:val="00BF533A"/>
    <w:rsid w:val="00C05685"/>
    <w:rsid w:val="00C41794"/>
    <w:rsid w:val="00C46677"/>
    <w:rsid w:val="00C5180E"/>
    <w:rsid w:val="00C54E40"/>
    <w:rsid w:val="00C55F56"/>
    <w:rsid w:val="00C57BA4"/>
    <w:rsid w:val="00C613EB"/>
    <w:rsid w:val="00C71C1A"/>
    <w:rsid w:val="00C7258B"/>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83FA9"/>
    <w:rsid w:val="00DA7FA2"/>
    <w:rsid w:val="00DC2D8D"/>
    <w:rsid w:val="00DC7F67"/>
    <w:rsid w:val="00DE1F5D"/>
    <w:rsid w:val="00DE50D8"/>
    <w:rsid w:val="00DF278A"/>
    <w:rsid w:val="00E12153"/>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768F7"/>
    <w:rsid w:val="00F81FE3"/>
    <w:rsid w:val="00F90F82"/>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ref-title">
    <w:name w:val="ref-title"/>
    <w:basedOn w:val="DefaultParagraphFont"/>
    <w:rsid w:val="00B15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qualitynet.org/inpatient/measures/readmission/methodology"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F18A07967229422FA3B25674AF0CD910"/>
        <w:category>
          <w:name w:val="General"/>
          <w:gallery w:val="placeholder"/>
        </w:category>
        <w:types>
          <w:type w:val="bbPlcHdr"/>
        </w:types>
        <w:behaviors>
          <w:behavior w:val="content"/>
        </w:behaviors>
        <w:guid w:val="{13F806FD-8ED5-4B4E-AC69-3047C88B35F6}"/>
      </w:docPartPr>
      <w:docPartBody>
        <w:p w:rsidR="007A5D7C" w:rsidRDefault="00315AB2" w:rsidP="00315AB2">
          <w:pPr>
            <w:pStyle w:val="F18A07967229422FA3B25674AF0CD910"/>
          </w:pPr>
          <w:r w:rsidRPr="00B83BC5">
            <w:rPr>
              <w:rStyle w:val="PlaceholderText"/>
              <w:rFonts w:cstheme="minorHAnsi"/>
              <w:color w:val="A6A6A6" w:themeColor="background1" w:themeShade="A6"/>
            </w:rPr>
            <w:t>Click here to enter measure title</w:t>
          </w:r>
        </w:p>
      </w:docPartBody>
    </w:docPart>
    <w:docPart>
      <w:docPartPr>
        <w:name w:val="587366B5308E48209098951B8EC46B41"/>
        <w:category>
          <w:name w:val="General"/>
          <w:gallery w:val="placeholder"/>
        </w:category>
        <w:types>
          <w:type w:val="bbPlcHdr"/>
        </w:types>
        <w:behaviors>
          <w:behavior w:val="content"/>
        </w:behaviors>
        <w:guid w:val="{1136CCCD-7B37-48DE-BCC0-759822674807}"/>
      </w:docPartPr>
      <w:docPartBody>
        <w:p w:rsidR="007A5D7C" w:rsidRDefault="00315AB2" w:rsidP="00315AB2">
          <w:pPr>
            <w:pStyle w:val="587366B5308E48209098951B8EC46B41"/>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15AB2"/>
    <w:rsid w:val="003A1E4B"/>
    <w:rsid w:val="00455EB5"/>
    <w:rsid w:val="00461C1C"/>
    <w:rsid w:val="004E2027"/>
    <w:rsid w:val="005F21F3"/>
    <w:rsid w:val="007A5D7C"/>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5AB2"/>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F18A07967229422FA3B25674AF0CD910">
    <w:name w:val="F18A07967229422FA3B25674AF0CD910"/>
    <w:rsid w:val="00315AB2"/>
    <w:pPr>
      <w:spacing w:after="160" w:line="259" w:lineRule="auto"/>
    </w:pPr>
  </w:style>
  <w:style w:type="paragraph" w:customStyle="1" w:styleId="587366B5308E48209098951B8EC46B41">
    <w:name w:val="587366B5308E48209098951B8EC46B41"/>
    <w:rsid w:val="00315AB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purl.org/dc/terms/"/>
    <ds:schemaRef ds:uri="836b82f1-340d-495e-85b5-201c5296619a"/>
    <ds:schemaRef ds:uri="http://www.w3.org/XML/1998/namespace"/>
    <ds:schemaRef ds:uri="http://purl.org/dc/elements/1.1/"/>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AA3B0D-D916-4D14-89C1-BEB78062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4</cp:revision>
  <dcterms:created xsi:type="dcterms:W3CDTF">2020-06-24T17:21:00Z</dcterms:created>
  <dcterms:modified xsi:type="dcterms:W3CDTF">2020-06-25T18:58:00Z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