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A6E7AA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373922" w:rsidRPr="009026A4">
            <w:rPr>
              <w:rStyle w:val="Style1"/>
              <w:color w:val="7030A0"/>
            </w:rPr>
            <w:t>2515</w:t>
          </w:r>
        </w:sdtContent>
      </w:sdt>
    </w:p>
    <w:p w14:paraId="0CABCF56" w14:textId="0CC21754"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w:t>
      </w:r>
      <w:r w:rsidR="00B324DA">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420982160"/>
              <w:placeholder>
                <w:docPart w:val="3C93701F14C94C97B9A7490B0593EAFC"/>
              </w:placeholder>
            </w:sdtPr>
            <w:sdtEndPr>
              <w:rPr>
                <w:rStyle w:val="DefaultParagraphFont"/>
                <w:noProof/>
                <w:color w:val="auto"/>
              </w:rPr>
            </w:sdtEndPr>
            <w:sdtContent>
              <w:r w:rsidR="00373922" w:rsidRPr="009026A4">
                <w:rPr>
                  <w:rStyle w:val="Style1"/>
                  <w:rFonts w:cstheme="minorHAnsi"/>
                  <w:color w:val="7030A0"/>
                </w:rPr>
                <w:t>Hospital 30-day, all-cause, unplanned, risk-standardized readmission rate (RSRR) following coronary artery bypass graft (CABG) surgery</w:t>
              </w:r>
            </w:sdtContent>
          </w:sdt>
        </w:sdtContent>
      </w:sdt>
    </w:p>
    <w:p w14:paraId="0CABCF57" w14:textId="44885787" w:rsidR="005C73CA" w:rsidRPr="00450C58" w:rsidRDefault="00105D8B" w:rsidP="009E1846">
      <w:pPr>
        <w:spacing w:after="0"/>
        <w:rPr>
          <w:rStyle w:val="Style2"/>
          <w:rFonts w:cstheme="minorHAnsi"/>
        </w:rPr>
      </w:pPr>
      <w:r w:rsidRPr="00450C58">
        <w:rPr>
          <w:rFonts w:cstheme="minorHAnsi"/>
          <w:b/>
          <w:noProof/>
        </w:rPr>
        <w:t>Date of Submission</w:t>
      </w:r>
      <w:r w:rsidRPr="009026A4">
        <w:rPr>
          <w:rFonts w:cstheme="minorHAnsi"/>
          <w:noProof/>
          <w:color w:val="7030A0"/>
        </w:rPr>
        <w:t>:</w:t>
      </w:r>
      <w:r w:rsidR="00B324DA">
        <w:rPr>
          <w:rFonts w:cstheme="minorHAnsi"/>
          <w:noProof/>
          <w:color w:val="7030A0"/>
        </w:rPr>
        <w:t xml:space="preserve"> </w:t>
      </w:r>
      <w:sdt>
        <w:sdtPr>
          <w:rPr>
            <w:rStyle w:val="Style2"/>
            <w:rFonts w:cstheme="minorHAnsi"/>
            <w:color w:val="C00000"/>
          </w:rPr>
          <w:id w:val="-1689821638"/>
          <w:placeholder>
            <w:docPart w:val="D0A5AE3409394D21BA5FA5F27780E302"/>
          </w:placeholder>
          <w:date w:fullDate="2020-11-03T00:00:00Z">
            <w:dateFormat w:val="M/d/yyyy"/>
            <w:lid w:val="en-US"/>
            <w:storeMappedDataAs w:val="dateTime"/>
            <w:calendar w:val="gregorian"/>
          </w:date>
        </w:sdtPr>
        <w:sdtEndPr>
          <w:rPr>
            <w:rStyle w:val="DefaultParagraphFont"/>
            <w:noProof/>
            <w:u w:val="none"/>
          </w:rPr>
        </w:sdtEndPr>
        <w:sdtContent>
          <w:r w:rsidR="00B741B4">
            <w:rPr>
              <w:rStyle w:val="Style2"/>
              <w:rFonts w:cstheme="minorHAnsi"/>
              <w:color w:val="C00000"/>
            </w:rPr>
            <w:t>11/3/2020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067236AE" w:rsidR="000B7D57" w:rsidRPr="00C775CE" w:rsidRDefault="00F6040A"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8B4DDE">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6040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6040A"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6040A"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F6040A"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6040A"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6040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w:t>
            </w:r>
            <w:proofErr w:type="gramStart"/>
            <w:r w:rsidRPr="000F034A">
              <w:rPr>
                <w:rFonts w:cstheme="minorHAnsi"/>
                <w:bCs/>
                <w:iCs/>
              </w:rPr>
              <w:t>time period</w:t>
            </w:r>
            <w:proofErr w:type="gramEnd"/>
            <w:r w:rsidRPr="000F034A">
              <w:rPr>
                <w:rFonts w:cstheme="minorHAnsi"/>
                <w:bCs/>
                <w:iCs/>
              </w:rPr>
              <w:t xml:space="preserve">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21FCBF5E"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w:t>
            </w:r>
            <w:proofErr w:type="gramStart"/>
            <w:r w:rsidRPr="000F034A">
              <w:rPr>
                <w:rFonts w:cstheme="minorHAnsi"/>
                <w:bCs/>
                <w:iCs/>
              </w:rPr>
              <w:t>correct</w:t>
            </w:r>
            <w:proofErr w:type="gramEnd"/>
            <w:r w:rsidRPr="000F034A">
              <w:rPr>
                <w:rFonts w:cstheme="minorHAnsi"/>
                <w:bCs/>
                <w:iCs/>
              </w:rPr>
              <w:t xml:space="preserve"> and/or the </w:t>
            </w:r>
            <w:r w:rsidRPr="000F034A">
              <w:rPr>
                <w:rFonts w:cstheme="minorHAnsi"/>
              </w:rPr>
              <w:t>measure score correctly reflects the quality of care provided, adequately identifying differences in quality</w:t>
            </w:r>
            <w:r w:rsidRPr="000F034A">
              <w:rPr>
                <w:rFonts w:cstheme="minorHAnsi"/>
                <w:color w:val="0000FF"/>
              </w:rPr>
              <w:t>.</w:t>
            </w:r>
            <w:r w:rsidR="00B324D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373C0706"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B324DA">
              <w:rPr>
                <w:rFonts w:cstheme="minorHAnsi"/>
                <w:sz w:val="20"/>
                <w:szCs w:val="20"/>
              </w:rPr>
              <w:t xml:space="preserve">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5E12FBF1"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B324DA">
              <w:rPr>
                <w:rFonts w:asciiTheme="minorHAnsi" w:hAnsiTheme="minorHAnsi" w:cstheme="minorHAnsi"/>
              </w:rPr>
              <w:t xml:space="preserve">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663E5691"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w:t>
            </w:r>
            <w:r w:rsidR="00B324DA">
              <w:rPr>
                <w:rFonts w:cstheme="minorHAnsi"/>
                <w:sz w:val="20"/>
                <w:szCs w:val="20"/>
              </w:rPr>
              <w:t xml:space="preserve"> </w:t>
            </w:r>
            <w:r w:rsidR="00145149" w:rsidRPr="00A831B4">
              <w:rPr>
                <w:rFonts w:cstheme="minorHAnsi"/>
                <w:sz w:val="20"/>
                <w:szCs w:val="20"/>
              </w:rPr>
              <w:t xml:space="preserve">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1"/>
        <w:gridCol w:w="473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F6040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122F643F" w:rsidR="00A01494" w:rsidRPr="00A01494" w:rsidRDefault="00F6040A"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Content>
                <w:r w:rsidR="00DB6FB7">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3DA6733" w:rsidR="00A01494" w:rsidRPr="000F1B7A" w:rsidRDefault="00F6040A"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DB6FB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F08311C" w:rsidR="00A01494" w:rsidRPr="000F1B7A" w:rsidRDefault="00F6040A"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DB6FB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6040A"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6040A"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F6040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F6040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6040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6040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3663134" w:rsidR="00A01494" w:rsidRPr="000F1B7A" w:rsidRDefault="00F6040A"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53201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other:</w:t>
            </w:r>
            <w:r w:rsidR="00B324DA">
              <w:rPr>
                <w:rFonts w:cstheme="minorHAnsi"/>
                <w:bCs/>
              </w:rPr>
              <w:t xml:space="preserve"> </w:t>
            </w:r>
            <w:sdt>
              <w:sdtPr>
                <w:rPr>
                  <w:rStyle w:val="Style1"/>
                  <w:color w:val="7030A0"/>
                </w:rPr>
                <w:id w:val="1834251992"/>
                <w:text/>
              </w:sdtPr>
              <w:sdtEndPr>
                <w:rPr>
                  <w:rStyle w:val="DefaultParagraphFont"/>
                  <w:rFonts w:cstheme="minorHAnsi"/>
                  <w:bCs/>
                </w:rPr>
              </w:sdtEndPr>
              <w:sdtContent>
                <w:r w:rsidR="00532017" w:rsidRPr="00532017">
                  <w:rPr>
                    <w:rStyle w:val="Style1"/>
                    <w:color w:val="7030A0"/>
                  </w:rPr>
                  <w:t>Medicare Enrollment Data</w:t>
                </w:r>
              </w:sdtContent>
            </w:sdt>
          </w:p>
        </w:tc>
        <w:tc>
          <w:tcPr>
            <w:tcW w:w="4847" w:type="dxa"/>
          </w:tcPr>
          <w:p w14:paraId="0CABCFAB" w14:textId="48BF6540" w:rsidR="00A01494" w:rsidRPr="000F1B7A" w:rsidRDefault="00F6040A"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DB6FB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other:</w:t>
            </w:r>
            <w:r w:rsidR="00B324DA">
              <w:rPr>
                <w:rFonts w:cstheme="minorHAnsi"/>
                <w:bCs/>
              </w:rPr>
              <w:t xml:space="preserve"> </w:t>
            </w:r>
            <w:sdt>
              <w:sdtPr>
                <w:rPr>
                  <w:rFonts w:cs="Calibri"/>
                  <w:color w:val="7030A0"/>
                </w:rPr>
                <w:id w:val="1976178076"/>
                <w:text/>
              </w:sdtPr>
              <w:sdtContent>
                <w:r w:rsidR="00315561" w:rsidRPr="009026A4">
                  <w:rPr>
                    <w:rFonts w:cs="Calibri"/>
                    <w:color w:val="7030A0"/>
                  </w:rPr>
                  <w:t>Census Data/American Community Survey, Master Beneficiary Summary Fi</w:t>
                </w:r>
                <w:r w:rsidR="00315561">
                  <w:rPr>
                    <w:rFonts w:cs="Calibri"/>
                    <w:color w:val="7030A0"/>
                  </w:rPr>
                  <w:t>le, STS Cardiac Surgery Database</w:t>
                </w:r>
              </w:sdtContent>
            </w:sdt>
          </w:p>
        </w:tc>
      </w:tr>
    </w:tbl>
    <w:p w14:paraId="0CABCFAD" w14:textId="10A7CE4C" w:rsidR="00A01494" w:rsidRDefault="00B324DA" w:rsidP="00DB3627">
      <w:pPr>
        <w:autoSpaceDE w:val="0"/>
        <w:autoSpaceDN w:val="0"/>
        <w:adjustRightInd w:val="0"/>
        <w:spacing w:after="0" w:line="240" w:lineRule="auto"/>
        <w:rPr>
          <w:rFonts w:cstheme="minorHAnsi"/>
          <w:b/>
          <w:bCs/>
        </w:rPr>
      </w:pPr>
      <w:r>
        <w:rPr>
          <w:rFonts w:cstheme="minorHAnsi"/>
          <w:b/>
          <w:bCs/>
        </w:rPr>
        <w:t xml:space="preserve">  </w:t>
      </w:r>
      <w:r w:rsidR="006327D8" w:rsidRPr="00A25024">
        <w:rPr>
          <w:rFonts w:cstheme="minorHAnsi"/>
          <w:b/>
          <w:bCs/>
        </w:rPr>
        <w:t xml:space="preserve"> </w:t>
      </w:r>
    </w:p>
    <w:p w14:paraId="0CABCFAF" w14:textId="2D8D2820" w:rsidR="009E1846" w:rsidRDefault="002B5016" w:rsidP="00CA638B">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w:t>
      </w:r>
      <w:r w:rsidR="00B324DA">
        <w:rPr>
          <w:rFonts w:cstheme="minorHAnsi"/>
          <w:bCs/>
        </w:rPr>
        <w:t xml:space="preserve"> </w:t>
      </w:r>
      <w:r w:rsidR="004348CC" w:rsidRPr="00A25024">
        <w:rPr>
          <w:rFonts w:cstheme="minorHAnsi"/>
          <w:bCs/>
        </w:rPr>
        <w:t xml:space="preserve"> </w:t>
      </w:r>
    </w:p>
    <w:p w14:paraId="263D2741" w14:textId="1317A169" w:rsidR="00CA638B" w:rsidRDefault="00CA638B" w:rsidP="00CA638B">
      <w:pPr>
        <w:autoSpaceDE w:val="0"/>
        <w:autoSpaceDN w:val="0"/>
        <w:adjustRightInd w:val="0"/>
        <w:spacing w:after="0" w:line="240" w:lineRule="auto"/>
        <w:rPr>
          <w:rFonts w:cstheme="minorHAnsi"/>
          <w:bCs/>
        </w:rPr>
      </w:pPr>
    </w:p>
    <w:p w14:paraId="0C9806D9" w14:textId="469614F6" w:rsidR="00CA638B" w:rsidRPr="00CA638B" w:rsidRDefault="00CA638B" w:rsidP="00CA638B">
      <w:pPr>
        <w:autoSpaceDE w:val="0"/>
        <w:autoSpaceDN w:val="0"/>
        <w:adjustRightInd w:val="0"/>
        <w:spacing w:after="0" w:line="240" w:lineRule="auto"/>
        <w:rPr>
          <w:rFonts w:cstheme="minorHAnsi"/>
          <w:bCs/>
          <w:color w:val="7030A0"/>
        </w:rPr>
      </w:pPr>
      <w:r w:rsidRPr="00CA638B">
        <w:rPr>
          <w:color w:val="7030A0"/>
        </w:rPr>
        <w:t xml:space="preserve">The datasets used for testing included Medicare Parts A and B claims, Society of Thoracic Surgeons (STS) Adult Cardiac Surgery Database, as well as the Medicare Enrollment Database (EDB). Additionally, census data were used to assess socioeconomic factors </w:t>
      </w:r>
      <w:r w:rsidR="009026A4">
        <w:rPr>
          <w:color w:val="7030A0"/>
        </w:rPr>
        <w:t>(dual eligibility variable</w:t>
      </w:r>
      <w:r w:rsidRPr="00CA638B">
        <w:rPr>
          <w:color w:val="7030A0"/>
        </w:rPr>
        <w:t xml:space="preserve"> obtained through enrollment data; Agency for Healthcare Research and Quality [AHRQ] socioeconomic status [SES] index score obtained through census data). The dataset used varies by testing type; see Section 1.7 for details</w:t>
      </w:r>
      <w:r w:rsidR="009026A4">
        <w:rPr>
          <w:color w:val="7030A0"/>
        </w:rPr>
        <w:t xml:space="preserve">. </w:t>
      </w:r>
    </w:p>
    <w:p w14:paraId="6BA2185C" w14:textId="77777777" w:rsidR="000333AF" w:rsidRDefault="000333AF" w:rsidP="00DB3627">
      <w:pPr>
        <w:autoSpaceDE w:val="0"/>
        <w:autoSpaceDN w:val="0"/>
        <w:adjustRightInd w:val="0"/>
        <w:spacing w:after="0" w:line="240" w:lineRule="auto"/>
        <w:rPr>
          <w:rFonts w:cstheme="minorHAnsi"/>
          <w:b/>
        </w:rPr>
      </w:pPr>
    </w:p>
    <w:p w14:paraId="0CABCFB0" w14:textId="5E73C1A8"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B324DA">
        <w:rPr>
          <w:rFonts w:cstheme="minorHAnsi"/>
        </w:rPr>
        <w:t xml:space="preserve"> </w:t>
      </w:r>
      <w:sdt>
        <w:sdtPr>
          <w:rPr>
            <w:color w:val="7030A0"/>
          </w:rPr>
          <w:id w:val="950514773"/>
          <w:text/>
        </w:sdtPr>
        <w:sdtContent>
          <w:r w:rsidR="000333AF" w:rsidRPr="009026A4">
            <w:rPr>
              <w:color w:val="7030A0"/>
            </w:rPr>
            <w:t>The dates used for testing vary by testing type; see Section 1.7 for details</w:t>
          </w:r>
          <w:r w:rsidR="009026A4" w:rsidRPr="009026A4">
            <w:rPr>
              <w:color w:val="7030A0"/>
            </w:rPr>
            <w:t>.</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F6040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F6040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F6040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F6040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482D2C8C" w:rsidR="000414E8" w:rsidRPr="00A01494" w:rsidRDefault="00F6040A"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0333A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548138D6" w:rsidR="000414E8" w:rsidRPr="00A01494" w:rsidRDefault="00F6040A"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0333A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F6040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F6040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3A675201" w:rsidR="000414E8" w:rsidRPr="00A01494" w:rsidRDefault="00F6040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B324DA">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2B1E3998" w:rsidR="000414E8" w:rsidRPr="00A01494" w:rsidRDefault="00F6040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B324DA">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735158A5" w14:textId="63E91F7F" w:rsidR="000333AF" w:rsidRDefault="002B5016" w:rsidP="00CA638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CA638B">
        <w:rPr>
          <w:rFonts w:cstheme="minorHAnsi"/>
          <w:bCs/>
        </w:rPr>
        <w:t>)</w:t>
      </w:r>
    </w:p>
    <w:p w14:paraId="016A39BC" w14:textId="633598AB" w:rsidR="00CA638B" w:rsidRDefault="00CA638B" w:rsidP="00CA638B">
      <w:pPr>
        <w:autoSpaceDE w:val="0"/>
        <w:autoSpaceDN w:val="0"/>
        <w:adjustRightInd w:val="0"/>
        <w:spacing w:after="0" w:line="240" w:lineRule="auto"/>
        <w:rPr>
          <w:rFonts w:cstheme="minorHAnsi"/>
          <w:bCs/>
        </w:rPr>
      </w:pPr>
    </w:p>
    <w:p w14:paraId="1A2EBAE1" w14:textId="3578B272" w:rsidR="00CA638B" w:rsidRPr="00CA638B" w:rsidRDefault="00CA638B" w:rsidP="00CA638B">
      <w:pPr>
        <w:autoSpaceDE w:val="0"/>
        <w:autoSpaceDN w:val="0"/>
        <w:adjustRightInd w:val="0"/>
        <w:spacing w:after="0" w:line="240" w:lineRule="auto"/>
        <w:rPr>
          <w:rFonts w:cstheme="minorHAnsi"/>
          <w:bCs/>
        </w:rPr>
      </w:pPr>
      <w:r w:rsidRPr="00CA638B">
        <w:rPr>
          <w:color w:val="7030A0"/>
        </w:rPr>
        <w:t xml:space="preserve">For this measure, hospitals are the measured entities. All non-federal, acute inpatient US hospitals (including territories) that admitted Medicare FFS beneficiaries over the age of 65 for a CABG procedure are included. </w:t>
      </w:r>
      <w:r w:rsidRPr="009026A4">
        <w:rPr>
          <w:color w:val="C00000"/>
        </w:rPr>
        <w:t xml:space="preserve">Between July 1, 2016 and June 30, 2019, there were 1,160 hospitals with a qualifying admission for a CABG procedure. </w:t>
      </w:r>
      <w:r w:rsidRPr="00CA638B">
        <w:rPr>
          <w:rFonts w:ascii="Trebuchet MS" w:eastAsia="Times New Roman" w:hAnsi="Trebuchet MS" w:cs="Times New Roman"/>
          <w:color w:val="7030A0"/>
          <w:sz w:val="20"/>
          <w:szCs w:val="20"/>
        </w:rPr>
        <w:t>T</w:t>
      </w:r>
      <w:r w:rsidRPr="00CA638B">
        <w:rPr>
          <w:rFonts w:eastAsia="Times New Roman" w:cs="Times New Roman"/>
          <w:color w:val="7030A0"/>
          <w:szCs w:val="20"/>
        </w:rPr>
        <w:t>he number of measured entities (hospitals) varies by testing type</w:t>
      </w:r>
      <w:r w:rsidRPr="00CA638B">
        <w:rPr>
          <w:rFonts w:cstheme="minorHAnsi"/>
          <w:bCs/>
          <w:color w:val="7030A0"/>
        </w:rPr>
        <w:t>; see Section 1.7 for details</w:t>
      </w:r>
      <w:r w:rsidR="009026A4">
        <w:rPr>
          <w:rFonts w:cstheme="minorHAnsi"/>
          <w:bCs/>
          <w:color w:val="7030A0"/>
        </w:rPr>
        <w:t>.</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4E2AEF3E" w14:textId="07646112" w:rsidR="000333AF" w:rsidRDefault="002B5016" w:rsidP="00CA638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bookmarkStart w:id="11" w:name="_Hlk35422854"/>
      <w:r w:rsidR="00BF0127">
        <w:rPr>
          <w:rFonts w:cstheme="minorHAnsi"/>
          <w:bCs/>
        </w:rPr>
        <w:t>)</w:t>
      </w:r>
    </w:p>
    <w:p w14:paraId="06EB9DC2" w14:textId="52487E13" w:rsidR="00CA638B" w:rsidRDefault="00CA638B" w:rsidP="00CA638B">
      <w:pPr>
        <w:autoSpaceDE w:val="0"/>
        <w:autoSpaceDN w:val="0"/>
        <w:adjustRightInd w:val="0"/>
        <w:spacing w:after="0" w:line="240" w:lineRule="auto"/>
        <w:rPr>
          <w:rFonts w:cstheme="minorHAnsi"/>
          <w:bCs/>
        </w:rPr>
      </w:pPr>
    </w:p>
    <w:p w14:paraId="4219736C" w14:textId="5E1DC2AB" w:rsidR="00CA638B" w:rsidRPr="00CA638B" w:rsidRDefault="00CA638B" w:rsidP="00CA638B">
      <w:pPr>
        <w:autoSpaceDE w:val="0"/>
        <w:autoSpaceDN w:val="0"/>
        <w:adjustRightInd w:val="0"/>
        <w:spacing w:after="0" w:line="240" w:lineRule="auto"/>
        <w:rPr>
          <w:rFonts w:cstheme="minorHAnsi"/>
          <w:bCs/>
          <w:color w:val="7030A0"/>
        </w:rPr>
      </w:pPr>
      <w:r w:rsidRPr="00CA638B">
        <w:rPr>
          <w:rFonts w:cstheme="minorHAnsi"/>
          <w:bCs/>
          <w:color w:val="7030A0"/>
        </w:rPr>
        <w:t>The number of admissions/patients varies by testing type; see Section 1.7 for details</w:t>
      </w:r>
      <w:r w:rsidR="009026A4">
        <w:rPr>
          <w:rFonts w:cstheme="minorHAnsi"/>
          <w:bCs/>
          <w:color w:val="7030A0"/>
        </w:rPr>
        <w:t>.</w:t>
      </w:r>
    </w:p>
    <w:bookmarkEnd w:id="11"/>
    <w:p w14:paraId="3FDC455B" w14:textId="77777777" w:rsidR="000333AF" w:rsidRDefault="000333AF" w:rsidP="00E37E1B">
      <w:pPr>
        <w:autoSpaceDE w:val="0"/>
        <w:autoSpaceDN w:val="0"/>
        <w:adjustRightInd w:val="0"/>
        <w:spacing w:after="0" w:line="240" w:lineRule="auto"/>
        <w:rPr>
          <w:rFonts w:cstheme="minorHAnsi"/>
          <w:b/>
          <w:bCs/>
        </w:rPr>
      </w:pPr>
    </w:p>
    <w:p w14:paraId="0CABCFCA" w14:textId="2B4EB4DF"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22050D4" w14:textId="77777777" w:rsidR="00FD603D" w:rsidRDefault="00FD603D" w:rsidP="00FD603D">
      <w:pPr>
        <w:autoSpaceDE w:val="0"/>
        <w:autoSpaceDN w:val="0"/>
        <w:adjustRightInd w:val="0"/>
        <w:spacing w:after="0" w:line="240" w:lineRule="auto"/>
        <w:rPr>
          <w:rFonts w:cstheme="minorHAnsi"/>
          <w:bCs/>
        </w:rPr>
      </w:pPr>
      <w:bookmarkStart w:id="12" w:name="_Hlk33449336"/>
    </w:p>
    <w:p w14:paraId="72510D58" w14:textId="5804FB0F" w:rsidR="00FD603D" w:rsidRPr="00CA638B" w:rsidRDefault="00FD603D" w:rsidP="00FD603D">
      <w:pPr>
        <w:autoSpaceDE w:val="0"/>
        <w:autoSpaceDN w:val="0"/>
        <w:adjustRightInd w:val="0"/>
        <w:spacing w:after="0" w:line="240" w:lineRule="auto"/>
        <w:rPr>
          <w:rFonts w:cstheme="minorHAnsi"/>
          <w:bCs/>
          <w:color w:val="7030A0"/>
        </w:rPr>
      </w:pPr>
      <w:r w:rsidRPr="00CA638B">
        <w:rPr>
          <w:rFonts w:cstheme="minorHAnsi"/>
          <w:bCs/>
          <w:color w:val="7030A0"/>
        </w:rPr>
        <w:t>The datasets, dates, number of measured hospitals, and number of admissions used in each type of testing are in Table 1.</w:t>
      </w:r>
    </w:p>
    <w:p w14:paraId="2A79E799" w14:textId="77777777" w:rsidR="00FD603D" w:rsidRPr="00CA638B" w:rsidRDefault="00FD603D" w:rsidP="009026A4">
      <w:pPr>
        <w:autoSpaceDE w:val="0"/>
        <w:autoSpaceDN w:val="0"/>
        <w:adjustRightInd w:val="0"/>
        <w:spacing w:before="120" w:after="0" w:line="240" w:lineRule="auto"/>
        <w:rPr>
          <w:rFonts w:cstheme="minorHAnsi"/>
          <w:bCs/>
          <w:color w:val="7030A0"/>
          <w:u w:val="single"/>
        </w:rPr>
      </w:pPr>
      <w:r w:rsidRPr="00CA638B">
        <w:rPr>
          <w:rFonts w:cstheme="minorHAnsi"/>
          <w:bCs/>
          <w:color w:val="7030A0"/>
          <w:u w:val="single"/>
        </w:rPr>
        <w:t>Measure Development</w:t>
      </w:r>
    </w:p>
    <w:p w14:paraId="21B6B186" w14:textId="343944F7" w:rsidR="00FD603D" w:rsidRPr="00CA638B" w:rsidRDefault="00FD603D" w:rsidP="009026A4">
      <w:pPr>
        <w:autoSpaceDE w:val="0"/>
        <w:autoSpaceDN w:val="0"/>
        <w:adjustRightInd w:val="0"/>
        <w:spacing w:before="120" w:after="0" w:line="240" w:lineRule="auto"/>
        <w:rPr>
          <w:rFonts w:cstheme="minorHAnsi"/>
          <w:b/>
          <w:bCs/>
          <w:color w:val="7030A0"/>
        </w:rPr>
      </w:pPr>
      <w:r w:rsidRPr="00CA638B">
        <w:rPr>
          <w:rFonts w:cstheme="minorHAnsi"/>
          <w:bCs/>
          <w:color w:val="7030A0"/>
        </w:rPr>
        <w:t>For measure development, we used three</w:t>
      </w:r>
      <w:r w:rsidR="008458B8">
        <w:rPr>
          <w:rFonts w:cstheme="minorHAnsi"/>
          <w:bCs/>
          <w:color w:val="7030A0"/>
        </w:rPr>
        <w:t xml:space="preserve"> </w:t>
      </w:r>
      <w:r w:rsidRPr="00CA638B">
        <w:rPr>
          <w:rFonts w:cstheme="minorHAnsi"/>
          <w:bCs/>
          <w:color w:val="7030A0"/>
        </w:rPr>
        <w:t xml:space="preserve">years of Medicare administrative claims </w:t>
      </w:r>
      <w:r w:rsidRPr="00C13CE3">
        <w:rPr>
          <w:rFonts w:cstheme="minorHAnsi"/>
          <w:bCs/>
          <w:color w:val="7030A0"/>
        </w:rPr>
        <w:t>data (</w:t>
      </w:r>
      <w:r w:rsidR="00E1127C">
        <w:rPr>
          <w:rFonts w:cstheme="minorHAnsi"/>
          <w:bCs/>
          <w:color w:val="7030A0"/>
        </w:rPr>
        <w:t xml:space="preserve">January </w:t>
      </w:r>
      <w:r w:rsidR="00547354" w:rsidRPr="00C13CE3">
        <w:rPr>
          <w:rFonts w:cstheme="minorHAnsi"/>
          <w:bCs/>
          <w:color w:val="7030A0"/>
        </w:rPr>
        <w:t>2008</w:t>
      </w:r>
      <w:r w:rsidR="00E1127C">
        <w:rPr>
          <w:rFonts w:cstheme="minorHAnsi"/>
          <w:bCs/>
          <w:color w:val="7030A0"/>
        </w:rPr>
        <w:t xml:space="preserve"> </w:t>
      </w:r>
      <w:r w:rsidR="00547354" w:rsidRPr="00C13CE3">
        <w:rPr>
          <w:rFonts w:cstheme="minorHAnsi"/>
          <w:bCs/>
          <w:color w:val="7030A0"/>
        </w:rPr>
        <w:t>–</w:t>
      </w:r>
      <w:r w:rsidR="00E1127C">
        <w:rPr>
          <w:rFonts w:cstheme="minorHAnsi"/>
          <w:bCs/>
          <w:color w:val="7030A0"/>
        </w:rPr>
        <w:t xml:space="preserve">December </w:t>
      </w:r>
      <w:r w:rsidR="009026A4" w:rsidRPr="00C13CE3">
        <w:rPr>
          <w:rFonts w:cstheme="minorHAnsi"/>
          <w:bCs/>
          <w:color w:val="7030A0"/>
        </w:rPr>
        <w:t>2</w:t>
      </w:r>
      <w:r w:rsidRPr="00C13CE3">
        <w:rPr>
          <w:rFonts w:cstheme="minorHAnsi"/>
          <w:bCs/>
          <w:color w:val="7030A0"/>
        </w:rPr>
        <w:t>01</w:t>
      </w:r>
      <w:r w:rsidR="00547354" w:rsidRPr="00C13CE3">
        <w:rPr>
          <w:rFonts w:cstheme="minorHAnsi"/>
          <w:bCs/>
          <w:color w:val="7030A0"/>
        </w:rPr>
        <w:t>0)</w:t>
      </w:r>
      <w:r w:rsidRPr="00C13CE3">
        <w:rPr>
          <w:rFonts w:cstheme="minorHAnsi"/>
          <w:bCs/>
          <w:color w:val="7030A0"/>
        </w:rPr>
        <w:t xml:space="preserve">. </w:t>
      </w:r>
      <w:r w:rsidRPr="00CA638B">
        <w:rPr>
          <w:rFonts w:cstheme="minorHAnsi"/>
          <w:bCs/>
          <w:color w:val="7030A0"/>
        </w:rPr>
        <w:t xml:space="preserve">The dataset also included administrative data on each patient for the 12 months prior to the index admission and the 30 days following it. The dataset contained inpatient and facility outpatient claims and Medicare enrollment database (EDB) data. We randomly </w:t>
      </w:r>
      <w:r w:rsidR="00C13CE3">
        <w:rPr>
          <w:rFonts w:cstheme="minorHAnsi"/>
          <w:bCs/>
          <w:color w:val="7030A0"/>
        </w:rPr>
        <w:t>split the three years of data (</w:t>
      </w:r>
      <w:r w:rsidR="008458B8">
        <w:rPr>
          <w:rFonts w:cstheme="minorHAnsi"/>
          <w:bCs/>
          <w:color w:val="7030A0"/>
        </w:rPr>
        <w:t>J</w:t>
      </w:r>
      <w:r w:rsidR="00E1127C">
        <w:rPr>
          <w:rFonts w:cstheme="minorHAnsi"/>
          <w:bCs/>
          <w:color w:val="7030A0"/>
        </w:rPr>
        <w:t>anuary</w:t>
      </w:r>
      <w:r w:rsidR="008458B8">
        <w:rPr>
          <w:rFonts w:cstheme="minorHAnsi"/>
          <w:bCs/>
          <w:color w:val="7030A0"/>
        </w:rPr>
        <w:t xml:space="preserve"> </w:t>
      </w:r>
      <w:r w:rsidR="00C13CE3">
        <w:rPr>
          <w:rFonts w:cstheme="minorHAnsi"/>
          <w:bCs/>
          <w:color w:val="7030A0"/>
        </w:rPr>
        <w:t xml:space="preserve">2008 – </w:t>
      </w:r>
      <w:r w:rsidR="00E1127C">
        <w:rPr>
          <w:rFonts w:cstheme="minorHAnsi"/>
          <w:bCs/>
          <w:color w:val="7030A0"/>
        </w:rPr>
        <w:t xml:space="preserve">December </w:t>
      </w:r>
      <w:r w:rsidR="00C13CE3">
        <w:rPr>
          <w:rFonts w:cstheme="minorHAnsi"/>
          <w:bCs/>
          <w:color w:val="7030A0"/>
        </w:rPr>
        <w:t>2010</w:t>
      </w:r>
      <w:r w:rsidRPr="00CA638B">
        <w:rPr>
          <w:rFonts w:cstheme="minorHAnsi"/>
          <w:bCs/>
          <w:color w:val="7030A0"/>
        </w:rPr>
        <w:t>) into two equal samples:</w:t>
      </w:r>
      <w:r w:rsidRPr="00CA638B">
        <w:rPr>
          <w:rFonts w:cstheme="minorHAnsi"/>
          <w:b/>
          <w:bCs/>
          <w:color w:val="7030A0"/>
        </w:rPr>
        <w:t xml:space="preserve"> </w:t>
      </w:r>
      <w:proofErr w:type="gramStart"/>
      <w:r w:rsidRPr="00CA638B">
        <w:rPr>
          <w:rFonts w:cstheme="minorHAnsi"/>
          <w:b/>
          <w:bCs/>
          <w:color w:val="7030A0"/>
        </w:rPr>
        <w:t>the</w:t>
      </w:r>
      <w:proofErr w:type="gramEnd"/>
      <w:r w:rsidRPr="00CA638B">
        <w:rPr>
          <w:rFonts w:cstheme="minorHAnsi"/>
          <w:b/>
          <w:bCs/>
          <w:color w:val="7030A0"/>
        </w:rPr>
        <w:t xml:space="preserve"> Development Dataset </w:t>
      </w:r>
      <w:r w:rsidRPr="00CA638B">
        <w:rPr>
          <w:rFonts w:cstheme="minorHAnsi"/>
          <w:bCs/>
          <w:color w:val="7030A0"/>
        </w:rPr>
        <w:t>and</w:t>
      </w:r>
      <w:r w:rsidR="008458B8">
        <w:rPr>
          <w:rFonts w:cstheme="minorHAnsi"/>
          <w:bCs/>
          <w:color w:val="7030A0"/>
        </w:rPr>
        <w:t xml:space="preserve"> the</w:t>
      </w:r>
      <w:r w:rsidRPr="00CA638B">
        <w:rPr>
          <w:rFonts w:cstheme="minorHAnsi"/>
          <w:bCs/>
          <w:color w:val="7030A0"/>
        </w:rPr>
        <w:t xml:space="preserve"> </w:t>
      </w:r>
      <w:r w:rsidRPr="00CA638B">
        <w:rPr>
          <w:rFonts w:cstheme="minorHAnsi"/>
          <w:b/>
          <w:bCs/>
          <w:color w:val="7030A0"/>
        </w:rPr>
        <w:t xml:space="preserve">Internal Validation Dataset. </w:t>
      </w:r>
    </w:p>
    <w:p w14:paraId="78C52C74" w14:textId="77777777" w:rsidR="00FD603D" w:rsidRPr="009026A4" w:rsidRDefault="00FD603D" w:rsidP="009026A4">
      <w:pPr>
        <w:autoSpaceDE w:val="0"/>
        <w:autoSpaceDN w:val="0"/>
        <w:adjustRightInd w:val="0"/>
        <w:spacing w:before="120" w:after="0" w:line="240" w:lineRule="auto"/>
        <w:rPr>
          <w:rFonts w:cstheme="minorHAnsi"/>
          <w:bCs/>
          <w:color w:val="7030A0"/>
          <w:u w:val="single"/>
        </w:rPr>
      </w:pPr>
      <w:r w:rsidRPr="009026A4">
        <w:rPr>
          <w:rFonts w:cstheme="minorHAnsi"/>
          <w:bCs/>
          <w:color w:val="7030A0"/>
          <w:u w:val="single"/>
        </w:rPr>
        <w:t xml:space="preserve">Measure Testing </w:t>
      </w:r>
    </w:p>
    <w:p w14:paraId="3F4768FC" w14:textId="07856FEF" w:rsidR="00FD603D" w:rsidRPr="00CA638B" w:rsidRDefault="00FD603D" w:rsidP="009026A4">
      <w:pPr>
        <w:autoSpaceDE w:val="0"/>
        <w:autoSpaceDN w:val="0"/>
        <w:adjustRightInd w:val="0"/>
        <w:spacing w:before="120" w:after="0" w:line="240" w:lineRule="auto"/>
        <w:rPr>
          <w:rFonts w:cstheme="minorHAnsi"/>
          <w:bCs/>
          <w:color w:val="7030A0"/>
        </w:rPr>
      </w:pPr>
      <w:r w:rsidRPr="00CA638B">
        <w:rPr>
          <w:rFonts w:cstheme="minorHAnsi"/>
          <w:bCs/>
          <w:color w:val="7030A0"/>
        </w:rPr>
        <w:t xml:space="preserve">For analytical updates for this measure, we used three-years of Medicare administrative claims data </w:t>
      </w:r>
      <w:r w:rsidRPr="00CA638B">
        <w:rPr>
          <w:rFonts w:cstheme="minorHAnsi"/>
          <w:bCs/>
          <w:color w:val="C00000"/>
        </w:rPr>
        <w:t>(J</w:t>
      </w:r>
      <w:r w:rsidR="00E75463" w:rsidRPr="00CA638B">
        <w:rPr>
          <w:rFonts w:cstheme="minorHAnsi"/>
          <w:bCs/>
          <w:color w:val="C00000"/>
        </w:rPr>
        <w:t xml:space="preserve">uly </w:t>
      </w:r>
      <w:r w:rsidR="00096177">
        <w:rPr>
          <w:rFonts w:cstheme="minorHAnsi"/>
          <w:bCs/>
          <w:color w:val="C00000"/>
        </w:rPr>
        <w:t xml:space="preserve">1, </w:t>
      </w:r>
      <w:r w:rsidR="00E75463" w:rsidRPr="00CA638B">
        <w:rPr>
          <w:rFonts w:cstheme="minorHAnsi"/>
          <w:bCs/>
          <w:color w:val="C00000"/>
        </w:rPr>
        <w:t>2016</w:t>
      </w:r>
      <w:r w:rsidRPr="00CA638B">
        <w:rPr>
          <w:rFonts w:cstheme="minorHAnsi"/>
          <w:bCs/>
          <w:color w:val="C00000"/>
        </w:rPr>
        <w:t xml:space="preserve"> – June</w:t>
      </w:r>
      <w:r w:rsidR="00096177">
        <w:rPr>
          <w:rFonts w:cstheme="minorHAnsi"/>
          <w:bCs/>
          <w:color w:val="C00000"/>
        </w:rPr>
        <w:t xml:space="preserve"> 30,</w:t>
      </w:r>
      <w:r w:rsidRPr="00CA638B">
        <w:rPr>
          <w:rFonts w:cstheme="minorHAnsi"/>
          <w:bCs/>
          <w:color w:val="C00000"/>
        </w:rPr>
        <w:t xml:space="preserve"> 201</w:t>
      </w:r>
      <w:r w:rsidR="00E75463" w:rsidRPr="00CA638B">
        <w:rPr>
          <w:rFonts w:cstheme="minorHAnsi"/>
          <w:bCs/>
          <w:color w:val="C00000"/>
        </w:rPr>
        <w:t>9</w:t>
      </w:r>
      <w:r w:rsidRPr="00CA638B">
        <w:rPr>
          <w:rFonts w:cstheme="minorHAnsi"/>
          <w:bCs/>
          <w:color w:val="C00000"/>
        </w:rPr>
        <w:t xml:space="preserve">). </w:t>
      </w:r>
      <w:r w:rsidRPr="00CA638B">
        <w:rPr>
          <w:rFonts w:cstheme="minorHAnsi"/>
          <w:bCs/>
          <w:color w:val="7030A0"/>
        </w:rPr>
        <w:t>The dataset also included administrative data on each patient for the 12 months prior to the index admission and the 30 days following it. The dataset contained inpatient and facility outpatient claims and Medicare enrollment database (EDB) data.</w:t>
      </w:r>
    </w:p>
    <w:p w14:paraId="3193555A" w14:textId="77777777" w:rsidR="00FD603D" w:rsidRPr="00CA638B" w:rsidRDefault="00FD603D" w:rsidP="009026A4">
      <w:pPr>
        <w:autoSpaceDE w:val="0"/>
        <w:autoSpaceDN w:val="0"/>
        <w:adjustRightInd w:val="0"/>
        <w:spacing w:before="120" w:after="0" w:line="240" w:lineRule="auto"/>
        <w:rPr>
          <w:rFonts w:cstheme="minorHAnsi"/>
          <w:bCs/>
          <w:color w:val="7030A0"/>
        </w:rPr>
      </w:pPr>
      <w:r w:rsidRPr="00CA638B">
        <w:rPr>
          <w:rFonts w:cstheme="minorHAnsi"/>
          <w:bCs/>
          <w:color w:val="7030A0"/>
        </w:rPr>
        <w:t>Table 1. Dataset Descriptions</w:t>
      </w:r>
      <w:bookmarkEnd w:id="12"/>
    </w:p>
    <w:p w14:paraId="057DA93B" w14:textId="47A34E8E" w:rsidR="00FD603D" w:rsidRDefault="00FD603D" w:rsidP="00E37E1B">
      <w:pPr>
        <w:autoSpaceDE w:val="0"/>
        <w:autoSpaceDN w:val="0"/>
        <w:adjustRightInd w:val="0"/>
        <w:spacing w:after="0" w:line="240" w:lineRule="auto"/>
        <w:rPr>
          <w:rFonts w:cstheme="minorHAnsi"/>
          <w:bCs/>
        </w:rPr>
      </w:pPr>
    </w:p>
    <w:tbl>
      <w:tblPr>
        <w:tblStyle w:val="ListTable3-Accent112"/>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392"/>
      </w:tblGrid>
      <w:tr w:rsidR="003C292C" w:rsidRPr="006941CA" w14:paraId="46608119" w14:textId="77777777" w:rsidTr="003C292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6BE9E74B" w14:textId="77777777" w:rsidR="003C292C" w:rsidRPr="006941CA" w:rsidRDefault="003C292C" w:rsidP="003C292C">
            <w:pPr>
              <w:jc w:val="center"/>
            </w:pPr>
            <w:bookmarkStart w:id="13" w:name="_Hlk33449299"/>
            <w:r w:rsidRPr="006941CA">
              <w:t>Dataset</w:t>
            </w:r>
          </w:p>
        </w:tc>
        <w:tc>
          <w:tcPr>
            <w:tcW w:w="3117" w:type="dxa"/>
          </w:tcPr>
          <w:p w14:paraId="075B265B" w14:textId="77777777" w:rsidR="003C292C" w:rsidRPr="006941CA" w:rsidRDefault="003C292C" w:rsidP="003C292C">
            <w:pPr>
              <w:jc w:val="center"/>
              <w:cnfStyle w:val="100000000000" w:firstRow="1" w:lastRow="0" w:firstColumn="0" w:lastColumn="0" w:oddVBand="0" w:evenVBand="0" w:oddHBand="0" w:evenHBand="0" w:firstRowFirstColumn="0" w:firstRowLastColumn="0" w:lastRowFirstColumn="0" w:lastRowLastColumn="0"/>
            </w:pPr>
            <w:r w:rsidRPr="006941CA">
              <w:t>Applicable Section in the Testing Attachment</w:t>
            </w:r>
          </w:p>
        </w:tc>
        <w:tc>
          <w:tcPr>
            <w:tcW w:w="3392" w:type="dxa"/>
          </w:tcPr>
          <w:p w14:paraId="4EDB1925" w14:textId="77777777" w:rsidR="003C292C" w:rsidRPr="006941CA" w:rsidRDefault="003C292C" w:rsidP="003C292C">
            <w:pPr>
              <w:jc w:val="center"/>
              <w:cnfStyle w:val="100000000000" w:firstRow="1" w:lastRow="0" w:firstColumn="0" w:lastColumn="0" w:oddVBand="0" w:evenVBand="0" w:oddHBand="0" w:evenHBand="0" w:firstRowFirstColumn="0" w:firstRowLastColumn="0" w:lastRowFirstColumn="0" w:lastRowLastColumn="0"/>
            </w:pPr>
            <w:r w:rsidRPr="006941CA">
              <w:t>Description of Dataset</w:t>
            </w:r>
          </w:p>
        </w:tc>
      </w:tr>
      <w:tr w:rsidR="003C292C" w:rsidRPr="006941CA" w14:paraId="2F4F04D4" w14:textId="77777777" w:rsidTr="003C2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F45820E" w14:textId="441051D3" w:rsidR="003C292C" w:rsidRPr="00CA638B" w:rsidRDefault="003C292C" w:rsidP="003C292C">
            <w:pPr>
              <w:jc w:val="center"/>
              <w:rPr>
                <w:color w:val="7030A0"/>
              </w:rPr>
            </w:pPr>
            <w:r w:rsidRPr="00CA638B">
              <w:rPr>
                <w:rFonts w:cstheme="minorHAnsi"/>
                <w:color w:val="7030A0"/>
              </w:rPr>
              <w:t>Development and Validation Datasets</w:t>
            </w:r>
            <w:r w:rsidR="00B324DA">
              <w:rPr>
                <w:rFonts w:cstheme="minorHAnsi"/>
                <w:color w:val="7030A0"/>
              </w:rPr>
              <w:br/>
            </w:r>
            <w:r w:rsidRPr="00CA638B">
              <w:rPr>
                <w:rFonts w:cstheme="minorHAnsi"/>
                <w:color w:val="7030A0"/>
              </w:rPr>
              <w:t>(Medicare Fee-For-Service Administrative Claims Data)</w:t>
            </w:r>
          </w:p>
        </w:tc>
        <w:tc>
          <w:tcPr>
            <w:tcW w:w="3117" w:type="dxa"/>
          </w:tcPr>
          <w:p w14:paraId="289B5B75" w14:textId="0F0BB95C" w:rsidR="003C292C" w:rsidRPr="00CA638B" w:rsidRDefault="003C292C" w:rsidP="003C292C">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Section 2b3 Risk Adjustment/Stratification</w:t>
            </w:r>
          </w:p>
          <w:p w14:paraId="6B106175" w14:textId="77777777" w:rsidR="003C292C" w:rsidRPr="00CA638B" w:rsidRDefault="003C292C" w:rsidP="003C292C">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rFonts w:cstheme="minorHAnsi"/>
                <w:b/>
                <w:bCs/>
                <w:color w:val="7030A0"/>
              </w:rPr>
              <w:lastRenderedPageBreak/>
              <w:t>2b3.6. Statistical Risk Model Discrimination Statistics</w:t>
            </w:r>
          </w:p>
          <w:p w14:paraId="7FC3D24B" w14:textId="4D700AB8" w:rsidR="003C292C" w:rsidRPr="00CA638B" w:rsidRDefault="003C292C" w:rsidP="00B324DA">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rFonts w:cstheme="minorHAnsi"/>
                <w:b/>
                <w:bCs/>
                <w:color w:val="7030A0"/>
              </w:rPr>
              <w:t>2b3.7. Statistical Risk Model Calibration Statistics</w:t>
            </w:r>
          </w:p>
        </w:tc>
        <w:tc>
          <w:tcPr>
            <w:tcW w:w="3392" w:type="dxa"/>
          </w:tcPr>
          <w:p w14:paraId="16678727" w14:textId="77777777" w:rsidR="003C292C" w:rsidRPr="00CA638B" w:rsidRDefault="003C292C" w:rsidP="003C292C">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lastRenderedPageBreak/>
              <w:t>Entire Cohort:</w:t>
            </w:r>
          </w:p>
          <w:p w14:paraId="1CB8990B" w14:textId="56853BF4" w:rsidR="003C292C" w:rsidRPr="00CA638B" w:rsidRDefault="003C292C" w:rsidP="003C292C">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 xml:space="preserve">Dates of Data: </w:t>
            </w:r>
            <w:r w:rsidR="00C13CE3">
              <w:rPr>
                <w:color w:val="7030A0"/>
              </w:rPr>
              <w:t>January 2008</w:t>
            </w:r>
            <w:r w:rsidRPr="00CA638B">
              <w:rPr>
                <w:color w:val="7030A0"/>
              </w:rPr>
              <w:t xml:space="preserve"> – </w:t>
            </w:r>
            <w:r w:rsidR="00C13CE3">
              <w:rPr>
                <w:color w:val="7030A0"/>
              </w:rPr>
              <w:t>December 2010</w:t>
            </w:r>
          </w:p>
          <w:p w14:paraId="70D40579" w14:textId="32691D0C" w:rsidR="003C292C" w:rsidRPr="00CA638B" w:rsidRDefault="003C292C" w:rsidP="003C292C">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lastRenderedPageBreak/>
              <w:t xml:space="preserve">Number of admissions = </w:t>
            </w:r>
            <w:r w:rsidR="00C13CE3">
              <w:rPr>
                <w:color w:val="7030A0"/>
              </w:rPr>
              <w:t>175,891</w:t>
            </w:r>
          </w:p>
          <w:p w14:paraId="40172CC1" w14:textId="588F714C" w:rsidR="009026A4" w:rsidRDefault="003C292C" w:rsidP="009026A4">
            <w:pPr>
              <w:spacing w:before="240" w:after="12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 xml:space="preserve">Number of measured hospitals: </w:t>
            </w:r>
            <w:r w:rsidR="00547354" w:rsidRPr="00CA638B">
              <w:rPr>
                <w:color w:val="7030A0"/>
              </w:rPr>
              <w:t>1,1</w:t>
            </w:r>
            <w:r w:rsidR="00C13CE3">
              <w:rPr>
                <w:color w:val="7030A0"/>
              </w:rPr>
              <w:t>64</w:t>
            </w:r>
          </w:p>
          <w:p w14:paraId="19DD2382" w14:textId="2C1BC311" w:rsidR="003C292C" w:rsidRPr="00CA638B" w:rsidRDefault="003C292C" w:rsidP="009026A4">
            <w:pPr>
              <w:spacing w:before="240" w:after="12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This cohort was randomly split for initial model testing.</w:t>
            </w:r>
          </w:p>
          <w:p w14:paraId="6B9CB6A1" w14:textId="77777777" w:rsidR="003C292C" w:rsidRPr="00C13CE3" w:rsidRDefault="003C292C" w:rsidP="00B324DA">
            <w:pPr>
              <w:spacing w:before="240" w:after="120"/>
              <w:cnfStyle w:val="000000100000" w:firstRow="0" w:lastRow="0" w:firstColumn="0" w:lastColumn="0" w:oddVBand="0" w:evenVBand="0" w:oddHBand="1" w:evenHBand="0" w:firstRowFirstColumn="0" w:firstRowLastColumn="0" w:lastRowFirstColumn="0" w:lastRowLastColumn="0"/>
              <w:rPr>
                <w:color w:val="7030A0"/>
                <w:u w:val="single"/>
              </w:rPr>
            </w:pPr>
            <w:r w:rsidRPr="00C13CE3">
              <w:rPr>
                <w:color w:val="7030A0"/>
                <w:u w:val="single"/>
              </w:rPr>
              <w:t>First half of split sample</w:t>
            </w:r>
          </w:p>
          <w:p w14:paraId="76172A9B" w14:textId="23C0A294" w:rsidR="003C292C" w:rsidRPr="00CA638B" w:rsidRDefault="003C292C" w:rsidP="00CA638B">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 xml:space="preserve">-Number of Admissions: </w:t>
            </w:r>
            <w:r w:rsidR="00C13CE3">
              <w:rPr>
                <w:color w:val="7030A0"/>
              </w:rPr>
              <w:t>87,872</w:t>
            </w:r>
          </w:p>
          <w:p w14:paraId="3FE4108D" w14:textId="77777777" w:rsidR="003C292C" w:rsidRPr="00C13CE3" w:rsidRDefault="003C292C" w:rsidP="00CA638B">
            <w:pPr>
              <w:spacing w:before="120" w:after="120"/>
              <w:cnfStyle w:val="000000100000" w:firstRow="0" w:lastRow="0" w:firstColumn="0" w:lastColumn="0" w:oddVBand="0" w:evenVBand="0" w:oddHBand="1" w:evenHBand="0" w:firstRowFirstColumn="0" w:firstRowLastColumn="0" w:lastRowFirstColumn="0" w:lastRowLastColumn="0"/>
              <w:rPr>
                <w:color w:val="7030A0"/>
                <w:u w:val="single"/>
              </w:rPr>
            </w:pPr>
            <w:r w:rsidRPr="00C13CE3">
              <w:rPr>
                <w:color w:val="7030A0"/>
                <w:u w:val="single"/>
              </w:rPr>
              <w:t>Second half of split sample</w:t>
            </w:r>
          </w:p>
          <w:p w14:paraId="7D5E8CDD" w14:textId="6DF86BAC" w:rsidR="003C292C" w:rsidRPr="00CA638B" w:rsidRDefault="003C292C" w:rsidP="00CA638B">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 xml:space="preserve">-Number of Admissions: </w:t>
            </w:r>
            <w:r w:rsidR="00C13CE3">
              <w:rPr>
                <w:color w:val="7030A0"/>
              </w:rPr>
              <w:t>88,019</w:t>
            </w:r>
          </w:p>
        </w:tc>
      </w:tr>
      <w:tr w:rsidR="003C292C" w:rsidRPr="006941CA" w14:paraId="1DBA6AA4" w14:textId="77777777" w:rsidTr="003C292C">
        <w:tc>
          <w:tcPr>
            <w:cnfStyle w:val="001000000000" w:firstRow="0" w:lastRow="0" w:firstColumn="1" w:lastColumn="0" w:oddVBand="0" w:evenVBand="0" w:oddHBand="0" w:evenHBand="0" w:firstRowFirstColumn="0" w:firstRowLastColumn="0" w:lastRowFirstColumn="0" w:lastRowLastColumn="0"/>
            <w:tcW w:w="3116" w:type="dxa"/>
          </w:tcPr>
          <w:p w14:paraId="7CDA6DE9" w14:textId="69F3E8C4" w:rsidR="003C292C" w:rsidRPr="00C13CE3" w:rsidRDefault="00C13CE3" w:rsidP="00C13CE3">
            <w:pPr>
              <w:spacing w:before="120" w:after="120"/>
              <w:jc w:val="center"/>
              <w:rPr>
                <w:rFonts w:cstheme="minorHAnsi"/>
                <w:color w:val="C00000"/>
              </w:rPr>
            </w:pPr>
            <w:r>
              <w:rPr>
                <w:rFonts w:cstheme="minorHAnsi"/>
                <w:color w:val="C00000"/>
              </w:rPr>
              <w:lastRenderedPageBreak/>
              <w:t>Testing Dataset</w:t>
            </w:r>
            <w:r>
              <w:rPr>
                <w:rFonts w:cstheme="minorHAnsi"/>
                <w:color w:val="C00000"/>
              </w:rPr>
              <w:br/>
            </w:r>
            <w:r w:rsidR="003C292C" w:rsidRPr="001A7EBA">
              <w:rPr>
                <w:rFonts w:cstheme="minorHAnsi"/>
                <w:color w:val="C00000"/>
              </w:rPr>
              <w:t>(Medicare Fee-For-Service Administrative Claims Data</w:t>
            </w:r>
            <w:r>
              <w:rPr>
                <w:rFonts w:cstheme="minorHAnsi"/>
                <w:color w:val="C00000"/>
              </w:rPr>
              <w:br/>
            </w:r>
            <w:r w:rsidR="003C292C" w:rsidRPr="001A7EBA">
              <w:rPr>
                <w:rFonts w:cstheme="minorHAnsi"/>
                <w:color w:val="C00000"/>
              </w:rPr>
              <w:t>(</w:t>
            </w:r>
            <w:r w:rsidR="00B324DA">
              <w:rPr>
                <w:rFonts w:cstheme="minorHAnsi"/>
                <w:color w:val="C00000"/>
              </w:rPr>
              <w:t>July 1</w:t>
            </w:r>
            <w:r w:rsidR="003C292C" w:rsidRPr="001A7EBA">
              <w:rPr>
                <w:rFonts w:cstheme="minorHAnsi"/>
                <w:color w:val="C00000"/>
              </w:rPr>
              <w:t>, 20</w:t>
            </w:r>
            <w:r w:rsidR="00B324DA">
              <w:rPr>
                <w:rFonts w:cstheme="minorHAnsi"/>
                <w:color w:val="C00000"/>
              </w:rPr>
              <w:t>16</w:t>
            </w:r>
            <w:r w:rsidR="003C292C" w:rsidRPr="001A7EBA">
              <w:rPr>
                <w:rFonts w:cstheme="minorHAnsi"/>
                <w:color w:val="C00000"/>
              </w:rPr>
              <w:t xml:space="preserve"> – </w:t>
            </w:r>
            <w:r w:rsidR="00B324DA">
              <w:rPr>
                <w:rFonts w:cstheme="minorHAnsi"/>
                <w:color w:val="C00000"/>
              </w:rPr>
              <w:t xml:space="preserve">June </w:t>
            </w:r>
            <w:r w:rsidR="003C292C" w:rsidRPr="001A7EBA">
              <w:rPr>
                <w:rFonts w:cstheme="minorHAnsi"/>
                <w:color w:val="C00000"/>
              </w:rPr>
              <w:t>30, 201</w:t>
            </w:r>
            <w:r w:rsidR="00B324DA">
              <w:rPr>
                <w:rFonts w:cstheme="minorHAnsi"/>
                <w:color w:val="C00000"/>
              </w:rPr>
              <w:t>9</w:t>
            </w:r>
            <w:r w:rsidR="003C292C" w:rsidRPr="001A7EBA">
              <w:rPr>
                <w:rFonts w:cstheme="minorHAnsi"/>
                <w:color w:val="C00000"/>
              </w:rPr>
              <w:t>)</w:t>
            </w:r>
          </w:p>
        </w:tc>
        <w:tc>
          <w:tcPr>
            <w:tcW w:w="3117" w:type="dxa"/>
          </w:tcPr>
          <w:p w14:paraId="62B782DF" w14:textId="77777777"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Section 2a2 Reliability Testing</w:t>
            </w:r>
          </w:p>
          <w:p w14:paraId="569BA66A" w14:textId="77777777"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Section 2b1 Validity Testing</w:t>
            </w:r>
          </w:p>
          <w:p w14:paraId="7E40F277" w14:textId="77777777"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Section 2b2 Testing of Measure Exclusion</w:t>
            </w:r>
          </w:p>
          <w:p w14:paraId="275AFC52" w14:textId="4D358C0E"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Section 2b3 Risk Adjustment/Stratification</w:t>
            </w:r>
          </w:p>
          <w:p w14:paraId="688E8D62" w14:textId="77777777"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rFonts w:cstheme="minorHAnsi"/>
                <w:b/>
                <w:bCs/>
                <w:color w:val="C00000"/>
              </w:rPr>
              <w:t>2b3.6. Statistical Risk Model Discrimination Statistics</w:t>
            </w:r>
          </w:p>
          <w:p w14:paraId="44A44515" w14:textId="2ABFF99D" w:rsidR="003C292C" w:rsidRPr="009E786D" w:rsidRDefault="003C292C" w:rsidP="009026A4">
            <w:pPr>
              <w:spacing w:before="120" w:after="120"/>
              <w:cnfStyle w:val="000000000000" w:firstRow="0" w:lastRow="0" w:firstColumn="0" w:lastColumn="0" w:oddVBand="0" w:evenVBand="0" w:oddHBand="0" w:evenHBand="0" w:firstRowFirstColumn="0" w:firstRowLastColumn="0" w:lastRowFirstColumn="0" w:lastRowLastColumn="0"/>
              <w:rPr>
                <w:color w:val="FF0000"/>
              </w:rPr>
            </w:pPr>
            <w:r w:rsidRPr="001A7EBA">
              <w:rPr>
                <w:color w:val="C00000"/>
              </w:rPr>
              <w:t>Section 2b4 Meaningful Differences</w:t>
            </w:r>
          </w:p>
        </w:tc>
        <w:tc>
          <w:tcPr>
            <w:tcW w:w="3392" w:type="dxa"/>
          </w:tcPr>
          <w:p w14:paraId="6CFB0081" w14:textId="6EB89AB0"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Dates of Data: J</w:t>
            </w:r>
            <w:r w:rsidR="003756CB" w:rsidRPr="001A7EBA">
              <w:rPr>
                <w:color w:val="C00000"/>
              </w:rPr>
              <w:t>uly</w:t>
            </w:r>
            <w:r w:rsidRPr="001A7EBA">
              <w:rPr>
                <w:color w:val="C00000"/>
              </w:rPr>
              <w:t xml:space="preserve"> 20</w:t>
            </w:r>
            <w:r w:rsidR="003756CB" w:rsidRPr="001A7EBA">
              <w:rPr>
                <w:color w:val="C00000"/>
              </w:rPr>
              <w:t>16</w:t>
            </w:r>
            <w:r w:rsidRPr="001A7EBA">
              <w:rPr>
                <w:color w:val="C00000"/>
              </w:rPr>
              <w:t xml:space="preserve"> – </w:t>
            </w:r>
            <w:r w:rsidR="003756CB" w:rsidRPr="001A7EBA">
              <w:rPr>
                <w:color w:val="C00000"/>
              </w:rPr>
              <w:t>June</w:t>
            </w:r>
            <w:r w:rsidRPr="001A7EBA">
              <w:rPr>
                <w:color w:val="C00000"/>
              </w:rPr>
              <w:t xml:space="preserve"> 201</w:t>
            </w:r>
            <w:r w:rsidR="003756CB" w:rsidRPr="001A7EBA">
              <w:rPr>
                <w:color w:val="C00000"/>
              </w:rPr>
              <w:t>9</w:t>
            </w:r>
            <w:r w:rsidRPr="001A7EBA">
              <w:rPr>
                <w:color w:val="C00000"/>
              </w:rPr>
              <w:t xml:space="preserve"> </w:t>
            </w:r>
          </w:p>
          <w:p w14:paraId="230EF875" w14:textId="5E8B33CE"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 xml:space="preserve">Number of admissions </w:t>
            </w:r>
            <w:r w:rsidRPr="00C13CE3">
              <w:rPr>
                <w:color w:val="C00000"/>
              </w:rPr>
              <w:t xml:space="preserve">= </w:t>
            </w:r>
            <w:r w:rsidR="00C13CE3" w:rsidRPr="00C13CE3">
              <w:rPr>
                <w:color w:val="C00000"/>
              </w:rPr>
              <w:t>131,592</w:t>
            </w:r>
          </w:p>
          <w:p w14:paraId="6C3A56D7" w14:textId="77777777" w:rsidR="00C13CE3"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Patient Des</w:t>
            </w:r>
            <w:r w:rsidR="00C13CE3">
              <w:rPr>
                <w:color w:val="C00000"/>
              </w:rPr>
              <w:t>criptive Characteristics:</w:t>
            </w:r>
          </w:p>
          <w:p w14:paraId="126320D6" w14:textId="17B0256C" w:rsidR="003C292C" w:rsidRPr="001A7EBA" w:rsidRDefault="00C13CE3"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Pr>
                <w:color w:val="C00000"/>
              </w:rPr>
              <w:t xml:space="preserve">mean </w:t>
            </w:r>
            <w:r w:rsidR="003C292C" w:rsidRPr="001A7EBA">
              <w:rPr>
                <w:color w:val="C00000"/>
              </w:rPr>
              <w:t xml:space="preserve">age = </w:t>
            </w:r>
            <w:r>
              <w:rPr>
                <w:color w:val="C00000"/>
              </w:rPr>
              <w:t>73.5</w:t>
            </w:r>
            <w:r w:rsidR="003C292C" w:rsidRPr="001A7EBA">
              <w:rPr>
                <w:color w:val="C00000"/>
              </w:rPr>
              <w:t xml:space="preserve"> years; % male = </w:t>
            </w:r>
            <w:r>
              <w:rPr>
                <w:color w:val="C00000"/>
              </w:rPr>
              <w:t>73.5%</w:t>
            </w:r>
          </w:p>
          <w:p w14:paraId="7FEF631E" w14:textId="70152171" w:rsidR="003C292C" w:rsidRPr="001A7EBA" w:rsidRDefault="003C292C" w:rsidP="00CA638B">
            <w:pPr>
              <w:spacing w:before="120" w:after="120"/>
              <w:cnfStyle w:val="000000000000" w:firstRow="0" w:lastRow="0" w:firstColumn="0" w:lastColumn="0" w:oddVBand="0" w:evenVBand="0" w:oddHBand="0" w:evenHBand="0" w:firstRowFirstColumn="0" w:firstRowLastColumn="0" w:lastRowFirstColumn="0" w:lastRowLastColumn="0"/>
              <w:rPr>
                <w:color w:val="C00000"/>
              </w:rPr>
            </w:pPr>
            <w:r w:rsidRPr="001A7EBA">
              <w:rPr>
                <w:color w:val="C00000"/>
              </w:rPr>
              <w:t xml:space="preserve">Number of measured hospitals: </w:t>
            </w:r>
            <w:r w:rsidR="00C13CE3">
              <w:rPr>
                <w:color w:val="C00000"/>
              </w:rPr>
              <w:t>1,160</w:t>
            </w:r>
          </w:p>
        </w:tc>
      </w:tr>
      <w:tr w:rsidR="003C292C" w:rsidRPr="006941CA" w14:paraId="25790AC4" w14:textId="77777777" w:rsidTr="003C2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399C90F" w14:textId="77777777" w:rsidR="003C292C" w:rsidRPr="00CA638B" w:rsidRDefault="003C292C" w:rsidP="003C292C">
            <w:pPr>
              <w:jc w:val="center"/>
              <w:rPr>
                <w:color w:val="7030A0"/>
              </w:rPr>
            </w:pPr>
            <w:r w:rsidRPr="00CA638B">
              <w:rPr>
                <w:rFonts w:cstheme="minorHAnsi"/>
                <w:color w:val="7030A0"/>
              </w:rPr>
              <w:t>The American Community Survey (ACS)</w:t>
            </w:r>
          </w:p>
        </w:tc>
        <w:tc>
          <w:tcPr>
            <w:tcW w:w="3117" w:type="dxa"/>
          </w:tcPr>
          <w:p w14:paraId="0A74BEDF" w14:textId="00CE554C" w:rsidR="003C292C" w:rsidRPr="00CA638B" w:rsidRDefault="003C292C" w:rsidP="009026A4">
            <w:pPr>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Section 2b3: Risk adjustment/Stratification for Outcome or Resource Use Measures</w:t>
            </w:r>
          </w:p>
        </w:tc>
        <w:tc>
          <w:tcPr>
            <w:tcW w:w="3392" w:type="dxa"/>
          </w:tcPr>
          <w:p w14:paraId="3BCB18E0" w14:textId="77777777" w:rsidR="003C292C" w:rsidRPr="00CA638B" w:rsidRDefault="003C292C" w:rsidP="003C292C">
            <w:pPr>
              <w:spacing w:after="240"/>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 xml:space="preserve">Dates of Data: </w:t>
            </w:r>
            <w:r w:rsidRPr="009026A4">
              <w:rPr>
                <w:color w:val="C00000"/>
              </w:rPr>
              <w:t>2013-2017</w:t>
            </w:r>
          </w:p>
          <w:p w14:paraId="27E55EF8" w14:textId="1B99C2C1" w:rsidR="003C292C" w:rsidRPr="00CA638B" w:rsidRDefault="003C292C" w:rsidP="003C292C">
            <w:pPr>
              <w:cnfStyle w:val="000000100000" w:firstRow="0" w:lastRow="0" w:firstColumn="0" w:lastColumn="0" w:oddVBand="0" w:evenVBand="0" w:oddHBand="1" w:evenHBand="0" w:firstRowFirstColumn="0" w:firstRowLastColumn="0" w:lastRowFirstColumn="0" w:lastRowLastColumn="0"/>
              <w:rPr>
                <w:color w:val="7030A0"/>
              </w:rPr>
            </w:pPr>
            <w:r w:rsidRPr="00CA638B">
              <w:rPr>
                <w:color w:val="7030A0"/>
              </w:rPr>
              <w:t>We used the AHRQ SES index score derived from the American Community Survey (2013-2017) to study the association between the 30-day readmission outcome and SRFs. The AHRQ SES index score is based on beneficiary 9-digit zip code level of residence and incorporates 7 census variables found in</w:t>
            </w:r>
            <w:r w:rsidR="00CA638B" w:rsidRPr="00CA638B">
              <w:rPr>
                <w:color w:val="7030A0"/>
              </w:rPr>
              <w:t xml:space="preserve"> the American Community Survey.</w:t>
            </w:r>
          </w:p>
        </w:tc>
      </w:tr>
      <w:tr w:rsidR="003C292C" w:rsidRPr="006941CA" w14:paraId="022D1056" w14:textId="77777777" w:rsidTr="003C292C">
        <w:tc>
          <w:tcPr>
            <w:cnfStyle w:val="001000000000" w:firstRow="0" w:lastRow="0" w:firstColumn="1" w:lastColumn="0" w:oddVBand="0" w:evenVBand="0" w:oddHBand="0" w:evenHBand="0" w:firstRowFirstColumn="0" w:firstRowLastColumn="0" w:lastRowFirstColumn="0" w:lastRowLastColumn="0"/>
            <w:tcW w:w="3116" w:type="dxa"/>
          </w:tcPr>
          <w:p w14:paraId="2F9EBD4C" w14:textId="77777777" w:rsidR="003C292C" w:rsidRPr="00CA638B" w:rsidRDefault="003C292C" w:rsidP="003C292C">
            <w:pPr>
              <w:jc w:val="center"/>
              <w:rPr>
                <w:rFonts w:cstheme="minorHAnsi"/>
                <w:color w:val="7030A0"/>
              </w:rPr>
            </w:pPr>
            <w:r w:rsidRPr="00CA638B">
              <w:rPr>
                <w:rFonts w:cstheme="minorHAnsi"/>
                <w:color w:val="7030A0"/>
              </w:rPr>
              <w:t>Master Beneficiary Summary File (MBSF)</w:t>
            </w:r>
          </w:p>
        </w:tc>
        <w:tc>
          <w:tcPr>
            <w:tcW w:w="3117" w:type="dxa"/>
          </w:tcPr>
          <w:p w14:paraId="224870EB" w14:textId="24936ED3" w:rsidR="003C292C" w:rsidRPr="00CA638B" w:rsidRDefault="003C292C" w:rsidP="009026A4">
            <w:pPr>
              <w:cnfStyle w:val="000000000000" w:firstRow="0" w:lastRow="0" w:firstColumn="0" w:lastColumn="0" w:oddVBand="0" w:evenVBand="0" w:oddHBand="0" w:evenHBand="0" w:firstRowFirstColumn="0" w:firstRowLastColumn="0" w:lastRowFirstColumn="0" w:lastRowLastColumn="0"/>
              <w:rPr>
                <w:color w:val="7030A0"/>
              </w:rPr>
            </w:pPr>
            <w:r w:rsidRPr="00CA638B">
              <w:rPr>
                <w:color w:val="7030A0"/>
              </w:rPr>
              <w:t>Section 2b3: Risk adjustment/Stratification for Outcome or Resource Use Measures</w:t>
            </w:r>
          </w:p>
        </w:tc>
        <w:tc>
          <w:tcPr>
            <w:tcW w:w="3392" w:type="dxa"/>
          </w:tcPr>
          <w:p w14:paraId="5020BA51" w14:textId="6639FC68" w:rsidR="003C292C" w:rsidRPr="00CA638B" w:rsidRDefault="003C292C" w:rsidP="003C292C">
            <w:pPr>
              <w:spacing w:after="240"/>
              <w:cnfStyle w:val="000000000000" w:firstRow="0" w:lastRow="0" w:firstColumn="0" w:lastColumn="0" w:oddVBand="0" w:evenVBand="0" w:oddHBand="0" w:evenHBand="0" w:firstRowFirstColumn="0" w:firstRowLastColumn="0" w:lastRowFirstColumn="0" w:lastRowLastColumn="0"/>
              <w:rPr>
                <w:color w:val="7030A0"/>
              </w:rPr>
            </w:pPr>
            <w:r w:rsidRPr="00CA638B">
              <w:rPr>
                <w:color w:val="7030A0"/>
              </w:rPr>
              <w:t xml:space="preserve">Dates of Data: </w:t>
            </w:r>
            <w:r w:rsidRPr="009026A4">
              <w:rPr>
                <w:color w:val="C00000"/>
              </w:rPr>
              <w:t xml:space="preserve">July </w:t>
            </w:r>
            <w:r w:rsidR="008E0FE8">
              <w:rPr>
                <w:color w:val="C00000"/>
              </w:rPr>
              <w:t xml:space="preserve">1, </w:t>
            </w:r>
            <w:r w:rsidRPr="009026A4">
              <w:rPr>
                <w:color w:val="C00000"/>
              </w:rPr>
              <w:t>201</w:t>
            </w:r>
            <w:r w:rsidR="009026A4" w:rsidRPr="009026A4">
              <w:rPr>
                <w:color w:val="C00000"/>
              </w:rPr>
              <w:t>6</w:t>
            </w:r>
            <w:r w:rsidRPr="009026A4">
              <w:rPr>
                <w:color w:val="C00000"/>
              </w:rPr>
              <w:t xml:space="preserve"> – June</w:t>
            </w:r>
            <w:r w:rsidR="008E0FE8">
              <w:rPr>
                <w:color w:val="C00000"/>
              </w:rPr>
              <w:t xml:space="preserve"> 30,</w:t>
            </w:r>
            <w:r w:rsidRPr="009026A4">
              <w:rPr>
                <w:color w:val="C00000"/>
              </w:rPr>
              <w:t xml:space="preserve"> 201</w:t>
            </w:r>
            <w:r w:rsidR="009026A4" w:rsidRPr="009026A4">
              <w:rPr>
                <w:color w:val="C00000"/>
              </w:rPr>
              <w:t>9</w:t>
            </w:r>
          </w:p>
          <w:p w14:paraId="12989231" w14:textId="77777777" w:rsidR="003C292C" w:rsidRPr="00CA638B" w:rsidRDefault="003C292C" w:rsidP="003C292C">
            <w:pPr>
              <w:cnfStyle w:val="000000000000" w:firstRow="0" w:lastRow="0" w:firstColumn="0" w:lastColumn="0" w:oddVBand="0" w:evenVBand="0" w:oddHBand="0" w:evenHBand="0" w:firstRowFirstColumn="0" w:firstRowLastColumn="0" w:lastRowFirstColumn="0" w:lastRowLastColumn="0"/>
              <w:rPr>
                <w:color w:val="7030A0"/>
              </w:rPr>
            </w:pPr>
            <w:r w:rsidRPr="00CA638B">
              <w:rPr>
                <w:color w:val="7030A0"/>
              </w:rPr>
              <w:t xml:space="preserve">We used dual eligible status (for Medicare and Medicaid) derived from the MBSF to study the </w:t>
            </w:r>
            <w:r w:rsidRPr="00CA638B">
              <w:rPr>
                <w:color w:val="7030A0"/>
              </w:rPr>
              <w:lastRenderedPageBreak/>
              <w:t>association between the 30-day measure outcome and dual-eligible status.</w:t>
            </w:r>
          </w:p>
        </w:tc>
      </w:tr>
      <w:bookmarkEnd w:id="13"/>
    </w:tbl>
    <w:p w14:paraId="0CABCFCB" w14:textId="4353ADF2" w:rsidR="00E37E1B" w:rsidRDefault="00E37E1B" w:rsidP="00E37E1B">
      <w:pPr>
        <w:autoSpaceDE w:val="0"/>
        <w:autoSpaceDN w:val="0"/>
        <w:adjustRightInd w:val="0"/>
        <w:spacing w:after="0" w:line="240" w:lineRule="auto"/>
        <w:rPr>
          <w:rFonts w:cstheme="minorHAnsi"/>
          <w:bCs/>
        </w:rPr>
      </w:pPr>
    </w:p>
    <w:p w14:paraId="7F1AE3FC" w14:textId="1F15B137" w:rsidR="003756CB"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sidR="00B324DA">
        <w:rPr>
          <w:rFonts w:cstheme="minorHAnsi"/>
          <w:bCs/>
        </w:rPr>
        <w:t xml:space="preserve">. </w:t>
      </w:r>
    </w:p>
    <w:p w14:paraId="089813E6" w14:textId="77777777" w:rsidR="000D0261" w:rsidRDefault="000D0261" w:rsidP="000D0261">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We selected </w:t>
      </w:r>
      <w:r w:rsidRPr="00043DA7">
        <w:rPr>
          <w:color w:val="C00000"/>
        </w:rPr>
        <w:t>social risk factor</w:t>
      </w:r>
      <w:r w:rsidRPr="00043DA7" w:rsidDel="003905B8">
        <w:rPr>
          <w:rFonts w:cstheme="minorHAnsi"/>
          <w:noProof/>
          <w:color w:val="C00000"/>
        </w:rPr>
        <w:t xml:space="preserve"> </w:t>
      </w:r>
      <w:r w:rsidRPr="00043DA7">
        <w:rPr>
          <w:rFonts w:cstheme="minorHAnsi"/>
          <w:noProof/>
          <w:color w:val="C00000"/>
        </w:rPr>
        <w:t xml:space="preserve">(SRF) variables to analyze after reviewing the literature and examining available national data sources. </w:t>
      </w:r>
      <w:bookmarkStart w:id="14" w:name="_Hlk40359939"/>
      <w:r w:rsidRPr="00043DA7">
        <w:rPr>
          <w:rFonts w:cstheme="minorHAnsi"/>
          <w:noProof/>
          <w:color w:val="C00000"/>
        </w:rPr>
        <w:t xml:space="preserve">We sought to find variables that are consistently captured in a reliable fashion for all patients in this measure. </w:t>
      </w:r>
      <w:bookmarkEnd w:id="14"/>
      <w:r w:rsidRPr="00043DA7">
        <w:rPr>
          <w:rFonts w:cstheme="minorHAnsi"/>
          <w:noProof/>
          <w:color w:val="C00000"/>
        </w:rPr>
        <w:t xml:space="preserve">There is a large body of literature linking various </w:t>
      </w:r>
      <w:r w:rsidRPr="00043DA7">
        <w:rPr>
          <w:color w:val="C00000"/>
        </w:rPr>
        <w:t xml:space="preserve">SRFs </w:t>
      </w:r>
      <w:r w:rsidRPr="00043DA7">
        <w:rPr>
          <w:rFonts w:cstheme="minorHAnsi"/>
          <w:noProof/>
          <w:color w:val="C00000"/>
        </w:rPr>
        <w:t xml:space="preserve">to worse health status and higher readmissions over a lifetime. Income, education, and occupation are the most commonly examined SRFs studied. The causal pathways for SRF variable selection are described below in Section 2b3.3a. </w:t>
      </w:r>
      <w:bookmarkStart w:id="15" w:name="_Hlk40359976"/>
      <w:r w:rsidRPr="00043DA7">
        <w:rPr>
          <w:rFonts w:cstheme="minorHAnsi"/>
          <w:noProof/>
          <w:color w:val="C00000"/>
        </w:rPr>
        <w:t>Unfortunately these variables are not available at the patient level for this measure. Therefore proxy measures of income, education level and economic status were</w:t>
      </w:r>
      <w:r>
        <w:rPr>
          <w:rFonts w:cstheme="minorHAnsi"/>
          <w:noProof/>
          <w:color w:val="C00000"/>
        </w:rPr>
        <w:t xml:space="preserve"> selected.</w:t>
      </w:r>
      <w:bookmarkEnd w:id="15"/>
    </w:p>
    <w:p w14:paraId="4D40090A"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The SRF variables used for analysis were:</w:t>
      </w:r>
    </w:p>
    <w:p w14:paraId="2CA79E19" w14:textId="77777777" w:rsidR="000D0261"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 Dual eligible status: Dual eligible status (i.e., enrolled in both Medicare and Medicaid) patient-level data is obtained from the CMS Master Beneficiary Summary File (MBSF)</w:t>
      </w:r>
    </w:p>
    <w:p w14:paraId="3568FA47" w14:textId="17C1B122" w:rsidR="000D0261" w:rsidRDefault="000D0261" w:rsidP="000D0261">
      <w:pPr>
        <w:autoSpaceDE w:val="0"/>
        <w:autoSpaceDN w:val="0"/>
        <w:adjustRightInd w:val="0"/>
        <w:spacing w:before="120" w:after="120" w:line="240" w:lineRule="auto"/>
        <w:rPr>
          <w:rFonts w:cstheme="minorHAnsi"/>
          <w:noProof/>
          <w:color w:val="C00000"/>
        </w:rPr>
      </w:pPr>
      <w:bookmarkStart w:id="16" w:name="_Hlk40360025"/>
      <w:r w:rsidRPr="00043DA7">
        <w:rPr>
          <w:rFonts w:cstheme="minorHAnsi"/>
          <w:noProof/>
          <w:color w:val="C00000"/>
        </w:rPr>
        <w:t>Following guidance from ASPE and a body of literature demonstrating differential health care and health outcomes among dual eligible patients, we identified dual eligibility as a key variable (ASPE 2016</w:t>
      </w:r>
      <w:r w:rsidR="00DE708D">
        <w:rPr>
          <w:rFonts w:cstheme="minorHAnsi"/>
          <w:noProof/>
          <w:color w:val="C00000"/>
        </w:rPr>
        <w:t>; ASPE 2020</w:t>
      </w:r>
      <w:r w:rsidRPr="00043DA7">
        <w:rPr>
          <w:rFonts w:cstheme="minorHAnsi"/>
          <w:noProof/>
          <w:color w:val="C00000"/>
        </w:rPr>
        <w:t xml:space="preserve">). </w:t>
      </w:r>
      <w:bookmarkEnd w:id="16"/>
      <w:r w:rsidRPr="00043DA7">
        <w:rPr>
          <w:rFonts w:cstheme="minorHAnsi"/>
          <w:noProof/>
          <w:color w:val="7030A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bookmarkStart w:id="17" w:name="_Hlk40360051"/>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bookmarkEnd w:id="17"/>
    <w:p w14:paraId="17563D6D" w14:textId="77777777" w:rsidR="000D0261" w:rsidRPr="00B324DA" w:rsidRDefault="000D0261" w:rsidP="00B324DA">
      <w:pPr>
        <w:pStyle w:val="ListParagraph"/>
        <w:numPr>
          <w:ilvl w:val="0"/>
          <w:numId w:val="35"/>
        </w:numPr>
        <w:autoSpaceDE w:val="0"/>
        <w:autoSpaceDN w:val="0"/>
        <w:adjustRightInd w:val="0"/>
        <w:spacing w:before="120" w:after="120" w:line="240" w:lineRule="auto"/>
        <w:ind w:left="180" w:hanging="180"/>
        <w:rPr>
          <w:rFonts w:cstheme="minorHAnsi"/>
          <w:noProof/>
          <w:color w:val="7030A0"/>
        </w:rPr>
      </w:pPr>
      <w:r w:rsidRPr="00B324DA">
        <w:rPr>
          <w:rFonts w:cstheme="minorHAnsi"/>
          <w:noProof/>
          <w:color w:val="7030A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B324DA">
        <w:rPr>
          <w:rFonts w:cstheme="minorHAnsi"/>
          <w:noProof/>
          <w:color w:val="7030A0"/>
          <w:vertAlign w:val="superscript"/>
        </w:rPr>
        <w:t>th</w:t>
      </w:r>
      <w:r w:rsidRPr="00B324DA">
        <w:rPr>
          <w:rFonts w:cstheme="minorHAnsi"/>
          <w:noProof/>
          <w:color w:val="7030A0"/>
        </w:rPr>
        <w:t xml:space="preserve"> grade education, percentage of people ≥25 years of age completing ≥4 years of college, and percentage of households that average ≥1 people per room).</w:t>
      </w:r>
    </w:p>
    <w:p w14:paraId="627F4AF3" w14:textId="2322CCB8" w:rsidR="000D0261" w:rsidRDefault="000D0261" w:rsidP="000D0261">
      <w:pPr>
        <w:autoSpaceDE w:val="0"/>
        <w:autoSpaceDN w:val="0"/>
        <w:adjustRightInd w:val="0"/>
        <w:spacing w:before="120" w:after="120" w:line="240" w:lineRule="auto"/>
        <w:rPr>
          <w:rFonts w:cstheme="minorHAnsi"/>
          <w:noProof/>
          <w:color w:val="7030A0"/>
        </w:rPr>
      </w:pPr>
      <w:r>
        <w:rPr>
          <w:rFonts w:cstheme="minorHAnsi"/>
          <w:noProof/>
          <w:color w:val="7030A0"/>
        </w:rPr>
        <w:t xml:space="preserve">Finally, </w:t>
      </w:r>
      <w:r w:rsidRPr="00043DA7">
        <w:rPr>
          <w:rFonts w:cstheme="minorHAnsi"/>
          <w:noProof/>
          <w:color w:val="7030A0"/>
        </w:rPr>
        <w:t>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patients live in.</w:t>
      </w:r>
      <w:r>
        <w:rPr>
          <w:rFonts w:cstheme="minorHAnsi"/>
          <w:noProof/>
        </w:rPr>
        <w:t xml:space="preserve"> </w:t>
      </w:r>
      <w:r w:rsidRPr="00043DA7">
        <w:rPr>
          <w:rFonts w:cstheme="minorHAnsi"/>
          <w:noProof/>
          <w:color w:val="C00000"/>
        </w:rPr>
        <w:t xml:space="preserve">We considered the area deprivation index (ADI) among many other potential indicators when we initially evaluated the impact of SDS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Pr="00043DA7">
        <w:rPr>
          <w:rFonts w:cstheme="minorHAnsi"/>
          <w:noProof/>
          <w:color w:val="7030A0"/>
        </w:rPr>
        <w:t xml:space="preserve">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w:t>
      </w:r>
      <w:r w:rsidRPr="00043DA7">
        <w:rPr>
          <w:rFonts w:cstheme="minorHAnsi"/>
          <w:noProof/>
          <w:color w:val="7030A0"/>
        </w:rPr>
        <w:lastRenderedPageBreak/>
        <w:t>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w:t>
      </w:r>
      <w:r>
        <w:rPr>
          <w:rFonts w:cstheme="minorHAnsi"/>
          <w:noProof/>
          <w:color w:val="7030A0"/>
        </w:rPr>
        <w:t>.</w:t>
      </w:r>
      <w:r w:rsidR="00EC1BBB">
        <w:rPr>
          <w:rFonts w:cstheme="minorHAnsi"/>
          <w:noProof/>
          <w:color w:val="7030A0"/>
        </w:rPr>
        <w:t xml:space="preserve"> </w:t>
      </w:r>
      <w:r w:rsidR="00EC1BBB">
        <w:rPr>
          <w:rFonts w:cstheme="minorHAnsi"/>
          <w:bCs/>
          <w:color w:val="C00000"/>
        </w:rPr>
        <w:t>We used the percentage of patients with an AHRQ SES index score equal to or below 42.7 to define the lowest quartile of the AHRQ SES Index.</w:t>
      </w:r>
    </w:p>
    <w:p w14:paraId="486B29A3"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u w:val="single"/>
        </w:rPr>
        <w:t>References</w:t>
      </w:r>
      <w:r w:rsidRPr="00051129">
        <w:rPr>
          <w:rFonts w:cstheme="minorHAnsi"/>
          <w:noProof/>
          <w:color w:val="7030A0"/>
        </w:rPr>
        <w:t>:</w:t>
      </w:r>
    </w:p>
    <w:p w14:paraId="5229387E"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Adler NE, Newman K. Socioeconomic disparities in health: pathways and policies. Health affairs (Project Hope). 2002; 21(2):60-76.</w:t>
      </w:r>
    </w:p>
    <w:p w14:paraId="1269114B"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Blum AB, Egorova NN, Sosunov EA, et al. Impact of socioeconomic status measures on hospital profiling in New York City. Circulation. Cardiovascular quality and outcomes. May 2014; 7(3):391-397.</w:t>
      </w:r>
    </w:p>
    <w:p w14:paraId="63C923B7" w14:textId="2E19B2CE" w:rsidR="000D0261"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Bonito A, Bann C, Eicheldinger C, Carpenter L. Creation of new race-ethnicity codes and socioeconomic status (SES) indicators for Medicare beneficiaries. Final Report, Sub-Task. 2008;2.</w:t>
      </w:r>
    </w:p>
    <w:p w14:paraId="2AED4CB9" w14:textId="23A3E7E4" w:rsidR="00E1127C" w:rsidRPr="00E1127C" w:rsidRDefault="00E1127C" w:rsidP="000D0261">
      <w:pPr>
        <w:autoSpaceDE w:val="0"/>
        <w:autoSpaceDN w:val="0"/>
        <w:adjustRightInd w:val="0"/>
        <w:spacing w:before="120" w:after="120" w:line="240" w:lineRule="auto"/>
        <w:rPr>
          <w:rFonts w:cstheme="minorHAnsi"/>
          <w:noProof/>
          <w:color w:val="C00000"/>
        </w:rPr>
      </w:pPr>
      <w:r w:rsidRPr="00E1127C">
        <w:rPr>
          <w:color w:val="C00000"/>
        </w:rPr>
        <w:t xml:space="preserve">Chen HF, </w:t>
      </w:r>
      <w:proofErr w:type="spellStart"/>
      <w:r w:rsidRPr="00E1127C">
        <w:rPr>
          <w:color w:val="C00000"/>
        </w:rPr>
        <w:t>Nevola</w:t>
      </w:r>
      <w:proofErr w:type="spellEnd"/>
      <w:r w:rsidRPr="00E1127C">
        <w:rPr>
          <w:color w:val="C00000"/>
        </w:rPr>
        <w:t xml:space="preserve"> A, Bird TM, et al. Understanding factors associated with readmission disparities among Delta region, Delta states, and other hospitals. Am J </w:t>
      </w:r>
      <w:proofErr w:type="spellStart"/>
      <w:r w:rsidRPr="00E1127C">
        <w:rPr>
          <w:color w:val="C00000"/>
        </w:rPr>
        <w:t>Manag</w:t>
      </w:r>
      <w:proofErr w:type="spellEnd"/>
      <w:r w:rsidRPr="00E1127C">
        <w:rPr>
          <w:color w:val="C00000"/>
        </w:rPr>
        <w:t xml:space="preserve"> Care. May 2018; 24(5): e150-156.</w:t>
      </w:r>
    </w:p>
    <w:p w14:paraId="366C0989" w14:textId="265C83A8" w:rsidR="000D0261" w:rsidRDefault="000D0261" w:rsidP="000D0261">
      <w:pPr>
        <w:autoSpaceDE w:val="0"/>
        <w:autoSpaceDN w:val="0"/>
        <w:adjustRightInd w:val="0"/>
        <w:spacing w:before="120" w:after="120" w:line="240" w:lineRule="auto"/>
        <w:rPr>
          <w:rFonts w:cstheme="minorHAnsi"/>
          <w:iCs/>
          <w:noProof/>
          <w:color w:val="C00000"/>
        </w:rPr>
      </w:pPr>
      <w:r w:rsidRPr="00E1127C">
        <w:rPr>
          <w:rFonts w:cstheme="minorHAnsi"/>
          <w:iCs/>
          <w:noProof/>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E1127C">
          <w:rPr>
            <w:rStyle w:val="Hyperlink"/>
            <w:rFonts w:cstheme="minorHAnsi"/>
            <w:iCs/>
            <w:noProof/>
            <w:color w:val="C00000"/>
          </w:rPr>
          <w:t>https://aspe.hhs.gov/pdf-report/report-congress-social-risk-factors-and-performance-under-medicares-value-based-purchasing-programs</w:t>
        </w:r>
      </w:hyperlink>
      <w:r w:rsidRPr="00E1127C">
        <w:rPr>
          <w:rFonts w:cstheme="minorHAnsi"/>
          <w:iCs/>
          <w:noProof/>
          <w:color w:val="C00000"/>
        </w:rPr>
        <w:t>. Accessed November 10, 2019.</w:t>
      </w:r>
    </w:p>
    <w:p w14:paraId="2844609C" w14:textId="77777777" w:rsidR="00DE708D" w:rsidRPr="000A6F1B" w:rsidRDefault="00DE708D" w:rsidP="00DE708D">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4"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69B68F61"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Eapen ZJ, McCoy LA, Fonarow GC, Yancy CW, Miranda ML, Peterson ED, Califf RM, Hernandez AF. Utility of socioeconomic status in predicting 30-day outcomes after heart failure hospitalization. Circ Heart Fail. May 2015; 8(3):473-80.</w:t>
      </w:r>
    </w:p>
    <w:p w14:paraId="1BA76870"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Gilman M, Adams EK, Hockenberry JM, Wilson IB, Milstein AS, Becker ER. California safety-net hospitals likely to be penalized by ACA value, readmission, and meaningful-use programs. Health Aff (Millwood). Aug 2014; 33(8):1314-22.</w:t>
      </w:r>
    </w:p>
    <w:p w14:paraId="005E4F42"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Glymour MM, Kosheleva A, Boden-Albala B. Birth and adult residence in the Stroke Belt independently predict stroke mortality. Neurology. Dec 1 2009;73(22):1858-1865.</w:t>
      </w:r>
    </w:p>
    <w:p w14:paraId="3D133DCA"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Howard VJ, Kleindorfer DO, Judd SE, et al. Disparities in stroke incidence contributing to disparities in stroke mortality. Ann Neurol 2011;69:619–627.</w:t>
      </w:r>
    </w:p>
    <w:p w14:paraId="26364BAC" w14:textId="77777777" w:rsidR="000D0261"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Hu J, Gonsahn MD, Nerenz DR. Socioeconomic status and readmissions: evidence from an urban teaching hospital. Health affairs (Project Hope). 2014; 33(5):778-785</w:t>
      </w:r>
      <w:r>
        <w:rPr>
          <w:rFonts w:cstheme="minorHAnsi"/>
          <w:noProof/>
          <w:color w:val="7030A0"/>
        </w:rPr>
        <w:t>.</w:t>
      </w:r>
    </w:p>
    <w:p w14:paraId="3C1B44C5" w14:textId="77777777" w:rsidR="000D0261" w:rsidRDefault="000D0261" w:rsidP="000D0261">
      <w:pPr>
        <w:autoSpaceDE w:val="0"/>
        <w:autoSpaceDN w:val="0"/>
        <w:adjustRightInd w:val="0"/>
        <w:spacing w:before="120" w:after="120" w:line="240" w:lineRule="auto"/>
        <w:rPr>
          <w:rFonts w:cstheme="minorHAnsi"/>
          <w:noProof/>
          <w:color w:val="C00000"/>
        </w:rPr>
      </w:pPr>
      <w:r w:rsidRPr="00051129">
        <w:rPr>
          <w:rFonts w:cstheme="minorHAnsi"/>
          <w:noProof/>
          <w:color w:val="C00000"/>
        </w:rPr>
        <w:t>Kaplan CM, Thompson MP, Waters TM. How Have 30-Day Readmission Penalties Affected Racial Disparities in Readmissions?: an Analysis from 2007 to 2014 in Five US States. J Gen Intern Med. 2019;34(6):878-883</w:t>
      </w:r>
      <w:r>
        <w:rPr>
          <w:rFonts w:cstheme="minorHAnsi"/>
          <w:noProof/>
          <w:color w:val="C00000"/>
        </w:rPr>
        <w:t>.</w:t>
      </w:r>
    </w:p>
    <w:p w14:paraId="7D2A010B"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lastRenderedPageBreak/>
        <w:t>Khan JA, Casper M, Asimos AW, et al. Geographic and sociodemographic disparities in drive times to Joint Commission-certified primary stroke centers in North Carolina, South Carolina, and Georgia. Preventing chronic disease. Jul 2011;8(4):A79.</w:t>
      </w:r>
    </w:p>
    <w:p w14:paraId="4F770E23"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Mackenbach JP, Cavelaars AE, Kunst AE, Groenhof F. Socioeconomic inequalities in cardiovascular disease mortality; an international study. European heart journal. 2000; 21(14):1141-1151.</w:t>
      </w:r>
    </w:p>
    <w:p w14:paraId="25663A65" w14:textId="77777777" w:rsidR="000D0261" w:rsidRPr="00051129"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Pedigo A, Seaver W, Odoi A. Identifying unique neighborhood characteristics to guide health planning for stroke and heart attack: fuzzy cluster and discriminant analyses approaches. PloS one. 2011;6(7):e22693.</w:t>
      </w:r>
    </w:p>
    <w:p w14:paraId="07BE4F65" w14:textId="27386C64" w:rsidR="003756CB" w:rsidRPr="000D0261" w:rsidRDefault="000D0261" w:rsidP="000D0261">
      <w:pPr>
        <w:autoSpaceDE w:val="0"/>
        <w:autoSpaceDN w:val="0"/>
        <w:adjustRightInd w:val="0"/>
        <w:spacing w:before="120" w:after="120" w:line="240" w:lineRule="auto"/>
        <w:rPr>
          <w:rFonts w:cstheme="minorHAnsi"/>
          <w:noProof/>
          <w:color w:val="7030A0"/>
        </w:rPr>
      </w:pPr>
      <w:r w:rsidRPr="00051129">
        <w:rPr>
          <w:rFonts w:cstheme="minorHAnsi"/>
          <w:noProof/>
          <w:color w:val="7030A0"/>
        </w:rPr>
        <w:t>Tonne C, Schwartz J, Mittleman M, Melly S, Suh H, Goldberg R. Long-term survival after acute myocardial infarction is lower in more deprived neighborhoods. Circulation. Jun 14 2005; 111(23):3063-3070</w:t>
      </w:r>
      <w:r>
        <w:rPr>
          <w:rFonts w:cstheme="minorHAnsi"/>
          <w:noProof/>
          <w:color w:val="7030A0"/>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E2BA200" w14:textId="77B0BFEA" w:rsidR="00330FC6"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330FC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B507532" w14:textId="77777777" w:rsidR="000D0261" w:rsidRDefault="000D0261" w:rsidP="000D0261">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Measure Score Reliability</w:t>
      </w:r>
      <w:r w:rsidRPr="00043DA7">
        <w:rPr>
          <w:rFonts w:cstheme="minorHAnsi"/>
          <w:noProof/>
          <w:color w:val="C00000"/>
        </w:rPr>
        <w:t xml:space="preserve"> </w:t>
      </w:r>
    </w:p>
    <w:p w14:paraId="18ACC9DF" w14:textId="18032850" w:rsidR="000D0261" w:rsidRDefault="000D0261" w:rsidP="000D0261">
      <w:pPr>
        <w:autoSpaceDE w:val="0"/>
        <w:autoSpaceDN w:val="0"/>
        <w:adjustRightInd w:val="0"/>
        <w:spacing w:before="120" w:after="120" w:line="240" w:lineRule="auto"/>
        <w:rPr>
          <w:rFonts w:cstheme="minorHAnsi"/>
          <w:bCs/>
          <w:color w:val="C00000"/>
        </w:rPr>
      </w:pPr>
      <w:r w:rsidRPr="00043DA7">
        <w:rPr>
          <w:rFonts w:cstheme="minorHAnsi"/>
          <w:noProof/>
          <w:color w:val="C00000"/>
        </w:rPr>
        <w:t xml:space="preserve">We performed two types of reliability testing. First, we estimated the overall measure score reliability by calculating the intra-class correlation coefficient (ICC) using a split sample (i.e. test-retest) method. </w:t>
      </w:r>
      <w:r w:rsidRPr="00043DA7">
        <w:rPr>
          <w:rFonts w:cstheme="minorHAnsi"/>
          <w:bCs/>
          <w:color w:val="C00000"/>
        </w:rPr>
        <w:t>Second, we estimate</w:t>
      </w:r>
      <w:r w:rsidR="00C369FD">
        <w:rPr>
          <w:rFonts w:cstheme="minorHAnsi"/>
          <w:bCs/>
          <w:color w:val="C00000"/>
        </w:rPr>
        <w:t>d</w:t>
      </w:r>
      <w:r w:rsidRPr="00043DA7">
        <w:rPr>
          <w:rFonts w:cstheme="minorHAnsi"/>
          <w:bCs/>
          <w:color w:val="C00000"/>
        </w:rPr>
        <w:t xml:space="preserve"> the facility-level reliability (signal-to-noise reliability)</w:t>
      </w:r>
      <w:r>
        <w:rPr>
          <w:rFonts w:cstheme="minorHAnsi"/>
          <w:bCs/>
          <w:color w:val="C00000"/>
        </w:rPr>
        <w:t>.</w:t>
      </w:r>
    </w:p>
    <w:p w14:paraId="37C92729" w14:textId="77777777" w:rsidR="000D0261" w:rsidRDefault="000D0261" w:rsidP="000D0261">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Split-Sample Reliability</w:t>
      </w:r>
    </w:p>
    <w:p w14:paraId="3AF01DBF" w14:textId="4F407FE6" w:rsidR="000D0261" w:rsidRDefault="000D0261" w:rsidP="000D0261">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and then measured again using a second random subset exclusive of the first, and the agreement of the two resulting performance measures </w:t>
      </w:r>
      <w:r w:rsidR="00E14079">
        <w:rPr>
          <w:rFonts w:cstheme="minorHAnsi"/>
          <w:noProof/>
          <w:color w:val="C00000"/>
        </w:rPr>
        <w:t xml:space="preserve">is </w:t>
      </w:r>
      <w:r w:rsidRPr="00043DA7">
        <w:rPr>
          <w:rFonts w:cstheme="minorHAnsi"/>
          <w:noProof/>
          <w:color w:val="C00000"/>
        </w:rPr>
        <w:t>compared across hospitals (Rousson, Gasser, and Seifert, 2002).</w:t>
      </w:r>
    </w:p>
    <w:p w14:paraId="28B1F7AA" w14:textId="6CAFF09A" w:rsidR="000D0261" w:rsidRDefault="000D0261" w:rsidP="000D0261">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For </w:t>
      </w:r>
      <w:r w:rsidR="00E1127C">
        <w:rPr>
          <w:rFonts w:cstheme="minorHAnsi"/>
          <w:noProof/>
          <w:color w:val="C00000"/>
        </w:rPr>
        <w:t>split-sample</w:t>
      </w:r>
      <w:r w:rsidRPr="00043DA7">
        <w:rPr>
          <w:rFonts w:cstheme="minorHAnsi"/>
          <w:noProof/>
          <w:color w:val="C00000"/>
        </w:rPr>
        <w:t xml:space="preserve"> reliability of the measure in aged 65 years and older,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w:t>
      </w:r>
      <w:r w:rsidRPr="00043DA7">
        <w:rPr>
          <w:rFonts w:cstheme="minorHAnsi"/>
          <w:noProof/>
          <w:color w:val="C00000"/>
        </w:rPr>
        <w:lastRenderedPageBreak/>
        <w:t>the hospital, not of the patients. As a metric of agreement we calculated the intra-class correlation coefficient (Shrout &amp; Fleiss, 1979), and assessed the values according to conventional standards (Landis &amp; Koch, 1977). Specifically, we used a combined 2016-2019 sample,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r>
        <w:rPr>
          <w:rFonts w:cstheme="minorHAnsi"/>
          <w:noProof/>
          <w:color w:val="C00000"/>
        </w:rPr>
        <w:t>.</w:t>
      </w:r>
    </w:p>
    <w:p w14:paraId="4E76EEFA" w14:textId="10B4EED0" w:rsidR="000D0261" w:rsidRDefault="000D0261" w:rsidP="000D0261">
      <w:pPr>
        <w:autoSpaceDE w:val="0"/>
        <w:autoSpaceDN w:val="0"/>
        <w:adjustRightInd w:val="0"/>
        <w:spacing w:before="120" w:after="120" w:line="240" w:lineRule="auto"/>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This leads to an underestimate in the actual test-retest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43BACBD4" w14:textId="77777777" w:rsidR="000D0261" w:rsidRDefault="000D0261" w:rsidP="000D0261">
      <w:pPr>
        <w:autoSpaceDE w:val="0"/>
        <w:autoSpaceDN w:val="0"/>
        <w:adjustRightInd w:val="0"/>
        <w:spacing w:before="120" w:after="120" w:line="240" w:lineRule="auto"/>
        <w:rPr>
          <w:rFonts w:cstheme="minorHAnsi"/>
          <w:noProof/>
          <w:color w:val="C00000"/>
          <w:u w:val="single"/>
        </w:rPr>
      </w:pPr>
      <w:bookmarkStart w:id="18" w:name="_Hlk40345749"/>
      <w:r w:rsidRPr="00043DA7">
        <w:rPr>
          <w:rFonts w:cstheme="minorHAnsi"/>
          <w:noProof/>
          <w:color w:val="C00000"/>
          <w:u w:val="single"/>
        </w:rPr>
        <w:t>Signal-to-Noise</w:t>
      </w:r>
    </w:p>
    <w:p w14:paraId="702A6A24" w14:textId="6714352A" w:rsidR="000D0261" w:rsidRPr="00051129" w:rsidRDefault="000D0261" w:rsidP="000D0261">
      <w:pPr>
        <w:autoSpaceDE w:val="0"/>
        <w:autoSpaceDN w:val="0"/>
        <w:adjustRightInd w:val="0"/>
        <w:spacing w:before="120" w:after="120" w:line="240" w:lineRule="auto"/>
        <w:rPr>
          <w:rFonts w:cstheme="minorHAnsi"/>
          <w:bCs/>
        </w:rPr>
      </w:pPr>
      <w:r w:rsidRPr="00051129">
        <w:rPr>
          <w:rFonts w:cstheme="minorHAnsi"/>
          <w:bCs/>
          <w:color w:val="C00000"/>
        </w:rPr>
        <w:t>We estimated the signal to noise reliability (facility-level reliability), which is the reliability with which individual units (hospitals) are measured. While test re-test reliability is the most relevant metric from the perspective of overall measure reliability, it is also meaningful to consider the separate notion of “unit” reliability, that is, the reliability with which individual units (here, hospitals) are measured. The reliability of any one facility’s measure score will vary depending on the number of</w:t>
      </w:r>
      <w:r w:rsidR="0033493C">
        <w:rPr>
          <w:rFonts w:cstheme="minorHAnsi"/>
          <w:bCs/>
          <w:color w:val="C00000"/>
        </w:rPr>
        <w:t xml:space="preserve"> patients admitted for a CABG procedure</w:t>
      </w:r>
      <w:r w:rsidRPr="00051129">
        <w:rPr>
          <w:rFonts w:cstheme="minorHAnsi"/>
          <w:bCs/>
          <w:color w:val="C00000"/>
        </w:rPr>
        <w:t>. Facilities with more volume (i.e., with more patients) will tend to have more reliable scores, while facilities with less volume will tend to have less reliable scores. Therefore, we used the formula presented by Adams and colleagues (2010) to calculate facility-level reliability.</w:t>
      </w:r>
    </w:p>
    <w:p w14:paraId="2636D706" w14:textId="77777777" w:rsidR="000D0261" w:rsidRDefault="000D0261" w:rsidP="000D0261">
      <w:pPr>
        <w:autoSpaceDE w:val="0"/>
        <w:autoSpaceDN w:val="0"/>
        <w:adjustRightInd w:val="0"/>
        <w:spacing w:before="120" w:after="120" w:line="240" w:lineRule="auto"/>
        <w:rPr>
          <w:rFonts w:ascii="Calibri" w:eastAsia="Times New Roman" w:hAnsi="Calibri" w:cs="Calibri"/>
          <w:color w:val="C00000"/>
        </w:rPr>
      </w:pPr>
      <w:bookmarkStart w:id="19" w:name="_Hlk40360369"/>
      <w:bookmarkStart w:id="20" w:name="_Hlk40345022"/>
      <w:r w:rsidRPr="00043DA7">
        <w:rPr>
          <w:rFonts w:ascii="Calibri" w:eastAsia="Times New Roman" w:hAnsi="Calibri" w:cs="Calibri"/>
          <w:color w:val="C00000"/>
        </w:rPr>
        <w:t>Where facility-to-facility variance is estimated from the hierarchical logistic regression model, n is equal to each facility’s observed case size, and the facility error variance is estimated using the variance of the logistic distribution (</w:t>
      </w:r>
      <w:r>
        <w:rPr>
          <w:rFonts w:ascii="Calibri" w:eastAsia="Times New Roman" w:hAnsi="Calibri" w:cs="Calibri"/>
          <w:color w:val="C00000"/>
        </w:rPr>
        <w:t>π</w:t>
      </w:r>
      <w:r w:rsidRPr="00043DA7">
        <w:rPr>
          <w:rFonts w:ascii="Calibri" w:eastAsia="Times New Roman" w:hAnsi="Calibri" w:cs="Calibri"/>
          <w:color w:val="C00000"/>
        </w:rPr>
        <w:t xml:space="preserve">^2/3). </w:t>
      </w:r>
      <w:bookmarkEnd w:id="19"/>
      <w:r w:rsidRPr="00043DA7">
        <w:rPr>
          <w:rFonts w:ascii="Calibri" w:eastAsia="Times New Roman" w:hAnsi="Calibri" w:cs="Calibri"/>
          <w:color w:val="C00000"/>
        </w:rPr>
        <w:t>The facility-level reliability testing is limited to facilities with at least 25 admissions for public reporting</w:t>
      </w:r>
      <w:r>
        <w:rPr>
          <w:rFonts w:ascii="Calibri" w:eastAsia="Times New Roman" w:hAnsi="Calibri" w:cs="Calibri"/>
          <w:color w:val="C00000"/>
        </w:rPr>
        <w:t>.</w:t>
      </w:r>
    </w:p>
    <w:bookmarkEnd w:id="20"/>
    <w:p w14:paraId="20E3C30B" w14:textId="77777777" w:rsidR="000D0261" w:rsidRDefault="000D0261" w:rsidP="000D0261">
      <w:pPr>
        <w:autoSpaceDE w:val="0"/>
        <w:autoSpaceDN w:val="0"/>
        <w:adjustRightInd w:val="0"/>
        <w:spacing w:before="120" w:after="120" w:line="240" w:lineRule="auto"/>
        <w:rPr>
          <w:rFonts w:ascii="Calibri" w:hAnsi="Calibri" w:cs="Calibri"/>
          <w:color w:val="C00000"/>
        </w:rPr>
      </w:pPr>
      <w:r w:rsidRPr="00043DA7">
        <w:rPr>
          <w:rFonts w:ascii="Calibri" w:hAnsi="Calibri" w:cs="Calibri"/>
          <w:color w:val="C00000"/>
        </w:rPr>
        <w:t>Signal to noise reliability scores can range from 0 to 1. A reliability of zero implies that all the variability in a measure is attributable to measurement error. A reliability of one implies that all the variability is attributable to real difference in performance</w:t>
      </w:r>
      <w:r>
        <w:rPr>
          <w:rFonts w:ascii="Calibri" w:hAnsi="Calibri" w:cs="Calibri"/>
          <w:color w:val="C00000"/>
        </w:rPr>
        <w:t>.</w:t>
      </w:r>
    </w:p>
    <w:bookmarkEnd w:id="18"/>
    <w:p w14:paraId="5CBE49DF" w14:textId="77777777" w:rsidR="000D0261" w:rsidRDefault="000D0261" w:rsidP="000D0261">
      <w:pPr>
        <w:autoSpaceDE w:val="0"/>
        <w:autoSpaceDN w:val="0"/>
        <w:adjustRightInd w:val="0"/>
        <w:spacing w:before="120" w:after="120" w:line="240" w:lineRule="auto"/>
        <w:rPr>
          <w:rFonts w:ascii="Calibri" w:eastAsia="Times New Roman" w:hAnsi="Calibri" w:cs="Calibri"/>
          <w:color w:val="C00000"/>
        </w:rPr>
      </w:pPr>
      <w:r w:rsidRPr="00043DA7">
        <w:rPr>
          <w:rFonts w:cstheme="minorHAnsi"/>
          <w:bCs/>
          <w:color w:val="C00000"/>
          <w:u w:val="single"/>
        </w:rPr>
        <w:t>Additional Information</w:t>
      </w:r>
    </w:p>
    <w:p w14:paraId="0B24D7CA" w14:textId="77777777" w:rsidR="000D0261" w:rsidRDefault="000D0261" w:rsidP="000D0261">
      <w:pPr>
        <w:autoSpaceDE w:val="0"/>
        <w:autoSpaceDN w:val="0"/>
        <w:adjustRightInd w:val="0"/>
        <w:spacing w:before="120" w:after="120" w:line="240" w:lineRule="auto"/>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r>
        <w:rPr>
          <w:rFonts w:cstheme="minorHAnsi"/>
          <w:bCs/>
          <w:color w:val="C00000"/>
        </w:rPr>
        <w:t>.</w:t>
      </w:r>
    </w:p>
    <w:p w14:paraId="1F7729D1" w14:textId="77777777" w:rsidR="000D0261" w:rsidRDefault="000D0261" w:rsidP="000D0261">
      <w:pPr>
        <w:autoSpaceDE w:val="0"/>
        <w:autoSpaceDN w:val="0"/>
        <w:adjustRightInd w:val="0"/>
        <w:spacing w:before="120" w:after="120" w:line="240" w:lineRule="auto"/>
        <w:rPr>
          <w:rFonts w:cstheme="minorHAnsi"/>
          <w:bCs/>
          <w:color w:val="C00000"/>
        </w:rPr>
      </w:pPr>
      <w:r w:rsidRPr="00043DA7">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398BEAB4" w14:textId="77777777" w:rsidR="000D0261" w:rsidRDefault="000D0261" w:rsidP="000D0261">
      <w:pPr>
        <w:autoSpaceDE w:val="0"/>
        <w:autoSpaceDN w:val="0"/>
        <w:adjustRightInd w:val="0"/>
        <w:spacing w:before="120" w:after="120" w:line="240" w:lineRule="auto"/>
        <w:rPr>
          <w:rFonts w:cstheme="minorHAnsi"/>
          <w:bCs/>
          <w:color w:val="C00000"/>
        </w:rPr>
      </w:pPr>
      <w:r w:rsidRPr="00043DA7">
        <w:rPr>
          <w:rFonts w:cstheme="minorHAnsi"/>
          <w:bCs/>
          <w:color w:val="C00000"/>
        </w:rPr>
        <w:lastRenderedPageBreak/>
        <w:t>Furthermore, we assessed the variation in the frequency of the variables over time: Detailed information is presented in the measure’s 2020 Condition-Specific Measure Updates and Specifications Report cited below</w:t>
      </w:r>
      <w:r>
        <w:rPr>
          <w:rFonts w:cstheme="minorHAnsi"/>
          <w:bCs/>
          <w:color w:val="C00000"/>
        </w:rPr>
        <w:t>.</w:t>
      </w:r>
    </w:p>
    <w:p w14:paraId="47B7C293" w14:textId="77777777" w:rsidR="000D0261" w:rsidRPr="008E78D8" w:rsidRDefault="000D0261" w:rsidP="000D0261">
      <w:pPr>
        <w:autoSpaceDE w:val="0"/>
        <w:autoSpaceDN w:val="0"/>
        <w:adjustRightInd w:val="0"/>
        <w:spacing w:before="120" w:after="120" w:line="240" w:lineRule="auto"/>
        <w:rPr>
          <w:rFonts w:cstheme="minorHAnsi"/>
          <w:bCs/>
          <w:color w:val="C00000"/>
          <w:u w:val="single"/>
        </w:rPr>
      </w:pPr>
      <w:r w:rsidRPr="008E78D8">
        <w:rPr>
          <w:rFonts w:cstheme="minorHAnsi"/>
          <w:bCs/>
          <w:color w:val="C00000"/>
          <w:u w:val="single"/>
        </w:rPr>
        <w:t>References</w:t>
      </w:r>
    </w:p>
    <w:p w14:paraId="6FB04A4E" w14:textId="77777777" w:rsidR="000D0261" w:rsidRPr="00051129" w:rsidRDefault="000D0261" w:rsidP="000D0261">
      <w:pPr>
        <w:autoSpaceDE w:val="0"/>
        <w:autoSpaceDN w:val="0"/>
        <w:adjustRightInd w:val="0"/>
        <w:spacing w:before="120" w:after="120" w:line="240" w:lineRule="auto"/>
        <w:rPr>
          <w:rFonts w:cstheme="minorHAnsi"/>
          <w:bCs/>
          <w:color w:val="C00000"/>
        </w:rPr>
      </w:pPr>
      <w:r w:rsidRPr="00051129">
        <w:rPr>
          <w:rFonts w:cstheme="minorHAnsi"/>
          <w:bCs/>
          <w:color w:val="C00000"/>
        </w:rPr>
        <w:t xml:space="preserve">Adams J, </w:t>
      </w:r>
      <w:proofErr w:type="spellStart"/>
      <w:r w:rsidRPr="00051129">
        <w:rPr>
          <w:rFonts w:cstheme="minorHAnsi"/>
          <w:bCs/>
          <w:color w:val="C00000"/>
        </w:rPr>
        <w:t>Mehrota</w:t>
      </w:r>
      <w:proofErr w:type="spellEnd"/>
      <w:r w:rsidRPr="00051129">
        <w:rPr>
          <w:rFonts w:cstheme="minorHAnsi"/>
          <w:bCs/>
          <w:color w:val="C00000"/>
        </w:rPr>
        <w:t xml:space="preserve">, A, </w:t>
      </w:r>
      <w:proofErr w:type="spellStart"/>
      <w:r w:rsidRPr="00051129">
        <w:rPr>
          <w:rFonts w:cstheme="minorHAnsi"/>
          <w:bCs/>
          <w:color w:val="C00000"/>
        </w:rPr>
        <w:t>Thoman</w:t>
      </w:r>
      <w:proofErr w:type="spellEnd"/>
      <w:r w:rsidRPr="00051129">
        <w:rPr>
          <w:rFonts w:cstheme="minorHAnsi"/>
          <w:bCs/>
          <w:color w:val="C00000"/>
        </w:rPr>
        <w:t xml:space="preserve"> J, McGlynn, E. (2010). Physician cost profiling – reliability and risk of misclassification. NEJM, 362(11): 1014-1021.</w:t>
      </w:r>
    </w:p>
    <w:p w14:paraId="591F886C" w14:textId="77777777" w:rsidR="000D0261" w:rsidRPr="00051129" w:rsidRDefault="000D0261" w:rsidP="000D0261">
      <w:pPr>
        <w:autoSpaceDE w:val="0"/>
        <w:autoSpaceDN w:val="0"/>
        <w:adjustRightInd w:val="0"/>
        <w:spacing w:before="120" w:after="120" w:line="240" w:lineRule="auto"/>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29C17B44" w14:textId="6D38EDFA" w:rsidR="000D0261" w:rsidRPr="00051129" w:rsidRDefault="000D0261" w:rsidP="000D0261">
      <w:pPr>
        <w:autoSpaceDE w:val="0"/>
        <w:autoSpaceDN w:val="0"/>
        <w:adjustRightInd w:val="0"/>
        <w:spacing w:before="120" w:after="120" w:line="240" w:lineRule="auto"/>
        <w:rPr>
          <w:rFonts w:cstheme="minorHAnsi"/>
          <w:bCs/>
        </w:rPr>
      </w:pPr>
      <w:proofErr w:type="spellStart"/>
      <w:r w:rsidRPr="00051129">
        <w:rPr>
          <w:rFonts w:cstheme="minorHAnsi"/>
          <w:bCs/>
          <w:color w:val="C00000"/>
        </w:rPr>
        <w:t>DeBuhr</w:t>
      </w:r>
      <w:proofErr w:type="spellEnd"/>
      <w:r w:rsidRPr="00051129">
        <w:rPr>
          <w:rFonts w:cstheme="minorHAnsi"/>
          <w:bCs/>
          <w:color w:val="C00000"/>
        </w:rPr>
        <w:t xml:space="preserve"> J, McDowell, K, Grady J, et al., 2020 Condition-Specific Measure Updates and Specifications Report Hospital-Level 30-Day Risk-Standardized Readmission Measures - Available at: </w:t>
      </w:r>
      <w:hyperlink r:id="rId15" w:history="1">
        <w:r w:rsidRPr="00051129">
          <w:rPr>
            <w:rStyle w:val="Hyperlink"/>
            <w:rFonts w:cstheme="minorHAnsi"/>
            <w:bCs/>
          </w:rPr>
          <w:t>https://www.qualitynet.org/inpatient/measures/readmission/methodology</w:t>
        </w:r>
      </w:hyperlink>
      <w:r w:rsidR="00E1127C">
        <w:rPr>
          <w:rStyle w:val="Hyperlink"/>
          <w:rFonts w:cstheme="minorHAnsi"/>
          <w:bCs/>
        </w:rPr>
        <w:t>.</w:t>
      </w:r>
      <w:r w:rsidRPr="00051129">
        <w:rPr>
          <w:rFonts w:cstheme="minorHAnsi"/>
          <w:bCs/>
        </w:rPr>
        <w:t xml:space="preserve"> </w:t>
      </w:r>
    </w:p>
    <w:p w14:paraId="7EA2A5FB" w14:textId="77777777" w:rsidR="000D0261" w:rsidRPr="00051129" w:rsidRDefault="000D0261" w:rsidP="000D0261">
      <w:pPr>
        <w:autoSpaceDE w:val="0"/>
        <w:autoSpaceDN w:val="0"/>
        <w:adjustRightInd w:val="0"/>
        <w:spacing w:before="120" w:after="120" w:line="240" w:lineRule="auto"/>
        <w:rPr>
          <w:rFonts w:cstheme="minorHAnsi"/>
          <w:bCs/>
          <w:color w:val="C00000"/>
        </w:rPr>
      </w:pPr>
      <w:r w:rsidRPr="00051129">
        <w:rPr>
          <w:rFonts w:cstheme="minorHAnsi"/>
          <w:bCs/>
          <w:color w:val="C00000"/>
        </w:rPr>
        <w:t>Landis J, Koch G, The measurement of observer agreement for categorical data, Biometrics, 1977;33:159-174.</w:t>
      </w:r>
    </w:p>
    <w:p w14:paraId="40C69CEC" w14:textId="77777777" w:rsidR="000D0261" w:rsidRPr="00051129" w:rsidRDefault="000D0261" w:rsidP="000D0261">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Rousson</w:t>
      </w:r>
      <w:proofErr w:type="spellEnd"/>
      <w:r w:rsidRPr="00051129">
        <w:rPr>
          <w:rFonts w:cstheme="minorHAnsi"/>
          <w:bCs/>
          <w:color w:val="C00000"/>
        </w:rPr>
        <w:t xml:space="preserve"> V, Gasser T, Seifert B. "Assessing </w:t>
      </w:r>
      <w:proofErr w:type="spellStart"/>
      <w:r w:rsidRPr="00051129">
        <w:rPr>
          <w:rFonts w:cstheme="minorHAnsi"/>
          <w:bCs/>
          <w:color w:val="C00000"/>
        </w:rPr>
        <w:t>intrarater</w:t>
      </w:r>
      <w:proofErr w:type="spellEnd"/>
      <w:r w:rsidRPr="00051129">
        <w:rPr>
          <w:rFonts w:cstheme="minorHAnsi"/>
          <w:bCs/>
          <w:color w:val="C00000"/>
        </w:rPr>
        <w:t xml:space="preserve">, interrater and test–retest reliability of continuous measurements," Statistics in Medicine, 2002, 21:3431-3446. </w:t>
      </w:r>
    </w:p>
    <w:p w14:paraId="1E7EE4A0" w14:textId="77777777" w:rsidR="000D0261" w:rsidRDefault="000D0261" w:rsidP="000D0261">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Shrout</w:t>
      </w:r>
      <w:proofErr w:type="spellEnd"/>
      <w:r w:rsidRPr="00051129">
        <w:rPr>
          <w:rFonts w:cstheme="minorHAnsi"/>
          <w:bCs/>
          <w:color w:val="C00000"/>
        </w:rPr>
        <w:t xml:space="preserve"> P, Fleiss J. Intraclass correlations: uses in assessing rater reliability. Psychological Bulletin, 1979, 86, 420-3428</w:t>
      </w:r>
      <w:r>
        <w:rPr>
          <w:rFonts w:cstheme="minorHAnsi"/>
          <w:bCs/>
          <w:color w:val="C00000"/>
        </w:rPr>
        <w:t>.</w:t>
      </w:r>
    </w:p>
    <w:p w14:paraId="0CABCFD2" w14:textId="59A033C3" w:rsidR="008C54A9" w:rsidRPr="00A704AB" w:rsidRDefault="000D0261" w:rsidP="000D0261">
      <w:pPr>
        <w:autoSpaceDE w:val="0"/>
        <w:autoSpaceDN w:val="0"/>
        <w:adjustRightInd w:val="0"/>
        <w:spacing w:before="120" w:after="120" w:line="240" w:lineRule="auto"/>
        <w:rPr>
          <w:rFonts w:cstheme="minorHAnsi"/>
          <w:bCs/>
          <w:color w:val="7030A0"/>
        </w:rPr>
      </w:pPr>
      <w:r w:rsidRPr="00A704AB">
        <w:rPr>
          <w:rFonts w:cstheme="minorHAnsi"/>
          <w:bCs/>
          <w:color w:val="7030A0"/>
        </w:rPr>
        <w:t>Spearman, Charles, C. (1910). Correlation calculated from faulty data. British Journal of Psychology, 3, 271–295.</w:t>
      </w:r>
    </w:p>
    <w:p w14:paraId="50B4F2FB" w14:textId="6F7D543C" w:rsidR="000D0261"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324DA">
        <w:rPr>
          <w:rFonts w:cstheme="minorHAnsi"/>
          <w:bCs/>
        </w:rPr>
        <w:t xml:space="preserve"> </w:t>
      </w:r>
      <w:r w:rsidR="00AA5213" w:rsidRPr="00A25024">
        <w:rPr>
          <w:rFonts w:cstheme="minorHAnsi"/>
          <w:bCs/>
        </w:rPr>
        <w:t>(e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FFA8220" w14:textId="133B1FED" w:rsidR="000D0261" w:rsidRPr="00727B05" w:rsidRDefault="0048008A" w:rsidP="000D0261">
      <w:pPr>
        <w:autoSpaceDE w:val="0"/>
        <w:autoSpaceDN w:val="0"/>
        <w:adjustRightInd w:val="0"/>
        <w:spacing w:after="0" w:line="240" w:lineRule="auto"/>
        <w:rPr>
          <w:rFonts w:cstheme="minorHAnsi"/>
          <w:bCs/>
          <w:color w:val="C00000"/>
          <w:u w:val="single"/>
        </w:rPr>
      </w:pPr>
      <w:r w:rsidRPr="00A25024">
        <w:rPr>
          <w:rFonts w:cstheme="minorHAnsi"/>
          <w:bCs/>
        </w:rPr>
        <w:br/>
      </w:r>
      <w:r w:rsidR="000D0261" w:rsidRPr="00727B05">
        <w:rPr>
          <w:rFonts w:cstheme="minorHAnsi"/>
          <w:bCs/>
          <w:color w:val="C00000"/>
          <w:u w:val="single"/>
        </w:rPr>
        <w:t xml:space="preserve">Measure Score Reliability Results </w:t>
      </w:r>
    </w:p>
    <w:p w14:paraId="06F94A3B" w14:textId="3CC6A7EE" w:rsidR="000D0261" w:rsidRPr="00727B05" w:rsidRDefault="000D0261" w:rsidP="000D0261">
      <w:pPr>
        <w:autoSpaceDE w:val="0"/>
        <w:autoSpaceDN w:val="0"/>
        <w:adjustRightInd w:val="0"/>
        <w:spacing w:after="0" w:line="240" w:lineRule="auto"/>
        <w:rPr>
          <w:rFonts w:cstheme="minorHAnsi"/>
          <w:bCs/>
          <w:color w:val="C00000"/>
          <w:u w:val="single"/>
        </w:rPr>
      </w:pPr>
    </w:p>
    <w:p w14:paraId="483ECD40" w14:textId="50FF8A04" w:rsidR="000D0261" w:rsidRPr="00727B05" w:rsidRDefault="000D0261" w:rsidP="000D0261">
      <w:pPr>
        <w:autoSpaceDE w:val="0"/>
        <w:autoSpaceDN w:val="0"/>
        <w:adjustRightInd w:val="0"/>
        <w:spacing w:after="0" w:line="240" w:lineRule="auto"/>
        <w:rPr>
          <w:rFonts w:cstheme="minorHAnsi"/>
          <w:bCs/>
          <w:color w:val="C00000"/>
          <w:u w:val="single"/>
        </w:rPr>
      </w:pPr>
      <w:r w:rsidRPr="00727B05">
        <w:rPr>
          <w:rFonts w:cstheme="minorHAnsi"/>
          <w:bCs/>
          <w:color w:val="C00000"/>
          <w:u w:val="single"/>
        </w:rPr>
        <w:t>Signal-to-Noise</w:t>
      </w:r>
    </w:p>
    <w:p w14:paraId="261669F9" w14:textId="77777777" w:rsidR="00727B05" w:rsidRPr="00727B05" w:rsidRDefault="00727B05" w:rsidP="000D0261">
      <w:pPr>
        <w:autoSpaceDE w:val="0"/>
        <w:autoSpaceDN w:val="0"/>
        <w:adjustRightInd w:val="0"/>
        <w:spacing w:after="0" w:line="240" w:lineRule="auto"/>
        <w:rPr>
          <w:rFonts w:cstheme="minorHAnsi"/>
          <w:bCs/>
          <w:color w:val="C00000"/>
        </w:rPr>
      </w:pPr>
    </w:p>
    <w:p w14:paraId="52FDBCE0" w14:textId="0EEB1FB4" w:rsidR="000D0261" w:rsidRPr="00727B05" w:rsidRDefault="000D0261" w:rsidP="000D0261">
      <w:pPr>
        <w:autoSpaceDE w:val="0"/>
        <w:autoSpaceDN w:val="0"/>
        <w:adjustRightInd w:val="0"/>
        <w:spacing w:after="0" w:line="240" w:lineRule="auto"/>
        <w:rPr>
          <w:rFonts w:cstheme="minorHAnsi"/>
          <w:bCs/>
          <w:color w:val="C00000"/>
        </w:rPr>
      </w:pPr>
      <w:r w:rsidRPr="00727B05">
        <w:rPr>
          <w:rFonts w:cstheme="minorHAnsi"/>
          <w:bCs/>
          <w:color w:val="C00000"/>
        </w:rPr>
        <w:t>We calculated the signal-to-noise reliability score for each hospital with at lea</w:t>
      </w:r>
      <w:r w:rsidR="00363B98">
        <w:rPr>
          <w:rFonts w:cstheme="minorHAnsi"/>
          <w:bCs/>
          <w:color w:val="C00000"/>
        </w:rPr>
        <w:t xml:space="preserve">st 25 admissions* (see Table 2 </w:t>
      </w:r>
      <w:r w:rsidRPr="00727B05">
        <w:rPr>
          <w:rFonts w:cstheme="minorHAnsi"/>
          <w:bCs/>
          <w:color w:val="C00000"/>
        </w:rPr>
        <w:t>below). The median reliability score was 0.60, ranging from 0.27 to 0.92. The 25th and 75th percentiles were 0.45 and 0.71, respectively. The median reliability score demonstrates moderate reliability.</w:t>
      </w:r>
    </w:p>
    <w:p w14:paraId="250CC3F9" w14:textId="10B2DE76" w:rsidR="00E14079" w:rsidRDefault="00E14079">
      <w:pPr>
        <w:rPr>
          <w:rFonts w:cstheme="minorHAnsi"/>
          <w:bCs/>
          <w:color w:val="C00000"/>
        </w:rPr>
      </w:pPr>
      <w:r>
        <w:rPr>
          <w:rFonts w:cstheme="minorHAnsi"/>
          <w:bCs/>
          <w:color w:val="C00000"/>
        </w:rPr>
        <w:br w:type="page"/>
      </w:r>
    </w:p>
    <w:p w14:paraId="6D3CBD56" w14:textId="40C44B6F" w:rsidR="009C50E7" w:rsidRDefault="00363B98" w:rsidP="00727B05">
      <w:pPr>
        <w:autoSpaceDE w:val="0"/>
        <w:autoSpaceDN w:val="0"/>
        <w:adjustRightInd w:val="0"/>
        <w:spacing w:after="0" w:line="240" w:lineRule="auto"/>
        <w:rPr>
          <w:noProof/>
          <w:sz w:val="24"/>
          <w:szCs w:val="24"/>
        </w:rPr>
      </w:pPr>
      <w:r>
        <w:rPr>
          <w:rFonts w:cstheme="minorHAnsi"/>
          <w:bCs/>
          <w:color w:val="C00000"/>
        </w:rPr>
        <w:lastRenderedPageBreak/>
        <w:t>Table 2</w:t>
      </w:r>
      <w:r w:rsidR="000D0261" w:rsidRPr="00727B05">
        <w:rPr>
          <w:rFonts w:cstheme="minorHAnsi"/>
          <w:bCs/>
          <w:color w:val="C00000"/>
        </w:rPr>
        <w:t>. Signal-to-noise reliability d</w:t>
      </w:r>
      <w:r w:rsidR="00727B05" w:rsidRPr="00727B05">
        <w:rPr>
          <w:rFonts w:cstheme="minorHAnsi"/>
          <w:bCs/>
          <w:color w:val="C00000"/>
        </w:rPr>
        <w:t>istribution for CABG Readmission</w:t>
      </w:r>
    </w:p>
    <w:tbl>
      <w:tblPr>
        <w:tblW w:w="10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633"/>
        <w:gridCol w:w="584"/>
        <w:gridCol w:w="1146"/>
        <w:gridCol w:w="1146"/>
        <w:gridCol w:w="1146"/>
        <w:gridCol w:w="932"/>
        <w:gridCol w:w="1146"/>
        <w:gridCol w:w="1146"/>
        <w:gridCol w:w="1146"/>
        <w:gridCol w:w="638"/>
      </w:tblGrid>
      <w:tr w:rsidR="00363B98" w:rsidRPr="001E1B68" w14:paraId="4EA0A0BC" w14:textId="77777777" w:rsidTr="00C369FD">
        <w:trPr>
          <w:cantSplit/>
          <w:trHeight w:val="87"/>
          <w:tblHeader/>
        </w:trPr>
        <w:tc>
          <w:tcPr>
            <w:tcW w:w="751" w:type="dxa"/>
            <w:shd w:val="clear" w:color="000000" w:fill="F2F2F2"/>
            <w:noWrap/>
            <w:vAlign w:val="center"/>
            <w:hideMark/>
          </w:tcPr>
          <w:p w14:paraId="018AF6A2"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Mean</w:t>
            </w:r>
          </w:p>
        </w:tc>
        <w:tc>
          <w:tcPr>
            <w:tcW w:w="633" w:type="dxa"/>
            <w:shd w:val="clear" w:color="000000" w:fill="F2F2F2"/>
            <w:noWrap/>
            <w:vAlign w:val="center"/>
            <w:hideMark/>
          </w:tcPr>
          <w:p w14:paraId="4B245E19" w14:textId="77777777" w:rsidR="00363B98" w:rsidRPr="001E1B68" w:rsidRDefault="00363B98" w:rsidP="001B38EE">
            <w:pPr>
              <w:jc w:val="center"/>
              <w:rPr>
                <w:rFonts w:eastAsia="Times New Roman" w:cstheme="minorHAnsi"/>
                <w:b/>
                <w:bCs/>
                <w:color w:val="000000"/>
              </w:rPr>
            </w:pPr>
            <w:proofErr w:type="spellStart"/>
            <w:r w:rsidRPr="001E1B68">
              <w:rPr>
                <w:rFonts w:eastAsia="Times New Roman" w:cstheme="minorHAnsi"/>
                <w:b/>
                <w:bCs/>
                <w:color w:val="000000"/>
              </w:rPr>
              <w:t>Std</w:t>
            </w:r>
            <w:proofErr w:type="spellEnd"/>
            <w:r>
              <w:rPr>
                <w:rFonts w:eastAsia="Times New Roman" w:cstheme="minorHAnsi"/>
                <w:b/>
                <w:bCs/>
                <w:color w:val="000000"/>
              </w:rPr>
              <w:t xml:space="preserve"> Dev.</w:t>
            </w:r>
          </w:p>
        </w:tc>
        <w:tc>
          <w:tcPr>
            <w:tcW w:w="584" w:type="dxa"/>
            <w:shd w:val="clear" w:color="000000" w:fill="F2F2F2"/>
            <w:noWrap/>
            <w:vAlign w:val="center"/>
            <w:hideMark/>
          </w:tcPr>
          <w:p w14:paraId="4D3AB63B"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Min</w:t>
            </w:r>
          </w:p>
        </w:tc>
        <w:tc>
          <w:tcPr>
            <w:tcW w:w="1146" w:type="dxa"/>
            <w:shd w:val="clear" w:color="000000" w:fill="F2F2F2"/>
            <w:noWrap/>
            <w:vAlign w:val="center"/>
            <w:hideMark/>
          </w:tcPr>
          <w:p w14:paraId="606DCFDF" w14:textId="77777777" w:rsidR="00363B98" w:rsidRPr="001E1B68" w:rsidRDefault="00363B98" w:rsidP="001B38EE">
            <w:pPr>
              <w:jc w:val="center"/>
              <w:rPr>
                <w:rFonts w:eastAsia="Times New Roman" w:cstheme="minorHAnsi"/>
                <w:b/>
                <w:bCs/>
                <w:color w:val="000000"/>
              </w:rPr>
            </w:pPr>
            <w:r w:rsidRPr="00C80565">
              <w:rPr>
                <w:rFonts w:eastAsia="Times New Roman" w:cstheme="minorHAnsi"/>
                <w:b/>
                <w:bCs/>
                <w:color w:val="000000"/>
              </w:rPr>
              <w:t>5</w:t>
            </w:r>
            <w:r w:rsidRPr="00C80565">
              <w:rPr>
                <w:rFonts w:eastAsia="Times New Roman" w:cstheme="minorHAnsi"/>
                <w:b/>
                <w:bCs/>
                <w:color w:val="000000"/>
                <w:vertAlign w:val="superscript"/>
              </w:rPr>
              <w:t>th</w:t>
            </w:r>
            <w:r w:rsidRPr="00C80565">
              <w:rPr>
                <w:rFonts w:eastAsia="Times New Roman" w:cstheme="minorHAnsi"/>
                <w:b/>
                <w:bCs/>
                <w:color w:val="000000"/>
              </w:rPr>
              <w:t xml:space="preserve"> Percentile</w:t>
            </w:r>
          </w:p>
        </w:tc>
        <w:tc>
          <w:tcPr>
            <w:tcW w:w="1146" w:type="dxa"/>
            <w:shd w:val="clear" w:color="000000" w:fill="F2F2F2"/>
            <w:noWrap/>
            <w:vAlign w:val="center"/>
            <w:hideMark/>
          </w:tcPr>
          <w:p w14:paraId="6FCC8110"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10</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46" w:type="dxa"/>
            <w:shd w:val="clear" w:color="000000" w:fill="F2F2F2"/>
            <w:noWrap/>
            <w:vAlign w:val="center"/>
            <w:hideMark/>
          </w:tcPr>
          <w:p w14:paraId="138047F7"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25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932" w:type="dxa"/>
            <w:shd w:val="clear" w:color="000000" w:fill="F2F2F2"/>
            <w:noWrap/>
            <w:vAlign w:val="center"/>
            <w:hideMark/>
          </w:tcPr>
          <w:p w14:paraId="3B5579AA" w14:textId="77777777" w:rsidR="00363B98" w:rsidRPr="001E1B68" w:rsidRDefault="00363B98" w:rsidP="001B38EE">
            <w:pPr>
              <w:jc w:val="center"/>
              <w:rPr>
                <w:rFonts w:eastAsia="Times New Roman" w:cstheme="minorHAnsi"/>
                <w:b/>
                <w:bCs/>
                <w:color w:val="000000"/>
              </w:rPr>
            </w:pPr>
            <w:r w:rsidRPr="00C80565">
              <w:rPr>
                <w:rFonts w:eastAsia="Times New Roman" w:cstheme="minorHAnsi"/>
                <w:b/>
                <w:bCs/>
                <w:color w:val="000000"/>
              </w:rPr>
              <w:t>Median</w:t>
            </w:r>
          </w:p>
        </w:tc>
        <w:tc>
          <w:tcPr>
            <w:tcW w:w="1146" w:type="dxa"/>
            <w:shd w:val="clear" w:color="000000" w:fill="F2F2F2"/>
            <w:noWrap/>
            <w:vAlign w:val="center"/>
            <w:hideMark/>
          </w:tcPr>
          <w:p w14:paraId="59294BAB"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75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46" w:type="dxa"/>
            <w:shd w:val="clear" w:color="000000" w:fill="F2F2F2"/>
            <w:noWrap/>
            <w:vAlign w:val="center"/>
            <w:hideMark/>
          </w:tcPr>
          <w:p w14:paraId="2048C1F4"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90</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46" w:type="dxa"/>
            <w:shd w:val="clear" w:color="000000" w:fill="F2F2F2"/>
            <w:noWrap/>
            <w:vAlign w:val="center"/>
            <w:hideMark/>
          </w:tcPr>
          <w:p w14:paraId="22457786"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95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638" w:type="dxa"/>
            <w:shd w:val="clear" w:color="000000" w:fill="F2F2F2"/>
            <w:noWrap/>
            <w:vAlign w:val="center"/>
            <w:hideMark/>
          </w:tcPr>
          <w:p w14:paraId="5E0706E6" w14:textId="77777777" w:rsidR="00363B98" w:rsidRPr="001E1B68" w:rsidRDefault="00363B98" w:rsidP="001B38EE">
            <w:pPr>
              <w:jc w:val="center"/>
              <w:rPr>
                <w:rFonts w:eastAsia="Times New Roman" w:cstheme="minorHAnsi"/>
                <w:b/>
                <w:bCs/>
                <w:color w:val="000000"/>
              </w:rPr>
            </w:pPr>
            <w:r w:rsidRPr="001E1B68">
              <w:rPr>
                <w:rFonts w:eastAsia="Times New Roman" w:cstheme="minorHAnsi"/>
                <w:b/>
                <w:bCs/>
                <w:color w:val="000000"/>
              </w:rPr>
              <w:t>Max</w:t>
            </w:r>
          </w:p>
        </w:tc>
      </w:tr>
      <w:tr w:rsidR="00363B98" w:rsidRPr="001E1B68" w14:paraId="7A2FD1B3" w14:textId="77777777" w:rsidTr="00C369FD">
        <w:trPr>
          <w:cantSplit/>
          <w:trHeight w:val="242"/>
          <w:tblHeader/>
        </w:trPr>
        <w:tc>
          <w:tcPr>
            <w:tcW w:w="751" w:type="dxa"/>
            <w:shd w:val="clear" w:color="auto" w:fill="auto"/>
            <w:noWrap/>
            <w:vAlign w:val="bottom"/>
            <w:hideMark/>
          </w:tcPr>
          <w:p w14:paraId="03433DD1" w14:textId="4C55C69E" w:rsidR="00363B98" w:rsidRPr="001E1B68" w:rsidRDefault="00363B98" w:rsidP="00363B98">
            <w:pPr>
              <w:jc w:val="center"/>
              <w:rPr>
                <w:rFonts w:eastAsia="Times New Roman" w:cstheme="minorHAnsi"/>
                <w:color w:val="000000"/>
              </w:rPr>
            </w:pPr>
            <w:r>
              <w:rPr>
                <w:color w:val="000000"/>
                <w:sz w:val="20"/>
                <w:szCs w:val="20"/>
              </w:rPr>
              <w:t>0.58</w:t>
            </w:r>
          </w:p>
        </w:tc>
        <w:tc>
          <w:tcPr>
            <w:tcW w:w="633" w:type="dxa"/>
            <w:shd w:val="clear" w:color="auto" w:fill="auto"/>
            <w:noWrap/>
            <w:vAlign w:val="bottom"/>
            <w:hideMark/>
          </w:tcPr>
          <w:p w14:paraId="45A73585" w14:textId="5E30CABF" w:rsidR="00363B98" w:rsidRPr="001E1B68" w:rsidRDefault="00363B98" w:rsidP="00363B98">
            <w:pPr>
              <w:jc w:val="center"/>
              <w:rPr>
                <w:rFonts w:eastAsia="Times New Roman" w:cstheme="minorHAnsi"/>
                <w:color w:val="000000"/>
              </w:rPr>
            </w:pPr>
            <w:r>
              <w:rPr>
                <w:color w:val="000000"/>
                <w:sz w:val="20"/>
                <w:szCs w:val="20"/>
              </w:rPr>
              <w:t>0.16</w:t>
            </w:r>
          </w:p>
        </w:tc>
        <w:tc>
          <w:tcPr>
            <w:tcW w:w="584" w:type="dxa"/>
            <w:shd w:val="clear" w:color="auto" w:fill="auto"/>
            <w:noWrap/>
            <w:vAlign w:val="bottom"/>
            <w:hideMark/>
          </w:tcPr>
          <w:p w14:paraId="3ABD0ACF" w14:textId="539AEE91" w:rsidR="00363B98" w:rsidRPr="001E1B68" w:rsidRDefault="00363B98" w:rsidP="00363B98">
            <w:pPr>
              <w:jc w:val="center"/>
              <w:rPr>
                <w:rFonts w:eastAsia="Times New Roman" w:cstheme="minorHAnsi"/>
                <w:color w:val="000000"/>
              </w:rPr>
            </w:pPr>
            <w:r>
              <w:rPr>
                <w:color w:val="000000"/>
                <w:sz w:val="20"/>
                <w:szCs w:val="20"/>
              </w:rPr>
              <w:t>0.27</w:t>
            </w:r>
          </w:p>
        </w:tc>
        <w:tc>
          <w:tcPr>
            <w:tcW w:w="1146" w:type="dxa"/>
            <w:shd w:val="clear" w:color="auto" w:fill="auto"/>
            <w:noWrap/>
            <w:vAlign w:val="bottom"/>
            <w:hideMark/>
          </w:tcPr>
          <w:p w14:paraId="0154695D" w14:textId="2FB00AE3" w:rsidR="00363B98" w:rsidRPr="001E1B68" w:rsidRDefault="00363B98" w:rsidP="00363B98">
            <w:pPr>
              <w:jc w:val="center"/>
              <w:rPr>
                <w:rFonts w:eastAsia="Times New Roman" w:cstheme="minorHAnsi"/>
                <w:color w:val="000000"/>
              </w:rPr>
            </w:pPr>
            <w:r>
              <w:rPr>
                <w:color w:val="000000"/>
                <w:sz w:val="20"/>
                <w:szCs w:val="20"/>
              </w:rPr>
              <w:t>0.31</w:t>
            </w:r>
          </w:p>
        </w:tc>
        <w:tc>
          <w:tcPr>
            <w:tcW w:w="1146" w:type="dxa"/>
            <w:shd w:val="clear" w:color="auto" w:fill="auto"/>
            <w:noWrap/>
            <w:vAlign w:val="bottom"/>
            <w:hideMark/>
          </w:tcPr>
          <w:p w14:paraId="1E5AD72D" w14:textId="4CBE9840" w:rsidR="00363B98" w:rsidRPr="001E1B68" w:rsidRDefault="00363B98" w:rsidP="00363B98">
            <w:pPr>
              <w:jc w:val="center"/>
              <w:rPr>
                <w:rFonts w:eastAsia="Times New Roman" w:cstheme="minorHAnsi"/>
                <w:color w:val="000000"/>
              </w:rPr>
            </w:pPr>
            <w:r>
              <w:rPr>
                <w:color w:val="000000"/>
                <w:sz w:val="20"/>
                <w:szCs w:val="20"/>
              </w:rPr>
              <w:t>0.35</w:t>
            </w:r>
          </w:p>
        </w:tc>
        <w:tc>
          <w:tcPr>
            <w:tcW w:w="1146" w:type="dxa"/>
            <w:shd w:val="clear" w:color="auto" w:fill="auto"/>
            <w:noWrap/>
            <w:vAlign w:val="bottom"/>
            <w:hideMark/>
          </w:tcPr>
          <w:p w14:paraId="1DFD8A48" w14:textId="2986CA40" w:rsidR="00363B98" w:rsidRPr="001E1B68" w:rsidRDefault="00363B98" w:rsidP="00363B98">
            <w:pPr>
              <w:jc w:val="center"/>
              <w:rPr>
                <w:rFonts w:eastAsia="Times New Roman" w:cstheme="minorHAnsi"/>
                <w:color w:val="000000"/>
              </w:rPr>
            </w:pPr>
            <w:r>
              <w:rPr>
                <w:color w:val="000000"/>
                <w:sz w:val="20"/>
                <w:szCs w:val="20"/>
              </w:rPr>
              <w:t>0.45</w:t>
            </w:r>
          </w:p>
        </w:tc>
        <w:tc>
          <w:tcPr>
            <w:tcW w:w="932" w:type="dxa"/>
            <w:shd w:val="clear" w:color="auto" w:fill="auto"/>
            <w:noWrap/>
            <w:vAlign w:val="bottom"/>
            <w:hideMark/>
          </w:tcPr>
          <w:p w14:paraId="22AE9C3A" w14:textId="17A11150" w:rsidR="00363B98" w:rsidRPr="001E1B68" w:rsidRDefault="00363B98" w:rsidP="00363B98">
            <w:pPr>
              <w:jc w:val="center"/>
              <w:rPr>
                <w:rFonts w:eastAsia="Times New Roman" w:cstheme="minorHAnsi"/>
                <w:color w:val="000000"/>
              </w:rPr>
            </w:pPr>
            <w:r>
              <w:rPr>
                <w:color w:val="000000"/>
                <w:sz w:val="20"/>
                <w:szCs w:val="20"/>
              </w:rPr>
              <w:t>0.60</w:t>
            </w:r>
          </w:p>
        </w:tc>
        <w:tc>
          <w:tcPr>
            <w:tcW w:w="1146" w:type="dxa"/>
            <w:shd w:val="clear" w:color="auto" w:fill="auto"/>
            <w:noWrap/>
            <w:vAlign w:val="bottom"/>
            <w:hideMark/>
          </w:tcPr>
          <w:p w14:paraId="1FAC1169" w14:textId="42009708" w:rsidR="00363B98" w:rsidRPr="001E1B68" w:rsidRDefault="00363B98" w:rsidP="00363B98">
            <w:pPr>
              <w:jc w:val="center"/>
              <w:rPr>
                <w:rFonts w:eastAsia="Times New Roman" w:cstheme="minorHAnsi"/>
                <w:color w:val="000000"/>
              </w:rPr>
            </w:pPr>
            <w:r>
              <w:rPr>
                <w:color w:val="000000"/>
                <w:sz w:val="20"/>
                <w:szCs w:val="20"/>
              </w:rPr>
              <w:t>0.71</w:t>
            </w:r>
          </w:p>
        </w:tc>
        <w:tc>
          <w:tcPr>
            <w:tcW w:w="1146" w:type="dxa"/>
            <w:shd w:val="clear" w:color="auto" w:fill="auto"/>
            <w:noWrap/>
            <w:vAlign w:val="bottom"/>
            <w:hideMark/>
          </w:tcPr>
          <w:p w14:paraId="2724AB0C" w14:textId="6EDDE8FD" w:rsidR="00363B98" w:rsidRPr="001E1B68" w:rsidRDefault="00363B98" w:rsidP="00363B98">
            <w:pPr>
              <w:jc w:val="center"/>
              <w:rPr>
                <w:rFonts w:eastAsia="Times New Roman" w:cstheme="minorHAnsi"/>
                <w:color w:val="000000"/>
              </w:rPr>
            </w:pPr>
            <w:r>
              <w:rPr>
                <w:color w:val="000000"/>
                <w:sz w:val="20"/>
                <w:szCs w:val="20"/>
              </w:rPr>
              <w:t>0.79</w:t>
            </w:r>
          </w:p>
        </w:tc>
        <w:tc>
          <w:tcPr>
            <w:tcW w:w="1146" w:type="dxa"/>
            <w:shd w:val="clear" w:color="auto" w:fill="auto"/>
            <w:noWrap/>
            <w:vAlign w:val="bottom"/>
            <w:hideMark/>
          </w:tcPr>
          <w:p w14:paraId="44C2A88A" w14:textId="0242A622" w:rsidR="00363B98" w:rsidRPr="001E1B68" w:rsidRDefault="00363B98" w:rsidP="00363B98">
            <w:pPr>
              <w:jc w:val="center"/>
              <w:rPr>
                <w:rFonts w:eastAsia="Times New Roman" w:cstheme="minorHAnsi"/>
                <w:color w:val="000000"/>
              </w:rPr>
            </w:pPr>
            <w:r>
              <w:rPr>
                <w:color w:val="000000"/>
                <w:sz w:val="20"/>
                <w:szCs w:val="20"/>
              </w:rPr>
              <w:t>0.83</w:t>
            </w:r>
          </w:p>
        </w:tc>
        <w:tc>
          <w:tcPr>
            <w:tcW w:w="638" w:type="dxa"/>
            <w:shd w:val="clear" w:color="auto" w:fill="auto"/>
            <w:noWrap/>
            <w:vAlign w:val="bottom"/>
            <w:hideMark/>
          </w:tcPr>
          <w:p w14:paraId="7AC888AA" w14:textId="699F0C13" w:rsidR="00363B98" w:rsidRPr="001E1B68" w:rsidRDefault="00363B98" w:rsidP="00363B98">
            <w:pPr>
              <w:jc w:val="center"/>
              <w:rPr>
                <w:rFonts w:eastAsia="Times New Roman" w:cstheme="minorHAnsi"/>
                <w:color w:val="000000"/>
              </w:rPr>
            </w:pPr>
            <w:r>
              <w:rPr>
                <w:color w:val="000000"/>
                <w:sz w:val="20"/>
                <w:szCs w:val="20"/>
              </w:rPr>
              <w:t>0.92</w:t>
            </w:r>
          </w:p>
        </w:tc>
      </w:tr>
    </w:tbl>
    <w:p w14:paraId="28B3C132" w14:textId="2FB256EA" w:rsidR="00727B05" w:rsidRDefault="00727B05" w:rsidP="00DB3627">
      <w:pPr>
        <w:autoSpaceDE w:val="0"/>
        <w:autoSpaceDN w:val="0"/>
        <w:adjustRightInd w:val="0"/>
        <w:spacing w:after="0" w:line="240" w:lineRule="auto"/>
        <w:rPr>
          <w:rFonts w:cstheme="minorHAnsi"/>
          <w:bCs/>
          <w:color w:val="C00000"/>
        </w:rPr>
      </w:pPr>
      <w:r w:rsidRPr="00727B05">
        <w:rPr>
          <w:rFonts w:cstheme="minorHAnsi"/>
          <w:bCs/>
          <w:color w:val="C00000"/>
        </w:rPr>
        <w:t xml:space="preserve">*Hospital measure scores are calculated for all hospitals (including those that have fewer than 25 admissions) but only </w:t>
      </w:r>
      <w:r w:rsidR="00BF0127">
        <w:rPr>
          <w:rFonts w:cstheme="minorHAnsi"/>
          <w:bCs/>
          <w:color w:val="C00000"/>
        </w:rPr>
        <w:t xml:space="preserve">publicly </w:t>
      </w:r>
      <w:r w:rsidRPr="00727B05">
        <w:rPr>
          <w:rFonts w:cstheme="minorHAnsi"/>
          <w:bCs/>
          <w:color w:val="C00000"/>
        </w:rPr>
        <w:t>reported for those that have at least 25 admissions to ensure hospital results are reliable</w:t>
      </w:r>
      <w:r w:rsidR="00BF0127">
        <w:rPr>
          <w:rFonts w:cstheme="minorHAnsi"/>
          <w:bCs/>
          <w:color w:val="C00000"/>
        </w:rPr>
        <w:t>.</w:t>
      </w:r>
    </w:p>
    <w:p w14:paraId="67BD0973" w14:textId="2A1564EB" w:rsidR="00E6062F" w:rsidRDefault="00E6062F" w:rsidP="00DB3627">
      <w:pPr>
        <w:autoSpaceDE w:val="0"/>
        <w:autoSpaceDN w:val="0"/>
        <w:adjustRightInd w:val="0"/>
        <w:spacing w:after="0" w:line="240" w:lineRule="auto"/>
        <w:rPr>
          <w:rFonts w:cstheme="minorHAnsi"/>
          <w:bCs/>
          <w:color w:val="C00000"/>
        </w:rPr>
      </w:pPr>
    </w:p>
    <w:p w14:paraId="587BC664" w14:textId="77777777" w:rsidR="00E6062F" w:rsidRPr="00727B05" w:rsidRDefault="00E6062F" w:rsidP="00E6062F">
      <w:pPr>
        <w:autoSpaceDE w:val="0"/>
        <w:autoSpaceDN w:val="0"/>
        <w:adjustRightInd w:val="0"/>
        <w:spacing w:after="0" w:line="240" w:lineRule="auto"/>
        <w:rPr>
          <w:rFonts w:cstheme="minorHAnsi"/>
          <w:bCs/>
          <w:color w:val="C00000"/>
          <w:u w:val="single"/>
        </w:rPr>
      </w:pPr>
      <w:r w:rsidRPr="00727B05">
        <w:rPr>
          <w:rFonts w:cstheme="minorHAnsi"/>
          <w:bCs/>
          <w:color w:val="C00000"/>
          <w:u w:val="single"/>
        </w:rPr>
        <w:t>Split-Sample Reliability</w:t>
      </w:r>
    </w:p>
    <w:p w14:paraId="1F76DDCC" w14:textId="77777777" w:rsidR="00E6062F" w:rsidRPr="00727B05" w:rsidRDefault="00E6062F" w:rsidP="00E6062F">
      <w:pPr>
        <w:autoSpaceDE w:val="0"/>
        <w:autoSpaceDN w:val="0"/>
        <w:adjustRightInd w:val="0"/>
        <w:spacing w:after="0" w:line="240" w:lineRule="auto"/>
        <w:rPr>
          <w:rFonts w:cstheme="minorHAnsi"/>
          <w:bCs/>
          <w:color w:val="C00000"/>
        </w:rPr>
      </w:pPr>
    </w:p>
    <w:p w14:paraId="2E278B11" w14:textId="457CD2A3" w:rsidR="00E6062F" w:rsidRPr="00727B05" w:rsidRDefault="00E6062F" w:rsidP="00E6062F">
      <w:pPr>
        <w:autoSpaceDE w:val="0"/>
        <w:autoSpaceDN w:val="0"/>
        <w:adjustRightInd w:val="0"/>
        <w:spacing w:after="0" w:line="240" w:lineRule="auto"/>
        <w:rPr>
          <w:rFonts w:cstheme="minorHAnsi"/>
          <w:bCs/>
          <w:color w:val="C00000"/>
        </w:rPr>
      </w:pPr>
      <w:r w:rsidRPr="00727B05">
        <w:rPr>
          <w:rFonts w:cstheme="minorHAnsi"/>
          <w:bCs/>
          <w:color w:val="C00000"/>
        </w:rPr>
        <w:t xml:space="preserve">In total, 131,592 admissions were included in the analysis, using </w:t>
      </w:r>
      <w:r w:rsidR="00E14079">
        <w:rPr>
          <w:rFonts w:cstheme="minorHAnsi"/>
          <w:bCs/>
          <w:color w:val="C00000"/>
        </w:rPr>
        <w:t>three</w:t>
      </w:r>
      <w:r w:rsidRPr="00727B05">
        <w:rPr>
          <w:rFonts w:cstheme="minorHAnsi"/>
          <w:bCs/>
          <w:color w:val="C00000"/>
        </w:rPr>
        <w:t xml:space="preserve"> years of data. After randomly splitting the sample into two halves, there were 65,497 admissions from 1,134 hospitals in one half and 66,095 admissions from 1,160 hospitals in the other half. As a metric of agreement, we calculated the ICC for hospitals with 25 admissions or more. Using the Spearman-Brown prediction formula, the agreement between the two independent assessments of the RSRR for each hospital was 0.436.</w:t>
      </w:r>
    </w:p>
    <w:p w14:paraId="1D129C37" w14:textId="77777777" w:rsidR="00727B05" w:rsidRDefault="00727B05" w:rsidP="00DB3627">
      <w:pPr>
        <w:autoSpaceDE w:val="0"/>
        <w:autoSpaceDN w:val="0"/>
        <w:adjustRightInd w:val="0"/>
        <w:spacing w:after="0" w:line="240" w:lineRule="auto"/>
        <w:rPr>
          <w:rFonts w:cstheme="minorHAnsi"/>
          <w:b/>
          <w:bCs/>
        </w:rPr>
      </w:pPr>
    </w:p>
    <w:p w14:paraId="0CABCFD4" w14:textId="2D40B0CB"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923D284" w14:textId="6B5180B9" w:rsidR="00727B05" w:rsidRPr="00E6062F" w:rsidRDefault="00727B05" w:rsidP="00727B05">
      <w:pPr>
        <w:autoSpaceDE w:val="0"/>
        <w:autoSpaceDN w:val="0"/>
        <w:adjustRightInd w:val="0"/>
        <w:spacing w:after="0" w:line="240" w:lineRule="auto"/>
        <w:rPr>
          <w:rFonts w:cstheme="minorHAnsi"/>
          <w:bCs/>
          <w:color w:val="C00000"/>
          <w:u w:val="single"/>
        </w:rPr>
      </w:pPr>
      <w:bookmarkStart w:id="21" w:name="_Hlk33452550"/>
      <w:r w:rsidRPr="00727B05">
        <w:rPr>
          <w:rFonts w:cstheme="minorHAnsi"/>
          <w:bCs/>
          <w:color w:val="C00000"/>
          <w:u w:val="single"/>
        </w:rPr>
        <w:t>Me</w:t>
      </w:r>
      <w:r w:rsidR="00E6062F">
        <w:rPr>
          <w:rFonts w:cstheme="minorHAnsi"/>
          <w:bCs/>
          <w:color w:val="C00000"/>
          <w:u w:val="single"/>
        </w:rPr>
        <w:t>asure Score Reliability Results</w:t>
      </w:r>
    </w:p>
    <w:p w14:paraId="1AB0F70D" w14:textId="7F825125" w:rsidR="00727B05" w:rsidRPr="00727B05" w:rsidRDefault="00727B05" w:rsidP="00B324DA">
      <w:pPr>
        <w:autoSpaceDE w:val="0"/>
        <w:autoSpaceDN w:val="0"/>
        <w:adjustRightInd w:val="0"/>
        <w:spacing w:before="120" w:after="0" w:line="240" w:lineRule="auto"/>
        <w:rPr>
          <w:rFonts w:cstheme="minorHAnsi"/>
          <w:bCs/>
          <w:color w:val="C00000"/>
        </w:rPr>
      </w:pPr>
      <w:r w:rsidRPr="00727B05">
        <w:rPr>
          <w:rFonts w:cstheme="minorHAnsi"/>
          <w:bCs/>
          <w:color w:val="C00000"/>
        </w:rPr>
        <w:t>Using the approach used by Adams et. al.</w:t>
      </w:r>
      <w:r w:rsidR="00B66B6B">
        <w:rPr>
          <w:rFonts w:cstheme="minorHAnsi"/>
          <w:bCs/>
          <w:color w:val="C00000"/>
        </w:rPr>
        <w:t xml:space="preserve"> and Yu et al.</w:t>
      </w:r>
      <w:r w:rsidRPr="00727B05">
        <w:rPr>
          <w:rFonts w:cstheme="minorHAnsi"/>
          <w:bCs/>
          <w:color w:val="C00000"/>
        </w:rPr>
        <w:t xml:space="preserve">, we obtained the median signal-to-noise reliability score of 0.60, which demonstrates substantial </w:t>
      </w:r>
      <w:r w:rsidR="00F40F7C">
        <w:rPr>
          <w:rFonts w:cstheme="minorHAnsi"/>
          <w:bCs/>
          <w:color w:val="C00000"/>
        </w:rPr>
        <w:t>agreement</w:t>
      </w:r>
      <w:r w:rsidRPr="00727B05">
        <w:rPr>
          <w:rFonts w:cstheme="minorHAnsi"/>
          <w:bCs/>
          <w:color w:val="C00000"/>
        </w:rPr>
        <w:t xml:space="preserve">. </w:t>
      </w:r>
    </w:p>
    <w:p w14:paraId="1202677F" w14:textId="77777777" w:rsidR="00727B05" w:rsidRPr="00727B05" w:rsidRDefault="00727B05" w:rsidP="00B324DA">
      <w:pPr>
        <w:autoSpaceDE w:val="0"/>
        <w:autoSpaceDN w:val="0"/>
        <w:adjustRightInd w:val="0"/>
        <w:spacing w:before="120" w:after="0" w:line="240" w:lineRule="auto"/>
        <w:rPr>
          <w:rFonts w:cstheme="minorHAnsi"/>
          <w:bCs/>
          <w:color w:val="C00000"/>
        </w:rPr>
      </w:pPr>
      <w:r w:rsidRPr="00727B05">
        <w:rPr>
          <w:rFonts w:cstheme="minorHAnsi"/>
          <w:bCs/>
          <w:color w:val="C00000"/>
        </w:rPr>
        <w:t>Our interpretation of the results is based on the standards established by Landis and Koch (1977):</w:t>
      </w:r>
    </w:p>
    <w:p w14:paraId="01492857" w14:textId="77777777"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&lt; 0 – Less than chance agreement;</w:t>
      </w:r>
    </w:p>
    <w:p w14:paraId="6E9D43BB" w14:textId="77777777"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0 – 0.2 Slight agreement;</w:t>
      </w:r>
    </w:p>
    <w:p w14:paraId="223C4AA2" w14:textId="77777777"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0.21 – 0.39 Fair agreement;</w:t>
      </w:r>
    </w:p>
    <w:p w14:paraId="7E07E4DE" w14:textId="77777777"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0.4 – 0.59 Moderate agreement;</w:t>
      </w:r>
    </w:p>
    <w:p w14:paraId="0FE40573" w14:textId="77777777"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 xml:space="preserve">0.6 – 0.79 Substantial agreement; </w:t>
      </w:r>
    </w:p>
    <w:p w14:paraId="39B1B65D" w14:textId="77777777"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0.8 – 0.99 Almost Perfect agreement; and</w:t>
      </w:r>
    </w:p>
    <w:p w14:paraId="71ADE05A" w14:textId="68779108" w:rsidR="00727B05" w:rsidRPr="00727B05" w:rsidRDefault="00727B05" w:rsidP="00727B05">
      <w:pPr>
        <w:autoSpaceDE w:val="0"/>
        <w:autoSpaceDN w:val="0"/>
        <w:adjustRightInd w:val="0"/>
        <w:spacing w:after="0" w:line="240" w:lineRule="auto"/>
        <w:rPr>
          <w:rFonts w:cstheme="minorHAnsi"/>
          <w:bCs/>
          <w:color w:val="C00000"/>
        </w:rPr>
      </w:pPr>
      <w:r w:rsidRPr="00727B05">
        <w:rPr>
          <w:rFonts w:cstheme="minorHAnsi"/>
          <w:bCs/>
          <w:color w:val="C00000"/>
        </w:rPr>
        <w:t>1 Perfect agreement</w:t>
      </w:r>
      <w:r w:rsidRPr="00727B05" w:rsidDel="00A913F5">
        <w:rPr>
          <w:rFonts w:cstheme="minorHAnsi"/>
          <w:bCs/>
          <w:color w:val="C00000"/>
        </w:rPr>
        <w:t xml:space="preserve"> </w:t>
      </w:r>
    </w:p>
    <w:p w14:paraId="59E3EA25" w14:textId="29B9044C" w:rsidR="00E6062F" w:rsidRPr="00727B05" w:rsidRDefault="00E6062F" w:rsidP="00E6062F">
      <w:pPr>
        <w:autoSpaceDE w:val="0"/>
        <w:autoSpaceDN w:val="0"/>
        <w:adjustRightInd w:val="0"/>
        <w:spacing w:before="120" w:after="0" w:line="240" w:lineRule="auto"/>
        <w:rPr>
          <w:rFonts w:cstheme="minorHAnsi"/>
          <w:bCs/>
          <w:color w:val="C00000"/>
        </w:rPr>
      </w:pPr>
      <w:r w:rsidRPr="00727B05">
        <w:rPr>
          <w:rFonts w:cstheme="minorHAnsi"/>
          <w:bCs/>
          <w:color w:val="C00000"/>
        </w:rPr>
        <w:t xml:space="preserve">The split-sample reliability score of 0.436, discussed in the previous section, represents the lower bound of estimate of the true measure reliability. </w:t>
      </w:r>
    </w:p>
    <w:p w14:paraId="5AB100F1" w14:textId="0643DA43" w:rsidR="00727B05" w:rsidRDefault="00727B05" w:rsidP="00E6062F">
      <w:pPr>
        <w:autoSpaceDE w:val="0"/>
        <w:autoSpaceDN w:val="0"/>
        <w:adjustRightInd w:val="0"/>
        <w:spacing w:before="120" w:after="120" w:line="240" w:lineRule="auto"/>
        <w:rPr>
          <w:rFonts w:cstheme="minorHAnsi"/>
          <w:bCs/>
          <w:color w:val="C00000"/>
        </w:rPr>
      </w:pPr>
      <w:r w:rsidRPr="006A0885">
        <w:rPr>
          <w:rFonts w:cstheme="minorHAnsi"/>
          <w:bCs/>
          <w:color w:val="C00000"/>
        </w:rPr>
        <w:t>In the absence of empirically supported standards, our position is that ‘acceptability’ depends on context. For simple concepts or constructs, such as a patient’s weight, the expectation is that the test-retest reliability of a measure of that construct should be quite high. However, for complex constructs, such as clinical severity, patient comorbidity, or symptom profiles used to identify a condition or clinical state, reliability of measures used to define these constructs is quite a bit lower.</w:t>
      </w:r>
    </w:p>
    <w:p w14:paraId="51387070" w14:textId="77777777" w:rsidR="00E6062F" w:rsidRDefault="00E6062F" w:rsidP="00E6062F">
      <w:pPr>
        <w:autoSpaceDE w:val="0"/>
        <w:autoSpaceDN w:val="0"/>
        <w:adjustRightInd w:val="0"/>
        <w:spacing w:after="0" w:line="240" w:lineRule="auto"/>
        <w:rPr>
          <w:rFonts w:cstheme="minorHAnsi"/>
          <w:bCs/>
          <w:color w:val="C00000"/>
        </w:rPr>
      </w:pPr>
      <w:r w:rsidRPr="00727B05">
        <w:rPr>
          <w:rFonts w:cstheme="minorHAnsi"/>
          <w:bCs/>
          <w:color w:val="C00000"/>
        </w:rPr>
        <w:t>Taken together, these results indicate that there is moderate reliability in the measure score.</w:t>
      </w:r>
    </w:p>
    <w:p w14:paraId="26D85757" w14:textId="6876A606" w:rsidR="00727B05" w:rsidRPr="00BD2818" w:rsidRDefault="00BD2818" w:rsidP="00E6062F">
      <w:pPr>
        <w:autoSpaceDE w:val="0"/>
        <w:autoSpaceDN w:val="0"/>
        <w:adjustRightInd w:val="0"/>
        <w:spacing w:before="120" w:after="0" w:line="240" w:lineRule="auto"/>
        <w:rPr>
          <w:rFonts w:cstheme="minorHAnsi"/>
          <w:bCs/>
          <w:color w:val="C00000"/>
          <w:u w:val="single"/>
        </w:rPr>
      </w:pPr>
      <w:r>
        <w:rPr>
          <w:rFonts w:cstheme="minorHAnsi"/>
          <w:bCs/>
          <w:color w:val="C00000"/>
          <w:u w:val="single"/>
        </w:rPr>
        <w:t>References</w:t>
      </w:r>
      <w:r w:rsidRPr="00E6062F">
        <w:rPr>
          <w:rFonts w:cstheme="minorHAnsi"/>
          <w:bCs/>
          <w:color w:val="C00000"/>
        </w:rPr>
        <w:t>:</w:t>
      </w:r>
    </w:p>
    <w:p w14:paraId="16D4976C" w14:textId="00DD9D2C" w:rsidR="00727B05" w:rsidRDefault="00727B05" w:rsidP="00B324DA">
      <w:pPr>
        <w:autoSpaceDE w:val="0"/>
        <w:autoSpaceDN w:val="0"/>
        <w:adjustRightInd w:val="0"/>
        <w:spacing w:before="120" w:after="0" w:line="240" w:lineRule="auto"/>
        <w:rPr>
          <w:rFonts w:cstheme="minorHAnsi"/>
          <w:bCs/>
          <w:color w:val="C00000"/>
        </w:rPr>
      </w:pPr>
      <w:r w:rsidRPr="00727B05">
        <w:rPr>
          <w:rFonts w:cstheme="minorHAnsi"/>
          <w:bCs/>
          <w:color w:val="C00000"/>
        </w:rPr>
        <w:t xml:space="preserve">Adams J, </w:t>
      </w:r>
      <w:proofErr w:type="spellStart"/>
      <w:r w:rsidRPr="00727B05">
        <w:rPr>
          <w:rFonts w:cstheme="minorHAnsi"/>
          <w:bCs/>
          <w:color w:val="C00000"/>
        </w:rPr>
        <w:t>Mehrota</w:t>
      </w:r>
      <w:proofErr w:type="spellEnd"/>
      <w:r w:rsidRPr="00727B05">
        <w:rPr>
          <w:rFonts w:cstheme="minorHAnsi"/>
          <w:bCs/>
          <w:color w:val="C00000"/>
        </w:rPr>
        <w:t xml:space="preserve">, A, </w:t>
      </w:r>
      <w:proofErr w:type="spellStart"/>
      <w:r w:rsidRPr="00727B05">
        <w:rPr>
          <w:rFonts w:cstheme="minorHAnsi"/>
          <w:bCs/>
          <w:color w:val="C00000"/>
        </w:rPr>
        <w:t>Thoman</w:t>
      </w:r>
      <w:proofErr w:type="spellEnd"/>
      <w:r w:rsidRPr="00727B05">
        <w:rPr>
          <w:rFonts w:cstheme="minorHAnsi"/>
          <w:bCs/>
          <w:color w:val="C00000"/>
        </w:rPr>
        <w:t xml:space="preserve"> J, McGlynn, E. (2010). Physician cost profiling – reliability and risk of misclassification. NEJM, 362(11): 1014-1021.</w:t>
      </w:r>
    </w:p>
    <w:p w14:paraId="50E35F66" w14:textId="60881BDC" w:rsidR="00E14079" w:rsidRPr="00727B05" w:rsidRDefault="00E14079" w:rsidP="00B324DA">
      <w:pPr>
        <w:autoSpaceDE w:val="0"/>
        <w:autoSpaceDN w:val="0"/>
        <w:adjustRightInd w:val="0"/>
        <w:spacing w:before="120" w:after="0" w:line="240" w:lineRule="auto"/>
        <w:rPr>
          <w:rFonts w:cstheme="minorHAnsi"/>
          <w:bCs/>
          <w:color w:val="C00000"/>
        </w:rPr>
      </w:pPr>
      <w:r w:rsidRPr="00727B05">
        <w:rPr>
          <w:rFonts w:cstheme="minorHAnsi"/>
          <w:bCs/>
          <w:color w:val="C00000"/>
        </w:rPr>
        <w:lastRenderedPageBreak/>
        <w:t>Landis J, Koch G. The measurement of observer agreement for categorical data, Biometrics 1977;33:159-174.</w:t>
      </w:r>
    </w:p>
    <w:p w14:paraId="25CB32F7" w14:textId="63347DA6" w:rsidR="00727B05" w:rsidRPr="00BD2818" w:rsidRDefault="00727B05" w:rsidP="00BD2818">
      <w:pPr>
        <w:autoSpaceDE w:val="0"/>
        <w:autoSpaceDN w:val="0"/>
        <w:adjustRightInd w:val="0"/>
        <w:spacing w:before="120" w:after="0" w:line="240" w:lineRule="auto"/>
        <w:rPr>
          <w:rFonts w:cstheme="minorHAnsi"/>
          <w:bCs/>
          <w:color w:val="C00000"/>
        </w:rPr>
      </w:pPr>
      <w:r w:rsidRPr="00727B05">
        <w:rPr>
          <w:rFonts w:cstheme="minorHAnsi"/>
          <w:bCs/>
          <w:color w:val="C00000"/>
        </w:rPr>
        <w:t xml:space="preserve">Yu, H, </w:t>
      </w:r>
      <w:proofErr w:type="spellStart"/>
      <w:r w:rsidRPr="00727B05">
        <w:rPr>
          <w:rFonts w:cstheme="minorHAnsi"/>
          <w:bCs/>
          <w:color w:val="C00000"/>
        </w:rPr>
        <w:t>Mehrota</w:t>
      </w:r>
      <w:proofErr w:type="spellEnd"/>
      <w:r w:rsidRPr="00727B05">
        <w:rPr>
          <w:rFonts w:cstheme="minorHAnsi"/>
          <w:bCs/>
          <w:color w:val="C00000"/>
        </w:rPr>
        <w:t>, A, Adams J. (2013). Reliability of utilization measures for primary care physician profiling. Healthcare, 1, 22-29.</w:t>
      </w:r>
      <w:bookmarkEnd w:id="21"/>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DC9DCF2" w:rsidR="00696262" w:rsidRPr="00A25024" w:rsidRDefault="00F6040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330FC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1FC76AE" w:rsidR="000574AB" w:rsidRDefault="00F6040A"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330FC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330FC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B324DA">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w:t>
      </w:r>
      <w:r w:rsidR="00B324DA">
        <w:rPr>
          <w:rFonts w:eastAsia="MS Gothic" w:cstheme="minorHAnsi"/>
          <w:bCs/>
        </w:rPr>
        <w:t xml:space="preserve"> </w:t>
      </w:r>
      <w:r w:rsidR="00275563">
        <w:rPr>
          <w:rFonts w:eastAsia="MS Gothic" w:cstheme="minorHAnsi"/>
          <w:bCs/>
        </w:rPr>
        <w:t>Empirical validity testing is expected at time of maintenance review; if not possible, justification is required.</w:t>
      </w:r>
    </w:p>
    <w:p w14:paraId="23B7B642" w14:textId="1E346BEC" w:rsidR="00A914F3" w:rsidRDefault="00A914F3" w:rsidP="00696262">
      <w:pPr>
        <w:autoSpaceDE w:val="0"/>
        <w:autoSpaceDN w:val="0"/>
        <w:adjustRightInd w:val="0"/>
        <w:spacing w:after="0" w:line="240" w:lineRule="auto"/>
        <w:ind w:left="255"/>
        <w:rPr>
          <w:rFonts w:cstheme="minorHAnsi"/>
          <w:bCs/>
        </w:rPr>
      </w:pPr>
    </w:p>
    <w:p w14:paraId="1A3D3BEC" w14:textId="77777777" w:rsidR="00A914F3" w:rsidRDefault="00A914F3" w:rsidP="00BD2818">
      <w:pPr>
        <w:autoSpaceDE w:val="0"/>
        <w:autoSpaceDN w:val="0"/>
        <w:adjustRightInd w:val="0"/>
        <w:spacing w:after="0" w:line="240" w:lineRule="auto"/>
        <w:rPr>
          <w:rFonts w:cstheme="minorHAnsi"/>
          <w:bCs/>
          <w:u w:val="single"/>
        </w:rPr>
      </w:pPr>
      <w:r w:rsidRPr="00A914F3">
        <w:rPr>
          <w:rFonts w:cstheme="minorHAnsi"/>
          <w:b/>
          <w:bCs/>
        </w:rPr>
        <w:t>2b1.2. For each level of testing checked above, describe the method of validity testing and what it tests</w:t>
      </w:r>
      <w:r w:rsidRPr="00A914F3">
        <w:rPr>
          <w:rFonts w:cstheme="minorHAnsi"/>
          <w:bCs/>
        </w:rPr>
        <w:t xml:space="preserve"> (</w:t>
      </w:r>
      <w:r w:rsidRPr="00A914F3">
        <w:rPr>
          <w:rFonts w:cstheme="minorHAnsi"/>
          <w:bCs/>
          <w:i/>
        </w:rPr>
        <w:t>describe the steps―do not just name a method; what was tested, e.g., accuracy of data elements compared to authoritative source, relationship to another measure as expected; what statistical analysis was used)</w:t>
      </w:r>
      <w:r w:rsidRPr="00A914F3">
        <w:rPr>
          <w:rFonts w:cstheme="minorHAnsi"/>
          <w:bCs/>
        </w:rPr>
        <w:br/>
      </w:r>
    </w:p>
    <w:p w14:paraId="00C73872" w14:textId="65521D5C" w:rsidR="00A914F3" w:rsidRPr="00A914F3" w:rsidRDefault="00A914F3" w:rsidP="00BD2818">
      <w:pPr>
        <w:autoSpaceDE w:val="0"/>
        <w:autoSpaceDN w:val="0"/>
        <w:adjustRightInd w:val="0"/>
        <w:spacing w:after="0" w:line="240" w:lineRule="auto"/>
        <w:rPr>
          <w:rFonts w:cstheme="minorHAnsi"/>
          <w:bCs/>
          <w:color w:val="C00000"/>
          <w:u w:val="single"/>
        </w:rPr>
      </w:pPr>
      <w:r w:rsidRPr="00A914F3">
        <w:rPr>
          <w:rFonts w:cstheme="minorHAnsi"/>
          <w:bCs/>
          <w:color w:val="C00000"/>
          <w:u w:val="single"/>
        </w:rPr>
        <w:t>Empirical Validity</w:t>
      </w:r>
    </w:p>
    <w:p w14:paraId="760337A0" w14:textId="77777777" w:rsidR="00A914F3" w:rsidRPr="00A914F3" w:rsidRDefault="00A914F3" w:rsidP="00BD2818">
      <w:pPr>
        <w:autoSpaceDE w:val="0"/>
        <w:autoSpaceDN w:val="0"/>
        <w:adjustRightInd w:val="0"/>
        <w:spacing w:after="0" w:line="240" w:lineRule="auto"/>
        <w:rPr>
          <w:rFonts w:cstheme="minorHAnsi"/>
          <w:bCs/>
          <w:color w:val="C00000"/>
        </w:rPr>
      </w:pPr>
    </w:p>
    <w:p w14:paraId="75CD2F46" w14:textId="51080D84" w:rsidR="00A914F3" w:rsidRPr="00A914F3" w:rsidRDefault="00A914F3" w:rsidP="00BD2818">
      <w:pPr>
        <w:autoSpaceDE w:val="0"/>
        <w:autoSpaceDN w:val="0"/>
        <w:adjustRightInd w:val="0"/>
        <w:spacing w:after="0" w:line="240" w:lineRule="auto"/>
        <w:rPr>
          <w:rFonts w:cstheme="minorHAnsi"/>
          <w:bCs/>
          <w:color w:val="C00000"/>
        </w:rPr>
      </w:pPr>
      <w:r w:rsidRPr="00A914F3">
        <w:rPr>
          <w:rFonts w:cstheme="minorHAnsi"/>
          <w:bCs/>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sidR="0033493C">
        <w:rPr>
          <w:rFonts w:cstheme="minorHAnsi"/>
          <w:bCs/>
          <w:color w:val="C00000"/>
        </w:rPr>
        <w:t>CABG</w:t>
      </w:r>
      <w:r w:rsidRPr="00A914F3">
        <w:rPr>
          <w:rFonts w:cstheme="minorHAnsi"/>
          <w:bCs/>
          <w:color w:val="C00000"/>
        </w:rPr>
        <w:t xml:space="preserve"> readmission measure, we identified and assessed the measure’s correlation with other measures that target the same domain of quality (e.g. complications, safety, or post-procedure utilization) for the same or similar populations. The goal was to identify if better performance in this measure was related to better performance on other relevant structural or outcomes measures. After literature review and consultations with measures experts in the field, there were very few measures identified that assess the same domains of quality. Given that challenge, we selected the following to use for validity testing.</w:t>
      </w:r>
      <w:r w:rsidR="00B324DA">
        <w:rPr>
          <w:rFonts w:cstheme="minorHAnsi"/>
          <w:bCs/>
          <w:color w:val="C00000"/>
        </w:rPr>
        <w:t xml:space="preserve"> </w:t>
      </w:r>
    </w:p>
    <w:p w14:paraId="5B9B83AB" w14:textId="77777777" w:rsidR="00A914F3" w:rsidRPr="00A914F3" w:rsidRDefault="00A914F3" w:rsidP="00BD2818">
      <w:pPr>
        <w:autoSpaceDE w:val="0"/>
        <w:autoSpaceDN w:val="0"/>
        <w:adjustRightInd w:val="0"/>
        <w:spacing w:after="0" w:line="240" w:lineRule="auto"/>
        <w:rPr>
          <w:rFonts w:cstheme="minorHAnsi"/>
          <w:bCs/>
          <w:color w:val="C00000"/>
        </w:rPr>
      </w:pPr>
    </w:p>
    <w:p w14:paraId="6FE9359F" w14:textId="0C76ECF6" w:rsidR="00B324DA" w:rsidRDefault="00A914F3" w:rsidP="00BD2818">
      <w:pPr>
        <w:pStyle w:val="ListParagraph"/>
        <w:numPr>
          <w:ilvl w:val="0"/>
          <w:numId w:val="36"/>
        </w:numPr>
        <w:autoSpaceDE w:val="0"/>
        <w:autoSpaceDN w:val="0"/>
        <w:adjustRightInd w:val="0"/>
        <w:spacing w:after="0" w:line="240" w:lineRule="auto"/>
        <w:ind w:left="720"/>
        <w:rPr>
          <w:rFonts w:cstheme="minorHAnsi"/>
          <w:bCs/>
          <w:color w:val="C00000"/>
        </w:rPr>
      </w:pPr>
      <w:r w:rsidRPr="00B324DA">
        <w:rPr>
          <w:rFonts w:cstheme="minorHAnsi"/>
          <w:bCs/>
          <w:color w:val="C00000"/>
        </w:rPr>
        <w:t>Hospital Star Rating readmission group score:</w:t>
      </w:r>
      <w:r w:rsidR="00B324DA">
        <w:rPr>
          <w:rFonts w:cstheme="minorHAnsi"/>
          <w:bCs/>
          <w:color w:val="C00000"/>
        </w:rPr>
        <w:t xml:space="preserve"> </w:t>
      </w:r>
      <w:r w:rsidRPr="00B324DA">
        <w:rPr>
          <w:rFonts w:cstheme="minorHAnsi"/>
          <w:bCs/>
          <w:color w:val="C00000"/>
        </w:rPr>
        <w:t xml:space="preserve">CMS’s Overall Hospital Star Rating assesses hospitals’ overall performance (expressed on Hospital Compare graphically, as </w:t>
      </w:r>
      <w:r w:rsidR="00895D2A">
        <w:rPr>
          <w:rFonts w:cstheme="minorHAnsi"/>
          <w:bCs/>
          <w:color w:val="C00000"/>
        </w:rPr>
        <w:t>S</w:t>
      </w:r>
      <w:r w:rsidR="00DA0C3A">
        <w:rPr>
          <w:rFonts w:cstheme="minorHAnsi"/>
          <w:bCs/>
          <w:color w:val="C00000"/>
        </w:rPr>
        <w:t>tars</w:t>
      </w:r>
      <w:r w:rsidRPr="00B324DA">
        <w:rPr>
          <w:rFonts w:cstheme="minorHAnsi"/>
          <w:bCs/>
          <w:color w:val="C00000"/>
        </w:rPr>
        <w:t xml:space="preserve"> based on a weighted average of group scores from different domains of quality (mortality, readmissions, safety, patient experience, imaging, effectiveness of care, </w:t>
      </w:r>
      <w:r w:rsidR="00E1127C">
        <w:rPr>
          <w:rFonts w:cstheme="minorHAnsi"/>
          <w:bCs/>
          <w:color w:val="C00000"/>
        </w:rPr>
        <w:t xml:space="preserve">and </w:t>
      </w:r>
      <w:r w:rsidRPr="00B324DA">
        <w:rPr>
          <w:rFonts w:cstheme="minorHAnsi"/>
          <w:bCs/>
          <w:color w:val="C00000"/>
        </w:rPr>
        <w:t>timeliness of care).</w:t>
      </w:r>
      <w:r w:rsidR="00B324DA">
        <w:rPr>
          <w:rFonts w:cstheme="minorHAnsi"/>
          <w:bCs/>
          <w:color w:val="C00000"/>
        </w:rPr>
        <w:t xml:space="preserve"> </w:t>
      </w:r>
      <w:r w:rsidRPr="00B324DA">
        <w:rPr>
          <w:rFonts w:cstheme="minorHAnsi"/>
          <w:bCs/>
          <w:color w:val="C00000"/>
        </w:rPr>
        <w:t>The readmission group is comprised of the readmission measures that are publicly reported on Hospital Compare</w:t>
      </w:r>
      <w:r w:rsidR="00E1127C">
        <w:rPr>
          <w:rFonts w:cstheme="minorHAnsi"/>
          <w:bCs/>
          <w:color w:val="C00000"/>
        </w:rPr>
        <w:t>, including this measure</w:t>
      </w:r>
      <w:r w:rsidRPr="00B324DA">
        <w:rPr>
          <w:rFonts w:cstheme="minorHAnsi"/>
          <w:bCs/>
          <w:color w:val="C00000"/>
        </w:rPr>
        <w:t>.</w:t>
      </w:r>
      <w:r w:rsidR="00B324DA">
        <w:rPr>
          <w:rFonts w:cstheme="minorHAnsi"/>
          <w:bCs/>
          <w:color w:val="C00000"/>
        </w:rPr>
        <w:t xml:space="preserve"> </w:t>
      </w:r>
      <w:r w:rsidRPr="00B324DA">
        <w:rPr>
          <w:rFonts w:cstheme="minorHAnsi"/>
          <w:bCs/>
          <w:color w:val="C00000"/>
        </w:rPr>
        <w:t xml:space="preserve">The readmission group score is derived from a latent-variable model that identifies an underlying quality trait for that group. For the validity testing presented in this testing form, we used readmission group scores from 1,160 Medicare FFS hospitals from July 2019. The full methodology for the Overall Hospital Star Rating can be found at: </w:t>
      </w:r>
      <w:hyperlink r:id="rId16" w:history="1">
        <w:r w:rsidR="005335E0">
          <w:rPr>
            <w:rStyle w:val="Hyperlink"/>
            <w:rFonts w:cstheme="minorHAnsi"/>
          </w:rPr>
          <w:t>https://www.qualitynet.org/inpatient/public-reporting/overall-ratings/resources</w:t>
        </w:r>
      </w:hyperlink>
      <w:r w:rsidR="00B324DA">
        <w:rPr>
          <w:rFonts w:cstheme="minorHAnsi"/>
          <w:bCs/>
        </w:rPr>
        <w:t xml:space="preserve">. </w:t>
      </w:r>
    </w:p>
    <w:p w14:paraId="04EB7A70" w14:textId="100DF6CB" w:rsidR="00593748" w:rsidRPr="00593748" w:rsidRDefault="00B324DA" w:rsidP="00593748">
      <w:pPr>
        <w:pStyle w:val="ListParagraph"/>
        <w:numPr>
          <w:ilvl w:val="0"/>
          <w:numId w:val="36"/>
        </w:numPr>
        <w:autoSpaceDE w:val="0"/>
        <w:autoSpaceDN w:val="0"/>
        <w:adjustRightInd w:val="0"/>
        <w:spacing w:after="0" w:line="240" w:lineRule="auto"/>
        <w:ind w:left="720"/>
        <w:rPr>
          <w:rFonts w:cstheme="minorHAnsi"/>
          <w:bCs/>
          <w:color w:val="C00000"/>
        </w:rPr>
      </w:pPr>
      <w:r w:rsidRPr="00593748">
        <w:rPr>
          <w:rFonts w:cstheme="minorHAnsi"/>
          <w:bCs/>
          <w:color w:val="C00000"/>
        </w:rPr>
        <w:t>Overall Hospital Star Rating:</w:t>
      </w:r>
      <w:r w:rsidR="00A914F3" w:rsidRPr="00593748">
        <w:rPr>
          <w:rFonts w:cstheme="minorHAnsi"/>
          <w:bCs/>
          <w:color w:val="C00000"/>
        </w:rPr>
        <w:t xml:space="preserve"> 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w:t>
      </w:r>
      <w:r w:rsidR="00E1127C">
        <w:rPr>
          <w:rFonts w:cstheme="minorHAnsi"/>
          <w:bCs/>
          <w:color w:val="C00000"/>
        </w:rPr>
        <w:t xml:space="preserve">and </w:t>
      </w:r>
      <w:r w:rsidR="00A914F3" w:rsidRPr="00593748">
        <w:rPr>
          <w:rFonts w:cstheme="minorHAnsi"/>
          <w:bCs/>
          <w:color w:val="C00000"/>
        </w:rPr>
        <w:t>timeliness of care).</w:t>
      </w:r>
      <w:r w:rsidRPr="00593748">
        <w:rPr>
          <w:rFonts w:cstheme="minorHAnsi"/>
          <w:bCs/>
          <w:color w:val="C00000"/>
        </w:rPr>
        <w:t xml:space="preserve"> </w:t>
      </w:r>
      <w:r w:rsidR="00A914F3" w:rsidRPr="00593748">
        <w:rPr>
          <w:rFonts w:cstheme="minorHAnsi"/>
          <w:bCs/>
          <w:color w:val="C00000"/>
        </w:rPr>
        <w:t>Each group has within it, measures that are reported on Hospital Compare.</w:t>
      </w:r>
      <w:r w:rsidRPr="00593748">
        <w:rPr>
          <w:rFonts w:cstheme="minorHAnsi"/>
          <w:bCs/>
          <w:color w:val="C00000"/>
        </w:rPr>
        <w:t xml:space="preserve"> </w:t>
      </w:r>
      <w:r w:rsidR="00A914F3" w:rsidRPr="00593748">
        <w:rPr>
          <w:rFonts w:cstheme="minorHAnsi"/>
          <w:bCs/>
          <w:color w:val="C00000"/>
        </w:rPr>
        <w:t xml:space="preserve">Group scores for each individual group are </w:t>
      </w:r>
      <w:r w:rsidR="00A914F3" w:rsidRPr="00593748">
        <w:rPr>
          <w:rFonts w:cstheme="minorHAnsi"/>
          <w:bCs/>
          <w:color w:val="C00000"/>
        </w:rPr>
        <w:lastRenderedPageBreak/>
        <w:t>derived from latent-variable models that identify an underlying quality trait for each group.</w:t>
      </w:r>
      <w:r w:rsidRPr="00593748">
        <w:rPr>
          <w:rFonts w:cstheme="minorHAnsi"/>
          <w:bCs/>
          <w:color w:val="C00000"/>
        </w:rPr>
        <w:t xml:space="preserve"> </w:t>
      </w:r>
      <w:r w:rsidR="00A914F3" w:rsidRPr="00593748">
        <w:rPr>
          <w:rFonts w:cstheme="minorHAnsi"/>
          <w:bCs/>
          <w:color w:val="C00000"/>
        </w:rPr>
        <w:t>Group scores are combined into an overall hospital score using fixed weights; overall hospital scores are then clustered, using k-means clustering, into five groups and are assigned one-to-five stars (the hospital’s Star Rating).</w:t>
      </w:r>
      <w:r w:rsidRPr="00593748">
        <w:rPr>
          <w:rFonts w:cstheme="minorHAnsi"/>
          <w:bCs/>
          <w:color w:val="C00000"/>
        </w:rPr>
        <w:t xml:space="preserve"> </w:t>
      </w:r>
      <w:r w:rsidR="00A914F3" w:rsidRPr="00593748">
        <w:rPr>
          <w:rFonts w:cstheme="minorHAnsi"/>
          <w:bCs/>
          <w:color w:val="C00000"/>
        </w:rPr>
        <w:t xml:space="preserve">For the validity testing presented in this testing form, we used hospital’s Star Ratings from 1,160 Medicare FFS hospitals from July 2019. The full methodology for the Overall Hospital Star Rating can be found at </w:t>
      </w:r>
      <w:hyperlink r:id="rId17" w:history="1">
        <w:r w:rsidR="005335E0">
          <w:rPr>
            <w:rStyle w:val="Hyperlink"/>
            <w:rFonts w:cstheme="minorHAnsi"/>
          </w:rPr>
          <w:t>https://www.qualitynet.org/inpatient/public-reporting/overall-ratings/resources</w:t>
        </w:r>
      </w:hyperlink>
      <w:r w:rsidRPr="00593748">
        <w:rPr>
          <w:rFonts w:cstheme="minorHAnsi"/>
          <w:bCs/>
        </w:rPr>
        <w:t>.</w:t>
      </w:r>
      <w:r w:rsidRPr="00593748">
        <w:rPr>
          <w:rFonts w:cstheme="minorHAnsi"/>
          <w:bCs/>
          <w:color w:val="C00000"/>
        </w:rPr>
        <w:t xml:space="preserve"> </w:t>
      </w:r>
    </w:p>
    <w:p w14:paraId="7EB9CC8A" w14:textId="2689866A" w:rsidR="00593748" w:rsidRPr="00A21FCC" w:rsidRDefault="00593748" w:rsidP="00593748">
      <w:pPr>
        <w:pStyle w:val="ListParagraph"/>
        <w:numPr>
          <w:ilvl w:val="0"/>
          <w:numId w:val="36"/>
        </w:numPr>
        <w:autoSpaceDE w:val="0"/>
        <w:autoSpaceDN w:val="0"/>
        <w:adjustRightInd w:val="0"/>
        <w:spacing w:before="120" w:after="120" w:line="240" w:lineRule="auto"/>
        <w:ind w:left="720"/>
        <w:rPr>
          <w:color w:val="C00000"/>
        </w:rPr>
      </w:pPr>
      <w:r>
        <w:rPr>
          <w:color w:val="C00000"/>
        </w:rPr>
        <w:t>Hospital CABG Surgical Volume</w:t>
      </w:r>
      <w:r w:rsidRPr="00043DA7">
        <w:rPr>
          <w:color w:val="C00000"/>
        </w:rPr>
        <w:t xml:space="preserve">: </w:t>
      </w:r>
      <w:r>
        <w:rPr>
          <w:color w:val="C00000"/>
        </w:rPr>
        <w:t xml:space="preserve">There is evidence that readmission rates for providers (both surgeons and hospitals) decline with increasing volume </w:t>
      </w:r>
      <w:r w:rsidR="00350116">
        <w:rPr>
          <w:color w:val="C00000"/>
        </w:rPr>
        <w:t>(Khoury et al., 2019; McNeely et al., 2017)</w:t>
      </w:r>
      <w:r>
        <w:rPr>
          <w:color w:val="C00000"/>
        </w:rPr>
        <w:t xml:space="preserve">. </w:t>
      </w:r>
      <w:r w:rsidRPr="00924130">
        <w:rPr>
          <w:color w:val="C00000"/>
        </w:rPr>
        <w:t xml:space="preserve">Thus, we assessed validity of the measure by examining the relationship between volume and the measure score for hospitals. To establish validity, we expect scores to be correlated with case volume at the </w:t>
      </w:r>
      <w:r>
        <w:rPr>
          <w:color w:val="C00000"/>
        </w:rPr>
        <w:t>hospital</w:t>
      </w:r>
      <w:r w:rsidRPr="00924130">
        <w:rPr>
          <w:color w:val="C00000"/>
        </w:rPr>
        <w:t xml:space="preserve"> level. </w:t>
      </w:r>
    </w:p>
    <w:p w14:paraId="5FF5EC58" w14:textId="407A2561" w:rsidR="00E6062F" w:rsidRDefault="00A914F3" w:rsidP="00E6062F">
      <w:pPr>
        <w:autoSpaceDE w:val="0"/>
        <w:autoSpaceDN w:val="0"/>
        <w:adjustRightInd w:val="0"/>
        <w:spacing w:before="120" w:after="120" w:line="240" w:lineRule="auto"/>
        <w:rPr>
          <w:color w:val="C00000"/>
        </w:rPr>
      </w:pPr>
      <w:r w:rsidRPr="00A914F3">
        <w:rPr>
          <w:rFonts w:cstheme="minorHAnsi"/>
          <w:bCs/>
          <w:color w:val="C00000"/>
        </w:rPr>
        <w:t>We examined the relationship of performance</w:t>
      </w:r>
      <w:r w:rsidR="00DA0C3A">
        <w:rPr>
          <w:rFonts w:cstheme="minorHAnsi"/>
          <w:bCs/>
          <w:color w:val="C00000"/>
        </w:rPr>
        <w:t xml:space="preserve"> of</w:t>
      </w:r>
      <w:r w:rsidRPr="00A914F3">
        <w:rPr>
          <w:rFonts w:cstheme="minorHAnsi"/>
          <w:bCs/>
          <w:color w:val="C00000"/>
        </w:rPr>
        <w:t xml:space="preserve"> the CABG readmission measure scores (RSRR</w:t>
      </w:r>
      <w:r w:rsidR="00B324DA">
        <w:rPr>
          <w:rFonts w:cstheme="minorHAnsi"/>
          <w:bCs/>
          <w:color w:val="C00000"/>
        </w:rPr>
        <w:t>s</w:t>
      </w:r>
      <w:r w:rsidRPr="00A914F3">
        <w:rPr>
          <w:rFonts w:cstheme="minorHAnsi"/>
          <w:bCs/>
          <w:color w:val="C00000"/>
        </w:rPr>
        <w:t>) with each of the external measures of hospital quality.</w:t>
      </w:r>
      <w:r w:rsidR="00B324DA">
        <w:rPr>
          <w:rFonts w:cstheme="minorHAnsi"/>
          <w:bCs/>
          <w:color w:val="C00000"/>
        </w:rPr>
        <w:t xml:space="preserve"> </w:t>
      </w:r>
      <w:r w:rsidRPr="00A914F3">
        <w:rPr>
          <w:rFonts w:cstheme="minorHAnsi"/>
          <w:bCs/>
          <w:color w:val="C00000"/>
        </w:rPr>
        <w:t>For the external measures, the comparison was against performance within quartiles of the readmission group score, or in the case of Star Ratings, to the Star Rating category (1-5 Stars).</w:t>
      </w:r>
      <w:r w:rsidR="00E6062F">
        <w:rPr>
          <w:rFonts w:cstheme="minorHAnsi"/>
          <w:bCs/>
          <w:color w:val="C00000"/>
        </w:rPr>
        <w:t xml:space="preserve"> </w:t>
      </w:r>
      <w:r w:rsidR="00E6062F">
        <w:rPr>
          <w:color w:val="C00000"/>
        </w:rPr>
        <w:t xml:space="preserve">We predicted the CABG readmission measure scores would have a small association with the overall hospital </w:t>
      </w:r>
      <w:r w:rsidR="00DA0C3A">
        <w:rPr>
          <w:color w:val="C00000"/>
        </w:rPr>
        <w:t>Star</w:t>
      </w:r>
      <w:r w:rsidR="00E6062F">
        <w:rPr>
          <w:color w:val="C00000"/>
        </w:rPr>
        <w:t xml:space="preserve"> </w:t>
      </w:r>
      <w:r w:rsidR="00DA0C3A">
        <w:rPr>
          <w:color w:val="C00000"/>
        </w:rPr>
        <w:t>R</w:t>
      </w:r>
      <w:r w:rsidR="00E6062F">
        <w:rPr>
          <w:color w:val="C00000"/>
        </w:rPr>
        <w:t>ating scores, with lower RSRRs associated with better Star ratings. With CABG surgical volume, we assume that lower RSRRs will be moderately associated with higher volume hospitals.</w:t>
      </w:r>
    </w:p>
    <w:p w14:paraId="665894C7" w14:textId="77777777" w:rsidR="00E6062F" w:rsidRPr="003A144F" w:rsidRDefault="00E6062F" w:rsidP="00E6062F">
      <w:pPr>
        <w:spacing w:line="240" w:lineRule="auto"/>
        <w:rPr>
          <w:rFonts w:cstheme="minorHAnsi"/>
          <w:color w:val="C00000"/>
        </w:rPr>
      </w:pPr>
      <w:r w:rsidRPr="003A144F">
        <w:rPr>
          <w:rFonts w:cstheme="minorHAnsi"/>
          <w:color w:val="C00000"/>
        </w:rPr>
        <w:t>In addition to providing empirical evidence, we have found multiple sources that support that readmissions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Hospitals that have adopted strategies to improve care processes such as discharge planning, patient education, and transitions of care, tend to perform better on these measures (e.g. </w:t>
      </w:r>
      <w:r>
        <w:rPr>
          <w:rFonts w:cstheme="minorHAnsi"/>
          <w:color w:val="C00000"/>
        </w:rPr>
        <w:t xml:space="preserve">Borza et al., 2019; </w:t>
      </w:r>
      <w:proofErr w:type="spellStart"/>
      <w:r>
        <w:rPr>
          <w:rFonts w:cstheme="minorHAnsi"/>
          <w:color w:val="C00000"/>
        </w:rPr>
        <w:t>Cyriac</w:t>
      </w:r>
      <w:proofErr w:type="spellEnd"/>
      <w:r>
        <w:rPr>
          <w:rFonts w:cstheme="minorHAnsi"/>
          <w:color w:val="C00000"/>
        </w:rPr>
        <w:t xml:space="preserve">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proofErr w:type="spellStart"/>
      <w:r w:rsidRPr="00FF07A5">
        <w:rPr>
          <w:color w:val="C00000"/>
        </w:rPr>
        <w:t>Leppin</w:t>
      </w:r>
      <w:proofErr w:type="spellEnd"/>
      <w:r w:rsidRPr="00FF07A5">
        <w:rPr>
          <w:color w:val="C00000"/>
        </w:rPr>
        <w:t xml:space="preserve"> et al., 2014</w:t>
      </w:r>
      <w:r>
        <w:rPr>
          <w:color w:val="C00000"/>
        </w:rPr>
        <w:t xml:space="preserve">; Patel et al., 2018; </w:t>
      </w:r>
      <w:proofErr w:type="spellStart"/>
      <w:r>
        <w:rPr>
          <w:color w:val="C00000"/>
        </w:rPr>
        <w:t>Ohar</w:t>
      </w:r>
      <w:proofErr w:type="spellEnd"/>
      <w:r>
        <w:rPr>
          <w:color w:val="C00000"/>
        </w:rPr>
        <w:t xml:space="preserve"> et al., 2018; Wright et al., 2019</w:t>
      </w:r>
      <w:r w:rsidRPr="00FF07A5">
        <w:rPr>
          <w:rFonts w:cstheme="minorHAnsi"/>
          <w:color w:val="C00000"/>
        </w:rPr>
        <w:t>).</w:t>
      </w:r>
    </w:p>
    <w:p w14:paraId="20CAA9BD" w14:textId="74A0FFE8" w:rsidR="00363B98" w:rsidRDefault="00363B98" w:rsidP="00BD2818">
      <w:pPr>
        <w:autoSpaceDE w:val="0"/>
        <w:autoSpaceDN w:val="0"/>
        <w:adjustRightInd w:val="0"/>
        <w:spacing w:after="0" w:line="240" w:lineRule="auto"/>
        <w:rPr>
          <w:rFonts w:cstheme="minorHAnsi"/>
          <w:bCs/>
          <w:color w:val="C00000"/>
        </w:rPr>
      </w:pPr>
      <w:r w:rsidRPr="00363B98">
        <w:rPr>
          <w:rFonts w:cstheme="minorHAnsi"/>
          <w:bCs/>
          <w:color w:val="C00000"/>
          <w:u w:val="single"/>
        </w:rPr>
        <w:t>References</w:t>
      </w:r>
      <w:r>
        <w:rPr>
          <w:rFonts w:cstheme="minorHAnsi"/>
          <w:bCs/>
          <w:color w:val="C00000"/>
        </w:rPr>
        <w:t>:</w:t>
      </w:r>
    </w:p>
    <w:p w14:paraId="1775AEFD" w14:textId="77777777" w:rsidR="00E6062F" w:rsidRPr="00FF07A5" w:rsidRDefault="00E6062F" w:rsidP="00E6062F">
      <w:pPr>
        <w:spacing w:before="120" w:line="240" w:lineRule="auto"/>
        <w:ind w:right="140"/>
        <w:rPr>
          <w:b/>
          <w:iCs/>
        </w:rPr>
      </w:pPr>
      <w:r w:rsidRPr="003526A7">
        <w:rPr>
          <w:rFonts w:cstheme="minorHAnsi"/>
          <w:color w:val="C00000"/>
          <w:shd w:val="clear" w:color="auto" w:fill="FFFFFF"/>
        </w:rPr>
        <w:t xml:space="preserve">Borza T, </w:t>
      </w:r>
      <w:proofErr w:type="spellStart"/>
      <w:r w:rsidRPr="003526A7">
        <w:rPr>
          <w:rFonts w:cstheme="minorHAnsi"/>
          <w:color w:val="C00000"/>
          <w:shd w:val="clear" w:color="auto" w:fill="FFFFFF"/>
        </w:rPr>
        <w:t>Oerline</w:t>
      </w:r>
      <w:proofErr w:type="spellEnd"/>
      <w:r w:rsidRPr="003526A7">
        <w:rPr>
          <w:rFonts w:cstheme="minorHAnsi"/>
          <w:color w:val="C00000"/>
          <w:shd w:val="clear" w:color="auto" w:fill="FFFFFF"/>
        </w:rPr>
        <w:t xml:space="preserve"> MK, </w:t>
      </w:r>
      <w:proofErr w:type="spellStart"/>
      <w:r w:rsidRPr="003526A7">
        <w:rPr>
          <w:rFonts w:cstheme="minorHAnsi"/>
          <w:color w:val="C00000"/>
          <w:shd w:val="clear" w:color="auto" w:fill="FFFFFF"/>
        </w:rPr>
        <w:t>Skolarus</w:t>
      </w:r>
      <w:proofErr w:type="spellEnd"/>
      <w:r w:rsidRPr="003526A7">
        <w:rPr>
          <w:rFonts w:cstheme="minorHAnsi"/>
          <w:color w:val="C00000"/>
          <w:shd w:val="clear" w:color="auto" w:fill="FFFFFF"/>
        </w:rPr>
        <w:t xml:space="preserve"> TA, et al. Association Between Hospital Participation in Medicare Shared Savings Program Accountable Care Organizations and Readmission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2019;269(5):873‐878. doi:10.1097/SLA.0000000000002737</w:t>
      </w:r>
      <w:r>
        <w:rPr>
          <w:rFonts w:cstheme="minorHAnsi"/>
          <w:color w:val="C00000"/>
          <w:shd w:val="clear" w:color="auto" w:fill="FFFFFF"/>
        </w:rPr>
        <w:t>.</w:t>
      </w:r>
    </w:p>
    <w:p w14:paraId="18C6DDE1" w14:textId="77777777" w:rsidR="00E6062F" w:rsidRPr="00FF07A5" w:rsidRDefault="00E6062F" w:rsidP="00E6062F">
      <w:pPr>
        <w:spacing w:line="240" w:lineRule="auto"/>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for patients with heart failure. </w:t>
      </w:r>
      <w:proofErr w:type="spellStart"/>
      <w:r w:rsidRPr="00FF07A5">
        <w:rPr>
          <w:rFonts w:cstheme="minorHAnsi"/>
          <w:i/>
          <w:iCs/>
          <w:color w:val="C00000"/>
          <w:shd w:val="clear" w:color="auto" w:fill="FFFFFF"/>
        </w:rPr>
        <w:t>Circ</w:t>
      </w:r>
      <w:proofErr w:type="spellEnd"/>
      <w:r w:rsidRPr="00FF07A5">
        <w:rPr>
          <w:rFonts w:cstheme="minorHAnsi"/>
          <w:i/>
          <w:iCs/>
          <w:color w:val="C00000"/>
          <w:shd w:val="clear" w:color="auto" w:fill="FFFFFF"/>
        </w:rPr>
        <w:t xml:space="preserve"> Cardiovasc </w:t>
      </w:r>
      <w:proofErr w:type="spellStart"/>
      <w:r w:rsidRPr="00FF07A5">
        <w:rPr>
          <w:rFonts w:cstheme="minorHAnsi"/>
          <w:i/>
          <w:iCs/>
          <w:color w:val="C00000"/>
          <w:shd w:val="clear" w:color="auto" w:fill="FFFFFF"/>
        </w:rPr>
        <w:t>Qual</w:t>
      </w:r>
      <w:proofErr w:type="spellEnd"/>
      <w:r w:rsidRPr="00FF07A5">
        <w:rPr>
          <w:rFonts w:cstheme="minorHAnsi"/>
          <w:i/>
          <w:iCs/>
          <w:color w:val="C00000"/>
          <w:shd w:val="clear" w:color="auto" w:fill="FFFFFF"/>
        </w:rPr>
        <w:t xml:space="preserve"> Outcomes</w:t>
      </w:r>
      <w:r w:rsidRPr="00FF07A5">
        <w:rPr>
          <w:rFonts w:cstheme="minorHAnsi"/>
          <w:color w:val="C00000"/>
          <w:shd w:val="clear" w:color="auto" w:fill="FFFFFF"/>
        </w:rPr>
        <w:t>. 2013;6(4):444-450. doi:10.1161/CIRCOUTCOMES.111.000101</w:t>
      </w:r>
    </w:p>
    <w:p w14:paraId="203ABC89" w14:textId="77777777" w:rsidR="00E6062F" w:rsidRDefault="00E6062F" w:rsidP="00E6062F">
      <w:pPr>
        <w:spacing w:line="240" w:lineRule="auto"/>
        <w:rPr>
          <w:rFonts w:cstheme="minorHAnsi"/>
          <w:color w:val="C00000"/>
          <w:shd w:val="clear" w:color="auto" w:fill="FFFFFF"/>
        </w:rPr>
      </w:pPr>
      <w:r w:rsidRPr="00FF07A5">
        <w:rPr>
          <w:rFonts w:cstheme="minorHAnsi"/>
          <w:color w:val="C00000"/>
          <w:shd w:val="clear" w:color="auto" w:fill="FFFFFF"/>
        </w:rPr>
        <w:t>Curry LA, Spatz E, Cherlin E, et al. What distinguishes top-performing hospitals in acute myocardial infarction mortality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2011;154(6):384-390. doi:10.7326/0003-4819-154-6-201103150-00003</w:t>
      </w:r>
    </w:p>
    <w:p w14:paraId="085F854D" w14:textId="77777777" w:rsidR="00E6062F" w:rsidRDefault="00E6062F" w:rsidP="00E6062F">
      <w:pPr>
        <w:spacing w:before="120" w:line="240" w:lineRule="auto"/>
        <w:ind w:right="140"/>
        <w:rPr>
          <w:b/>
          <w:iCs/>
        </w:rPr>
      </w:pPr>
      <w:proofErr w:type="spellStart"/>
      <w:r w:rsidRPr="00583096">
        <w:rPr>
          <w:rFonts w:cstheme="minorHAnsi"/>
          <w:color w:val="C00000"/>
          <w:shd w:val="clear" w:color="auto" w:fill="FFFFFF"/>
        </w:rPr>
        <w:t>Cyriac</w:t>
      </w:r>
      <w:proofErr w:type="spellEnd"/>
      <w:r w:rsidRPr="00583096">
        <w:rPr>
          <w:rFonts w:cstheme="minorHAnsi"/>
          <w:color w:val="C00000"/>
          <w:shd w:val="clear" w:color="auto" w:fill="FFFFFF"/>
        </w:rPr>
        <w:t xml:space="preserve">, James MD; Garson, Leslie MD; Schwarzkopf, Ran MD; </w:t>
      </w:r>
      <w:proofErr w:type="spellStart"/>
      <w:r w:rsidRPr="00583096">
        <w:rPr>
          <w:rFonts w:cstheme="minorHAnsi"/>
          <w:color w:val="C00000"/>
          <w:shd w:val="clear" w:color="auto" w:fill="FFFFFF"/>
        </w:rPr>
        <w:t>Ahn</w:t>
      </w:r>
      <w:proofErr w:type="spellEnd"/>
      <w:r w:rsidRPr="00583096">
        <w:rPr>
          <w:rFonts w:cstheme="minorHAnsi"/>
          <w:color w:val="C00000"/>
          <w:shd w:val="clear" w:color="auto" w:fill="FFFFFF"/>
        </w:rPr>
        <w:t xml:space="preserve">, Kyle MD; Rinehart, Joseph MD; </w:t>
      </w:r>
      <w:proofErr w:type="spellStart"/>
      <w:r w:rsidRPr="00583096">
        <w:rPr>
          <w:rFonts w:cstheme="minorHAnsi"/>
          <w:color w:val="C00000"/>
          <w:shd w:val="clear" w:color="auto" w:fill="FFFFFF"/>
        </w:rPr>
        <w:t>Vakharia</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Shermeen</w:t>
      </w:r>
      <w:proofErr w:type="spellEnd"/>
      <w:r w:rsidRPr="00583096">
        <w:rPr>
          <w:rFonts w:cstheme="minorHAnsi"/>
          <w:color w:val="C00000"/>
          <w:shd w:val="clear" w:color="auto" w:fill="FFFFFF"/>
        </w:rPr>
        <w:t xml:space="preserve"> MD, MBA; </w:t>
      </w:r>
      <w:proofErr w:type="spellStart"/>
      <w:r w:rsidRPr="00583096">
        <w:rPr>
          <w:rFonts w:cstheme="minorHAnsi"/>
          <w:color w:val="C00000"/>
          <w:shd w:val="clear" w:color="auto" w:fill="FFFFFF"/>
        </w:rPr>
        <w:t>Cannesson</w:t>
      </w:r>
      <w:proofErr w:type="spellEnd"/>
      <w:r w:rsidRPr="00583096">
        <w:rPr>
          <w:rFonts w:cstheme="minorHAnsi"/>
          <w:color w:val="C00000"/>
          <w:shd w:val="clear" w:color="auto" w:fill="FFFFFF"/>
        </w:rPr>
        <w:t xml:space="preserve">, Maxime MD, PhD; </w:t>
      </w:r>
      <w:proofErr w:type="spellStart"/>
      <w:r w:rsidRPr="00583096">
        <w:rPr>
          <w:rFonts w:cstheme="minorHAnsi"/>
          <w:color w:val="C00000"/>
          <w:shd w:val="clear" w:color="auto" w:fill="FFFFFF"/>
        </w:rPr>
        <w:t>Kain</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Zeev</w:t>
      </w:r>
      <w:proofErr w:type="spellEnd"/>
      <w:r w:rsidRPr="00583096">
        <w:rPr>
          <w:rFonts w:cstheme="minorHAnsi"/>
          <w:color w:val="C00000"/>
          <w:shd w:val="clear" w:color="auto" w:fill="FFFFFF"/>
        </w:rPr>
        <w:t xml:space="preserve"> MD, MBA</w:t>
      </w:r>
      <w:r>
        <w:rPr>
          <w:rFonts w:cstheme="minorHAnsi"/>
          <w:color w:val="C00000"/>
          <w:shd w:val="clear" w:color="auto" w:fill="FFFFFF"/>
        </w:rPr>
        <w:t xml:space="preserve">. </w:t>
      </w:r>
      <w:r w:rsidRPr="00583096">
        <w:rPr>
          <w:rFonts w:cstheme="minorHAnsi"/>
          <w:color w:val="C00000"/>
          <w:shd w:val="clear" w:color="auto" w:fill="FFFFFF"/>
        </w:rPr>
        <w:t xml:space="preserve">Total Joint Replacement Perioperative Surgical Home Program: 2-Year Follow-Up, Anesthesia &amp; Analgesia: July 2016 - Volume 123 - Issue 1 - p 51-62 </w:t>
      </w:r>
      <w:proofErr w:type="spellStart"/>
      <w:r w:rsidRPr="00583096">
        <w:rPr>
          <w:rFonts w:cstheme="minorHAnsi"/>
          <w:color w:val="C00000"/>
          <w:shd w:val="clear" w:color="auto" w:fill="FFFFFF"/>
        </w:rPr>
        <w:t>doi</w:t>
      </w:r>
      <w:proofErr w:type="spellEnd"/>
      <w:r w:rsidRPr="00583096">
        <w:rPr>
          <w:rFonts w:cstheme="minorHAnsi"/>
          <w:color w:val="C00000"/>
          <w:shd w:val="clear" w:color="auto" w:fill="FFFFFF"/>
        </w:rPr>
        <w:t>: 10.1213/ANE.0000000000001308.</w:t>
      </w:r>
    </w:p>
    <w:p w14:paraId="538990EC" w14:textId="77777777" w:rsidR="00E6062F" w:rsidRPr="00FF07A5" w:rsidRDefault="00E6062F" w:rsidP="00E6062F">
      <w:pPr>
        <w:spacing w:line="240" w:lineRule="auto"/>
        <w:rPr>
          <w:rFonts w:cstheme="minorHAnsi"/>
          <w:color w:val="C00000"/>
          <w:shd w:val="clear" w:color="auto" w:fill="FFFFFF"/>
        </w:rPr>
      </w:pPr>
      <w:r w:rsidRPr="00FF07A5">
        <w:rPr>
          <w:rFonts w:cstheme="minorHAnsi"/>
          <w:color w:val="C00000"/>
          <w:shd w:val="clear" w:color="auto" w:fill="FFFFFF"/>
        </w:rPr>
        <w:t xml:space="preserve">Harrison PL, Hara PA, Pope JE, Young MC, </w:t>
      </w:r>
      <w:proofErr w:type="spellStart"/>
      <w:r w:rsidRPr="00FF07A5">
        <w:rPr>
          <w:rFonts w:cstheme="minorHAnsi"/>
          <w:color w:val="C00000"/>
          <w:shd w:val="clear" w:color="auto" w:fill="FFFFFF"/>
        </w:rPr>
        <w:t>Rula</w:t>
      </w:r>
      <w:proofErr w:type="spellEnd"/>
      <w:r w:rsidRPr="00FF07A5">
        <w:rPr>
          <w:rFonts w:cstheme="minorHAnsi"/>
          <w:color w:val="C00000"/>
          <w:shd w:val="clear" w:color="auto" w:fill="FFFFFF"/>
        </w:rPr>
        <w:t xml:space="preserve"> EY. The impact of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telephonic follow-up on hospital readmissions. </w:t>
      </w:r>
      <w:proofErr w:type="spellStart"/>
      <w:r w:rsidRPr="00FF07A5">
        <w:rPr>
          <w:rFonts w:cstheme="minorHAnsi"/>
          <w:i/>
          <w:iCs/>
          <w:color w:val="C00000"/>
          <w:shd w:val="clear" w:color="auto" w:fill="FFFFFF"/>
        </w:rPr>
        <w:t>Popul</w:t>
      </w:r>
      <w:proofErr w:type="spellEnd"/>
      <w:r w:rsidRPr="00FF07A5">
        <w:rPr>
          <w:rFonts w:cstheme="minorHAnsi"/>
          <w:i/>
          <w:iCs/>
          <w:color w:val="C00000"/>
          <w:shd w:val="clear" w:color="auto" w:fill="FFFFFF"/>
        </w:rPr>
        <w:t xml:space="preserve"> Health </w:t>
      </w:r>
      <w:proofErr w:type="spellStart"/>
      <w:r w:rsidRPr="00FF07A5">
        <w:rPr>
          <w:rFonts w:cstheme="minorHAnsi"/>
          <w:i/>
          <w:iCs/>
          <w:color w:val="C00000"/>
          <w:shd w:val="clear" w:color="auto" w:fill="FFFFFF"/>
        </w:rPr>
        <w:t>Manag</w:t>
      </w:r>
      <w:proofErr w:type="spellEnd"/>
      <w:r w:rsidRPr="00FF07A5">
        <w:rPr>
          <w:rFonts w:cstheme="minorHAnsi"/>
          <w:color w:val="C00000"/>
          <w:shd w:val="clear" w:color="auto" w:fill="FFFFFF"/>
        </w:rPr>
        <w:t>. 2011;14(1):27-32. doi:10.1089/pop.2009.0076</w:t>
      </w:r>
    </w:p>
    <w:p w14:paraId="5F897F2E" w14:textId="77777777" w:rsidR="00E6062F" w:rsidRPr="00FF07A5" w:rsidRDefault="00E6062F" w:rsidP="00E6062F">
      <w:pPr>
        <w:spacing w:line="240" w:lineRule="auto"/>
        <w:rPr>
          <w:rFonts w:cstheme="minorHAnsi"/>
          <w:color w:val="C00000"/>
          <w:shd w:val="clear" w:color="auto" w:fill="FFFFFF"/>
        </w:rPr>
      </w:pPr>
      <w:r w:rsidRPr="00FF07A5">
        <w:rPr>
          <w:rFonts w:cstheme="minorHAnsi"/>
          <w:color w:val="C00000"/>
          <w:shd w:val="clear" w:color="auto" w:fill="FFFFFF"/>
        </w:rPr>
        <w:lastRenderedPageBreak/>
        <w:t xml:space="preserve">Hernandez AF, Greiner MA, </w:t>
      </w:r>
      <w:proofErr w:type="spellStart"/>
      <w:r w:rsidRPr="00FF07A5">
        <w:rPr>
          <w:rFonts w:cstheme="minorHAnsi"/>
          <w:color w:val="C00000"/>
          <w:shd w:val="clear" w:color="auto" w:fill="FFFFFF"/>
        </w:rPr>
        <w:t>Fonarow</w:t>
      </w:r>
      <w:proofErr w:type="spellEnd"/>
      <w:r w:rsidRPr="00FF07A5">
        <w:rPr>
          <w:rFonts w:cstheme="minorHAnsi"/>
          <w:color w:val="C00000"/>
          <w:shd w:val="clear" w:color="auto" w:fill="FFFFFF"/>
        </w:rPr>
        <w:t xml:space="preserve"> GC, et al. Relationship between early physician follow-up and 30-day readmission among Medicare beneficiaries 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38E0F28F" w14:textId="77777777" w:rsidR="00E6062F" w:rsidRDefault="00E6062F" w:rsidP="00E6062F">
      <w:pPr>
        <w:spacing w:before="120" w:after="120" w:line="240" w:lineRule="auto"/>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28C6328A" w14:textId="77777777" w:rsidR="00E6062F" w:rsidRPr="003E6F36" w:rsidRDefault="00E6062F" w:rsidP="00E6062F">
      <w:pPr>
        <w:spacing w:before="120" w:line="240" w:lineRule="auto"/>
        <w:rPr>
          <w:rFonts w:cstheme="minorHAnsi"/>
          <w:iCs/>
          <w:color w:val="C00000"/>
        </w:rPr>
      </w:pPr>
      <w:bookmarkStart w:id="22" w:name="_Hlk42162983"/>
      <w:r w:rsidRPr="003E6F36">
        <w:rPr>
          <w:rFonts w:cstheme="minorHAnsi"/>
          <w:iCs/>
          <w:color w:val="C00000"/>
        </w:rPr>
        <w:t xml:space="preserve">Kao, D.P., J. </w:t>
      </w:r>
      <w:proofErr w:type="spellStart"/>
      <w:r w:rsidRPr="003E6F36">
        <w:rPr>
          <w:rFonts w:cstheme="minorHAnsi"/>
          <w:iCs/>
          <w:color w:val="C00000"/>
        </w:rPr>
        <w:t>Lindenfeld</w:t>
      </w:r>
      <w:proofErr w:type="spellEnd"/>
      <w:r w:rsidRPr="003E6F36">
        <w:rPr>
          <w:rFonts w:cstheme="minorHAnsi"/>
          <w:iCs/>
          <w:color w:val="C00000"/>
        </w:rPr>
        <w:t xml:space="preserve">, D. Macaulay, H.G. Birnbaum, J.L. Jarvis, U.S. Desai, and R.L. Page, 2nd, Impact of a Telehealth and Care Management Program on All-Cause Mortality and Healthcare Utilization in Patients with Heart Failure. </w:t>
      </w:r>
      <w:proofErr w:type="spellStart"/>
      <w:r w:rsidRPr="003E6F36">
        <w:rPr>
          <w:rFonts w:cstheme="minorHAnsi"/>
          <w:iCs/>
          <w:color w:val="C00000"/>
        </w:rPr>
        <w:t>Telemed</w:t>
      </w:r>
      <w:proofErr w:type="spellEnd"/>
      <w:r w:rsidRPr="003E6F36">
        <w:rPr>
          <w:rFonts w:cstheme="minorHAnsi"/>
          <w:iCs/>
          <w:color w:val="C00000"/>
        </w:rPr>
        <w:t xml:space="preserve"> J E Health, 2016. 22(1): p. 2-11.</w:t>
      </w:r>
    </w:p>
    <w:bookmarkEnd w:id="22"/>
    <w:p w14:paraId="2F8E982D" w14:textId="14F0A69F" w:rsidR="00363B98" w:rsidRPr="00350116" w:rsidRDefault="006E0BFF" w:rsidP="00BD2818">
      <w:pPr>
        <w:autoSpaceDE w:val="0"/>
        <w:autoSpaceDN w:val="0"/>
        <w:adjustRightInd w:val="0"/>
        <w:spacing w:after="0" w:line="240" w:lineRule="auto"/>
        <w:rPr>
          <w:rFonts w:cs="Segoe UI"/>
          <w:color w:val="C00000"/>
          <w:shd w:val="clear" w:color="auto" w:fill="FFFFFF"/>
        </w:rPr>
      </w:pPr>
      <w:r w:rsidRPr="00350116">
        <w:rPr>
          <w:rFonts w:cs="Segoe UI"/>
          <w:color w:val="C00000"/>
          <w:shd w:val="clear" w:color="auto" w:fill="FFFFFF"/>
        </w:rPr>
        <w:t xml:space="preserve">Khoury H, </w:t>
      </w:r>
      <w:proofErr w:type="spellStart"/>
      <w:r w:rsidRPr="00350116">
        <w:rPr>
          <w:rFonts w:cs="Segoe UI"/>
          <w:color w:val="C00000"/>
          <w:shd w:val="clear" w:color="auto" w:fill="FFFFFF"/>
        </w:rPr>
        <w:t>Sanaiha</w:t>
      </w:r>
      <w:proofErr w:type="spellEnd"/>
      <w:r w:rsidRPr="00350116">
        <w:rPr>
          <w:rFonts w:cs="Segoe UI"/>
          <w:color w:val="C00000"/>
          <w:shd w:val="clear" w:color="auto" w:fill="FFFFFF"/>
        </w:rPr>
        <w:t xml:space="preserve"> Y, </w:t>
      </w:r>
      <w:proofErr w:type="spellStart"/>
      <w:r w:rsidRPr="00350116">
        <w:rPr>
          <w:rFonts w:cs="Segoe UI"/>
          <w:color w:val="C00000"/>
          <w:shd w:val="clear" w:color="auto" w:fill="FFFFFF"/>
        </w:rPr>
        <w:t>Rudasill</w:t>
      </w:r>
      <w:proofErr w:type="spellEnd"/>
      <w:r w:rsidRPr="00350116">
        <w:rPr>
          <w:rFonts w:cs="Segoe UI"/>
          <w:color w:val="C00000"/>
          <w:shd w:val="clear" w:color="auto" w:fill="FFFFFF"/>
        </w:rPr>
        <w:t xml:space="preserve"> SE, </w:t>
      </w:r>
      <w:proofErr w:type="spellStart"/>
      <w:r w:rsidRPr="00350116">
        <w:rPr>
          <w:rFonts w:cs="Segoe UI"/>
          <w:color w:val="C00000"/>
          <w:shd w:val="clear" w:color="auto" w:fill="FFFFFF"/>
        </w:rPr>
        <w:t>Mardock</w:t>
      </w:r>
      <w:proofErr w:type="spellEnd"/>
      <w:r w:rsidRPr="00350116">
        <w:rPr>
          <w:rFonts w:cs="Segoe UI"/>
          <w:color w:val="C00000"/>
          <w:shd w:val="clear" w:color="auto" w:fill="FFFFFF"/>
        </w:rPr>
        <w:t xml:space="preserve"> AL, </w:t>
      </w:r>
      <w:proofErr w:type="spellStart"/>
      <w:r w:rsidRPr="00350116">
        <w:rPr>
          <w:rFonts w:cs="Segoe UI"/>
          <w:color w:val="C00000"/>
          <w:shd w:val="clear" w:color="auto" w:fill="FFFFFF"/>
        </w:rPr>
        <w:t>Sareh</w:t>
      </w:r>
      <w:proofErr w:type="spellEnd"/>
      <w:r w:rsidRPr="00350116">
        <w:rPr>
          <w:rFonts w:cs="Segoe UI"/>
          <w:color w:val="C00000"/>
          <w:shd w:val="clear" w:color="auto" w:fill="FFFFFF"/>
        </w:rPr>
        <w:t xml:space="preserve"> S, </w:t>
      </w:r>
      <w:proofErr w:type="spellStart"/>
      <w:r w:rsidRPr="00350116">
        <w:rPr>
          <w:rFonts w:cs="Segoe UI"/>
          <w:color w:val="C00000"/>
          <w:shd w:val="clear" w:color="auto" w:fill="FFFFFF"/>
        </w:rPr>
        <w:t>Benharash</w:t>
      </w:r>
      <w:proofErr w:type="spellEnd"/>
      <w:r w:rsidRPr="00350116">
        <w:rPr>
          <w:rFonts w:cs="Segoe UI"/>
          <w:color w:val="C00000"/>
          <w:shd w:val="clear" w:color="auto" w:fill="FFFFFF"/>
        </w:rPr>
        <w:t xml:space="preserve"> P. Readmissions Following Isolated Coronary Artery Bypass Graft Surgery in the United States (from the Nationwide Readmissions Database 2010 to 2014). </w:t>
      </w:r>
      <w:r w:rsidRPr="00350116">
        <w:rPr>
          <w:rFonts w:cs="Segoe UI"/>
          <w:i/>
          <w:iCs/>
          <w:color w:val="C00000"/>
          <w:shd w:val="clear" w:color="auto" w:fill="FFFFFF"/>
        </w:rPr>
        <w:t xml:space="preserve">Am J </w:t>
      </w:r>
      <w:proofErr w:type="spellStart"/>
      <w:r w:rsidRPr="00350116">
        <w:rPr>
          <w:rFonts w:cs="Segoe UI"/>
          <w:i/>
          <w:iCs/>
          <w:color w:val="C00000"/>
          <w:shd w:val="clear" w:color="auto" w:fill="FFFFFF"/>
        </w:rPr>
        <w:t>Cardiol</w:t>
      </w:r>
      <w:proofErr w:type="spellEnd"/>
      <w:r w:rsidRPr="00350116">
        <w:rPr>
          <w:rFonts w:cs="Segoe UI"/>
          <w:color w:val="C00000"/>
          <w:shd w:val="clear" w:color="auto" w:fill="FFFFFF"/>
        </w:rPr>
        <w:t xml:space="preserve">. 2019;124(2):205‐210. </w:t>
      </w:r>
      <w:proofErr w:type="gramStart"/>
      <w:r w:rsidRPr="00350116">
        <w:rPr>
          <w:rFonts w:cs="Segoe UI"/>
          <w:color w:val="C00000"/>
          <w:shd w:val="clear" w:color="auto" w:fill="FFFFFF"/>
        </w:rPr>
        <w:t>doi:10.1016/j.amjcard</w:t>
      </w:r>
      <w:proofErr w:type="gramEnd"/>
      <w:r w:rsidRPr="00350116">
        <w:rPr>
          <w:rFonts w:cs="Segoe UI"/>
          <w:color w:val="C00000"/>
          <w:shd w:val="clear" w:color="auto" w:fill="FFFFFF"/>
        </w:rPr>
        <w:t>.2019.04.018.</w:t>
      </w:r>
    </w:p>
    <w:p w14:paraId="6F34EB44" w14:textId="742E0C1A" w:rsidR="00350116" w:rsidRPr="00350116" w:rsidRDefault="00350116" w:rsidP="00BD2818">
      <w:pPr>
        <w:autoSpaceDE w:val="0"/>
        <w:autoSpaceDN w:val="0"/>
        <w:adjustRightInd w:val="0"/>
        <w:spacing w:after="0" w:line="240" w:lineRule="auto"/>
        <w:rPr>
          <w:rFonts w:cs="Segoe UI"/>
          <w:color w:val="C00000"/>
          <w:shd w:val="clear" w:color="auto" w:fill="FFFFFF"/>
        </w:rPr>
      </w:pPr>
    </w:p>
    <w:p w14:paraId="4662E3AF" w14:textId="77777777" w:rsidR="00E6062F" w:rsidRPr="00FF07A5" w:rsidRDefault="00E6062F" w:rsidP="00E6062F">
      <w:pPr>
        <w:spacing w:line="240" w:lineRule="auto"/>
        <w:rPr>
          <w:rFonts w:cstheme="minorHAnsi"/>
          <w:color w:val="C00000"/>
          <w:shd w:val="clear" w:color="auto" w:fill="FFFFFF"/>
        </w:rPr>
      </w:pPr>
      <w:r w:rsidRPr="00FF07A5">
        <w:rPr>
          <w:rFonts w:cstheme="minorHAnsi"/>
          <w:color w:val="C00000"/>
          <w:shd w:val="clear" w:color="auto" w:fill="FFFFFF"/>
        </w:rPr>
        <w:t xml:space="preserve">Koehler BE, Richter KM, Youngblood L, et al. Reduction of 30-day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hospital readmission or emergency department (ED) visit rates in high-risk elderly medical patients through delivery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2009;4(4):211-218. doi:10.1002/jhm.427</w:t>
      </w:r>
    </w:p>
    <w:p w14:paraId="5AC58039" w14:textId="77777777" w:rsidR="00E6062F" w:rsidRPr="00FF07A5" w:rsidRDefault="00E6062F" w:rsidP="00E6062F">
      <w:pPr>
        <w:spacing w:before="120" w:after="120" w:line="240" w:lineRule="auto"/>
        <w:rPr>
          <w:rFonts w:cstheme="minorHAnsi"/>
          <w:color w:val="C00000"/>
        </w:rPr>
      </w:pPr>
      <w:proofErr w:type="spellStart"/>
      <w:r w:rsidRPr="00FF07A5">
        <w:rPr>
          <w:rFonts w:cstheme="minorHAnsi"/>
          <w:color w:val="C00000"/>
        </w:rPr>
        <w:t>Leppin</w:t>
      </w:r>
      <w:proofErr w:type="spellEnd"/>
      <w:r w:rsidRPr="00FF07A5">
        <w:rPr>
          <w:rFonts w:cstheme="minorHAnsi"/>
          <w:color w:val="C00000"/>
        </w:rPr>
        <w:t xml:space="preserve"> AL, </w:t>
      </w:r>
      <w:proofErr w:type="spellStart"/>
      <w:r w:rsidRPr="00FF07A5">
        <w:rPr>
          <w:rFonts w:cstheme="minorHAnsi"/>
          <w:color w:val="C00000"/>
        </w:rPr>
        <w:t>Gionfriddo</w:t>
      </w:r>
      <w:proofErr w:type="spellEnd"/>
      <w:r w:rsidRPr="00FF07A5">
        <w:rPr>
          <w:rFonts w:cstheme="minorHAnsi"/>
          <w:color w:val="C00000"/>
        </w:rPr>
        <w:t xml:space="preserve"> MR, Kessler M, et al. Preventing 30-day hospital readmissions: a systematic review and meta-analysis of randomized trials. JAMA Internal Med. 2014; 174(7):1095-107.</w:t>
      </w:r>
    </w:p>
    <w:p w14:paraId="25933FC7" w14:textId="78C06898" w:rsidR="00350116" w:rsidRDefault="00350116" w:rsidP="00BD2818">
      <w:pPr>
        <w:autoSpaceDE w:val="0"/>
        <w:autoSpaceDN w:val="0"/>
        <w:adjustRightInd w:val="0"/>
        <w:spacing w:after="0" w:line="240" w:lineRule="auto"/>
        <w:rPr>
          <w:rFonts w:cs="Segoe UI"/>
          <w:color w:val="C00000"/>
          <w:shd w:val="clear" w:color="auto" w:fill="FFFFFF"/>
        </w:rPr>
      </w:pPr>
      <w:r w:rsidRPr="00350116">
        <w:rPr>
          <w:rFonts w:cs="Segoe UI"/>
          <w:color w:val="C00000"/>
          <w:shd w:val="clear" w:color="auto" w:fill="FFFFFF"/>
        </w:rPr>
        <w:t xml:space="preserve">McNeely C, </w:t>
      </w:r>
      <w:proofErr w:type="spellStart"/>
      <w:r w:rsidRPr="00350116">
        <w:rPr>
          <w:rFonts w:cs="Segoe UI"/>
          <w:color w:val="C00000"/>
          <w:shd w:val="clear" w:color="auto" w:fill="FFFFFF"/>
        </w:rPr>
        <w:t>Kwedar</w:t>
      </w:r>
      <w:proofErr w:type="spellEnd"/>
      <w:r w:rsidRPr="00350116">
        <w:rPr>
          <w:rFonts w:cs="Segoe UI"/>
          <w:color w:val="C00000"/>
          <w:shd w:val="clear" w:color="auto" w:fill="FFFFFF"/>
        </w:rPr>
        <w:t xml:space="preserve"> K, Markwell S, </w:t>
      </w:r>
      <w:proofErr w:type="spellStart"/>
      <w:r w:rsidRPr="00350116">
        <w:rPr>
          <w:rFonts w:cs="Segoe UI"/>
          <w:color w:val="C00000"/>
          <w:shd w:val="clear" w:color="auto" w:fill="FFFFFF"/>
        </w:rPr>
        <w:t>Vassileva</w:t>
      </w:r>
      <w:proofErr w:type="spellEnd"/>
      <w:r w:rsidRPr="00350116">
        <w:rPr>
          <w:rFonts w:cs="Segoe UI"/>
          <w:color w:val="C00000"/>
          <w:shd w:val="clear" w:color="auto" w:fill="FFFFFF"/>
        </w:rPr>
        <w:t xml:space="preserve"> CM. Improving coronary artery bypass grafting readmission outcomes from 2000 to 2012 in the Medicare population. </w:t>
      </w:r>
      <w:r w:rsidRPr="00350116">
        <w:rPr>
          <w:rFonts w:cs="Segoe UI"/>
          <w:i/>
          <w:iCs/>
          <w:color w:val="C00000"/>
          <w:shd w:val="clear" w:color="auto" w:fill="FFFFFF"/>
        </w:rPr>
        <w:t xml:space="preserve">J </w:t>
      </w:r>
      <w:proofErr w:type="spellStart"/>
      <w:r w:rsidRPr="00350116">
        <w:rPr>
          <w:rFonts w:cs="Segoe UI"/>
          <w:i/>
          <w:iCs/>
          <w:color w:val="C00000"/>
          <w:shd w:val="clear" w:color="auto" w:fill="FFFFFF"/>
        </w:rPr>
        <w:t>Thorac</w:t>
      </w:r>
      <w:proofErr w:type="spellEnd"/>
      <w:r w:rsidRPr="00350116">
        <w:rPr>
          <w:rFonts w:cs="Segoe UI"/>
          <w:i/>
          <w:iCs/>
          <w:color w:val="C00000"/>
          <w:shd w:val="clear" w:color="auto" w:fill="FFFFFF"/>
        </w:rPr>
        <w:t xml:space="preserve"> Cardiovasc Surg</w:t>
      </w:r>
      <w:r w:rsidRPr="00350116">
        <w:rPr>
          <w:rFonts w:cs="Segoe UI"/>
          <w:color w:val="C00000"/>
          <w:shd w:val="clear" w:color="auto" w:fill="FFFFFF"/>
        </w:rPr>
        <w:t xml:space="preserve">. 2017;154(4):1288‐1297. </w:t>
      </w:r>
      <w:proofErr w:type="gramStart"/>
      <w:r w:rsidRPr="00350116">
        <w:rPr>
          <w:rFonts w:cs="Segoe UI"/>
          <w:color w:val="C00000"/>
          <w:shd w:val="clear" w:color="auto" w:fill="FFFFFF"/>
        </w:rPr>
        <w:t>doi:10.1016/j.jtcvs</w:t>
      </w:r>
      <w:proofErr w:type="gramEnd"/>
      <w:r w:rsidRPr="00350116">
        <w:rPr>
          <w:rFonts w:cs="Segoe UI"/>
          <w:color w:val="C00000"/>
          <w:shd w:val="clear" w:color="auto" w:fill="FFFFFF"/>
        </w:rPr>
        <w:t>.2017.04.085.</w:t>
      </w:r>
    </w:p>
    <w:p w14:paraId="4F7B6D95" w14:textId="77777777" w:rsidR="00E6062F" w:rsidRPr="00D71FEB" w:rsidRDefault="00E6062F" w:rsidP="00E6062F">
      <w:pPr>
        <w:spacing w:before="120" w:after="120" w:line="240" w:lineRule="auto"/>
        <w:rPr>
          <w:b/>
          <w:color w:val="C00000"/>
        </w:rPr>
      </w:pPr>
      <w:proofErr w:type="spellStart"/>
      <w:r w:rsidRPr="00D71FEB">
        <w:rPr>
          <w:color w:val="C00000"/>
        </w:rPr>
        <w:t>Ohar</w:t>
      </w:r>
      <w:proofErr w:type="spellEnd"/>
      <w:r w:rsidRPr="00D71FEB">
        <w:rPr>
          <w:color w:val="C00000"/>
        </w:rPr>
        <w:t xml:space="preserve"> JA, Loh CH, Lenoir KM, Wells BJ, Peters SP. A comprehensive care plan that reduces readmissions after acute exacerbations of COPD. </w:t>
      </w:r>
      <w:r w:rsidRPr="00D71FEB">
        <w:rPr>
          <w:i/>
          <w:iCs/>
          <w:color w:val="C00000"/>
        </w:rPr>
        <w:t xml:space="preserve">Respir Med. </w:t>
      </w:r>
      <w:proofErr w:type="gramStart"/>
      <w:r w:rsidRPr="00D71FEB">
        <w:rPr>
          <w:color w:val="C00000"/>
        </w:rPr>
        <w:t>2018;141:20</w:t>
      </w:r>
      <w:proofErr w:type="gramEnd"/>
      <w:r w:rsidRPr="00D71FEB">
        <w:rPr>
          <w:color w:val="C00000"/>
        </w:rPr>
        <w:t xml:space="preserve">-25. </w:t>
      </w:r>
    </w:p>
    <w:p w14:paraId="4D27C877" w14:textId="77777777" w:rsidR="00E6062F" w:rsidRPr="00FF07A5" w:rsidRDefault="00E6062F" w:rsidP="00E6062F">
      <w:pPr>
        <w:spacing w:before="120" w:after="120" w:line="240" w:lineRule="auto"/>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0A42672F" w14:textId="77777777" w:rsidR="00E6062F" w:rsidRPr="00FF07A5" w:rsidRDefault="00E6062F" w:rsidP="00E6062F">
      <w:pPr>
        <w:spacing w:before="120" w:after="120" w:line="240" w:lineRule="auto"/>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w:t>
      </w:r>
      <w:proofErr w:type="spellStart"/>
      <w:r w:rsidRPr="00FF07A5">
        <w:rPr>
          <w:rFonts w:cstheme="minorHAnsi"/>
          <w:i/>
          <w:iCs/>
          <w:color w:val="C00000"/>
        </w:rPr>
        <w:t>Saf</w:t>
      </w:r>
      <w:proofErr w:type="spellEnd"/>
      <w:r w:rsidRPr="00FF07A5">
        <w:rPr>
          <w:rFonts w:cstheme="minorHAnsi"/>
          <w:i/>
          <w:iCs/>
          <w:color w:val="C00000"/>
        </w:rPr>
        <w:t xml:space="preserve">. </w:t>
      </w:r>
      <w:r w:rsidRPr="00FF07A5">
        <w:rPr>
          <w:rFonts w:cstheme="minorHAnsi"/>
          <w:color w:val="C00000"/>
        </w:rPr>
        <w:t>2018;14(1</w:t>
      </w:r>
      <w:proofErr w:type="gramStart"/>
      <w:r w:rsidRPr="00FF07A5">
        <w:rPr>
          <w:rFonts w:cstheme="minorHAnsi"/>
          <w:color w:val="C00000"/>
        </w:rPr>
        <w:t>):e</w:t>
      </w:r>
      <w:proofErr w:type="gramEnd"/>
      <w:r w:rsidRPr="00FF07A5">
        <w:rPr>
          <w:rFonts w:cstheme="minorHAnsi"/>
          <w:color w:val="C00000"/>
        </w:rPr>
        <w:t>3-e5.</w:t>
      </w:r>
    </w:p>
    <w:p w14:paraId="307D2368" w14:textId="77777777" w:rsidR="00E6062F" w:rsidRPr="00FF07A5" w:rsidRDefault="00E6062F" w:rsidP="00E6062F">
      <w:pPr>
        <w:spacing w:before="120" w:line="240" w:lineRule="auto"/>
        <w:rPr>
          <w:rFonts w:cstheme="minorHAnsi"/>
          <w:color w:val="C00000"/>
        </w:rPr>
      </w:pPr>
      <w:r w:rsidRPr="00D71FEB">
        <w:rPr>
          <w:color w:val="C00000"/>
        </w:rPr>
        <w:t xml:space="preserve">Wright EA, Graham JH, </w:t>
      </w:r>
      <w:proofErr w:type="spellStart"/>
      <w:r w:rsidRPr="00D71FEB">
        <w:rPr>
          <w:color w:val="C00000"/>
        </w:rPr>
        <w:t>Maeng</w:t>
      </w:r>
      <w:proofErr w:type="spellEnd"/>
      <w:r w:rsidRPr="00D71FEB">
        <w:rPr>
          <w:color w:val="C00000"/>
        </w:rPr>
        <w:t xml:space="preserve"> D, et al. Reductions in 30-day readmission, mortality, and costs with inpatient-to-community pharmacist follow-up. </w:t>
      </w:r>
      <w:r w:rsidRPr="00D71FEB">
        <w:rPr>
          <w:i/>
          <w:iCs/>
          <w:color w:val="C00000"/>
        </w:rPr>
        <w:t xml:space="preserve">J Am Pharm </w:t>
      </w:r>
      <w:proofErr w:type="spellStart"/>
      <w:r w:rsidRPr="00D71FEB">
        <w:rPr>
          <w:i/>
          <w:iCs/>
          <w:color w:val="C00000"/>
        </w:rPr>
        <w:t>Assoc</w:t>
      </w:r>
      <w:proofErr w:type="spellEnd"/>
      <w:r w:rsidRPr="00D71FEB">
        <w:rPr>
          <w:i/>
          <w:iCs/>
          <w:color w:val="C00000"/>
        </w:rPr>
        <w:t xml:space="preserve"> (2003). </w:t>
      </w:r>
      <w:r w:rsidRPr="00D71FEB">
        <w:rPr>
          <w:color w:val="C00000"/>
        </w:rPr>
        <w:t xml:space="preserve">2019;59(2):178-186.  </w:t>
      </w:r>
    </w:p>
    <w:p w14:paraId="240FA551" w14:textId="4FC98018" w:rsidR="00D35722" w:rsidRPr="0025573F" w:rsidRDefault="00D35722" w:rsidP="00BD2818">
      <w:pPr>
        <w:autoSpaceDE w:val="0"/>
        <w:autoSpaceDN w:val="0"/>
        <w:adjustRightInd w:val="0"/>
        <w:spacing w:before="240" w:after="120" w:line="240" w:lineRule="auto"/>
        <w:rPr>
          <w:rFonts w:cstheme="minorHAnsi"/>
          <w:bCs/>
          <w:color w:val="00B0F0"/>
          <w:u w:val="single"/>
        </w:rPr>
      </w:pPr>
      <w:r w:rsidRPr="0025573F">
        <w:rPr>
          <w:rFonts w:cstheme="minorHAnsi"/>
          <w:bCs/>
          <w:color w:val="00B0F0"/>
          <w:u w:val="single"/>
        </w:rPr>
        <w:t>Face Validity as Determined by TEP</w:t>
      </w:r>
    </w:p>
    <w:p w14:paraId="75CF8CDF" w14:textId="42AE136C" w:rsidR="008E2732" w:rsidRPr="0025573F" w:rsidRDefault="008E2732" w:rsidP="00BD2818">
      <w:pPr>
        <w:autoSpaceDE w:val="0"/>
        <w:autoSpaceDN w:val="0"/>
        <w:adjustRightInd w:val="0"/>
        <w:spacing w:before="120" w:after="120" w:line="240" w:lineRule="auto"/>
        <w:rPr>
          <w:rFonts w:cstheme="minorHAnsi"/>
          <w:bCs/>
          <w:color w:val="00B0F0"/>
          <w:u w:val="single"/>
        </w:rPr>
      </w:pPr>
      <w:r w:rsidRPr="0025573F">
        <w:rPr>
          <w:rFonts w:cstheme="minorHAnsi"/>
          <w:bCs/>
          <w:color w:val="00B0F0"/>
        </w:rPr>
        <w:t xml:space="preserve">In addition, during measure development we established the face validity of the measure. To systematically assess face validity, we surveyed the Technical Expert Panel (TEP) and asked each member to rate the following statement using a six-point scale (1=Strongly Disagree, 2=Moderately Disagree, 3=Somewhat Disagree, 4=Somewhat Agree, 5= Moderately Agree, and 6=Strongly Agree): “The readmission rates obtained from the readmission measure as specified will provide an accurate reflection of quality.” </w:t>
      </w:r>
    </w:p>
    <w:p w14:paraId="2AEE86B7" w14:textId="22B1FAAF" w:rsidR="00DA2520" w:rsidRDefault="0025573F" w:rsidP="00BD2818">
      <w:pPr>
        <w:autoSpaceDE w:val="0"/>
        <w:autoSpaceDN w:val="0"/>
        <w:adjustRightInd w:val="0"/>
        <w:spacing w:before="120" w:after="120" w:line="240" w:lineRule="auto"/>
        <w:rPr>
          <w:rFonts w:cstheme="minorHAnsi"/>
          <w:bCs/>
          <w:color w:val="7030A0"/>
          <w:u w:val="single"/>
        </w:rPr>
      </w:pPr>
      <w:r>
        <w:rPr>
          <w:rFonts w:cstheme="minorHAnsi"/>
          <w:bCs/>
          <w:color w:val="7030A0"/>
          <w:u w:val="single"/>
        </w:rPr>
        <w:t>Medical Records-based Validation</w:t>
      </w:r>
    </w:p>
    <w:p w14:paraId="3610320E" w14:textId="54649B09" w:rsidR="00D35722" w:rsidRPr="00D35722" w:rsidRDefault="00D35722" w:rsidP="00BD2818">
      <w:pPr>
        <w:autoSpaceDE w:val="0"/>
        <w:autoSpaceDN w:val="0"/>
        <w:adjustRightInd w:val="0"/>
        <w:spacing w:before="120" w:after="120" w:line="240" w:lineRule="auto"/>
        <w:rPr>
          <w:rFonts w:cstheme="minorHAnsi"/>
          <w:bCs/>
          <w:color w:val="7030A0"/>
        </w:rPr>
      </w:pPr>
      <w:r w:rsidRPr="00D35722">
        <w:rPr>
          <w:rFonts w:cstheme="minorHAnsi"/>
          <w:bCs/>
          <w:color w:val="7030A0"/>
        </w:rPr>
        <w:t>In collaboration with the Society of Thoracic Surgeons (STS), we performed a validation study of this measure using the national STS Adult Cardiac Surgery Database, including the following:</w:t>
      </w:r>
    </w:p>
    <w:p w14:paraId="5D2B81C5" w14:textId="77777777" w:rsidR="00D35722" w:rsidRPr="00D35722" w:rsidRDefault="00D35722" w:rsidP="00BD2818">
      <w:pPr>
        <w:autoSpaceDE w:val="0"/>
        <w:autoSpaceDN w:val="0"/>
        <w:adjustRightInd w:val="0"/>
        <w:spacing w:before="120" w:after="120" w:line="240" w:lineRule="auto"/>
        <w:rPr>
          <w:rFonts w:cstheme="minorHAnsi"/>
          <w:bCs/>
          <w:color w:val="7030A0"/>
          <w:u w:val="single"/>
        </w:rPr>
      </w:pPr>
      <w:r w:rsidRPr="00D35722">
        <w:rPr>
          <w:rFonts w:cstheme="minorHAnsi"/>
          <w:bCs/>
          <w:color w:val="7030A0"/>
          <w:u w:val="single"/>
        </w:rPr>
        <w:lastRenderedPageBreak/>
        <w:t>Validation of the administrative isolated CABG cohort</w:t>
      </w:r>
    </w:p>
    <w:p w14:paraId="47EEF43B" w14:textId="77777777" w:rsidR="00D35722" w:rsidRPr="00D35722" w:rsidRDefault="00D35722" w:rsidP="00BD2818">
      <w:pPr>
        <w:autoSpaceDE w:val="0"/>
        <w:autoSpaceDN w:val="0"/>
        <w:adjustRightInd w:val="0"/>
        <w:spacing w:before="120" w:after="120" w:line="240" w:lineRule="auto"/>
        <w:rPr>
          <w:rFonts w:cstheme="minorHAnsi"/>
          <w:bCs/>
          <w:color w:val="7030A0"/>
        </w:rPr>
      </w:pPr>
      <w:r w:rsidRPr="00D35722">
        <w:rPr>
          <w:rFonts w:cstheme="minorHAnsi"/>
          <w:bCs/>
          <w:color w:val="7030A0"/>
        </w:rPr>
        <w:t xml:space="preserve">Validation of the administrative isolated CABG cohort consisted of matching, using probabilistic matching at the patient and hospital level, the administrative CABG cohort for the administrative readmission measure detailed in this application to the measure cohort for the proposed STS registry data-based CABG readmission measure. Non-matching patients were identified as either claims only patients (i.e., the administrative cohort defined them as isolated CABG patients while the STS registry did not) or registry only patients (i.e., the administrative cohort defined them as non-isolated CABG patients while the registry defined them as isolated CABG patients). This information was then used to further harmonize the administrative readmission cohort inclusion/exclusion criteria and codes to align as much as possible with the registry definition of isolated CABG procedures. </w:t>
      </w:r>
    </w:p>
    <w:p w14:paraId="18E3C86B" w14:textId="77777777" w:rsidR="00D35722" w:rsidRPr="00D35722" w:rsidRDefault="00D35722" w:rsidP="00BD2818">
      <w:pPr>
        <w:autoSpaceDE w:val="0"/>
        <w:autoSpaceDN w:val="0"/>
        <w:adjustRightInd w:val="0"/>
        <w:spacing w:before="120" w:after="120" w:line="240" w:lineRule="auto"/>
        <w:rPr>
          <w:rFonts w:cstheme="minorHAnsi"/>
          <w:bCs/>
          <w:color w:val="7030A0"/>
          <w:u w:val="single"/>
        </w:rPr>
      </w:pPr>
      <w:r w:rsidRPr="00D35722">
        <w:rPr>
          <w:rFonts w:cstheme="minorHAnsi"/>
          <w:bCs/>
          <w:color w:val="7030A0"/>
          <w:u w:val="single"/>
        </w:rPr>
        <w:t>Validation of the administrative risk adjustment model</w:t>
      </w:r>
    </w:p>
    <w:p w14:paraId="2700AFD9" w14:textId="49CE91BF" w:rsidR="00D35722" w:rsidRPr="00D35722" w:rsidRDefault="00D35722" w:rsidP="00BD2818">
      <w:pPr>
        <w:autoSpaceDE w:val="0"/>
        <w:autoSpaceDN w:val="0"/>
        <w:adjustRightInd w:val="0"/>
        <w:spacing w:before="120" w:after="120" w:line="240" w:lineRule="auto"/>
        <w:rPr>
          <w:rFonts w:cstheme="minorHAnsi"/>
          <w:bCs/>
          <w:color w:val="7030A0"/>
        </w:rPr>
      </w:pPr>
      <w:r w:rsidRPr="00D35722">
        <w:rPr>
          <w:rFonts w:cstheme="minorHAnsi"/>
          <w:bCs/>
          <w:color w:val="7030A0"/>
        </w:rPr>
        <w:t>Validation of the administrative risk</w:t>
      </w:r>
      <w:r w:rsidR="00DA0C3A">
        <w:rPr>
          <w:rFonts w:cstheme="minorHAnsi"/>
          <w:bCs/>
          <w:color w:val="7030A0"/>
        </w:rPr>
        <w:t>-</w:t>
      </w:r>
      <w:r w:rsidRPr="00D35722">
        <w:rPr>
          <w:rFonts w:cstheme="minorHAnsi"/>
          <w:bCs/>
          <w:color w:val="7030A0"/>
        </w:rPr>
        <w:t>adjustment model consisted of comparing the hospital-level RSRRs and performance category assigned by the administrative CABG readmission measure detailed in this application in the matched cohort of CABG patients to the RSRRs calculated and performance category assigned by the STS clinical data-based CABG readmission measure (also in the matched cohort and using identical methods for defining the outcome and performance categorization). For each of the two measures, RSRRs were estimated in a hierarchical logistic regression model with hospital-specific random intercept parameters. Methods of estimation were identical to the currently publicly reported CMS mortality and readmission measures for Acute Myocardial Infarction, Heart Failure and Pneumonia. A bootstrapping algorithm was used to construct a 95% interval estimate for each RSRR. To complete this analysis, we categorized hospitals into three performance groups -- “Better”, “Same” and “Worse” than the national rate -- according to the methodology used for the currently publicly reported CMS mortality and readmission measures. We classified a hospital as performing “Better than the national rate” if the 95% interval estimate for that hospital was entirely below the overall aggregate readmission rate for all hospitals, “Worse than the national rate” if the estimate for that hospital was entirely above the overall aggregate readmission rate, and “Same as the national rate” if the estimate included the overall aggregate readmission rate.</w:t>
      </w:r>
    </w:p>
    <w:p w14:paraId="67B12C65" w14:textId="77777777" w:rsidR="00D35722" w:rsidRPr="00D35722" w:rsidRDefault="00D35722" w:rsidP="00BD2818">
      <w:pPr>
        <w:autoSpaceDE w:val="0"/>
        <w:autoSpaceDN w:val="0"/>
        <w:adjustRightInd w:val="0"/>
        <w:spacing w:before="120" w:after="120" w:line="240" w:lineRule="auto"/>
        <w:rPr>
          <w:rFonts w:cstheme="minorHAnsi"/>
          <w:bCs/>
          <w:color w:val="7030A0"/>
          <w:u w:val="single"/>
        </w:rPr>
      </w:pPr>
      <w:r w:rsidRPr="00D35722">
        <w:rPr>
          <w:rFonts w:cstheme="minorHAnsi"/>
          <w:bCs/>
          <w:color w:val="7030A0"/>
          <w:u w:val="single"/>
        </w:rPr>
        <w:t>Statement of Intent and Process of Conversion</w:t>
      </w:r>
    </w:p>
    <w:p w14:paraId="2D10C89B" w14:textId="11E073FD" w:rsidR="00D35722" w:rsidRPr="00D35722" w:rsidRDefault="00D35722" w:rsidP="00BD2818">
      <w:pPr>
        <w:autoSpaceDE w:val="0"/>
        <w:autoSpaceDN w:val="0"/>
        <w:adjustRightInd w:val="0"/>
        <w:spacing w:before="120" w:after="120" w:line="240" w:lineRule="auto"/>
        <w:rPr>
          <w:rFonts w:cstheme="minorHAnsi"/>
          <w:bCs/>
          <w:color w:val="7030A0"/>
        </w:rPr>
      </w:pPr>
      <w:r w:rsidRPr="00D35722">
        <w:rPr>
          <w:rFonts w:cstheme="minorHAnsi"/>
          <w:bCs/>
          <w:color w:val="7030A0"/>
        </w:rPr>
        <w:t>This application includes ICD-10 codes that correspond to the ICD-9 codes included in our measure specifications. The goal of conversion to ICD-10 was to convert this measure to a new code set, fully consistent with the intent of the original measure. ICD-10 codes were initially identified using 2016</w:t>
      </w:r>
      <w:r w:rsidR="00DA0C3A">
        <w:rPr>
          <w:rFonts w:cstheme="minorHAnsi"/>
          <w:bCs/>
          <w:color w:val="7030A0"/>
        </w:rPr>
        <w:t xml:space="preserve"> general equivalence mapping</w:t>
      </w:r>
      <w:r w:rsidRPr="00D35722">
        <w:rPr>
          <w:rFonts w:cstheme="minorHAnsi"/>
          <w:bCs/>
          <w:color w:val="7030A0"/>
        </w:rPr>
        <w:t xml:space="preserve"> </w:t>
      </w:r>
      <w:r w:rsidR="00DA0C3A">
        <w:rPr>
          <w:rFonts w:cstheme="minorHAnsi"/>
          <w:bCs/>
          <w:color w:val="7030A0"/>
        </w:rPr>
        <w:t>(</w:t>
      </w:r>
      <w:r w:rsidRPr="00D35722">
        <w:rPr>
          <w:rFonts w:cstheme="minorHAnsi"/>
          <w:bCs/>
          <w:color w:val="7030A0"/>
        </w:rPr>
        <w:t>GEM</w:t>
      </w:r>
      <w:r w:rsidR="00DA0C3A">
        <w:rPr>
          <w:rFonts w:cstheme="minorHAnsi"/>
          <w:bCs/>
          <w:color w:val="7030A0"/>
        </w:rPr>
        <w:t>)</w:t>
      </w:r>
      <w:r w:rsidRPr="00D35722">
        <w:rPr>
          <w:rFonts w:cstheme="minorHAnsi"/>
          <w:bCs/>
          <w:color w:val="7030A0"/>
        </w:rPr>
        <w:t xml:space="preserve"> software. We then enlisted the help of clinicians with expertise in relevant areas to select and evaluate which ICD-10 codes map to the ICD-9 codes currently in use for this measure.</w:t>
      </w:r>
      <w:r w:rsidR="00B324DA">
        <w:rPr>
          <w:rFonts w:cstheme="minorHAnsi"/>
          <w:bCs/>
          <w:color w:val="7030A0"/>
        </w:rPr>
        <w:t xml:space="preserve"> </w:t>
      </w:r>
      <w:r w:rsidRPr="00D35722">
        <w:rPr>
          <w:rFonts w:cstheme="minorHAnsi"/>
          <w:bCs/>
          <w:color w:val="7030A0"/>
        </w:rPr>
        <w:t>We examined this ICD-10 code set in a 6-month sample of ICD-10-coded claims submitted by hospitals after October 1,2016. The ICD-10-based specifications are attached in field the Data Dictionary.</w:t>
      </w:r>
    </w:p>
    <w:p w14:paraId="4EAD5E7A" w14:textId="2EA1CE3A" w:rsidR="00D35722" w:rsidRDefault="00D35722" w:rsidP="00D35722">
      <w:pPr>
        <w:autoSpaceDE w:val="0"/>
        <w:autoSpaceDN w:val="0"/>
        <w:adjustRightInd w:val="0"/>
        <w:spacing w:after="0" w:line="240" w:lineRule="auto"/>
        <w:rPr>
          <w:rFonts w:cstheme="minorHAnsi"/>
          <w:bCs/>
          <w:color w:val="7030A0"/>
        </w:rPr>
      </w:pPr>
      <w:r w:rsidRPr="00B324DA">
        <w:rPr>
          <w:rFonts w:cstheme="minorHAnsi"/>
          <w:bCs/>
          <w:color w:val="7030A0"/>
          <w:u w:val="single"/>
        </w:rPr>
        <w:t>References</w:t>
      </w:r>
      <w:r w:rsidRPr="00D35722">
        <w:rPr>
          <w:rFonts w:cstheme="minorHAnsi"/>
          <w:bCs/>
          <w:color w:val="7030A0"/>
        </w:rPr>
        <w:t>:</w:t>
      </w:r>
    </w:p>
    <w:p w14:paraId="107163D6" w14:textId="668789F9" w:rsidR="00DA0C3A" w:rsidRDefault="00DA0C3A" w:rsidP="00E1127C">
      <w:pPr>
        <w:autoSpaceDE w:val="0"/>
        <w:autoSpaceDN w:val="0"/>
        <w:adjustRightInd w:val="0"/>
        <w:spacing w:before="120" w:after="0" w:line="240" w:lineRule="auto"/>
        <w:rPr>
          <w:rFonts w:cstheme="minorHAnsi"/>
          <w:bCs/>
          <w:color w:val="7030A0"/>
        </w:rPr>
      </w:pPr>
      <w:proofErr w:type="spellStart"/>
      <w:r w:rsidRPr="00D35722">
        <w:rPr>
          <w:rFonts w:cstheme="minorHAnsi"/>
          <w:bCs/>
          <w:color w:val="7030A0"/>
        </w:rPr>
        <w:t>Bratzler</w:t>
      </w:r>
      <w:proofErr w:type="spellEnd"/>
      <w:r w:rsidRPr="00D35722">
        <w:rPr>
          <w:rFonts w:cstheme="minorHAnsi"/>
          <w:bCs/>
          <w:color w:val="7030A0"/>
        </w:rPr>
        <w:t xml:space="preserve"> DW, Normand SL, Wang Y, O'Donnell WJ, </w:t>
      </w:r>
      <w:proofErr w:type="spellStart"/>
      <w:r w:rsidRPr="00D35722">
        <w:rPr>
          <w:rFonts w:cstheme="minorHAnsi"/>
          <w:bCs/>
          <w:color w:val="7030A0"/>
        </w:rPr>
        <w:t>Metersky</w:t>
      </w:r>
      <w:proofErr w:type="spellEnd"/>
      <w:r w:rsidRPr="00D35722">
        <w:rPr>
          <w:rFonts w:cstheme="minorHAnsi"/>
          <w:bCs/>
          <w:color w:val="7030A0"/>
        </w:rPr>
        <w:t xml:space="preserve"> M, Han LF, Rapp MT, Krumholz HM. An administrative claims model for profiling hospital 30-day mortality rates for pneumonia patients. Public Library of Science One. 2011 Apr 12;6(4</w:t>
      </w:r>
      <w:proofErr w:type="gramStart"/>
      <w:r w:rsidRPr="00D35722">
        <w:rPr>
          <w:rFonts w:cstheme="minorHAnsi"/>
          <w:bCs/>
          <w:color w:val="7030A0"/>
        </w:rPr>
        <w:t>):e</w:t>
      </w:r>
      <w:proofErr w:type="gramEnd"/>
      <w:r w:rsidRPr="00D35722">
        <w:rPr>
          <w:rFonts w:cstheme="minorHAnsi"/>
          <w:bCs/>
          <w:color w:val="7030A0"/>
        </w:rPr>
        <w:t>17401.</w:t>
      </w:r>
    </w:p>
    <w:p w14:paraId="06D4A5D5" w14:textId="5422C5B3" w:rsidR="00DA0C3A" w:rsidRDefault="00DA0C3A" w:rsidP="00E1127C">
      <w:pPr>
        <w:autoSpaceDE w:val="0"/>
        <w:autoSpaceDN w:val="0"/>
        <w:adjustRightInd w:val="0"/>
        <w:spacing w:before="120" w:after="0" w:line="240" w:lineRule="auto"/>
        <w:rPr>
          <w:rFonts w:cstheme="minorHAnsi"/>
          <w:bCs/>
          <w:color w:val="7030A0"/>
        </w:rPr>
      </w:pPr>
      <w:r w:rsidRPr="00D35722">
        <w:rPr>
          <w:rFonts w:cstheme="minorHAnsi"/>
          <w:bCs/>
          <w:color w:val="7030A0"/>
        </w:rPr>
        <w:t xml:space="preserve">Keenan PS, Normand SL, Lin Z, Drye EE, Bhat KR, Ross JS, Schuur JD, Stauffer BD, Bernheim SM, Epstein AJ, Wang Y-F, Herrin J, Chen J, Federer JJ, Mattera JA, Wang Y, Krumholz HM. </w:t>
      </w:r>
      <w:proofErr w:type="gramStart"/>
      <w:r w:rsidRPr="00D35722">
        <w:rPr>
          <w:rFonts w:cstheme="minorHAnsi"/>
          <w:bCs/>
          <w:color w:val="7030A0"/>
        </w:rPr>
        <w:t>An administrative claims</w:t>
      </w:r>
      <w:proofErr w:type="gramEnd"/>
      <w:r w:rsidRPr="00D35722">
        <w:rPr>
          <w:rFonts w:cstheme="minorHAnsi"/>
          <w:bCs/>
          <w:color w:val="7030A0"/>
        </w:rPr>
        <w:t xml:space="preserve"> measure suitable for profiling hospital performance on the basis of 30-day all-cause readmission rates among patients with heart failure. Circulation: Cardiovascular Quality and Outcomes. 2008 Sep;1(1):29-37.</w:t>
      </w:r>
    </w:p>
    <w:p w14:paraId="550733D3" w14:textId="77777777" w:rsidR="00DA0C3A" w:rsidRDefault="00DA0C3A" w:rsidP="00D35722">
      <w:pPr>
        <w:autoSpaceDE w:val="0"/>
        <w:autoSpaceDN w:val="0"/>
        <w:adjustRightInd w:val="0"/>
        <w:spacing w:after="0" w:line="240" w:lineRule="auto"/>
        <w:rPr>
          <w:rFonts w:cstheme="minorHAnsi"/>
          <w:bCs/>
          <w:color w:val="7030A0"/>
        </w:rPr>
      </w:pPr>
    </w:p>
    <w:p w14:paraId="33267EA7" w14:textId="55312E73" w:rsidR="00DA0C3A" w:rsidRPr="00D35722" w:rsidRDefault="00DA0C3A" w:rsidP="00D35722">
      <w:pPr>
        <w:autoSpaceDE w:val="0"/>
        <w:autoSpaceDN w:val="0"/>
        <w:adjustRightInd w:val="0"/>
        <w:spacing w:after="0" w:line="240" w:lineRule="auto"/>
        <w:rPr>
          <w:rFonts w:cstheme="minorHAnsi"/>
          <w:bCs/>
          <w:color w:val="7030A0"/>
        </w:rPr>
      </w:pPr>
      <w:r w:rsidRPr="00D35722">
        <w:rPr>
          <w:rFonts w:cstheme="minorHAnsi"/>
          <w:bCs/>
          <w:color w:val="7030A0"/>
        </w:rPr>
        <w:t xml:space="preserve">Krumholz HM, </w:t>
      </w:r>
      <w:proofErr w:type="spellStart"/>
      <w:r w:rsidRPr="00D35722">
        <w:rPr>
          <w:rFonts w:cstheme="minorHAnsi"/>
          <w:bCs/>
          <w:color w:val="7030A0"/>
        </w:rPr>
        <w:t>Brindis</w:t>
      </w:r>
      <w:proofErr w:type="spellEnd"/>
      <w:r w:rsidRPr="00D35722">
        <w:rPr>
          <w:rFonts w:cstheme="minorHAnsi"/>
          <w:bCs/>
          <w:color w:val="7030A0"/>
        </w:rPr>
        <w:t xml:space="preserve"> RG, Brush JE, et al. Standards for Statistical Models Used for Public Reporting of Health Outcomes: An American Heart Association Scientific Statement </w:t>
      </w:r>
      <w:proofErr w:type="gramStart"/>
      <w:r w:rsidRPr="00D35722">
        <w:rPr>
          <w:rFonts w:cstheme="minorHAnsi"/>
          <w:bCs/>
          <w:color w:val="7030A0"/>
        </w:rPr>
        <w:t>From</w:t>
      </w:r>
      <w:proofErr w:type="gramEnd"/>
      <w:r w:rsidRPr="00D35722">
        <w:rPr>
          <w:rFonts w:cstheme="minorHAnsi"/>
          <w:bCs/>
          <w:color w:val="7030A0"/>
        </w:rPr>
        <w:t xml:space="preserve"> the Quality of Care and Outcomes Research Interdisciplinary Writing Group: Cosponsored by the Council on Epidemiology and Prevention and the Stroke Council Endorsed by the American College of Cardiology Foundation. Ci</w:t>
      </w:r>
      <w:r>
        <w:rPr>
          <w:rFonts w:cstheme="minorHAnsi"/>
          <w:bCs/>
          <w:color w:val="7030A0"/>
        </w:rPr>
        <w:t>rculation. 2006;113(3):456-462.</w:t>
      </w:r>
    </w:p>
    <w:p w14:paraId="18832518" w14:textId="788D99B1" w:rsidR="00DA0C3A" w:rsidRDefault="00DA0C3A" w:rsidP="00B324DA">
      <w:pPr>
        <w:autoSpaceDE w:val="0"/>
        <w:autoSpaceDN w:val="0"/>
        <w:adjustRightInd w:val="0"/>
        <w:spacing w:before="120" w:after="0" w:line="240" w:lineRule="auto"/>
        <w:rPr>
          <w:rFonts w:cstheme="minorHAnsi"/>
          <w:bCs/>
          <w:color w:val="7030A0"/>
        </w:rPr>
      </w:pPr>
      <w:r w:rsidRPr="00D35722">
        <w:rPr>
          <w:rFonts w:cstheme="minorHAnsi"/>
          <w:bCs/>
          <w:color w:val="7030A0"/>
        </w:rPr>
        <w:t xml:space="preserve">Krumholz HM, Lin Z, Drye EE, Desai MM, Han LF, Rapp MT, Mattera JA, Normand SL. </w:t>
      </w:r>
      <w:proofErr w:type="gramStart"/>
      <w:r w:rsidRPr="00D35722">
        <w:rPr>
          <w:rFonts w:cstheme="minorHAnsi"/>
          <w:bCs/>
          <w:color w:val="7030A0"/>
        </w:rPr>
        <w:t>An administrative claims</w:t>
      </w:r>
      <w:proofErr w:type="gramEnd"/>
      <w:r w:rsidRPr="00D35722">
        <w:rPr>
          <w:rFonts w:cstheme="minorHAnsi"/>
          <w:bCs/>
          <w:color w:val="7030A0"/>
        </w:rPr>
        <w:t xml:space="preserve"> measure suitable for profiling hospital performance based on 30-day all-cause readmission rates among patients with acute myocardial infarction. Circulation: Cardiovascular Quality and Outcomes. 2011 Mar 1;4(2):243-52.</w:t>
      </w:r>
    </w:p>
    <w:p w14:paraId="6C0E598A" w14:textId="6B4E1B0D" w:rsidR="00D35722" w:rsidRPr="00D35722" w:rsidRDefault="00D35722" w:rsidP="00B324DA">
      <w:pPr>
        <w:autoSpaceDE w:val="0"/>
        <w:autoSpaceDN w:val="0"/>
        <w:adjustRightInd w:val="0"/>
        <w:spacing w:before="120" w:after="0" w:line="240" w:lineRule="auto"/>
        <w:rPr>
          <w:rFonts w:cstheme="minorHAnsi"/>
          <w:bCs/>
          <w:color w:val="7030A0"/>
        </w:rPr>
      </w:pPr>
      <w:r w:rsidRPr="00D35722">
        <w:rPr>
          <w:rFonts w:cstheme="minorHAnsi"/>
          <w:bCs/>
          <w:color w:val="7030A0"/>
        </w:rPr>
        <w:t xml:space="preserve">Krumholz HM, Wang Y, Mattera JA, Wang Y-F, Han LF, </w:t>
      </w:r>
      <w:proofErr w:type="spellStart"/>
      <w:r w:rsidRPr="00D35722">
        <w:rPr>
          <w:rFonts w:cstheme="minorHAnsi"/>
          <w:bCs/>
          <w:color w:val="7030A0"/>
        </w:rPr>
        <w:t>Ingber</w:t>
      </w:r>
      <w:proofErr w:type="spellEnd"/>
      <w:r w:rsidRPr="00D35722">
        <w:rPr>
          <w:rFonts w:cstheme="minorHAnsi"/>
          <w:bCs/>
          <w:color w:val="7030A0"/>
        </w:rPr>
        <w:t xml:space="preserve"> MJ, Roman S, Normand SL. An administrative claims model suitable for profiling hospital performance based on 30-day mortality rates among patients with an acute myocardial infarction. Circulation. 2006 Apr 4;113(13):1683-92.</w:t>
      </w:r>
    </w:p>
    <w:p w14:paraId="4BB870D9" w14:textId="2E70B663" w:rsidR="00D35722" w:rsidRPr="00D35722" w:rsidRDefault="00D35722" w:rsidP="00B324DA">
      <w:pPr>
        <w:autoSpaceDE w:val="0"/>
        <w:autoSpaceDN w:val="0"/>
        <w:adjustRightInd w:val="0"/>
        <w:spacing w:before="120" w:after="0" w:line="240" w:lineRule="auto"/>
        <w:rPr>
          <w:rFonts w:cstheme="minorHAnsi"/>
          <w:bCs/>
          <w:color w:val="7030A0"/>
        </w:rPr>
      </w:pPr>
      <w:r w:rsidRPr="00D35722">
        <w:rPr>
          <w:rFonts w:cstheme="minorHAnsi"/>
          <w:bCs/>
          <w:color w:val="7030A0"/>
        </w:rPr>
        <w:t xml:space="preserve">Krumholz HM, Wang Y, Mattera JA, Wang Y-F, Han LF, </w:t>
      </w:r>
      <w:proofErr w:type="spellStart"/>
      <w:r w:rsidRPr="00D35722">
        <w:rPr>
          <w:rFonts w:cstheme="minorHAnsi"/>
          <w:bCs/>
          <w:color w:val="7030A0"/>
        </w:rPr>
        <w:t>Ingber</w:t>
      </w:r>
      <w:proofErr w:type="spellEnd"/>
      <w:r w:rsidRPr="00D35722">
        <w:rPr>
          <w:rFonts w:cstheme="minorHAnsi"/>
          <w:bCs/>
          <w:color w:val="7030A0"/>
        </w:rPr>
        <w:t xml:space="preserve"> MJ, Roman S, Normand SL. An administrative claims model suitable for profiling hospital performance based on 30-day mortality rates among patients with heart failure. Circulation. 2006 Apr 4;113(13):1693-701.</w:t>
      </w:r>
    </w:p>
    <w:p w14:paraId="69FC8BB3" w14:textId="0602F5AB" w:rsidR="00D35722" w:rsidRPr="00D35722" w:rsidRDefault="00D35722" w:rsidP="00B324DA">
      <w:pPr>
        <w:autoSpaceDE w:val="0"/>
        <w:autoSpaceDN w:val="0"/>
        <w:adjustRightInd w:val="0"/>
        <w:spacing w:before="120" w:after="0" w:line="240" w:lineRule="auto"/>
        <w:rPr>
          <w:rFonts w:cstheme="minorHAnsi"/>
          <w:bCs/>
          <w:color w:val="7030A0"/>
        </w:rPr>
      </w:pPr>
      <w:proofErr w:type="spellStart"/>
      <w:r w:rsidRPr="00D35722">
        <w:rPr>
          <w:rFonts w:cstheme="minorHAnsi"/>
          <w:bCs/>
          <w:color w:val="7030A0"/>
        </w:rPr>
        <w:t>Lindenauer</w:t>
      </w:r>
      <w:proofErr w:type="spellEnd"/>
      <w:r w:rsidRPr="00D35722">
        <w:rPr>
          <w:rFonts w:cstheme="minorHAnsi"/>
          <w:bCs/>
          <w:color w:val="7030A0"/>
        </w:rPr>
        <w:t xml:space="preserve"> PK, Normand SL, Drye EE, Lin Z, Goodrich K, Desai MM, </w:t>
      </w:r>
      <w:proofErr w:type="spellStart"/>
      <w:r w:rsidRPr="00D35722">
        <w:rPr>
          <w:rFonts w:cstheme="minorHAnsi"/>
          <w:bCs/>
          <w:color w:val="7030A0"/>
        </w:rPr>
        <w:t>Bratzler</w:t>
      </w:r>
      <w:proofErr w:type="spellEnd"/>
      <w:r w:rsidRPr="00D35722">
        <w:rPr>
          <w:rFonts w:cstheme="minorHAnsi"/>
          <w:bCs/>
          <w:color w:val="7030A0"/>
        </w:rPr>
        <w:t xml:space="preserve"> DW, O'Donnell WJ, </w:t>
      </w:r>
      <w:proofErr w:type="spellStart"/>
      <w:r w:rsidRPr="00D35722">
        <w:rPr>
          <w:rFonts w:cstheme="minorHAnsi"/>
          <w:bCs/>
          <w:color w:val="7030A0"/>
        </w:rPr>
        <w:t>Metersky</w:t>
      </w:r>
      <w:proofErr w:type="spellEnd"/>
      <w:r w:rsidRPr="00D35722">
        <w:rPr>
          <w:rFonts w:cstheme="minorHAnsi"/>
          <w:bCs/>
          <w:color w:val="7030A0"/>
        </w:rPr>
        <w:t xml:space="preserve"> ML, Krumholz HM. Development, validation, and results of a measure of 30-day readmission following hospitalization for pneumonia. Journal of Hospital Medicine. 2011 Mar;6(3):142-50.</w:t>
      </w:r>
    </w:p>
    <w:p w14:paraId="188846C5" w14:textId="3A9757E5" w:rsidR="00D35722" w:rsidRPr="00D35722" w:rsidRDefault="00D35722" w:rsidP="00B324DA">
      <w:pPr>
        <w:autoSpaceDE w:val="0"/>
        <w:autoSpaceDN w:val="0"/>
        <w:adjustRightInd w:val="0"/>
        <w:spacing w:before="120" w:after="0" w:line="240" w:lineRule="auto"/>
        <w:rPr>
          <w:rFonts w:cstheme="minorHAnsi"/>
          <w:bCs/>
          <w:color w:val="7030A0"/>
        </w:rPr>
      </w:pPr>
      <w:r w:rsidRPr="00D35722">
        <w:rPr>
          <w:rFonts w:cstheme="minorHAnsi"/>
          <w:bCs/>
          <w:color w:val="7030A0"/>
        </w:rPr>
        <w:t>National Quality Forum. National voluntary consensus standards for patient outcomes, first report for phases 1 and 2: A consensus report http://www.qualityforum.org/projects/Patient_Outcome_Measures_Phases1-2.aspx. Accessed August 19, 2010.</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49A16437" w14:textId="7D63438B" w:rsidR="004915B2"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07BE554" w14:textId="1DA7845D" w:rsidR="0025573F" w:rsidRPr="0025573F" w:rsidRDefault="0025573F" w:rsidP="00BD2818">
      <w:pPr>
        <w:autoSpaceDE w:val="0"/>
        <w:autoSpaceDN w:val="0"/>
        <w:adjustRightInd w:val="0"/>
        <w:spacing w:before="120" w:after="120"/>
        <w:rPr>
          <w:rFonts w:cstheme="minorHAnsi"/>
          <w:bCs/>
          <w:color w:val="00B0F0"/>
          <w:u w:val="single"/>
        </w:rPr>
      </w:pPr>
      <w:bookmarkStart w:id="23" w:name="_Hlk42099732"/>
      <w:r w:rsidRPr="0025573F">
        <w:rPr>
          <w:rFonts w:cstheme="minorHAnsi"/>
          <w:bCs/>
          <w:color w:val="00B0F0"/>
          <w:u w:val="single"/>
        </w:rPr>
        <w:t>TEP Face Validity</w:t>
      </w:r>
    </w:p>
    <w:p w14:paraId="6ECDD167" w14:textId="6D7A3465" w:rsidR="0025573F" w:rsidRDefault="0025573F" w:rsidP="0025573F">
      <w:pPr>
        <w:autoSpaceDE w:val="0"/>
        <w:autoSpaceDN w:val="0"/>
        <w:adjustRightInd w:val="0"/>
        <w:spacing w:before="120" w:after="120" w:line="240" w:lineRule="auto"/>
        <w:rPr>
          <w:rFonts w:cstheme="minorHAnsi"/>
          <w:bCs/>
          <w:color w:val="00B0F0"/>
        </w:rPr>
      </w:pPr>
      <w:r>
        <w:rPr>
          <w:rFonts w:cstheme="minorHAnsi"/>
          <w:bCs/>
          <w:color w:val="00B0F0"/>
        </w:rPr>
        <w:t>As mentioned above,</w:t>
      </w:r>
      <w:r w:rsidRPr="0025573F">
        <w:rPr>
          <w:rFonts w:cstheme="minorHAnsi"/>
          <w:bCs/>
          <w:color w:val="00B0F0"/>
        </w:rPr>
        <w:t xml:space="preserve"> during measure development we established th</w:t>
      </w:r>
      <w:r>
        <w:rPr>
          <w:rFonts w:cstheme="minorHAnsi"/>
          <w:bCs/>
          <w:color w:val="00B0F0"/>
        </w:rPr>
        <w:t>e face validity of the measure through a systematic survey of</w:t>
      </w:r>
      <w:r w:rsidRPr="0025573F">
        <w:rPr>
          <w:rFonts w:cstheme="minorHAnsi"/>
          <w:bCs/>
          <w:color w:val="00B0F0"/>
        </w:rPr>
        <w:t xml:space="preserve"> t</w:t>
      </w:r>
      <w:r>
        <w:rPr>
          <w:rFonts w:cstheme="minorHAnsi"/>
          <w:bCs/>
          <w:color w:val="00B0F0"/>
        </w:rPr>
        <w:t>he Technical Expert Panel (TEP).  E</w:t>
      </w:r>
      <w:r w:rsidRPr="0025573F">
        <w:rPr>
          <w:rFonts w:cstheme="minorHAnsi"/>
          <w:bCs/>
          <w:color w:val="00B0F0"/>
        </w:rPr>
        <w:t xml:space="preserve">ach member </w:t>
      </w:r>
      <w:r>
        <w:rPr>
          <w:rFonts w:cstheme="minorHAnsi"/>
          <w:bCs/>
          <w:color w:val="00B0F0"/>
        </w:rPr>
        <w:t xml:space="preserve">was asked </w:t>
      </w:r>
      <w:r w:rsidRPr="0025573F">
        <w:rPr>
          <w:rFonts w:cstheme="minorHAnsi"/>
          <w:bCs/>
          <w:color w:val="00B0F0"/>
        </w:rPr>
        <w:t>to rate the following statement using a six-point scale (1=Strongly Disagree, 2=Moderately Disagree, 3=Somewhat Disagree, 4=Somewhat Agree, 5= Moderately Agree, and 6=Strongly Agree): “The readmission rates obtained from the readmission measure as specified will provide an accurate reflection of quality.”</w:t>
      </w:r>
    </w:p>
    <w:p w14:paraId="2867D369" w14:textId="0D4F0316" w:rsidR="0025573F" w:rsidRPr="0025573F" w:rsidRDefault="0025573F" w:rsidP="0025573F">
      <w:pPr>
        <w:autoSpaceDE w:val="0"/>
        <w:autoSpaceDN w:val="0"/>
        <w:adjustRightInd w:val="0"/>
        <w:spacing w:before="120" w:after="120" w:line="240" w:lineRule="auto"/>
        <w:rPr>
          <w:rFonts w:cstheme="minorHAnsi"/>
          <w:bCs/>
          <w:color w:val="00B0F0"/>
          <w:u w:val="single"/>
        </w:rPr>
      </w:pPr>
      <w:r w:rsidRPr="0025573F">
        <w:rPr>
          <w:rFonts w:cstheme="minorHAnsi"/>
          <w:bCs/>
          <w:color w:val="00B0F0"/>
        </w:rPr>
        <w:t>Fourteen TEP members responded to the survey question as follows: Moderately Disagreed (2), Somewhat Disagreed (2), Somewhat Agreed (4), Moderately Agreed (5), and Strongly Agreed (1). Hence, 71% of TEP members agreed (</w:t>
      </w:r>
      <w:r>
        <w:rPr>
          <w:rFonts w:cstheme="minorHAnsi"/>
          <w:bCs/>
          <w:color w:val="00B0F0"/>
        </w:rPr>
        <w:t xml:space="preserve">somewhat, moderately, or strongly) </w:t>
      </w:r>
      <w:r w:rsidRPr="0025573F">
        <w:rPr>
          <w:rFonts w:cstheme="minorHAnsi"/>
          <w:bCs/>
          <w:color w:val="00B0F0"/>
        </w:rPr>
        <w:t>that the measure will provide an accurate reflection of quality.</w:t>
      </w:r>
    </w:p>
    <w:p w14:paraId="05AE939F" w14:textId="37B4A697" w:rsidR="00BD2818" w:rsidRPr="00BD2818" w:rsidRDefault="00BD2818" w:rsidP="00BD2818">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CABG RSRRs and Star-Rating</w:t>
      </w:r>
      <w:r w:rsidRPr="002B4433">
        <w:rPr>
          <w:rFonts w:cstheme="minorHAnsi"/>
          <w:bCs/>
          <w:color w:val="C00000"/>
          <w:u w:val="single"/>
        </w:rPr>
        <w:t xml:space="preserve"> Readmission Group Scores</w:t>
      </w:r>
      <w:bookmarkEnd w:id="23"/>
    </w:p>
    <w:p w14:paraId="40AA7991" w14:textId="1AE51CCC" w:rsidR="00D35722" w:rsidRPr="00D35722" w:rsidRDefault="00E6062F" w:rsidP="00D35722">
      <w:pPr>
        <w:autoSpaceDE w:val="0"/>
        <w:autoSpaceDN w:val="0"/>
        <w:adjustRightInd w:val="0"/>
        <w:spacing w:after="0" w:line="240" w:lineRule="auto"/>
        <w:rPr>
          <w:rFonts w:cstheme="minorHAnsi"/>
          <w:bCs/>
          <w:color w:val="C00000"/>
        </w:rPr>
      </w:pPr>
      <w:r>
        <w:rPr>
          <w:rFonts w:cstheme="minorHAnsi"/>
          <w:bCs/>
          <w:color w:val="C00000"/>
        </w:rPr>
        <w:t>Figure 1</w:t>
      </w:r>
      <w:r w:rsidR="00D35722" w:rsidRPr="00D35722">
        <w:rPr>
          <w:rFonts w:cstheme="minorHAnsi"/>
          <w:bCs/>
          <w:color w:val="C00000"/>
        </w:rPr>
        <w:t xml:space="preserve"> shows the box-whisker plots of the CABG readmission measure RSRRs within each quartile of Star-Rating readmission scores. The blue circles represent the mean RSRRs of Star-Rating readmission score quartiles. The correlation between CABG RSRRs and Star-Rating readmissions score is -0.</w:t>
      </w:r>
      <w:r w:rsidR="00525909">
        <w:rPr>
          <w:rFonts w:cstheme="minorHAnsi"/>
          <w:bCs/>
          <w:color w:val="C00000"/>
        </w:rPr>
        <w:t>307</w:t>
      </w:r>
      <w:r w:rsidR="00D35722" w:rsidRPr="00D35722">
        <w:rPr>
          <w:rFonts w:cstheme="minorHAnsi"/>
          <w:bCs/>
          <w:color w:val="C00000"/>
        </w:rPr>
        <w:t>, which suggests that hospitals with lower CABG RSRRs are more likely to have higher Star-Rating readmission scores.</w:t>
      </w:r>
    </w:p>
    <w:p w14:paraId="4A4EA519" w14:textId="77777777" w:rsidR="00D35722" w:rsidRPr="00D35722" w:rsidRDefault="00D35722" w:rsidP="00D35722">
      <w:pPr>
        <w:autoSpaceDE w:val="0"/>
        <w:autoSpaceDN w:val="0"/>
        <w:adjustRightInd w:val="0"/>
        <w:spacing w:after="0" w:line="240" w:lineRule="auto"/>
        <w:rPr>
          <w:rFonts w:cstheme="minorHAnsi"/>
          <w:bCs/>
          <w:color w:val="C00000"/>
        </w:rPr>
      </w:pPr>
    </w:p>
    <w:p w14:paraId="15F2382D" w14:textId="72110B21" w:rsidR="00BD2818" w:rsidRPr="00BD2818" w:rsidRDefault="00E6062F" w:rsidP="00BD2818">
      <w:pPr>
        <w:autoSpaceDE w:val="0"/>
        <w:autoSpaceDN w:val="0"/>
        <w:adjustRightInd w:val="0"/>
        <w:spacing w:after="0" w:line="240" w:lineRule="auto"/>
        <w:rPr>
          <w:rFonts w:cstheme="minorHAnsi"/>
          <w:bCs/>
          <w:color w:val="C00000"/>
        </w:rPr>
      </w:pPr>
      <w:r>
        <w:rPr>
          <w:rFonts w:cstheme="minorHAnsi"/>
          <w:bCs/>
          <w:color w:val="C00000"/>
        </w:rPr>
        <w:lastRenderedPageBreak/>
        <w:t>Figure 1</w:t>
      </w:r>
      <w:r w:rsidR="00D35722" w:rsidRPr="00D35722">
        <w:rPr>
          <w:rFonts w:cstheme="minorHAnsi"/>
          <w:bCs/>
          <w:color w:val="C00000"/>
        </w:rPr>
        <w:t>.</w:t>
      </w:r>
      <w:r w:rsidR="00D35722">
        <w:rPr>
          <w:rFonts w:cstheme="minorHAnsi"/>
          <w:bCs/>
          <w:color w:val="C00000"/>
        </w:rPr>
        <w:t xml:space="preserve"> Box-whisker plots of the CABG readmission measure RSRRs within each quartile of Star Rating readmission scores</w:t>
      </w:r>
    </w:p>
    <w:p w14:paraId="73AED0CA" w14:textId="5E710218" w:rsidR="00BD2818" w:rsidRDefault="00BD2818" w:rsidP="00BD2818">
      <w:pPr>
        <w:autoSpaceDE w:val="0"/>
        <w:autoSpaceDN w:val="0"/>
        <w:adjustRightInd w:val="0"/>
        <w:spacing w:after="0" w:line="240" w:lineRule="auto"/>
        <w:rPr>
          <w:rFonts w:cstheme="minorHAnsi"/>
          <w:bCs/>
          <w:color w:val="C00000"/>
        </w:rPr>
      </w:pPr>
    </w:p>
    <w:p w14:paraId="49F73360" w14:textId="550E09EC" w:rsidR="00BD2818" w:rsidRDefault="00525909" w:rsidP="00B324DA">
      <w:pPr>
        <w:spacing w:after="120" w:line="240" w:lineRule="auto"/>
        <w:rPr>
          <w:rFonts w:cstheme="minorHAnsi"/>
          <w:bCs/>
          <w:color w:val="C00000"/>
        </w:rPr>
      </w:pPr>
      <w:r>
        <w:rPr>
          <w:rFonts w:cstheme="minorHAnsi"/>
          <w:bCs/>
          <w:noProof/>
          <w:color w:val="C00000"/>
        </w:rPr>
        <w:drawing>
          <wp:inline distT="0" distB="0" distL="0" distR="0" wp14:anchorId="28A752EE" wp14:editId="1B76B2A3">
            <wp:extent cx="4921250" cy="3692729"/>
            <wp:effectExtent l="0" t="0" r="0" b="3175"/>
            <wp:docPr id="3" name="Picture 3" descr="Figure 1 shows the box-whisker plots of the CABG readmission measure RSRRs within each quartile of Star-Rating readmission scores. The blue circles represent the mean RSRRs of Star-Rating readmission score quartiles. The correlation between CABG RSRRs and Star-Rating readmissions score is -0.307, which suggests that hospitals with lower CABG RSRRs are more likely to have higher Star-Rating readmission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3717" cy="3694580"/>
                    </a:xfrm>
                    <a:prstGeom prst="rect">
                      <a:avLst/>
                    </a:prstGeom>
                    <a:noFill/>
                  </pic:spPr>
                </pic:pic>
              </a:graphicData>
            </a:graphic>
          </wp:inline>
        </w:drawing>
      </w:r>
    </w:p>
    <w:p w14:paraId="122FD0A8" w14:textId="66ABDA57" w:rsidR="00BD2818" w:rsidRPr="00BD2818" w:rsidRDefault="00BD2818" w:rsidP="00BD2818">
      <w:pPr>
        <w:autoSpaceDE w:val="0"/>
        <w:autoSpaceDN w:val="0"/>
        <w:adjustRightInd w:val="0"/>
        <w:spacing w:before="24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CABG</w:t>
      </w:r>
      <w:r w:rsidRPr="002B4433">
        <w:rPr>
          <w:rFonts w:cstheme="minorHAnsi"/>
          <w:bCs/>
          <w:color w:val="C00000"/>
          <w:u w:val="single"/>
        </w:rPr>
        <w:t xml:space="preserve"> RSRRs and</w:t>
      </w:r>
      <w:r>
        <w:rPr>
          <w:rFonts w:cstheme="minorHAnsi"/>
          <w:bCs/>
          <w:color w:val="C00000"/>
          <w:u w:val="single"/>
        </w:rPr>
        <w:t xml:space="preserve"> Overall Star-Rating </w:t>
      </w:r>
      <w:r w:rsidRPr="002B4433">
        <w:rPr>
          <w:rFonts w:cstheme="minorHAnsi"/>
          <w:bCs/>
          <w:color w:val="C00000"/>
          <w:u w:val="single"/>
        </w:rPr>
        <w:t>Scores</w:t>
      </w:r>
    </w:p>
    <w:p w14:paraId="48D849FB" w14:textId="489BE1F9" w:rsidR="00D35722" w:rsidRPr="00D35722" w:rsidRDefault="00E6062F" w:rsidP="00B324DA">
      <w:pPr>
        <w:spacing w:after="120" w:line="240" w:lineRule="auto"/>
        <w:rPr>
          <w:rFonts w:cstheme="minorHAnsi"/>
          <w:bCs/>
          <w:color w:val="C00000"/>
        </w:rPr>
      </w:pPr>
      <w:r>
        <w:rPr>
          <w:rFonts w:cstheme="minorHAnsi"/>
          <w:bCs/>
          <w:color w:val="C00000"/>
        </w:rPr>
        <w:t>Figure 2</w:t>
      </w:r>
      <w:r w:rsidR="00D35722" w:rsidRPr="00D35722">
        <w:rPr>
          <w:rFonts w:cstheme="minorHAnsi"/>
          <w:bCs/>
          <w:color w:val="C00000"/>
        </w:rPr>
        <w:t xml:space="preserve"> shows the Box-whisker plots of the CABG readmission measure RSRRs within each quartile of Star-Rating summary scores. The blue circles represent the mean RSRRs of Star-Rating summary score quartiles. The correlation between CABG RSRRs and Sta</w:t>
      </w:r>
      <w:r w:rsidR="00525909">
        <w:rPr>
          <w:rFonts w:cstheme="minorHAnsi"/>
          <w:bCs/>
          <w:color w:val="C00000"/>
        </w:rPr>
        <w:t>r-Rating summary score is -0.238</w:t>
      </w:r>
      <w:r w:rsidR="00D35722" w:rsidRPr="00D35722">
        <w:rPr>
          <w:rFonts w:cstheme="minorHAnsi"/>
          <w:bCs/>
          <w:color w:val="C00000"/>
        </w:rPr>
        <w:t xml:space="preserve">, which suggests that hospitals with lower </w:t>
      </w:r>
      <w:r w:rsidR="00034A8A">
        <w:rPr>
          <w:rFonts w:cstheme="minorHAnsi"/>
          <w:bCs/>
          <w:color w:val="C00000"/>
        </w:rPr>
        <w:t>CABG</w:t>
      </w:r>
      <w:r w:rsidR="00D35722" w:rsidRPr="00D35722">
        <w:rPr>
          <w:rFonts w:cstheme="minorHAnsi"/>
          <w:bCs/>
          <w:color w:val="C00000"/>
        </w:rPr>
        <w:t xml:space="preserve"> RSRRs are more likely to have higher Star-Rating summary scores.</w:t>
      </w:r>
    </w:p>
    <w:p w14:paraId="2C9AF7AE" w14:textId="1FA7BA59" w:rsidR="00D35722" w:rsidRDefault="00E6062F" w:rsidP="00E1127C">
      <w:pPr>
        <w:spacing w:before="240"/>
        <w:rPr>
          <w:rFonts w:cstheme="minorHAnsi"/>
          <w:bCs/>
          <w:color w:val="C00000"/>
        </w:rPr>
      </w:pPr>
      <w:r>
        <w:rPr>
          <w:rFonts w:cstheme="minorHAnsi"/>
          <w:bCs/>
          <w:color w:val="C00000"/>
        </w:rPr>
        <w:t>Figure 2</w:t>
      </w:r>
      <w:r w:rsidR="00D35722">
        <w:rPr>
          <w:rFonts w:cstheme="minorHAnsi"/>
          <w:bCs/>
          <w:color w:val="C00000"/>
        </w:rPr>
        <w:t xml:space="preserve"> – Box-whisker plots of the CABG readmission measure RSRRs within each quartile of Star-Rating summary scores</w:t>
      </w:r>
    </w:p>
    <w:p w14:paraId="0CABCFDE" w14:textId="03584263" w:rsidR="007422FD" w:rsidRDefault="00525909" w:rsidP="00BD2818">
      <w:pPr>
        <w:rPr>
          <w:rFonts w:cstheme="minorHAnsi"/>
          <w:bCs/>
          <w:color w:val="C00000"/>
        </w:rPr>
      </w:pPr>
      <w:bookmarkStart w:id="24" w:name="_GoBack"/>
      <w:r>
        <w:rPr>
          <w:rFonts w:cstheme="minorHAnsi"/>
          <w:bCs/>
          <w:noProof/>
          <w:color w:val="C00000"/>
        </w:rPr>
        <w:lastRenderedPageBreak/>
        <w:drawing>
          <wp:inline distT="0" distB="0" distL="0" distR="0" wp14:anchorId="24E6DF51" wp14:editId="0BB1BCBC">
            <wp:extent cx="4959350" cy="3721318"/>
            <wp:effectExtent l="0" t="0" r="0" b="0"/>
            <wp:docPr id="4" name="Picture 4" descr="Figure 2 shows the Box-whisker plots of the CABG readmission measure RSRRs within each quartile of Star-Rating summary scores. The blue circles represent the mean RSRRs of Star-Rating summary score quartiles. The correlation between CABG RSRRs and Star-Rating summary score is -0.238, which suggests that hospitals with lower CABG RSRRs are more likely to have higher Star-Rating summary scores." title="Figure 2 – Box-whisker plots of the CABG readmission measure RSRRs within each quartile of Star-Rating summary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61900" cy="3723231"/>
                    </a:xfrm>
                    <a:prstGeom prst="rect">
                      <a:avLst/>
                    </a:prstGeom>
                    <a:noFill/>
                  </pic:spPr>
                </pic:pic>
              </a:graphicData>
            </a:graphic>
          </wp:inline>
        </w:drawing>
      </w:r>
      <w:bookmarkEnd w:id="24"/>
    </w:p>
    <w:p w14:paraId="41E55B8F" w14:textId="14A7624A" w:rsidR="001B38EE" w:rsidRDefault="001B38EE" w:rsidP="001B38EE">
      <w:pPr>
        <w:autoSpaceDE w:val="0"/>
        <w:autoSpaceDN w:val="0"/>
        <w:adjustRightInd w:val="0"/>
        <w:spacing w:before="24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CABG</w:t>
      </w:r>
      <w:r w:rsidRPr="002B4433">
        <w:rPr>
          <w:rFonts w:cstheme="minorHAnsi"/>
          <w:bCs/>
          <w:color w:val="C00000"/>
          <w:u w:val="single"/>
        </w:rPr>
        <w:t xml:space="preserve"> RSRRs and</w:t>
      </w:r>
      <w:r>
        <w:rPr>
          <w:rFonts w:cstheme="minorHAnsi"/>
          <w:bCs/>
          <w:color w:val="C00000"/>
          <w:u w:val="single"/>
        </w:rPr>
        <w:t xml:space="preserve"> Hospital CABG Admission Volume</w:t>
      </w:r>
    </w:p>
    <w:p w14:paraId="47B28614" w14:textId="6C7B8CCC" w:rsidR="00B9438A" w:rsidRPr="001B38EE" w:rsidRDefault="001B38EE" w:rsidP="001B38EE">
      <w:pPr>
        <w:autoSpaceDE w:val="0"/>
        <w:autoSpaceDN w:val="0"/>
        <w:adjustRightInd w:val="0"/>
        <w:spacing w:before="240" w:after="120" w:line="240" w:lineRule="auto"/>
        <w:rPr>
          <w:rFonts w:cstheme="minorHAnsi"/>
          <w:bCs/>
          <w:color w:val="C00000"/>
        </w:rPr>
      </w:pPr>
      <w:r>
        <w:rPr>
          <w:rFonts w:cstheme="minorHAnsi"/>
          <w:bCs/>
          <w:color w:val="C00000"/>
        </w:rPr>
        <w:t xml:space="preserve">Table 3 shows the relationship between CABG RSRRs and hospital CABG admission volume among hospitals with more than 25 CABG admissions. Results show that mean RSRRs are slightly lower among high volume hospitals compared to lower volume hospitals. </w:t>
      </w:r>
    </w:p>
    <w:p w14:paraId="4F0CE479" w14:textId="77777777" w:rsidR="00B9438A" w:rsidRDefault="00B9438A">
      <w:pPr>
        <w:rPr>
          <w:rFonts w:cstheme="minorHAnsi"/>
          <w:bCs/>
          <w:color w:val="C00000"/>
        </w:rPr>
      </w:pPr>
      <w:r>
        <w:rPr>
          <w:rFonts w:cstheme="minorHAnsi"/>
          <w:bCs/>
          <w:color w:val="C00000"/>
        </w:rPr>
        <w:br w:type="page"/>
      </w:r>
    </w:p>
    <w:p w14:paraId="59144BE8" w14:textId="7E3F2823" w:rsidR="001A3F18" w:rsidRDefault="001B38EE" w:rsidP="00BD2818">
      <w:pPr>
        <w:rPr>
          <w:rFonts w:cstheme="minorHAnsi"/>
          <w:bCs/>
          <w:color w:val="C00000"/>
        </w:rPr>
      </w:pPr>
      <w:r>
        <w:rPr>
          <w:rFonts w:cstheme="minorHAnsi"/>
          <w:bCs/>
          <w:color w:val="C00000"/>
        </w:rPr>
        <w:lastRenderedPageBreak/>
        <w:t>Table 3</w:t>
      </w:r>
      <w:r w:rsidR="001A3F18">
        <w:rPr>
          <w:rFonts w:cstheme="minorHAnsi"/>
          <w:bCs/>
          <w:color w:val="C00000"/>
        </w:rPr>
        <w:t>.</w:t>
      </w:r>
      <w:r w:rsidR="00E1127C">
        <w:rPr>
          <w:rFonts w:cstheme="minorHAnsi"/>
          <w:bCs/>
          <w:color w:val="C00000"/>
        </w:rPr>
        <w:t xml:space="preserve"> Association between CABG RSRRs and Hospital CABG Admission Volume</w:t>
      </w:r>
    </w:p>
    <w:tbl>
      <w:tblPr>
        <w:tblW w:w="9430" w:type="dxa"/>
        <w:tblInd w:w="-1" w:type="dxa"/>
        <w:tblCellMar>
          <w:left w:w="0" w:type="dxa"/>
          <w:right w:w="0" w:type="dxa"/>
        </w:tblCellMar>
        <w:tblLook w:val="04A0" w:firstRow="1" w:lastRow="0" w:firstColumn="1" w:lastColumn="0" w:noHBand="0" w:noVBand="1"/>
      </w:tblPr>
      <w:tblGrid>
        <w:gridCol w:w="4604"/>
        <w:gridCol w:w="1655"/>
        <w:gridCol w:w="1768"/>
        <w:gridCol w:w="1403"/>
      </w:tblGrid>
      <w:tr w:rsidR="001A3F18" w14:paraId="7457A0E0" w14:textId="77777777" w:rsidTr="00E6062F">
        <w:trPr>
          <w:cantSplit/>
          <w:trHeight w:val="676"/>
          <w:tblHeader/>
        </w:trPr>
        <w:tc>
          <w:tcPr>
            <w:tcW w:w="4604"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hideMark/>
          </w:tcPr>
          <w:p w14:paraId="791D1353" w14:textId="77777777" w:rsidR="001A3F18" w:rsidRPr="00D169A1" w:rsidRDefault="001A3F18" w:rsidP="001B38EE">
            <w:pPr>
              <w:rPr>
                <w:color w:val="C00000"/>
              </w:rPr>
            </w:pPr>
          </w:p>
        </w:tc>
        <w:tc>
          <w:tcPr>
            <w:tcW w:w="4826" w:type="dxa"/>
            <w:gridSpan w:val="3"/>
            <w:tcBorders>
              <w:top w:val="single" w:sz="8" w:space="0" w:color="auto"/>
              <w:left w:val="nil"/>
              <w:bottom w:val="single" w:sz="8" w:space="0" w:color="auto"/>
              <w:right w:val="single" w:sz="8" w:space="0" w:color="000000"/>
            </w:tcBorders>
            <w:shd w:val="clear" w:color="auto" w:fill="D9D9D9"/>
            <w:tcMar>
              <w:top w:w="0" w:type="dxa"/>
              <w:left w:w="108" w:type="dxa"/>
              <w:bottom w:w="0" w:type="dxa"/>
              <w:right w:w="108" w:type="dxa"/>
            </w:tcMar>
            <w:hideMark/>
          </w:tcPr>
          <w:p w14:paraId="6B7B4D76" w14:textId="4F706CF1" w:rsidR="001A3F18" w:rsidRPr="00D169A1" w:rsidRDefault="00D169A1" w:rsidP="00D169A1">
            <w:pPr>
              <w:jc w:val="center"/>
              <w:rPr>
                <w:b/>
                <w:bCs/>
                <w:color w:val="C00000"/>
              </w:rPr>
            </w:pPr>
            <w:r>
              <w:rPr>
                <w:b/>
                <w:bCs/>
                <w:color w:val="C00000"/>
              </w:rPr>
              <w:t xml:space="preserve"> (Total number of hospitals with more than 25 admissions</w:t>
            </w:r>
            <w:r w:rsidR="001A3F18" w:rsidRPr="00D169A1">
              <w:rPr>
                <w:b/>
                <w:bCs/>
                <w:color w:val="C00000"/>
              </w:rPr>
              <w:t>=992)</w:t>
            </w:r>
          </w:p>
        </w:tc>
      </w:tr>
      <w:tr w:rsidR="001A3F18" w14:paraId="27B2CA40" w14:textId="77777777" w:rsidTr="00E6062F">
        <w:trPr>
          <w:cantSplit/>
          <w:trHeight w:val="360"/>
          <w:tblHeader/>
        </w:trPr>
        <w:tc>
          <w:tcPr>
            <w:tcW w:w="4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398B3" w14:textId="51FB96EB" w:rsidR="001A3F18" w:rsidRPr="00D169A1" w:rsidRDefault="001A3F18" w:rsidP="001B38EE">
            <w:pPr>
              <w:spacing w:line="240" w:lineRule="auto"/>
              <w:rPr>
                <w:b/>
                <w:bCs/>
                <w:color w:val="C00000"/>
              </w:rPr>
            </w:pPr>
            <w:r w:rsidRPr="00D169A1">
              <w:rPr>
                <w:b/>
                <w:bCs/>
                <w:color w:val="C00000"/>
              </w:rPr>
              <w:t>Correlation coefficient</w:t>
            </w:r>
            <w:r w:rsidRPr="00D169A1">
              <w:rPr>
                <w:b/>
                <w:bCs/>
                <w:color w:val="C00000"/>
              </w:rPr>
              <w:br/>
              <w:t>b</w:t>
            </w:r>
            <w:r w:rsidR="00D169A1">
              <w:rPr>
                <w:b/>
                <w:bCs/>
                <w:color w:val="C00000"/>
              </w:rPr>
              <w:t xml:space="preserve">etween </w:t>
            </w:r>
            <w:r w:rsidR="001B38EE">
              <w:rPr>
                <w:b/>
                <w:bCs/>
                <w:color w:val="C00000"/>
              </w:rPr>
              <w:t xml:space="preserve">CABG </w:t>
            </w:r>
            <w:r w:rsidR="00D169A1">
              <w:rPr>
                <w:b/>
                <w:bCs/>
                <w:color w:val="C00000"/>
              </w:rPr>
              <w:t>admission volumes and RSR</w:t>
            </w:r>
            <w:r w:rsidRPr="00D169A1">
              <w:rPr>
                <w:b/>
                <w:bCs/>
                <w:color w:val="C00000"/>
              </w:rPr>
              <w:t>Rs</w:t>
            </w:r>
          </w:p>
        </w:tc>
        <w:tc>
          <w:tcPr>
            <w:tcW w:w="482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AC5F773" w14:textId="169F397B" w:rsidR="001A3F18" w:rsidRPr="00D169A1" w:rsidRDefault="001A3F18" w:rsidP="00D169A1">
            <w:pPr>
              <w:jc w:val="center"/>
              <w:rPr>
                <w:color w:val="C00000"/>
              </w:rPr>
            </w:pPr>
            <w:r w:rsidRPr="00D169A1">
              <w:rPr>
                <w:rFonts w:ascii="Calibri" w:hAnsi="Calibri"/>
                <w:color w:val="C00000"/>
              </w:rPr>
              <w:t>-0.13491</w:t>
            </w:r>
            <w:r w:rsidRPr="00D169A1">
              <w:rPr>
                <w:rFonts w:ascii="Calibri" w:hAnsi="Calibri"/>
                <w:color w:val="C00000"/>
              </w:rPr>
              <w:br/>
              <w:t>&lt;.0001</w:t>
            </w:r>
          </w:p>
        </w:tc>
      </w:tr>
      <w:tr w:rsidR="001A3F18" w14:paraId="4E8AE83B" w14:textId="77777777" w:rsidTr="00E6062F">
        <w:trPr>
          <w:cantSplit/>
          <w:trHeight w:val="74"/>
          <w:tblHeader/>
        </w:trPr>
        <w:tc>
          <w:tcPr>
            <w:tcW w:w="4604"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hideMark/>
          </w:tcPr>
          <w:p w14:paraId="1105BA11" w14:textId="77777777" w:rsidR="001A3F18" w:rsidRPr="00D169A1" w:rsidRDefault="001A3F18" w:rsidP="001B38EE">
            <w:pPr>
              <w:spacing w:line="240" w:lineRule="auto"/>
              <w:rPr>
                <w:b/>
                <w:bCs/>
                <w:color w:val="C00000"/>
              </w:rPr>
            </w:pPr>
            <w:r w:rsidRPr="00D169A1">
              <w:rPr>
                <w:b/>
                <w:bCs/>
                <w:color w:val="C00000"/>
              </w:rPr>
              <w:t>Deciles of volume</w:t>
            </w:r>
          </w:p>
        </w:tc>
        <w:tc>
          <w:tcPr>
            <w:tcW w:w="1655"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23BFD639" w14:textId="77777777" w:rsidR="001A3F18" w:rsidRPr="00D169A1" w:rsidRDefault="001A3F18" w:rsidP="001B38EE">
            <w:pPr>
              <w:spacing w:line="240" w:lineRule="auto"/>
              <w:jc w:val="center"/>
              <w:rPr>
                <w:b/>
                <w:bCs/>
                <w:color w:val="C00000"/>
              </w:rPr>
            </w:pPr>
            <w:r w:rsidRPr="00D169A1">
              <w:rPr>
                <w:b/>
                <w:bCs/>
                <w:color w:val="C00000"/>
              </w:rPr>
              <w:t># of Hospitals</w:t>
            </w:r>
          </w:p>
        </w:tc>
        <w:tc>
          <w:tcPr>
            <w:tcW w:w="1768"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118A1D74" w14:textId="76D779FB" w:rsidR="001A3F18" w:rsidRPr="00D169A1" w:rsidRDefault="001A3F18" w:rsidP="001B38EE">
            <w:pPr>
              <w:spacing w:line="240" w:lineRule="auto"/>
              <w:jc w:val="center"/>
              <w:rPr>
                <w:b/>
                <w:bCs/>
                <w:color w:val="C00000"/>
              </w:rPr>
            </w:pPr>
            <w:r w:rsidRPr="00D169A1">
              <w:rPr>
                <w:b/>
                <w:bCs/>
                <w:color w:val="C00000"/>
              </w:rPr>
              <w:t>Volume Range</w:t>
            </w:r>
            <w:r w:rsidR="00D169A1">
              <w:rPr>
                <w:b/>
                <w:bCs/>
                <w:color w:val="C00000"/>
              </w:rPr>
              <w:t xml:space="preserve"> </w:t>
            </w:r>
            <w:r w:rsidR="00D169A1">
              <w:rPr>
                <w:b/>
                <w:bCs/>
                <w:color w:val="C00000"/>
              </w:rPr>
              <w:br/>
              <w:t>(# of admissions)</w:t>
            </w:r>
          </w:p>
        </w:tc>
        <w:tc>
          <w:tcPr>
            <w:tcW w:w="1402"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7A98AF52" w14:textId="5EF487B4" w:rsidR="001A3F18" w:rsidRPr="00D169A1" w:rsidRDefault="00D169A1" w:rsidP="001B38EE">
            <w:pPr>
              <w:spacing w:line="240" w:lineRule="auto"/>
              <w:jc w:val="center"/>
              <w:rPr>
                <w:b/>
                <w:bCs/>
                <w:color w:val="C00000"/>
              </w:rPr>
            </w:pPr>
            <w:r>
              <w:rPr>
                <w:b/>
                <w:bCs/>
                <w:color w:val="C00000"/>
              </w:rPr>
              <w:t>Mean RSR</w:t>
            </w:r>
            <w:r w:rsidR="001A3F18" w:rsidRPr="00D169A1">
              <w:rPr>
                <w:b/>
                <w:bCs/>
                <w:color w:val="C00000"/>
              </w:rPr>
              <w:t>R</w:t>
            </w:r>
          </w:p>
        </w:tc>
      </w:tr>
      <w:tr w:rsidR="001A3F18" w14:paraId="3367FF5C" w14:textId="77777777" w:rsidTr="00E6062F">
        <w:trPr>
          <w:cantSplit/>
          <w:trHeight w:val="162"/>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FBFA9F" w14:textId="77777777" w:rsidR="001A3F18" w:rsidRPr="00D169A1" w:rsidRDefault="001A3F18" w:rsidP="001A3F18">
            <w:pPr>
              <w:spacing w:line="240" w:lineRule="auto"/>
              <w:jc w:val="center"/>
              <w:rPr>
                <w:b/>
                <w:bCs/>
                <w:color w:val="C00000"/>
              </w:rPr>
            </w:pPr>
            <w:r w:rsidRPr="00D169A1">
              <w:rPr>
                <w:b/>
                <w:bCs/>
                <w:color w:val="C00000"/>
              </w:rPr>
              <w:t>0%~10%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CA81C5" w14:textId="6D6849C6" w:rsidR="001A3F18" w:rsidRPr="00D169A1" w:rsidRDefault="001A3F18" w:rsidP="001A3F18">
            <w:pPr>
              <w:spacing w:line="240" w:lineRule="auto"/>
              <w:jc w:val="center"/>
              <w:rPr>
                <w:color w:val="C00000"/>
              </w:rPr>
            </w:pPr>
            <w:r w:rsidRPr="00D169A1">
              <w:rPr>
                <w:rFonts w:ascii="Calibri" w:hAnsi="Calibri"/>
                <w:color w:val="C00000"/>
              </w:rPr>
              <w:t>98</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164DE" w14:textId="54E32165" w:rsidR="001A3F18" w:rsidRPr="00D169A1" w:rsidRDefault="001A3F18" w:rsidP="001A3F18">
            <w:pPr>
              <w:spacing w:line="240" w:lineRule="auto"/>
              <w:jc w:val="center"/>
              <w:rPr>
                <w:color w:val="C00000"/>
              </w:rPr>
            </w:pPr>
            <w:r w:rsidRPr="00D169A1">
              <w:rPr>
                <w:rFonts w:ascii="Calibri" w:hAnsi="Calibri"/>
                <w:color w:val="C00000"/>
              </w:rPr>
              <w:t>25-37</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E76DB0" w14:textId="28851242" w:rsidR="001A3F18" w:rsidRPr="00D169A1" w:rsidRDefault="001A3F18" w:rsidP="001A3F18">
            <w:pPr>
              <w:spacing w:line="240" w:lineRule="auto"/>
              <w:jc w:val="center"/>
              <w:rPr>
                <w:color w:val="C00000"/>
              </w:rPr>
            </w:pPr>
            <w:r w:rsidRPr="00D169A1">
              <w:rPr>
                <w:rFonts w:ascii="Calibri" w:hAnsi="Calibri"/>
                <w:color w:val="C00000"/>
              </w:rPr>
              <w:t>12.89</w:t>
            </w:r>
          </w:p>
        </w:tc>
      </w:tr>
      <w:tr w:rsidR="001A3F18" w14:paraId="50756B4E"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7BC412B" w14:textId="77777777" w:rsidR="001A3F18" w:rsidRPr="00D169A1" w:rsidRDefault="001A3F18" w:rsidP="001A3F18">
            <w:pPr>
              <w:spacing w:line="240" w:lineRule="auto"/>
              <w:jc w:val="center"/>
              <w:rPr>
                <w:b/>
                <w:bCs/>
                <w:color w:val="C00000"/>
              </w:rPr>
            </w:pPr>
            <w:r w:rsidRPr="00D169A1">
              <w:rPr>
                <w:b/>
                <w:bCs/>
                <w:color w:val="C00000"/>
              </w:rPr>
              <w:t>10%~20%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CD2CE" w14:textId="141A3D67" w:rsidR="001A3F18" w:rsidRPr="00D169A1" w:rsidRDefault="001A3F18" w:rsidP="001A3F18">
            <w:pPr>
              <w:spacing w:line="240" w:lineRule="auto"/>
              <w:jc w:val="center"/>
              <w:rPr>
                <w:color w:val="C00000"/>
              </w:rPr>
            </w:pPr>
            <w:r w:rsidRPr="00D169A1">
              <w:rPr>
                <w:rFonts w:ascii="Calibri" w:hAnsi="Calibri"/>
                <w:color w:val="C00000"/>
              </w:rPr>
              <w:t>104</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D00DEB" w14:textId="4DB26093" w:rsidR="001A3F18" w:rsidRPr="00D169A1" w:rsidRDefault="001A3F18" w:rsidP="001A3F18">
            <w:pPr>
              <w:spacing w:line="240" w:lineRule="auto"/>
              <w:jc w:val="center"/>
              <w:rPr>
                <w:color w:val="C00000"/>
              </w:rPr>
            </w:pPr>
            <w:r w:rsidRPr="00D169A1">
              <w:rPr>
                <w:rFonts w:ascii="Calibri" w:hAnsi="Calibri"/>
                <w:color w:val="C00000"/>
              </w:rPr>
              <w:t>38-49</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B2A51F" w14:textId="4F2FBE2B" w:rsidR="001A3F18" w:rsidRPr="00D169A1" w:rsidRDefault="001A3F18" w:rsidP="001A3F18">
            <w:pPr>
              <w:spacing w:line="240" w:lineRule="auto"/>
              <w:jc w:val="center"/>
              <w:rPr>
                <w:color w:val="C00000"/>
              </w:rPr>
            </w:pPr>
            <w:r w:rsidRPr="00D169A1">
              <w:rPr>
                <w:rFonts w:ascii="Calibri" w:hAnsi="Calibri"/>
                <w:color w:val="C00000"/>
              </w:rPr>
              <w:t>12.87</w:t>
            </w:r>
          </w:p>
        </w:tc>
      </w:tr>
      <w:tr w:rsidR="001A3F18" w14:paraId="4A831B23"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3A26F65" w14:textId="77777777" w:rsidR="001A3F18" w:rsidRPr="00D169A1" w:rsidRDefault="001A3F18" w:rsidP="001A3F18">
            <w:pPr>
              <w:spacing w:line="240" w:lineRule="auto"/>
              <w:jc w:val="center"/>
              <w:rPr>
                <w:b/>
                <w:bCs/>
                <w:color w:val="C00000"/>
              </w:rPr>
            </w:pPr>
            <w:r w:rsidRPr="00D169A1">
              <w:rPr>
                <w:b/>
                <w:bCs/>
                <w:color w:val="C00000"/>
              </w:rPr>
              <w:t>20%~30%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84A49" w14:textId="759F5E7F" w:rsidR="001A3F18" w:rsidRPr="00D169A1" w:rsidRDefault="001A3F18" w:rsidP="001A3F18">
            <w:pPr>
              <w:spacing w:line="240" w:lineRule="auto"/>
              <w:jc w:val="center"/>
              <w:rPr>
                <w:color w:val="C00000"/>
              </w:rPr>
            </w:pPr>
            <w:r w:rsidRPr="00D169A1">
              <w:rPr>
                <w:rFonts w:ascii="Calibri" w:hAnsi="Calibri"/>
                <w:color w:val="C00000"/>
              </w:rPr>
              <w:t>94</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66AF21" w14:textId="7DF91708" w:rsidR="001A3F18" w:rsidRPr="00D169A1" w:rsidRDefault="001A3F18" w:rsidP="001A3F18">
            <w:pPr>
              <w:spacing w:line="240" w:lineRule="auto"/>
              <w:jc w:val="center"/>
              <w:rPr>
                <w:color w:val="C00000"/>
              </w:rPr>
            </w:pPr>
            <w:r w:rsidRPr="00D169A1">
              <w:rPr>
                <w:rFonts w:ascii="Calibri" w:hAnsi="Calibri"/>
                <w:color w:val="C00000"/>
              </w:rPr>
              <w:t>50-64</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59724E" w14:textId="57F5997F" w:rsidR="001A3F18" w:rsidRPr="00D169A1" w:rsidRDefault="001A3F18" w:rsidP="001A3F18">
            <w:pPr>
              <w:spacing w:line="240" w:lineRule="auto"/>
              <w:jc w:val="center"/>
              <w:rPr>
                <w:color w:val="C00000"/>
              </w:rPr>
            </w:pPr>
            <w:r w:rsidRPr="00D169A1">
              <w:rPr>
                <w:rFonts w:ascii="Calibri" w:hAnsi="Calibri"/>
                <w:color w:val="C00000"/>
              </w:rPr>
              <w:t>13.07</w:t>
            </w:r>
          </w:p>
        </w:tc>
      </w:tr>
      <w:tr w:rsidR="001A3F18" w14:paraId="7736F603"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B4F0C6" w14:textId="77777777" w:rsidR="001A3F18" w:rsidRPr="00D169A1" w:rsidRDefault="001A3F18" w:rsidP="001A3F18">
            <w:pPr>
              <w:spacing w:line="240" w:lineRule="auto"/>
              <w:jc w:val="center"/>
              <w:rPr>
                <w:b/>
                <w:bCs/>
                <w:color w:val="C00000"/>
              </w:rPr>
            </w:pPr>
            <w:r w:rsidRPr="00D169A1">
              <w:rPr>
                <w:b/>
                <w:bCs/>
                <w:color w:val="C00000"/>
              </w:rPr>
              <w:t>30%~40%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85945B" w14:textId="040E8644" w:rsidR="001A3F18" w:rsidRPr="00D169A1" w:rsidRDefault="001A3F18" w:rsidP="001A3F18">
            <w:pPr>
              <w:spacing w:line="240" w:lineRule="auto"/>
              <w:jc w:val="center"/>
              <w:rPr>
                <w:color w:val="C00000"/>
              </w:rPr>
            </w:pPr>
            <w:r w:rsidRPr="00D169A1">
              <w:rPr>
                <w:rFonts w:ascii="Calibri" w:hAnsi="Calibri"/>
                <w:color w:val="C00000"/>
              </w:rPr>
              <w:t>100</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9911EB" w14:textId="3C418C1C" w:rsidR="001A3F18" w:rsidRPr="00D169A1" w:rsidRDefault="001A3F18" w:rsidP="001A3F18">
            <w:pPr>
              <w:spacing w:line="240" w:lineRule="auto"/>
              <w:jc w:val="center"/>
              <w:rPr>
                <w:color w:val="C00000"/>
              </w:rPr>
            </w:pPr>
            <w:r w:rsidRPr="00D169A1">
              <w:rPr>
                <w:rFonts w:ascii="Calibri" w:hAnsi="Calibri"/>
                <w:color w:val="C00000"/>
              </w:rPr>
              <w:t>65-80</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513A50" w14:textId="39A8EADC" w:rsidR="001A3F18" w:rsidRPr="00D169A1" w:rsidRDefault="001A3F18" w:rsidP="001A3F18">
            <w:pPr>
              <w:spacing w:line="240" w:lineRule="auto"/>
              <w:jc w:val="center"/>
              <w:rPr>
                <w:color w:val="C00000"/>
              </w:rPr>
            </w:pPr>
            <w:r w:rsidRPr="00D169A1">
              <w:rPr>
                <w:rFonts w:ascii="Calibri" w:hAnsi="Calibri"/>
                <w:color w:val="C00000"/>
              </w:rPr>
              <w:t>12.98</w:t>
            </w:r>
          </w:p>
        </w:tc>
      </w:tr>
      <w:tr w:rsidR="001A3F18" w14:paraId="10B2F282"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288C11C" w14:textId="77777777" w:rsidR="001A3F18" w:rsidRPr="00D169A1" w:rsidRDefault="001A3F18" w:rsidP="001A3F18">
            <w:pPr>
              <w:spacing w:line="240" w:lineRule="auto"/>
              <w:jc w:val="center"/>
              <w:rPr>
                <w:b/>
                <w:bCs/>
                <w:color w:val="C00000"/>
              </w:rPr>
            </w:pPr>
            <w:r w:rsidRPr="00D169A1">
              <w:rPr>
                <w:b/>
                <w:bCs/>
                <w:color w:val="C00000"/>
              </w:rPr>
              <w:t>40%~50%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6517EE" w14:textId="2046C7D9" w:rsidR="001A3F18" w:rsidRPr="00D169A1" w:rsidRDefault="001A3F18" w:rsidP="001A3F18">
            <w:pPr>
              <w:spacing w:line="240" w:lineRule="auto"/>
              <w:jc w:val="center"/>
              <w:rPr>
                <w:color w:val="C00000"/>
              </w:rPr>
            </w:pPr>
            <w:r w:rsidRPr="00D169A1">
              <w:rPr>
                <w:rFonts w:ascii="Calibri" w:hAnsi="Calibri"/>
                <w:color w:val="C00000"/>
              </w:rPr>
              <w:t>99</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3C73F" w14:textId="566DA613" w:rsidR="001A3F18" w:rsidRPr="00D169A1" w:rsidRDefault="001A3F18" w:rsidP="001A3F18">
            <w:pPr>
              <w:spacing w:line="240" w:lineRule="auto"/>
              <w:jc w:val="center"/>
              <w:rPr>
                <w:color w:val="C00000"/>
              </w:rPr>
            </w:pPr>
            <w:r w:rsidRPr="00D169A1">
              <w:rPr>
                <w:rFonts w:ascii="Calibri" w:hAnsi="Calibri"/>
                <w:color w:val="C00000"/>
              </w:rPr>
              <w:t>81-102</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0FA829" w14:textId="4789035D" w:rsidR="001A3F18" w:rsidRPr="00D169A1" w:rsidRDefault="001A3F18" w:rsidP="001A3F18">
            <w:pPr>
              <w:spacing w:line="240" w:lineRule="auto"/>
              <w:jc w:val="center"/>
              <w:rPr>
                <w:color w:val="C00000"/>
              </w:rPr>
            </w:pPr>
            <w:r w:rsidRPr="00D169A1">
              <w:rPr>
                <w:rFonts w:ascii="Calibri" w:hAnsi="Calibri"/>
                <w:color w:val="C00000"/>
              </w:rPr>
              <w:t>12.72</w:t>
            </w:r>
          </w:p>
        </w:tc>
      </w:tr>
      <w:tr w:rsidR="001A3F18" w14:paraId="3FF8C751"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0E0EE3" w14:textId="77777777" w:rsidR="001A3F18" w:rsidRPr="00D169A1" w:rsidRDefault="001A3F18" w:rsidP="001A3F18">
            <w:pPr>
              <w:spacing w:line="240" w:lineRule="auto"/>
              <w:jc w:val="center"/>
              <w:rPr>
                <w:b/>
                <w:bCs/>
                <w:color w:val="C00000"/>
              </w:rPr>
            </w:pPr>
            <w:r w:rsidRPr="00D169A1">
              <w:rPr>
                <w:b/>
                <w:bCs/>
                <w:color w:val="C00000"/>
              </w:rPr>
              <w:t>50%~60%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5DF402" w14:textId="6E52E62B" w:rsidR="001A3F18" w:rsidRPr="00D169A1" w:rsidRDefault="001A3F18" w:rsidP="001A3F18">
            <w:pPr>
              <w:spacing w:line="240" w:lineRule="auto"/>
              <w:jc w:val="center"/>
              <w:rPr>
                <w:color w:val="C00000"/>
              </w:rPr>
            </w:pPr>
            <w:r w:rsidRPr="00D169A1">
              <w:rPr>
                <w:rFonts w:ascii="Calibri" w:hAnsi="Calibri"/>
                <w:color w:val="C00000"/>
              </w:rPr>
              <w:t>98</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66A686" w14:textId="7D54E239" w:rsidR="001A3F18" w:rsidRPr="00D169A1" w:rsidRDefault="001A3F18" w:rsidP="001A3F18">
            <w:pPr>
              <w:spacing w:line="240" w:lineRule="auto"/>
              <w:jc w:val="center"/>
              <w:rPr>
                <w:color w:val="C00000"/>
              </w:rPr>
            </w:pPr>
            <w:r w:rsidRPr="00D169A1">
              <w:rPr>
                <w:rFonts w:ascii="Calibri" w:hAnsi="Calibri"/>
                <w:color w:val="C00000"/>
              </w:rPr>
              <w:t>103-122</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0F4C8F" w14:textId="3C77A669" w:rsidR="001A3F18" w:rsidRPr="00D169A1" w:rsidRDefault="001A3F18" w:rsidP="001A3F18">
            <w:pPr>
              <w:spacing w:line="240" w:lineRule="auto"/>
              <w:jc w:val="center"/>
              <w:rPr>
                <w:color w:val="C00000"/>
              </w:rPr>
            </w:pPr>
            <w:r w:rsidRPr="00D169A1">
              <w:rPr>
                <w:rFonts w:ascii="Calibri" w:hAnsi="Calibri"/>
                <w:color w:val="C00000"/>
              </w:rPr>
              <w:t>12.65</w:t>
            </w:r>
          </w:p>
        </w:tc>
      </w:tr>
      <w:tr w:rsidR="001A3F18" w14:paraId="038FDE92"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6033F33" w14:textId="77777777" w:rsidR="001A3F18" w:rsidRPr="00D169A1" w:rsidRDefault="001A3F18" w:rsidP="001A3F18">
            <w:pPr>
              <w:spacing w:line="240" w:lineRule="auto"/>
              <w:jc w:val="center"/>
              <w:rPr>
                <w:b/>
                <w:bCs/>
                <w:color w:val="C00000"/>
              </w:rPr>
            </w:pPr>
            <w:r w:rsidRPr="00D169A1">
              <w:rPr>
                <w:b/>
                <w:bCs/>
                <w:color w:val="C00000"/>
              </w:rPr>
              <w:t>60%~70%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9C5A07" w14:textId="5537CDCE" w:rsidR="001A3F18" w:rsidRPr="00D169A1" w:rsidRDefault="001A3F18" w:rsidP="001A3F18">
            <w:pPr>
              <w:spacing w:line="240" w:lineRule="auto"/>
              <w:jc w:val="center"/>
              <w:rPr>
                <w:color w:val="C00000"/>
              </w:rPr>
            </w:pPr>
            <w:r w:rsidRPr="00D169A1">
              <w:rPr>
                <w:rFonts w:ascii="Calibri" w:hAnsi="Calibri"/>
                <w:color w:val="C00000"/>
              </w:rPr>
              <w:t>103</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36717E" w14:textId="58DF327F" w:rsidR="001A3F18" w:rsidRPr="00D169A1" w:rsidRDefault="001A3F18" w:rsidP="001A3F18">
            <w:pPr>
              <w:spacing w:line="240" w:lineRule="auto"/>
              <w:jc w:val="center"/>
              <w:rPr>
                <w:color w:val="C00000"/>
              </w:rPr>
            </w:pPr>
            <w:r w:rsidRPr="00D169A1">
              <w:rPr>
                <w:rFonts w:ascii="Calibri" w:hAnsi="Calibri"/>
                <w:color w:val="C00000"/>
              </w:rPr>
              <w:t>123-149</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ACDC64" w14:textId="05A12A1A" w:rsidR="001A3F18" w:rsidRPr="00D169A1" w:rsidRDefault="001A3F18" w:rsidP="001A3F18">
            <w:pPr>
              <w:spacing w:line="240" w:lineRule="auto"/>
              <w:jc w:val="center"/>
              <w:rPr>
                <w:color w:val="C00000"/>
              </w:rPr>
            </w:pPr>
            <w:r w:rsidRPr="00D169A1">
              <w:rPr>
                <w:rFonts w:ascii="Calibri" w:hAnsi="Calibri"/>
                <w:color w:val="C00000"/>
              </w:rPr>
              <w:t>12.67</w:t>
            </w:r>
          </w:p>
        </w:tc>
      </w:tr>
      <w:tr w:rsidR="001A3F18" w14:paraId="5CEB0717"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5A2C6E" w14:textId="77777777" w:rsidR="001A3F18" w:rsidRPr="00D169A1" w:rsidRDefault="001A3F18" w:rsidP="001A3F18">
            <w:pPr>
              <w:spacing w:line="240" w:lineRule="auto"/>
              <w:jc w:val="center"/>
              <w:rPr>
                <w:b/>
                <w:bCs/>
                <w:color w:val="C00000"/>
              </w:rPr>
            </w:pPr>
            <w:r w:rsidRPr="00D169A1">
              <w:rPr>
                <w:b/>
                <w:bCs/>
                <w:color w:val="C00000"/>
              </w:rPr>
              <w:t>70%~80%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6743F0" w14:textId="12D8D382" w:rsidR="001A3F18" w:rsidRPr="00D169A1" w:rsidRDefault="001A3F18" w:rsidP="001A3F18">
            <w:pPr>
              <w:spacing w:line="240" w:lineRule="auto"/>
              <w:jc w:val="center"/>
              <w:rPr>
                <w:color w:val="C00000"/>
              </w:rPr>
            </w:pPr>
            <w:r w:rsidRPr="00D169A1">
              <w:rPr>
                <w:rFonts w:ascii="Calibri" w:hAnsi="Calibri"/>
                <w:color w:val="C00000"/>
              </w:rPr>
              <w:t>98</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A62F13" w14:textId="2336CE36" w:rsidR="001A3F18" w:rsidRPr="00D169A1" w:rsidRDefault="001A3F18" w:rsidP="001A3F18">
            <w:pPr>
              <w:spacing w:line="240" w:lineRule="auto"/>
              <w:jc w:val="center"/>
              <w:rPr>
                <w:color w:val="C00000"/>
              </w:rPr>
            </w:pPr>
            <w:r w:rsidRPr="00D169A1">
              <w:rPr>
                <w:rFonts w:ascii="Calibri" w:hAnsi="Calibri"/>
                <w:color w:val="C00000"/>
              </w:rPr>
              <w:t>150-189</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89A10" w14:textId="0891B900" w:rsidR="001A3F18" w:rsidRPr="00D169A1" w:rsidRDefault="001A3F18" w:rsidP="001A3F18">
            <w:pPr>
              <w:spacing w:line="240" w:lineRule="auto"/>
              <w:jc w:val="center"/>
              <w:rPr>
                <w:color w:val="C00000"/>
              </w:rPr>
            </w:pPr>
            <w:r w:rsidRPr="00D169A1">
              <w:rPr>
                <w:rFonts w:ascii="Calibri" w:hAnsi="Calibri"/>
                <w:color w:val="C00000"/>
              </w:rPr>
              <w:t>12.67</w:t>
            </w:r>
          </w:p>
        </w:tc>
      </w:tr>
      <w:tr w:rsidR="001A3F18" w14:paraId="1F2D1DC1"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7BEECC" w14:textId="77777777" w:rsidR="001A3F18" w:rsidRPr="00D169A1" w:rsidRDefault="001A3F18" w:rsidP="001A3F18">
            <w:pPr>
              <w:spacing w:line="240" w:lineRule="auto"/>
              <w:jc w:val="center"/>
              <w:rPr>
                <w:b/>
                <w:bCs/>
                <w:color w:val="C00000"/>
              </w:rPr>
            </w:pPr>
            <w:r w:rsidRPr="00D169A1">
              <w:rPr>
                <w:b/>
                <w:bCs/>
                <w:color w:val="C00000"/>
              </w:rPr>
              <w:t>80%~90%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84E21A" w14:textId="5972DE22" w:rsidR="001A3F18" w:rsidRPr="00D169A1" w:rsidRDefault="001A3F18" w:rsidP="001A3F18">
            <w:pPr>
              <w:spacing w:line="240" w:lineRule="auto"/>
              <w:jc w:val="center"/>
              <w:rPr>
                <w:color w:val="C00000"/>
              </w:rPr>
            </w:pPr>
            <w:r w:rsidRPr="00D169A1">
              <w:rPr>
                <w:rFonts w:ascii="Calibri" w:hAnsi="Calibri"/>
                <w:color w:val="C00000"/>
              </w:rPr>
              <w:t>99</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E2B8B1" w14:textId="26C0B3D7" w:rsidR="001A3F18" w:rsidRPr="00D169A1" w:rsidRDefault="001A3F18" w:rsidP="001A3F18">
            <w:pPr>
              <w:spacing w:line="240" w:lineRule="auto"/>
              <w:jc w:val="center"/>
              <w:rPr>
                <w:color w:val="C00000"/>
              </w:rPr>
            </w:pPr>
            <w:r w:rsidRPr="00D169A1">
              <w:rPr>
                <w:rFonts w:ascii="Calibri" w:hAnsi="Calibri"/>
                <w:color w:val="C00000"/>
              </w:rPr>
              <w:t>190-265</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42F73" w14:textId="49C011C0" w:rsidR="001A3F18" w:rsidRPr="00D169A1" w:rsidRDefault="001A3F18" w:rsidP="001A3F18">
            <w:pPr>
              <w:spacing w:line="240" w:lineRule="auto"/>
              <w:jc w:val="center"/>
              <w:rPr>
                <w:color w:val="C00000"/>
              </w:rPr>
            </w:pPr>
            <w:r w:rsidRPr="00D169A1">
              <w:rPr>
                <w:rFonts w:ascii="Calibri" w:hAnsi="Calibri"/>
                <w:color w:val="C00000"/>
              </w:rPr>
              <w:t>12.62</w:t>
            </w:r>
          </w:p>
        </w:tc>
      </w:tr>
      <w:tr w:rsidR="001A3F18" w14:paraId="1B76B1D9" w14:textId="77777777" w:rsidTr="00E6062F">
        <w:trPr>
          <w:cantSplit/>
          <w:trHeight w:val="74"/>
          <w:tblHeader/>
        </w:trPr>
        <w:tc>
          <w:tcPr>
            <w:tcW w:w="46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DB39D3" w14:textId="77777777" w:rsidR="001A3F18" w:rsidRPr="00D169A1" w:rsidRDefault="001A3F18" w:rsidP="001A3F18">
            <w:pPr>
              <w:spacing w:line="240" w:lineRule="auto"/>
              <w:jc w:val="center"/>
              <w:rPr>
                <w:b/>
                <w:bCs/>
                <w:color w:val="C00000"/>
              </w:rPr>
            </w:pPr>
            <w:r w:rsidRPr="00D169A1">
              <w:rPr>
                <w:b/>
                <w:bCs/>
                <w:color w:val="C00000"/>
              </w:rPr>
              <w:t>90%~100%</w:t>
            </w:r>
          </w:p>
        </w:tc>
        <w:tc>
          <w:tcPr>
            <w:tcW w:w="1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461CC9" w14:textId="6875DA00" w:rsidR="001A3F18" w:rsidRPr="00D169A1" w:rsidRDefault="001A3F18" w:rsidP="001A3F18">
            <w:pPr>
              <w:spacing w:line="240" w:lineRule="auto"/>
              <w:jc w:val="center"/>
              <w:rPr>
                <w:color w:val="C00000"/>
              </w:rPr>
            </w:pPr>
            <w:r w:rsidRPr="00D169A1">
              <w:rPr>
                <w:rFonts w:ascii="Calibri" w:hAnsi="Calibri"/>
                <w:color w:val="C00000"/>
              </w:rPr>
              <w:t>99</w:t>
            </w:r>
          </w:p>
        </w:tc>
        <w:tc>
          <w:tcPr>
            <w:tcW w:w="17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CB0949" w14:textId="0C391762" w:rsidR="001A3F18" w:rsidRPr="00D169A1" w:rsidRDefault="001A3F18" w:rsidP="001A3F18">
            <w:pPr>
              <w:spacing w:line="240" w:lineRule="auto"/>
              <w:jc w:val="center"/>
              <w:rPr>
                <w:color w:val="C00000"/>
              </w:rPr>
            </w:pPr>
            <w:r w:rsidRPr="00D169A1">
              <w:rPr>
                <w:rFonts w:ascii="Calibri" w:hAnsi="Calibri"/>
                <w:color w:val="C00000"/>
              </w:rPr>
              <w:t>268-838</w:t>
            </w:r>
          </w:p>
        </w:tc>
        <w:tc>
          <w:tcPr>
            <w:tcW w:w="140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300D30" w14:textId="0542B4DD" w:rsidR="001A3F18" w:rsidRPr="00D169A1" w:rsidRDefault="001A3F18" w:rsidP="001A3F18">
            <w:pPr>
              <w:spacing w:line="240" w:lineRule="auto"/>
              <w:jc w:val="center"/>
              <w:rPr>
                <w:color w:val="C00000"/>
              </w:rPr>
            </w:pPr>
            <w:r w:rsidRPr="00D169A1">
              <w:rPr>
                <w:rFonts w:ascii="Calibri" w:hAnsi="Calibri"/>
                <w:color w:val="C00000"/>
              </w:rPr>
              <w:t>12.27</w:t>
            </w:r>
          </w:p>
        </w:tc>
      </w:tr>
    </w:tbl>
    <w:p w14:paraId="6C404828" w14:textId="7EFED6BC" w:rsidR="001A3F18" w:rsidRDefault="001A3F18" w:rsidP="00BD2818">
      <w:pPr>
        <w:rPr>
          <w:rFonts w:cstheme="minorHAnsi"/>
          <w:bCs/>
          <w:color w:val="C00000"/>
        </w:rPr>
      </w:pPr>
    </w:p>
    <w:p w14:paraId="1180E45C" w14:textId="10C40BF4" w:rsidR="00DA2520" w:rsidRPr="00DA2520" w:rsidRDefault="00DA2520" w:rsidP="00BD2818">
      <w:pPr>
        <w:rPr>
          <w:rFonts w:cstheme="minorHAnsi"/>
          <w:bCs/>
          <w:color w:val="00B0F0"/>
          <w:u w:val="single"/>
        </w:rPr>
      </w:pPr>
      <w:r w:rsidRPr="00DA2520">
        <w:rPr>
          <w:rFonts w:cstheme="minorHAnsi"/>
          <w:bCs/>
          <w:color w:val="00B0F0"/>
          <w:u w:val="single"/>
        </w:rPr>
        <w:t>Medical-Records-Based Validation Results</w:t>
      </w:r>
    </w:p>
    <w:p w14:paraId="5C33858C" w14:textId="14A24AA1" w:rsidR="00DA2520" w:rsidRPr="00DA2520" w:rsidRDefault="00DA2520" w:rsidP="00DA2520">
      <w:pPr>
        <w:autoSpaceDE w:val="0"/>
        <w:autoSpaceDN w:val="0"/>
        <w:adjustRightInd w:val="0"/>
        <w:spacing w:before="120" w:after="120" w:line="240" w:lineRule="auto"/>
        <w:rPr>
          <w:rFonts w:cstheme="minorHAnsi"/>
          <w:bCs/>
          <w:color w:val="00B0F0"/>
        </w:rPr>
      </w:pPr>
      <w:r>
        <w:rPr>
          <w:rFonts w:cstheme="minorHAnsi"/>
          <w:bCs/>
          <w:color w:val="00B0F0"/>
        </w:rPr>
        <w:t>As described above, u</w:t>
      </w:r>
      <w:r w:rsidRPr="00DA2520">
        <w:rPr>
          <w:rFonts w:cstheme="minorHAnsi"/>
          <w:bCs/>
          <w:color w:val="00B0F0"/>
        </w:rPr>
        <w:t xml:space="preserve">sing STS CABG registry data and in collaboration with STS, we performed a clinical data validation study of the administrative cohort definition, risk adjustment model and hospital performance assessment that are outlined in detail in the </w:t>
      </w:r>
      <w:hyperlink r:id="rId20" w:history="1">
        <w:r w:rsidRPr="009B4949">
          <w:rPr>
            <w:rStyle w:val="Hyperlink"/>
            <w:rFonts w:cstheme="minorHAnsi"/>
          </w:rPr>
          <w:t>original methodology report</w:t>
        </w:r>
      </w:hyperlink>
      <w:r w:rsidRPr="00DA2520">
        <w:rPr>
          <w:rFonts w:cstheme="minorHAnsi"/>
          <w:bCs/>
          <w:color w:val="00B0F0"/>
        </w:rPr>
        <w:t xml:space="preserve">. The risk-adjustment validation produced a substantial correlation of RSRRs between the two measures in a matched cohort of patients, with an intraclass correlation coefficient of 0.92. When hospitals were categorized as “Better”, “Worse” or “No different” than the national rate, over 97% (807 of 829) of hospitals in the matched cohort were categorized identically by the two measures (the </w:t>
      </w:r>
      <w:proofErr w:type="gramStart"/>
      <w:r w:rsidRPr="00DA2520">
        <w:rPr>
          <w:rFonts w:cstheme="minorHAnsi"/>
          <w:bCs/>
          <w:color w:val="00B0F0"/>
        </w:rPr>
        <w:t>vast majority</w:t>
      </w:r>
      <w:proofErr w:type="gramEnd"/>
      <w:r w:rsidRPr="00DA2520">
        <w:rPr>
          <w:rFonts w:cstheme="minorHAnsi"/>
          <w:bCs/>
          <w:color w:val="00B0F0"/>
        </w:rPr>
        <w:t xml:space="preserve"> were considered “No different than the national rate” by either measure).  </w:t>
      </w:r>
    </w:p>
    <w:p w14:paraId="19F5AD4E" w14:textId="0294BC98" w:rsidR="00DA2520" w:rsidRDefault="00DA2520" w:rsidP="00BD2818">
      <w:pPr>
        <w:rPr>
          <w:rFonts w:cstheme="minorHAnsi"/>
          <w:bCs/>
          <w:color w:val="C00000"/>
        </w:rPr>
      </w:pPr>
    </w:p>
    <w:p w14:paraId="1F13C4C0" w14:textId="2CD21CEC" w:rsidR="0025573F" w:rsidRDefault="0025573F" w:rsidP="00BD2818">
      <w:pPr>
        <w:rPr>
          <w:rFonts w:cstheme="minorHAnsi"/>
          <w:bCs/>
          <w:color w:val="C00000"/>
        </w:rPr>
      </w:pPr>
    </w:p>
    <w:p w14:paraId="13AC4634" w14:textId="77777777" w:rsidR="0025573F" w:rsidRPr="00BD2818" w:rsidRDefault="0025573F" w:rsidP="00BD2818">
      <w:pPr>
        <w:rPr>
          <w:rFonts w:cstheme="minorHAnsi"/>
          <w:bCs/>
          <w:color w:val="C00000"/>
        </w:rPr>
      </w:pPr>
    </w:p>
    <w:p w14:paraId="0CABCFDF" w14:textId="21BB7EC2" w:rsidR="007422FD"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30FAA9C6" w14:textId="73294810" w:rsidR="009F3B9B" w:rsidRDefault="009F3B9B" w:rsidP="00DB3627">
      <w:pPr>
        <w:autoSpaceDE w:val="0"/>
        <w:autoSpaceDN w:val="0"/>
        <w:adjustRightInd w:val="0"/>
        <w:spacing w:after="0" w:line="240" w:lineRule="auto"/>
        <w:rPr>
          <w:rFonts w:cstheme="minorHAnsi"/>
          <w:bCs/>
        </w:rPr>
      </w:pPr>
    </w:p>
    <w:p w14:paraId="56EABABC" w14:textId="77777777" w:rsidR="009F3B9B" w:rsidRPr="00E97340" w:rsidRDefault="009F3B9B" w:rsidP="009F3B9B">
      <w:pPr>
        <w:autoSpaceDE w:val="0"/>
        <w:autoSpaceDN w:val="0"/>
        <w:adjustRightInd w:val="0"/>
        <w:spacing w:after="0" w:line="240" w:lineRule="auto"/>
        <w:rPr>
          <w:rFonts w:cstheme="minorHAnsi"/>
          <w:bCs/>
          <w:color w:val="C00000"/>
          <w:u w:val="single"/>
        </w:rPr>
      </w:pPr>
      <w:r w:rsidRPr="00E97340">
        <w:rPr>
          <w:rFonts w:cstheme="minorHAnsi"/>
          <w:bCs/>
          <w:color w:val="C00000"/>
          <w:u w:val="single"/>
        </w:rPr>
        <w:t>Empirical Validity Testing</w:t>
      </w:r>
    </w:p>
    <w:p w14:paraId="11BE91C4" w14:textId="7949219D" w:rsidR="009F3B9B" w:rsidRDefault="009F3B9B" w:rsidP="00B324DA">
      <w:pPr>
        <w:autoSpaceDE w:val="0"/>
        <w:autoSpaceDN w:val="0"/>
        <w:adjustRightInd w:val="0"/>
        <w:spacing w:before="120" w:after="120" w:line="240" w:lineRule="auto"/>
        <w:rPr>
          <w:rFonts w:cstheme="minorHAnsi"/>
          <w:bCs/>
        </w:rPr>
      </w:pPr>
      <w:r w:rsidRPr="00E97340">
        <w:rPr>
          <w:rFonts w:cstheme="minorHAnsi"/>
          <w:bCs/>
          <w:color w:val="C00000"/>
        </w:rPr>
        <w:t>This validation approa</w:t>
      </w:r>
      <w:r>
        <w:rPr>
          <w:rFonts w:cstheme="minorHAnsi"/>
          <w:bCs/>
          <w:color w:val="C00000"/>
        </w:rPr>
        <w:t>ch compares the 30-day CABG</w:t>
      </w:r>
      <w:r w:rsidRPr="00E97340">
        <w:rPr>
          <w:rFonts w:cstheme="minorHAnsi"/>
          <w:bCs/>
          <w:color w:val="C00000"/>
        </w:rPr>
        <w:t xml:space="preserve"> readmissi</w:t>
      </w:r>
      <w:r w:rsidR="00B324DA">
        <w:rPr>
          <w:rFonts w:cstheme="minorHAnsi"/>
          <w:bCs/>
          <w:color w:val="C00000"/>
        </w:rPr>
        <w:t>on measure results against the Star R</w:t>
      </w:r>
      <w:r w:rsidRPr="00E97340">
        <w:rPr>
          <w:rFonts w:cstheme="minorHAnsi"/>
          <w:bCs/>
          <w:color w:val="C00000"/>
        </w:rPr>
        <w:t>ating readmission</w:t>
      </w:r>
      <w:r w:rsidR="00C014CE">
        <w:rPr>
          <w:rFonts w:cstheme="minorHAnsi"/>
          <w:bCs/>
          <w:color w:val="C00000"/>
        </w:rPr>
        <w:t xml:space="preserve"> domain</w:t>
      </w:r>
      <w:r w:rsidRPr="00E97340">
        <w:rPr>
          <w:rFonts w:cstheme="minorHAnsi"/>
          <w:bCs/>
          <w:color w:val="C00000"/>
        </w:rPr>
        <w:t xml:space="preserve"> and</w:t>
      </w:r>
      <w:r w:rsidR="00E6062F">
        <w:rPr>
          <w:rFonts w:cstheme="minorHAnsi"/>
          <w:bCs/>
          <w:color w:val="C00000"/>
        </w:rPr>
        <w:t xml:space="preserve"> summary scores. Figures 1 and 2</w:t>
      </w:r>
      <w:r w:rsidRPr="00E97340">
        <w:rPr>
          <w:rFonts w:cstheme="minorHAnsi"/>
          <w:bCs/>
          <w:color w:val="C00000"/>
        </w:rPr>
        <w:t xml:space="preserve"> Box Plots results demonstrate an observed trend of lower risk-standardized readmissions with higher </w:t>
      </w:r>
      <w:r w:rsidR="008C793A">
        <w:rPr>
          <w:rFonts w:cstheme="minorHAnsi"/>
          <w:bCs/>
          <w:color w:val="C00000"/>
        </w:rPr>
        <w:t>S</w:t>
      </w:r>
      <w:r w:rsidRPr="00E97340">
        <w:rPr>
          <w:rFonts w:cstheme="minorHAnsi"/>
          <w:bCs/>
          <w:color w:val="C00000"/>
        </w:rPr>
        <w:t xml:space="preserve">tar </w:t>
      </w:r>
      <w:r w:rsidR="008C793A">
        <w:rPr>
          <w:rFonts w:cstheme="minorHAnsi"/>
          <w:bCs/>
          <w:color w:val="C00000"/>
        </w:rPr>
        <w:t>R</w:t>
      </w:r>
      <w:r w:rsidRPr="00E97340">
        <w:rPr>
          <w:rFonts w:cstheme="minorHAnsi"/>
          <w:bCs/>
          <w:color w:val="C00000"/>
        </w:rPr>
        <w:t xml:space="preserve">atings, which supports measure score validity. </w:t>
      </w:r>
      <w:r w:rsidR="00C369FD">
        <w:rPr>
          <w:rFonts w:cstheme="minorHAnsi"/>
          <w:noProof/>
          <w:color w:val="C00000"/>
        </w:rPr>
        <w:t>T</w:t>
      </w:r>
      <w:r w:rsidR="00B324DA" w:rsidRPr="00043DA7">
        <w:rPr>
          <w:rFonts w:cstheme="minorHAnsi"/>
          <w:noProof/>
          <w:color w:val="C00000"/>
        </w:rPr>
        <w:t xml:space="preserve">he correlation coefficients associated with </w:t>
      </w:r>
      <w:r w:rsidR="00C369FD">
        <w:rPr>
          <w:rFonts w:cstheme="minorHAnsi"/>
          <w:noProof/>
          <w:color w:val="C00000"/>
        </w:rPr>
        <w:t xml:space="preserve">the </w:t>
      </w:r>
      <w:r w:rsidR="008C793A">
        <w:rPr>
          <w:rFonts w:cstheme="minorHAnsi"/>
          <w:noProof/>
          <w:color w:val="C00000"/>
        </w:rPr>
        <w:t>S</w:t>
      </w:r>
      <w:r w:rsidR="00C369FD">
        <w:rPr>
          <w:rFonts w:cstheme="minorHAnsi"/>
          <w:noProof/>
          <w:color w:val="C00000"/>
        </w:rPr>
        <w:t xml:space="preserve">tar </w:t>
      </w:r>
      <w:r w:rsidR="008C793A">
        <w:rPr>
          <w:rFonts w:cstheme="minorHAnsi"/>
          <w:noProof/>
          <w:color w:val="C00000"/>
        </w:rPr>
        <w:t>R</w:t>
      </w:r>
      <w:r w:rsidR="00C369FD">
        <w:rPr>
          <w:rFonts w:cstheme="minorHAnsi"/>
          <w:noProof/>
          <w:color w:val="C00000"/>
        </w:rPr>
        <w:t>atings readmission domain and summary scores and</w:t>
      </w:r>
      <w:r w:rsidR="00B324DA" w:rsidRPr="00043DA7">
        <w:rPr>
          <w:rFonts w:cstheme="minorHAnsi"/>
          <w:noProof/>
          <w:color w:val="C00000"/>
        </w:rPr>
        <w:t xml:space="preserve"> the </w:t>
      </w:r>
      <w:r w:rsidR="00B324DA">
        <w:rPr>
          <w:rFonts w:cstheme="minorHAnsi"/>
          <w:noProof/>
          <w:color w:val="C00000"/>
        </w:rPr>
        <w:t>CABG</w:t>
      </w:r>
      <w:r w:rsidR="00C369FD">
        <w:rPr>
          <w:rFonts w:cstheme="minorHAnsi"/>
          <w:noProof/>
          <w:color w:val="C00000"/>
        </w:rPr>
        <w:t xml:space="preserve"> readmission measure indicate</w:t>
      </w:r>
      <w:r w:rsidR="00B324DA" w:rsidRPr="00043DA7">
        <w:rPr>
          <w:rFonts w:cstheme="minorHAnsi"/>
          <w:noProof/>
          <w:color w:val="C00000"/>
        </w:rPr>
        <w:t xml:space="preserve"> moderate association</w:t>
      </w:r>
      <w:r w:rsidR="00C369FD">
        <w:rPr>
          <w:rFonts w:cstheme="minorHAnsi"/>
          <w:noProof/>
          <w:color w:val="C00000"/>
        </w:rPr>
        <w:t>s</w:t>
      </w:r>
      <w:r w:rsidR="00B324DA" w:rsidRPr="00043DA7">
        <w:rPr>
          <w:rFonts w:cstheme="minorHAnsi"/>
          <w:noProof/>
          <w:color w:val="C00000"/>
        </w:rPr>
        <w:t>, which is to be expected given</w:t>
      </w:r>
      <w:r w:rsidR="00B324DA">
        <w:rPr>
          <w:rFonts w:cstheme="minorHAnsi"/>
          <w:noProof/>
          <w:color w:val="C00000"/>
        </w:rPr>
        <w:t xml:space="preserve"> that all measures are calculat</w:t>
      </w:r>
      <w:r w:rsidR="00B324DA" w:rsidRPr="00043DA7">
        <w:rPr>
          <w:rFonts w:cstheme="minorHAnsi"/>
          <w:noProof/>
          <w:color w:val="C00000"/>
        </w:rPr>
        <w:t xml:space="preserve">ed through complex statistical models. </w:t>
      </w:r>
      <w:r w:rsidR="00B324DA" w:rsidRPr="00043DA7">
        <w:rPr>
          <w:color w:val="C00000"/>
        </w:rPr>
        <w:t xml:space="preserve">Therefore, the results above show that the trend and results of the </w:t>
      </w:r>
      <w:r w:rsidR="00B324DA">
        <w:rPr>
          <w:color w:val="C00000"/>
        </w:rPr>
        <w:t>CABG</w:t>
      </w:r>
      <w:r w:rsidR="00B324DA" w:rsidRPr="00043DA7">
        <w:rPr>
          <w:color w:val="C00000"/>
        </w:rPr>
        <w:t xml:space="preserve"> readmission measure </w:t>
      </w:r>
      <w:proofErr w:type="gramStart"/>
      <w:r w:rsidR="00B324DA" w:rsidRPr="00043DA7">
        <w:rPr>
          <w:color w:val="C00000"/>
        </w:rPr>
        <w:t>are in agreement</w:t>
      </w:r>
      <w:proofErr w:type="gramEnd"/>
      <w:r w:rsidR="00B324DA" w:rsidRPr="00043DA7">
        <w:rPr>
          <w:color w:val="C00000"/>
        </w:rPr>
        <w:t xml:space="preserve"> with other measures of quality</w:t>
      </w:r>
      <w:r w:rsidR="00B324DA">
        <w:rPr>
          <w:color w:val="C00000"/>
        </w:rPr>
        <w:t>.</w:t>
      </w:r>
      <w:r w:rsidR="001A3F18">
        <w:rPr>
          <w:color w:val="C00000"/>
        </w:rPr>
        <w:t xml:space="preserve"> </w:t>
      </w:r>
      <w:r w:rsidR="001A3F18">
        <w:rPr>
          <w:rFonts w:cstheme="minorHAnsi"/>
          <w:noProof/>
          <w:color w:val="C00000"/>
        </w:rPr>
        <w:t xml:space="preserve">Additionally, this validation approach compared various categories and deciles of hospital CABG admission volume with CABG readmission measure </w:t>
      </w:r>
      <w:r w:rsidR="008715C3">
        <w:rPr>
          <w:rFonts w:cstheme="minorHAnsi"/>
          <w:noProof/>
          <w:color w:val="C00000"/>
        </w:rPr>
        <w:t>scores in Table 3</w:t>
      </w:r>
      <w:r w:rsidR="001A3F18">
        <w:rPr>
          <w:rFonts w:cstheme="minorHAnsi"/>
          <w:noProof/>
          <w:color w:val="C00000"/>
        </w:rPr>
        <w:t xml:space="preserve"> – these results demonstrate an observed trend of higher hospital volume with lower readmission rates, especially in hospitals with the largest volumes.</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410283">
        <w:rPr>
          <w:rFonts w:cstheme="minorHAnsi"/>
          <w:b/>
          <w:bCs/>
          <w:i/>
        </w:rPr>
        <w:t xml:space="preserve">skip </w:t>
      </w:r>
      <w:r w:rsidR="008A4C13" w:rsidRPr="00410283">
        <w:rPr>
          <w:rFonts w:cstheme="minorHAnsi"/>
          <w:b/>
          <w:bCs/>
          <w:i/>
        </w:rPr>
        <w:t xml:space="preserve">to </w:t>
      </w:r>
      <w:r w:rsidR="00BE592D" w:rsidRPr="00410283">
        <w:rPr>
          <w:rFonts w:cstheme="minorHAnsi"/>
          <w:b/>
          <w:bCs/>
          <w:i/>
        </w:rPr>
        <w:t xml:space="preserve">section </w:t>
      </w:r>
      <w:hyperlink w:anchor="section2b4" w:history="1">
        <w:r w:rsidR="00483E94" w:rsidRPr="00410283">
          <w:rPr>
            <w:rStyle w:val="Hyperlink"/>
            <w:rFonts w:cstheme="minorHAnsi"/>
            <w:b/>
            <w:bCs/>
            <w:i/>
          </w:rPr>
          <w:t>2b</w:t>
        </w:r>
        <w:r w:rsidR="00AC1D8E" w:rsidRPr="00410283">
          <w:rPr>
            <w:rStyle w:val="Hyperlink"/>
            <w:rFonts w:cstheme="minorHAnsi"/>
            <w:b/>
            <w:bCs/>
            <w:i/>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559F145" w14:textId="17F4B1FC" w:rsidR="009F3B9B"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215CCE24" w14:textId="77777777" w:rsidR="009F3B9B" w:rsidRDefault="009F3B9B" w:rsidP="00DB3627">
      <w:pPr>
        <w:autoSpaceDE w:val="0"/>
        <w:autoSpaceDN w:val="0"/>
        <w:adjustRightInd w:val="0"/>
        <w:spacing w:after="0" w:line="240" w:lineRule="auto"/>
        <w:rPr>
          <w:rFonts w:cstheme="minorHAnsi"/>
          <w:bCs/>
        </w:rPr>
      </w:pPr>
    </w:p>
    <w:p w14:paraId="3796DB87" w14:textId="1562DBC8" w:rsidR="009F3B9B" w:rsidRPr="009F3B9B" w:rsidRDefault="009F3B9B" w:rsidP="009F3B9B">
      <w:pPr>
        <w:autoSpaceDE w:val="0"/>
        <w:autoSpaceDN w:val="0"/>
        <w:adjustRightInd w:val="0"/>
        <w:spacing w:after="0" w:line="240" w:lineRule="auto"/>
        <w:rPr>
          <w:rFonts w:cstheme="minorHAnsi"/>
          <w:bCs/>
          <w:color w:val="7030A0"/>
        </w:rPr>
      </w:pPr>
      <w:r w:rsidRPr="009F3B9B">
        <w:rPr>
          <w:rFonts w:cstheme="minorHAnsi"/>
          <w:bCs/>
          <w:color w:val="7030A0"/>
        </w:rPr>
        <w:t>All exclusions were determined by careful clinical review and have been made based on clinically relevant decisions to ensure accurate calculation of the measure. To ascertain impact of exclusions on the cohort, we examined overall frequencies and proportions of the total cohort excluded for each exclusion criterion (</w:t>
      </w:r>
      <w:r w:rsidR="00C869BA">
        <w:rPr>
          <w:rFonts w:cstheme="minorHAnsi"/>
          <w:b/>
          <w:bCs/>
          <w:color w:val="7030A0"/>
        </w:rPr>
        <w:t xml:space="preserve">Testing </w:t>
      </w:r>
      <w:r w:rsidRPr="009F3B9B">
        <w:rPr>
          <w:rFonts w:cstheme="minorHAnsi"/>
          <w:b/>
          <w:bCs/>
          <w:color w:val="7030A0"/>
        </w:rPr>
        <w:t>Dataset</w:t>
      </w:r>
      <w:r w:rsidRPr="009F3B9B">
        <w:rPr>
          <w:rFonts w:cstheme="minorHAnsi"/>
          <w:bCs/>
          <w:color w:val="7030A0"/>
        </w:rPr>
        <w:t>). These exclusions are consistent with similar NQF-endorsed outcome measures. Rationales for the exclusions</w:t>
      </w:r>
      <w:r w:rsidR="001C24BA">
        <w:rPr>
          <w:rFonts w:cstheme="minorHAnsi"/>
          <w:bCs/>
          <w:color w:val="7030A0"/>
        </w:rPr>
        <w:t xml:space="preserve"> are detailed in data field S.9</w:t>
      </w:r>
      <w:r w:rsidRPr="009F3B9B">
        <w:rPr>
          <w:rFonts w:cstheme="minorHAnsi"/>
          <w:bCs/>
          <w:color w:val="7030A0"/>
        </w:rPr>
        <w:t xml:space="preserve"> (Denominator Exclusions).</w:t>
      </w:r>
    </w:p>
    <w:p w14:paraId="474E03C1" w14:textId="77777777" w:rsidR="009F3B9B" w:rsidRDefault="009F3B9B" w:rsidP="00DB3627">
      <w:pPr>
        <w:autoSpaceDE w:val="0"/>
        <w:autoSpaceDN w:val="0"/>
        <w:adjustRightInd w:val="0"/>
        <w:spacing w:after="0" w:line="240" w:lineRule="auto"/>
        <w:rPr>
          <w:rFonts w:cstheme="minorHAnsi"/>
          <w:bCs/>
        </w:rPr>
      </w:pPr>
    </w:p>
    <w:p w14:paraId="0624E6C4" w14:textId="278828BA" w:rsidR="006B02F4"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D8F3E57" w14:textId="7B3CFF76" w:rsidR="00CB00F3" w:rsidRDefault="00CB00F3" w:rsidP="00092566">
      <w:pPr>
        <w:autoSpaceDE w:val="0"/>
        <w:autoSpaceDN w:val="0"/>
        <w:adjustRightInd w:val="0"/>
        <w:spacing w:after="0" w:line="240" w:lineRule="auto"/>
        <w:rPr>
          <w:rFonts w:cstheme="minorHAnsi"/>
          <w:bCs/>
        </w:rPr>
      </w:pPr>
    </w:p>
    <w:p w14:paraId="6E214567" w14:textId="222394CB" w:rsidR="009F3B9B" w:rsidRPr="00BD2818" w:rsidRDefault="009F3B9B" w:rsidP="00092566">
      <w:pPr>
        <w:autoSpaceDE w:val="0"/>
        <w:autoSpaceDN w:val="0"/>
        <w:adjustRightInd w:val="0"/>
        <w:spacing w:after="0" w:line="240" w:lineRule="auto"/>
        <w:rPr>
          <w:rFonts w:cstheme="minorHAnsi"/>
          <w:bCs/>
          <w:color w:val="7030A0"/>
        </w:rPr>
      </w:pPr>
      <w:r w:rsidRPr="009F3B9B">
        <w:rPr>
          <w:rFonts w:cstheme="minorHAnsi"/>
          <w:bCs/>
          <w:color w:val="7030A0"/>
        </w:rPr>
        <w:t xml:space="preserve">In </w:t>
      </w:r>
      <w:r w:rsidR="00C869BA">
        <w:rPr>
          <w:rFonts w:cstheme="minorHAnsi"/>
          <w:b/>
          <w:bCs/>
          <w:color w:val="7030A0"/>
        </w:rPr>
        <w:t>the Testing Dataset</w:t>
      </w:r>
      <w:r w:rsidRPr="009F3B9B">
        <w:rPr>
          <w:rFonts w:cstheme="minorHAnsi"/>
          <w:b/>
          <w:bCs/>
          <w:color w:val="7030A0"/>
        </w:rPr>
        <w:t xml:space="preserve"> </w:t>
      </w:r>
      <w:r w:rsidRPr="009F3B9B">
        <w:rPr>
          <w:rFonts w:cstheme="minorHAnsi"/>
          <w:bCs/>
          <w:color w:val="7030A0"/>
        </w:rPr>
        <w:t>below is the distribution of exclusions among hospitals with 25 or more admissions</w:t>
      </w:r>
      <w:r w:rsidR="00E6062F">
        <w:rPr>
          <w:rFonts w:cstheme="minorHAnsi"/>
          <w:bCs/>
          <w:color w:val="7030A0"/>
        </w:rPr>
        <w:t xml:space="preserve"> (Table 4)</w:t>
      </w:r>
      <w:r w:rsidRPr="009F3B9B">
        <w:rPr>
          <w:rFonts w:cstheme="minorHAnsi"/>
          <w:b/>
          <w:bCs/>
          <w:color w:val="7030A0"/>
        </w:rPr>
        <w:t>:</w:t>
      </w:r>
    </w:p>
    <w:p w14:paraId="0FA977CD" w14:textId="49353A52" w:rsidR="00CB00F3" w:rsidRDefault="00CB00F3" w:rsidP="00092566">
      <w:pPr>
        <w:autoSpaceDE w:val="0"/>
        <w:autoSpaceDN w:val="0"/>
        <w:adjustRightInd w:val="0"/>
        <w:spacing w:after="0" w:line="240" w:lineRule="auto"/>
        <w:rPr>
          <w:rFonts w:cstheme="minorHAnsi"/>
          <w:bCs/>
          <w:i/>
        </w:rPr>
      </w:pPr>
    </w:p>
    <w:p w14:paraId="1A0B2F69" w14:textId="33CAC09B" w:rsidR="00422DF9" w:rsidRDefault="00422DF9" w:rsidP="00092566">
      <w:pPr>
        <w:autoSpaceDE w:val="0"/>
        <w:autoSpaceDN w:val="0"/>
        <w:adjustRightInd w:val="0"/>
        <w:spacing w:after="0" w:line="240" w:lineRule="auto"/>
        <w:rPr>
          <w:rFonts w:cstheme="minorHAnsi"/>
          <w:bCs/>
          <w:color w:val="C00000"/>
        </w:rPr>
      </w:pPr>
      <w:r w:rsidRPr="00E1127C">
        <w:rPr>
          <w:rFonts w:cstheme="minorHAnsi"/>
          <w:bCs/>
          <w:color w:val="C00000"/>
        </w:rPr>
        <w:t>Table 4.</w:t>
      </w:r>
      <w:r w:rsidR="00E1127C">
        <w:rPr>
          <w:rFonts w:cstheme="minorHAnsi"/>
          <w:bCs/>
          <w:color w:val="C00000"/>
        </w:rPr>
        <w:t xml:space="preserve"> Distribution of Exclusions</w:t>
      </w:r>
    </w:p>
    <w:p w14:paraId="044BCE15" w14:textId="77777777" w:rsidR="00E1127C" w:rsidRPr="00E1127C" w:rsidRDefault="00E1127C" w:rsidP="00092566">
      <w:pPr>
        <w:autoSpaceDE w:val="0"/>
        <w:autoSpaceDN w:val="0"/>
        <w:adjustRightInd w:val="0"/>
        <w:spacing w:after="0" w:line="240" w:lineRule="auto"/>
        <w:rPr>
          <w:rFonts w:cstheme="minorHAnsi"/>
          <w:bCs/>
          <w:color w:val="C00000"/>
        </w:rPr>
      </w:pPr>
    </w:p>
    <w:tbl>
      <w:tblPr>
        <w:tblStyle w:val="TableGrid"/>
        <w:tblW w:w="10454" w:type="dxa"/>
        <w:tblLayout w:type="fixed"/>
        <w:tblLook w:val="04A0" w:firstRow="1" w:lastRow="0" w:firstColumn="1" w:lastColumn="0" w:noHBand="0" w:noVBand="1"/>
      </w:tblPr>
      <w:tblGrid>
        <w:gridCol w:w="4585"/>
        <w:gridCol w:w="849"/>
        <w:gridCol w:w="1655"/>
        <w:gridCol w:w="3365"/>
      </w:tblGrid>
      <w:tr w:rsidR="00852C9C" w:rsidRPr="00BE142B" w14:paraId="2BF14421" w14:textId="77777777" w:rsidTr="00BD2818">
        <w:trPr>
          <w:cantSplit/>
          <w:trHeight w:val="827"/>
          <w:tblHeader/>
        </w:trPr>
        <w:tc>
          <w:tcPr>
            <w:tcW w:w="4585" w:type="dxa"/>
            <w:shd w:val="clear" w:color="auto" w:fill="8DB3E2" w:themeFill="text2" w:themeFillTint="66"/>
            <w:vAlign w:val="center"/>
          </w:tcPr>
          <w:p w14:paraId="2969075F" w14:textId="0552F049" w:rsidR="00852C9C" w:rsidRPr="00BE142B" w:rsidRDefault="00852C9C" w:rsidP="003C292C">
            <w:pPr>
              <w:rPr>
                <w:b/>
              </w:rPr>
            </w:pPr>
            <w:r w:rsidRPr="00BE142B">
              <w:rPr>
                <w:b/>
              </w:rPr>
              <w:lastRenderedPageBreak/>
              <w:t>Exclusion</w:t>
            </w:r>
          </w:p>
        </w:tc>
        <w:tc>
          <w:tcPr>
            <w:tcW w:w="849" w:type="dxa"/>
            <w:shd w:val="clear" w:color="auto" w:fill="8DB3E2" w:themeFill="text2" w:themeFillTint="66"/>
            <w:vAlign w:val="center"/>
          </w:tcPr>
          <w:p w14:paraId="3D4C9045" w14:textId="77777777" w:rsidR="00852C9C" w:rsidRPr="00BE142B" w:rsidRDefault="00852C9C" w:rsidP="003C292C">
            <w:pPr>
              <w:jc w:val="center"/>
              <w:rPr>
                <w:b/>
              </w:rPr>
            </w:pPr>
            <w:r w:rsidRPr="00BE142B">
              <w:rPr>
                <w:b/>
              </w:rPr>
              <w:t>N</w:t>
            </w:r>
          </w:p>
        </w:tc>
        <w:tc>
          <w:tcPr>
            <w:tcW w:w="1655" w:type="dxa"/>
            <w:shd w:val="clear" w:color="auto" w:fill="8DB3E2" w:themeFill="text2" w:themeFillTint="66"/>
            <w:vAlign w:val="center"/>
          </w:tcPr>
          <w:p w14:paraId="3D4768DB" w14:textId="77777777" w:rsidR="00852C9C" w:rsidRPr="00BE142B" w:rsidRDefault="00852C9C" w:rsidP="003C292C">
            <w:pPr>
              <w:jc w:val="center"/>
              <w:rPr>
                <w:b/>
              </w:rPr>
            </w:pPr>
            <w:r w:rsidRPr="00BE142B">
              <w:rPr>
                <w:b/>
              </w:rPr>
              <w:t>%</w:t>
            </w:r>
          </w:p>
        </w:tc>
        <w:tc>
          <w:tcPr>
            <w:tcW w:w="3365" w:type="dxa"/>
            <w:shd w:val="clear" w:color="auto" w:fill="8DB3E2" w:themeFill="text2" w:themeFillTint="66"/>
            <w:vAlign w:val="center"/>
          </w:tcPr>
          <w:p w14:paraId="778E5F77" w14:textId="163475D0" w:rsidR="00852C9C" w:rsidRPr="00BE142B" w:rsidRDefault="00852C9C" w:rsidP="003C292C">
            <w:pPr>
              <w:jc w:val="center"/>
              <w:rPr>
                <w:b/>
              </w:rPr>
            </w:pPr>
            <w:r w:rsidRPr="00BE142B">
              <w:rPr>
                <w:b/>
              </w:rPr>
              <w:t>Distribution across hospitals (N=</w:t>
            </w:r>
            <w:r w:rsidR="004915B2" w:rsidRPr="001A7EBA">
              <w:rPr>
                <w:b/>
                <w:color w:val="C00000"/>
              </w:rPr>
              <w:t>994</w:t>
            </w:r>
            <w:r w:rsidRPr="00BE142B">
              <w:rPr>
                <w:b/>
              </w:rPr>
              <w:t>: Min, 25</w:t>
            </w:r>
            <w:r w:rsidRPr="00BE142B">
              <w:rPr>
                <w:b/>
                <w:vertAlign w:val="superscript"/>
              </w:rPr>
              <w:t>th</w:t>
            </w:r>
            <w:r w:rsidRPr="00BE142B">
              <w:rPr>
                <w:b/>
              </w:rPr>
              <w:t>, 50</w:t>
            </w:r>
            <w:r w:rsidRPr="00BE142B">
              <w:rPr>
                <w:b/>
                <w:vertAlign w:val="superscript"/>
              </w:rPr>
              <w:t>th</w:t>
            </w:r>
            <w:r w:rsidRPr="00BE142B">
              <w:rPr>
                <w:b/>
              </w:rPr>
              <w:t>, 75</w:t>
            </w:r>
            <w:r w:rsidRPr="00BE142B">
              <w:rPr>
                <w:b/>
                <w:vertAlign w:val="superscript"/>
              </w:rPr>
              <w:t>th</w:t>
            </w:r>
            <w:r w:rsidRPr="00BE142B">
              <w:rPr>
                <w:b/>
              </w:rPr>
              <w:t xml:space="preserve"> percentile, max</w:t>
            </w:r>
          </w:p>
        </w:tc>
      </w:tr>
      <w:tr w:rsidR="00852C9C" w:rsidRPr="00BE142B" w14:paraId="6EF063FD" w14:textId="77777777" w:rsidTr="00BD2818">
        <w:trPr>
          <w:cantSplit/>
          <w:trHeight w:val="541"/>
          <w:tblHeader/>
        </w:trPr>
        <w:tc>
          <w:tcPr>
            <w:tcW w:w="4585" w:type="dxa"/>
          </w:tcPr>
          <w:p w14:paraId="61CF6F0B" w14:textId="1327A98B" w:rsidR="00852C9C" w:rsidRPr="00BD2818" w:rsidRDefault="00852C9C" w:rsidP="00852C9C">
            <w:pPr>
              <w:rPr>
                <w:color w:val="7030A0"/>
              </w:rPr>
            </w:pPr>
            <w:r w:rsidRPr="00BD2818">
              <w:rPr>
                <w:rFonts w:cs="Arial"/>
                <w:color w:val="7030A0"/>
              </w:rPr>
              <w:t xml:space="preserve">1. </w:t>
            </w:r>
            <w:r w:rsidR="00BD2818">
              <w:rPr>
                <w:rFonts w:cs="Arial"/>
                <w:color w:val="7030A0"/>
              </w:rPr>
              <w:t>Discharged</w:t>
            </w:r>
            <w:r w:rsidRPr="00BD2818">
              <w:rPr>
                <w:rFonts w:cs="Arial"/>
                <w:color w:val="7030A0"/>
              </w:rPr>
              <w:t xml:space="preserve"> against medical advice (AMA)</w:t>
            </w:r>
          </w:p>
        </w:tc>
        <w:tc>
          <w:tcPr>
            <w:tcW w:w="849" w:type="dxa"/>
            <w:vAlign w:val="center"/>
          </w:tcPr>
          <w:p w14:paraId="6DE3D6A7" w14:textId="5F1A6616" w:rsidR="00852C9C" w:rsidRPr="00BE142B" w:rsidRDefault="004915B2" w:rsidP="00852C9C">
            <w:pPr>
              <w:jc w:val="center"/>
              <w:rPr>
                <w:color w:val="FF0000"/>
              </w:rPr>
            </w:pPr>
            <w:r w:rsidRPr="001A7EBA">
              <w:rPr>
                <w:color w:val="C00000"/>
              </w:rPr>
              <w:t>45</w:t>
            </w:r>
          </w:p>
        </w:tc>
        <w:tc>
          <w:tcPr>
            <w:tcW w:w="1655" w:type="dxa"/>
            <w:vAlign w:val="center"/>
          </w:tcPr>
          <w:p w14:paraId="58AEC6D1" w14:textId="1A163BF4" w:rsidR="00852C9C" w:rsidRPr="00BE142B" w:rsidRDefault="004915B2" w:rsidP="00852C9C">
            <w:pPr>
              <w:jc w:val="center"/>
              <w:rPr>
                <w:color w:val="FF0000"/>
              </w:rPr>
            </w:pPr>
            <w:r w:rsidRPr="001A7EBA">
              <w:rPr>
                <w:color w:val="C00000"/>
              </w:rPr>
              <w:t>0.03</w:t>
            </w:r>
          </w:p>
        </w:tc>
        <w:tc>
          <w:tcPr>
            <w:tcW w:w="3365" w:type="dxa"/>
            <w:vAlign w:val="center"/>
          </w:tcPr>
          <w:p w14:paraId="440E2D65" w14:textId="4DF87B51" w:rsidR="00852C9C" w:rsidRPr="001A7EBA" w:rsidRDefault="004915B2" w:rsidP="00852C9C">
            <w:pPr>
              <w:jc w:val="center"/>
              <w:rPr>
                <w:color w:val="C00000"/>
              </w:rPr>
            </w:pP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3.70)</w:t>
            </w:r>
          </w:p>
        </w:tc>
      </w:tr>
      <w:tr w:rsidR="00852C9C" w:rsidRPr="00BE142B" w14:paraId="538584CC" w14:textId="77777777" w:rsidTr="00BD2818">
        <w:trPr>
          <w:cantSplit/>
          <w:trHeight w:val="551"/>
          <w:tblHeader/>
        </w:trPr>
        <w:tc>
          <w:tcPr>
            <w:tcW w:w="4585" w:type="dxa"/>
          </w:tcPr>
          <w:p w14:paraId="1738DB1F" w14:textId="177852D4" w:rsidR="00852C9C" w:rsidRPr="00BD2818" w:rsidRDefault="00852C9C" w:rsidP="00852C9C">
            <w:pPr>
              <w:rPr>
                <w:rFonts w:cs="Arial"/>
                <w:color w:val="7030A0"/>
              </w:rPr>
            </w:pPr>
            <w:r w:rsidRPr="00BD2818">
              <w:rPr>
                <w:rFonts w:cs="Arial"/>
                <w:color w:val="7030A0"/>
              </w:rPr>
              <w:t xml:space="preserve">2. </w:t>
            </w:r>
            <w:r w:rsidR="00BD2818" w:rsidRPr="005028DC">
              <w:rPr>
                <w:rFonts w:cs="Arial"/>
                <w:color w:val="7030A0"/>
              </w:rPr>
              <w:t>Without at least 30 days post-discharge enrollment in FFS Medicare for index admission</w:t>
            </w:r>
          </w:p>
        </w:tc>
        <w:tc>
          <w:tcPr>
            <w:tcW w:w="849" w:type="dxa"/>
            <w:vAlign w:val="center"/>
          </w:tcPr>
          <w:p w14:paraId="7B3AF1A0" w14:textId="1AB75886" w:rsidR="00852C9C" w:rsidRPr="00BE142B" w:rsidRDefault="004915B2" w:rsidP="00852C9C">
            <w:pPr>
              <w:jc w:val="center"/>
              <w:rPr>
                <w:color w:val="FF0000"/>
              </w:rPr>
            </w:pPr>
            <w:r w:rsidRPr="001A7EBA">
              <w:rPr>
                <w:color w:val="C00000"/>
              </w:rPr>
              <w:t>569</w:t>
            </w:r>
          </w:p>
        </w:tc>
        <w:tc>
          <w:tcPr>
            <w:tcW w:w="1655" w:type="dxa"/>
            <w:vAlign w:val="center"/>
          </w:tcPr>
          <w:p w14:paraId="1F547E43" w14:textId="48636E7C" w:rsidR="00852C9C" w:rsidRPr="00BE142B" w:rsidRDefault="004915B2" w:rsidP="00852C9C">
            <w:pPr>
              <w:tabs>
                <w:tab w:val="left" w:pos="1390"/>
              </w:tabs>
              <w:jc w:val="center"/>
              <w:rPr>
                <w:color w:val="FF0000"/>
              </w:rPr>
            </w:pPr>
            <w:r w:rsidRPr="001A7EBA">
              <w:rPr>
                <w:color w:val="C00000"/>
              </w:rPr>
              <w:t>0.43</w:t>
            </w:r>
          </w:p>
        </w:tc>
        <w:tc>
          <w:tcPr>
            <w:tcW w:w="3365" w:type="dxa"/>
            <w:vAlign w:val="center"/>
          </w:tcPr>
          <w:p w14:paraId="077CA2FD" w14:textId="4C03D399" w:rsidR="00852C9C" w:rsidRPr="001A7EBA" w:rsidRDefault="00CB00F3" w:rsidP="00852C9C">
            <w:pPr>
              <w:jc w:val="center"/>
              <w:rPr>
                <w:color w:val="C00000"/>
              </w:rPr>
            </w:pP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0.70,</w:t>
            </w:r>
            <w:r w:rsidR="00BD2818">
              <w:rPr>
                <w:color w:val="C00000"/>
              </w:rPr>
              <w:t xml:space="preserve"> </w:t>
            </w:r>
            <w:r w:rsidRPr="001A7EBA">
              <w:rPr>
                <w:color w:val="C00000"/>
              </w:rPr>
              <w:t>5.41)</w:t>
            </w:r>
          </w:p>
        </w:tc>
      </w:tr>
      <w:tr w:rsidR="00852C9C" w:rsidRPr="00BE142B" w14:paraId="1B62F7EA" w14:textId="77777777" w:rsidTr="00BD2818">
        <w:trPr>
          <w:cantSplit/>
          <w:trHeight w:val="827"/>
          <w:tblHeader/>
        </w:trPr>
        <w:tc>
          <w:tcPr>
            <w:tcW w:w="4585" w:type="dxa"/>
          </w:tcPr>
          <w:p w14:paraId="44446B7D" w14:textId="296E44C2" w:rsidR="00852C9C" w:rsidRPr="00BD2818" w:rsidRDefault="00852C9C" w:rsidP="00852C9C">
            <w:pPr>
              <w:rPr>
                <w:color w:val="7030A0"/>
              </w:rPr>
            </w:pPr>
            <w:r w:rsidRPr="00BD2818">
              <w:rPr>
                <w:rFonts w:cs="Arial"/>
                <w:color w:val="7030A0"/>
              </w:rPr>
              <w:t xml:space="preserve">3. Subsequent hospital stays for patients with additional CABG procedure admissions </w:t>
            </w:r>
          </w:p>
        </w:tc>
        <w:tc>
          <w:tcPr>
            <w:tcW w:w="849" w:type="dxa"/>
            <w:vAlign w:val="center"/>
          </w:tcPr>
          <w:p w14:paraId="0FDC6B09" w14:textId="55CD7FB4" w:rsidR="00852C9C" w:rsidRPr="00BE142B" w:rsidRDefault="004915B2" w:rsidP="00852C9C">
            <w:pPr>
              <w:jc w:val="center"/>
              <w:rPr>
                <w:color w:val="FF0000"/>
              </w:rPr>
            </w:pPr>
            <w:r w:rsidRPr="001A7EBA">
              <w:rPr>
                <w:color w:val="C00000"/>
              </w:rPr>
              <w:t>61</w:t>
            </w:r>
          </w:p>
        </w:tc>
        <w:tc>
          <w:tcPr>
            <w:tcW w:w="1655" w:type="dxa"/>
            <w:vAlign w:val="center"/>
          </w:tcPr>
          <w:p w14:paraId="1602FCD5" w14:textId="048D56B2" w:rsidR="00852C9C" w:rsidRPr="00BE142B" w:rsidRDefault="004915B2" w:rsidP="00852C9C">
            <w:pPr>
              <w:jc w:val="center"/>
              <w:rPr>
                <w:color w:val="FF0000"/>
              </w:rPr>
            </w:pPr>
            <w:r w:rsidRPr="001A7EBA">
              <w:rPr>
                <w:color w:val="C00000"/>
              </w:rPr>
              <w:t>0.05</w:t>
            </w:r>
          </w:p>
        </w:tc>
        <w:tc>
          <w:tcPr>
            <w:tcW w:w="3365" w:type="dxa"/>
            <w:vAlign w:val="center"/>
          </w:tcPr>
          <w:p w14:paraId="0BAA3293" w14:textId="545BE07F" w:rsidR="00852C9C" w:rsidRPr="001A7EBA" w:rsidRDefault="00CB00F3" w:rsidP="00852C9C">
            <w:pPr>
              <w:jc w:val="center"/>
              <w:rPr>
                <w:color w:val="C00000"/>
              </w:rPr>
            </w:pP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0.00,</w:t>
            </w:r>
            <w:r w:rsidR="00BD2818">
              <w:rPr>
                <w:color w:val="C00000"/>
              </w:rPr>
              <w:t xml:space="preserve"> </w:t>
            </w:r>
            <w:r w:rsidRPr="001A7EBA">
              <w:rPr>
                <w:color w:val="C00000"/>
              </w:rPr>
              <w:t>3.45)</w:t>
            </w:r>
          </w:p>
        </w:tc>
      </w:tr>
    </w:tbl>
    <w:p w14:paraId="0CABCFE6" w14:textId="25866D41"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34958EB6"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B324DA">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3255DD20" w14:textId="26C215C6" w:rsidR="00BD2818" w:rsidRPr="00EB5124" w:rsidRDefault="00BD2818" w:rsidP="00BD2818">
      <w:pPr>
        <w:autoSpaceDE w:val="0"/>
        <w:autoSpaceDN w:val="0"/>
        <w:adjustRightInd w:val="0"/>
        <w:spacing w:before="120" w:after="120" w:line="240" w:lineRule="auto"/>
        <w:rPr>
          <w:rFonts w:cstheme="minorHAnsi"/>
          <w:bCs/>
          <w:color w:val="7030A0"/>
        </w:rPr>
      </w:pPr>
      <w:r w:rsidRPr="00EB5124">
        <w:rPr>
          <w:rFonts w:cstheme="minorHAnsi"/>
          <w:b/>
          <w:bCs/>
          <w:color w:val="7030A0"/>
          <w:u w:val="single"/>
        </w:rPr>
        <w:t>Exclusion 1</w:t>
      </w:r>
      <w:r w:rsidRPr="00EB5124">
        <w:rPr>
          <w:rFonts w:cstheme="minorHAnsi"/>
          <w:bCs/>
          <w:color w:val="7030A0"/>
        </w:rPr>
        <w:t xml:space="preserve"> (</w:t>
      </w:r>
      <w:r w:rsidR="00422DF9">
        <w:rPr>
          <w:rFonts w:cstheme="minorHAnsi"/>
          <w:bCs/>
          <w:color w:val="7030A0"/>
        </w:rPr>
        <w:t>P</w:t>
      </w:r>
      <w:r w:rsidRPr="00EB5124">
        <w:rPr>
          <w:rFonts w:cstheme="minorHAnsi"/>
          <w:bCs/>
          <w:color w:val="7030A0"/>
        </w:rPr>
        <w:t xml:space="preserve">atients who are discharged AMA) accounts for </w:t>
      </w:r>
      <w:r>
        <w:rPr>
          <w:rFonts w:cstheme="minorHAnsi"/>
          <w:bCs/>
          <w:color w:val="C00000"/>
        </w:rPr>
        <w:t>0.03</w:t>
      </w:r>
      <w:r w:rsidRPr="00EB5124">
        <w:rPr>
          <w:rFonts w:cstheme="minorHAnsi"/>
          <w:bCs/>
          <w:color w:val="C00000"/>
        </w:rPr>
        <w:t xml:space="preserve">% </w:t>
      </w:r>
      <w:r w:rsidRPr="00EB5124">
        <w:rPr>
          <w:rFonts w:cstheme="minorHAnsi"/>
          <w:bCs/>
          <w:color w:val="7030A0"/>
        </w:rPr>
        <w:t>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p>
    <w:p w14:paraId="352C1EB6" w14:textId="7ECA1801" w:rsidR="00BD2818" w:rsidRPr="00EB5124" w:rsidRDefault="00BD2818" w:rsidP="00BD2818">
      <w:pPr>
        <w:autoSpaceDE w:val="0"/>
        <w:autoSpaceDN w:val="0"/>
        <w:adjustRightInd w:val="0"/>
        <w:spacing w:before="120" w:after="120" w:line="240" w:lineRule="auto"/>
        <w:rPr>
          <w:rFonts w:cstheme="minorHAnsi"/>
          <w:bCs/>
          <w:color w:val="7030A0"/>
        </w:rPr>
      </w:pPr>
      <w:r w:rsidRPr="00EB5124">
        <w:rPr>
          <w:rFonts w:cstheme="minorHAnsi"/>
          <w:b/>
          <w:bCs/>
          <w:color w:val="7030A0"/>
          <w:u w:val="single"/>
        </w:rPr>
        <w:t>Exclusion 2</w:t>
      </w:r>
      <w:r w:rsidRPr="00EB5124">
        <w:rPr>
          <w:rFonts w:cstheme="minorHAnsi"/>
          <w:bCs/>
          <w:color w:val="7030A0"/>
        </w:rPr>
        <w:t xml:space="preserve"> (</w:t>
      </w:r>
      <w:r w:rsidR="00422DF9">
        <w:rPr>
          <w:rFonts w:cstheme="minorHAnsi"/>
          <w:bCs/>
          <w:color w:val="7030A0"/>
        </w:rPr>
        <w:t>P</w:t>
      </w:r>
      <w:r w:rsidRPr="00EB5124">
        <w:rPr>
          <w:rFonts w:cstheme="minorHAnsi"/>
          <w:bCs/>
          <w:color w:val="7030A0"/>
        </w:rPr>
        <w:t xml:space="preserve">atients without at least 30 days post-discharge enrollment in FFS Medicare for index admissions) accounts for </w:t>
      </w:r>
      <w:r>
        <w:rPr>
          <w:rFonts w:cstheme="minorHAnsi"/>
          <w:bCs/>
          <w:color w:val="C00000"/>
        </w:rPr>
        <w:t>0.43</w:t>
      </w:r>
      <w:r w:rsidRPr="00EB5124">
        <w:rPr>
          <w:rFonts w:cstheme="minorHAnsi"/>
          <w:bCs/>
          <w:color w:val="C00000"/>
        </w:rPr>
        <w:t xml:space="preserve">% </w:t>
      </w:r>
      <w:r w:rsidRPr="00EB5124">
        <w:rPr>
          <w:rFonts w:cstheme="minorHAnsi"/>
          <w:bCs/>
          <w:color w:val="7030A0"/>
        </w:rPr>
        <w:t xml:space="preserve">of all index admissions excluded from the initial index cohort. This exclusion is needed since the 30-day readmission outcome cannot be assessed in this group since claims data are used to determine whether a patient was readmitted.  </w:t>
      </w:r>
    </w:p>
    <w:p w14:paraId="34315F74" w14:textId="2F324232" w:rsidR="008715C3" w:rsidRDefault="00BD2818" w:rsidP="001B3019">
      <w:pPr>
        <w:autoSpaceDE w:val="0"/>
        <w:autoSpaceDN w:val="0"/>
        <w:adjustRightInd w:val="0"/>
        <w:spacing w:before="120" w:after="120" w:line="240" w:lineRule="auto"/>
        <w:rPr>
          <w:rFonts w:cstheme="minorHAnsi"/>
          <w:bCs/>
        </w:rPr>
      </w:pPr>
      <w:r w:rsidRPr="00EB5124">
        <w:rPr>
          <w:rFonts w:cstheme="minorHAnsi"/>
          <w:b/>
          <w:bCs/>
          <w:color w:val="7030A0"/>
          <w:u w:val="single"/>
        </w:rPr>
        <w:t>Exclusion 3</w:t>
      </w:r>
      <w:r w:rsidRPr="00EB5124">
        <w:rPr>
          <w:rFonts w:cstheme="minorHAnsi"/>
          <w:bCs/>
          <w:color w:val="7030A0"/>
        </w:rPr>
        <w:t xml:space="preserve"> (</w:t>
      </w:r>
      <w:r w:rsidR="00422DF9">
        <w:rPr>
          <w:rFonts w:cstheme="minorHAnsi"/>
          <w:bCs/>
          <w:color w:val="7030A0"/>
        </w:rPr>
        <w:t>P</w:t>
      </w:r>
      <w:r w:rsidRPr="00EB5124">
        <w:rPr>
          <w:rFonts w:cstheme="minorHAnsi"/>
          <w:bCs/>
          <w:color w:val="7030A0"/>
        </w:rPr>
        <w:t xml:space="preserve">atients with </w:t>
      </w:r>
      <w:r w:rsidR="001B3019">
        <w:rPr>
          <w:rFonts w:cstheme="minorHAnsi"/>
          <w:bCs/>
          <w:color w:val="7030A0"/>
        </w:rPr>
        <w:t>subsequent admissions for CABG</w:t>
      </w:r>
      <w:r w:rsidRPr="00EB5124">
        <w:rPr>
          <w:rFonts w:cstheme="minorHAnsi"/>
          <w:bCs/>
          <w:color w:val="7030A0"/>
        </w:rPr>
        <w:t>)</w:t>
      </w:r>
      <w:r w:rsidR="005335E0" w:rsidRPr="005335E0">
        <w:rPr>
          <w:rFonts w:cstheme="minorHAnsi"/>
          <w:bCs/>
          <w:color w:val="7030A0"/>
        </w:rPr>
        <w:t xml:space="preserve"> </w:t>
      </w:r>
      <w:r w:rsidR="005335E0" w:rsidRPr="00EB5124">
        <w:rPr>
          <w:rFonts w:cstheme="minorHAnsi"/>
          <w:bCs/>
          <w:color w:val="7030A0"/>
        </w:rPr>
        <w:t xml:space="preserve">accounts for </w:t>
      </w:r>
      <w:r w:rsidR="005335E0">
        <w:rPr>
          <w:rFonts w:cstheme="minorHAnsi"/>
          <w:bCs/>
          <w:color w:val="C00000"/>
        </w:rPr>
        <w:t>0.05</w:t>
      </w:r>
      <w:r w:rsidR="005335E0" w:rsidRPr="00EB5124">
        <w:rPr>
          <w:rFonts w:cstheme="minorHAnsi"/>
          <w:bCs/>
          <w:color w:val="C00000"/>
        </w:rPr>
        <w:t xml:space="preserve">% </w:t>
      </w:r>
      <w:r w:rsidR="005335E0" w:rsidRPr="00EB5124">
        <w:rPr>
          <w:rFonts w:cstheme="minorHAnsi"/>
          <w:bCs/>
          <w:color w:val="7030A0"/>
        </w:rPr>
        <w:t xml:space="preserve">of all index admissions excluded from the initial index cohort. </w:t>
      </w:r>
      <w:r w:rsidR="001B3019" w:rsidRPr="001B3019">
        <w:rPr>
          <w:rFonts w:cstheme="minorHAnsi"/>
          <w:bCs/>
          <w:color w:val="7030A0"/>
        </w:rPr>
        <w:t>CABG procedures are expected to last for several years without the need for revision or repeat revascularization. A repeat CABG procedure during the measurement period likely represents a complication of the original CABG procedure and is a clinically more complex and higher risk surgery. Therefore, we select the first CABG surgery admission for inclusion in the measure and exclude subsequent CABG surgery admissions from the cohort.</w:t>
      </w:r>
    </w:p>
    <w:p w14:paraId="0CABCFE9" w14:textId="18F2C30C" w:rsidR="001202E9" w:rsidRPr="00A25024" w:rsidRDefault="0086464B" w:rsidP="001B3019">
      <w:pPr>
        <w:autoSpaceDE w:val="0"/>
        <w:autoSpaceDN w:val="0"/>
        <w:adjustRightInd w:val="0"/>
        <w:spacing w:before="120" w:after="120" w:line="240" w:lineRule="auto"/>
        <w:rPr>
          <w:rFonts w:cstheme="minorHAnsi"/>
          <w:bCs/>
        </w:rPr>
      </w:pPr>
      <w:r>
        <w:rPr>
          <w:rFonts w:cstheme="minorHAnsi"/>
          <w:bCs/>
        </w:rPr>
        <w:t>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25" w:name="section2b4"/>
      <w:bookmarkEnd w:id="25"/>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065406">
        <w:rPr>
          <w:rFonts w:cstheme="minorHAnsi"/>
          <w:b/>
          <w:bCs/>
          <w:i/>
        </w:rPr>
        <w:t>If not an intermediate or health outcome</w:t>
      </w:r>
      <w:r w:rsidR="00127C06" w:rsidRPr="00065406">
        <w:rPr>
          <w:rFonts w:cstheme="minorHAnsi"/>
          <w:b/>
          <w:bCs/>
          <w:i/>
        </w:rPr>
        <w:t>,</w:t>
      </w:r>
      <w:r w:rsidR="00AC1D8E" w:rsidRPr="00065406">
        <w:rPr>
          <w:rFonts w:cstheme="minorHAnsi"/>
          <w:b/>
          <w:bCs/>
          <w:i/>
        </w:rPr>
        <w:t xml:space="preserve"> </w:t>
      </w:r>
      <w:r w:rsidR="00127C06" w:rsidRPr="00065406">
        <w:rPr>
          <w:rFonts w:cstheme="minorHAnsi"/>
          <w:b/>
          <w:bCs/>
          <w:i/>
        </w:rPr>
        <w:t xml:space="preserve">or PRO-PM, </w:t>
      </w:r>
      <w:r w:rsidR="00AC1D8E" w:rsidRPr="00065406">
        <w:rPr>
          <w:rFonts w:cstheme="minorHAnsi"/>
          <w:b/>
          <w:bCs/>
          <w:i/>
        </w:rPr>
        <w:t xml:space="preserve">or resource use measure, </w:t>
      </w:r>
      <w:r w:rsidR="00BE592D" w:rsidRPr="00065406">
        <w:rPr>
          <w:rFonts w:cstheme="minorHAnsi"/>
          <w:b/>
          <w:bCs/>
          <w:i/>
        </w:rPr>
        <w:t xml:space="preserve">skip to section </w:t>
      </w:r>
      <w:hyperlink w:anchor="section2b5" w:history="1">
        <w:r w:rsidR="00BE592D" w:rsidRPr="00065406">
          <w:rPr>
            <w:rStyle w:val="Hyperlink"/>
            <w:rFonts w:cstheme="minorHAnsi"/>
            <w:b/>
            <w:bCs/>
            <w:i/>
          </w:rPr>
          <w:t>2b5</w:t>
        </w:r>
      </w:hyperlink>
      <w:r w:rsidR="00BE592D" w:rsidRPr="00065406">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F6040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235E0ADB" w:rsidR="00743E46" w:rsidRPr="005232D6" w:rsidRDefault="00F6040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100F42">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100F42" w:rsidRPr="008715C3">
            <w:rPr>
              <w:rStyle w:val="Style4"/>
              <w:color w:val="7030A0"/>
              <w:u w:val="none"/>
            </w:rPr>
            <w:t>26</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6040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6040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1BA1C271" w14:textId="04F513C8" w:rsidR="009F3B9B" w:rsidRDefault="000B7D57" w:rsidP="009F3B9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38D2C5B4" w14:textId="5C9F3B1A" w:rsidR="009F3B9B" w:rsidRPr="009F3B9B" w:rsidRDefault="009F3B9B" w:rsidP="00BD2818">
      <w:pPr>
        <w:spacing w:before="120" w:after="120"/>
        <w:rPr>
          <w:rFonts w:cstheme="minorHAnsi"/>
          <w:bCs/>
          <w:color w:val="7030A0"/>
        </w:rPr>
      </w:pPr>
      <w:r w:rsidRPr="009F3B9B">
        <w:rPr>
          <w:rFonts w:cstheme="minorHAnsi"/>
          <w:bCs/>
          <w:color w:val="7030A0"/>
        </w:rPr>
        <w:t xml:space="preserve">See risk model specifications in Section </w:t>
      </w:r>
      <w:r w:rsidR="00422DF9">
        <w:rPr>
          <w:rFonts w:cstheme="minorHAnsi"/>
          <w:bCs/>
          <w:color w:val="7030A0"/>
        </w:rPr>
        <w:t>2</w:t>
      </w:r>
      <w:r w:rsidRPr="009F3B9B">
        <w:rPr>
          <w:rFonts w:cstheme="minorHAnsi"/>
          <w:bCs/>
          <w:color w:val="7030A0"/>
        </w:rPr>
        <w:t>b3.4a and the attached data dictionary.</w:t>
      </w:r>
    </w:p>
    <w:p w14:paraId="0CABCFF4" w14:textId="097517A9" w:rsidR="009D3882" w:rsidRDefault="009C7513" w:rsidP="009D3882">
      <w:pPr>
        <w:rPr>
          <w:rFonts w:cs="Calibri"/>
          <w:bCs/>
        </w:rPr>
      </w:pPr>
      <w:r>
        <w:rPr>
          <w:rFonts w:cs="Calibri"/>
          <w:b/>
          <w:bCs/>
        </w:rPr>
        <w:lastRenderedPageBreak/>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313512">
        <w:rPr>
          <w:rFonts w:cs="Calibri"/>
          <w:bCs/>
        </w:rPr>
        <w:t xml:space="preserve">. </w:t>
      </w:r>
    </w:p>
    <w:p w14:paraId="6C196F48" w14:textId="3410562C" w:rsidR="009F3B9B" w:rsidRPr="009F3B9B" w:rsidRDefault="009F3B9B" w:rsidP="00BD2818">
      <w:pPr>
        <w:spacing w:after="120"/>
        <w:rPr>
          <w:rFonts w:cs="Calibri"/>
          <w:bCs/>
          <w:color w:val="7030A0"/>
        </w:rPr>
      </w:pPr>
      <w:r w:rsidRPr="009F3B9B">
        <w:rPr>
          <w:rFonts w:cs="Calibri"/>
          <w:bCs/>
          <w:color w:val="7030A0"/>
        </w:rPr>
        <w:t>N/A. This measure is risk adjusted</w:t>
      </w:r>
      <w:r w:rsidR="008715C3">
        <w:rPr>
          <w:rFonts w:cs="Calibri"/>
          <w:bCs/>
          <w:color w:val="7030A0"/>
        </w:rPr>
        <w:t>.</w:t>
      </w:r>
    </w:p>
    <w:p w14:paraId="09C99BBA" w14:textId="715018FC" w:rsidR="00313512"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B324DA">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E2D2085" w14:textId="77777777" w:rsidR="009F3B9B" w:rsidRPr="00E1127C" w:rsidRDefault="009F3B9B" w:rsidP="009F3B9B">
      <w:pPr>
        <w:spacing w:before="120" w:after="120"/>
        <w:rPr>
          <w:rFonts w:cstheme="minorHAnsi"/>
          <w:b/>
          <w:bCs/>
          <w:color w:val="7030A0"/>
          <w:u w:val="single"/>
        </w:rPr>
      </w:pPr>
      <w:r w:rsidRPr="00E1127C">
        <w:rPr>
          <w:rFonts w:cstheme="minorHAnsi"/>
          <w:b/>
          <w:bCs/>
          <w:color w:val="7030A0"/>
          <w:u w:val="single"/>
        </w:rPr>
        <w:t>Selecting Risk Variables</w:t>
      </w:r>
    </w:p>
    <w:p w14:paraId="04456610" w14:textId="63AB3C72" w:rsidR="009F3B9B" w:rsidRDefault="009F3B9B" w:rsidP="009F3B9B">
      <w:pPr>
        <w:spacing w:before="120" w:after="120" w:line="240" w:lineRule="auto"/>
        <w:rPr>
          <w:rFonts w:cstheme="minorHAnsi"/>
          <w:noProof/>
          <w:color w:val="C00000"/>
        </w:rPr>
      </w:pPr>
      <w:r w:rsidRPr="00043DA7">
        <w:rPr>
          <w:rFonts w:cstheme="minorHAnsi"/>
          <w:noProof/>
          <w:color w:val="C00000"/>
        </w:rPr>
        <w:t xml:space="preserve">Our goal in selecting risk factors for adjustment was to develop </w:t>
      </w:r>
      <w:r w:rsidR="00422DF9">
        <w:rPr>
          <w:rFonts w:cstheme="minorHAnsi"/>
          <w:noProof/>
          <w:color w:val="C00000"/>
        </w:rPr>
        <w:t xml:space="preserve">a </w:t>
      </w:r>
      <w:r w:rsidRPr="00043DA7">
        <w:rPr>
          <w:rFonts w:cstheme="minorHAnsi"/>
          <w:noProof/>
          <w:color w:val="C00000"/>
        </w:rPr>
        <w:t>parsimonious model that included clinically relevant variables strongly associated with the risk of readmission in the 30 days following an index admission. We used a two stage approach, first identifying the comorbidity or clinical status risk factors that were most important in predicting the outcome, then considering the potential addition of social risk factors</w:t>
      </w:r>
      <w:r>
        <w:rPr>
          <w:rFonts w:cstheme="minorHAnsi"/>
          <w:noProof/>
          <w:color w:val="C00000"/>
        </w:rPr>
        <w:t>.</w:t>
      </w:r>
    </w:p>
    <w:p w14:paraId="75691BD2" w14:textId="2454508F"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The original measure was developed with ICD-9. When ICD-10 became effective in 2015, we transitioned the measure to use ICD-10 codes as well. ICD-10 codes were identified using 2015 GEM software. We then enlisted the help of clinicians with expertise in relevant areas to select and evaluate which ICD-10 codes map to the ICD-9 codes used to define this measure during development. A code set is attached in field S.2b. (Data Dictionary).</w:t>
      </w:r>
    </w:p>
    <w:p w14:paraId="5C5D4757" w14:textId="77777777"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w:t>
      </w:r>
      <w:r>
        <w:rPr>
          <w:rFonts w:cstheme="minorHAnsi"/>
          <w:noProof/>
        </w:rPr>
        <w:t xml:space="preserve">; </w:t>
      </w:r>
      <w:r w:rsidRPr="00043DA7">
        <w:rPr>
          <w:rFonts w:cstheme="minorHAnsi"/>
          <w:noProof/>
          <w:color w:val="C00000"/>
        </w:rPr>
        <w:t>2011</w:t>
      </w:r>
      <w:r w:rsidRPr="00141E2A">
        <w:rPr>
          <w:rFonts w:cstheme="minorHAnsi"/>
          <w:noProof/>
          <w:color w:val="7030A0"/>
        </w:rPr>
        <w:t>). The HCC system groups ICD- codes into larger groups that are used in models to predict medical care utilization, mortality, or other related measures.</w:t>
      </w:r>
    </w:p>
    <w:p w14:paraId="0186BEC8" w14:textId="5EC66D2E" w:rsidR="009F3B9B" w:rsidRPr="00141E2A" w:rsidRDefault="009F3B9B" w:rsidP="009F3B9B">
      <w:pPr>
        <w:spacing w:before="120" w:after="120" w:line="240" w:lineRule="auto"/>
        <w:rPr>
          <w:rFonts w:cstheme="minorHAnsi"/>
          <w:bCs/>
          <w:color w:val="7030A0"/>
        </w:rPr>
      </w:pPr>
      <w:r w:rsidRPr="00141E2A">
        <w:rPr>
          <w:rFonts w:cstheme="minorHAnsi"/>
          <w:bCs/>
          <w:color w:val="7030A0"/>
        </w:rPr>
        <w:t>To select candidate variables, a team of clinicians reviewed all CCs and excluded those that were not relevant to the Medicare population or that were not clinically relevant to the readmission outcome (for example, attention deficit disorder</w:t>
      </w:r>
      <w:r w:rsidR="00422DF9">
        <w:rPr>
          <w:rFonts w:cstheme="minorHAnsi"/>
          <w:bCs/>
          <w:color w:val="7030A0"/>
        </w:rPr>
        <w:t xml:space="preserve"> and</w:t>
      </w:r>
      <w:r w:rsidRPr="00141E2A">
        <w:rPr>
          <w:rFonts w:cstheme="minorHAnsi"/>
          <w:bCs/>
          <w:color w:val="7030A0"/>
        </w:rPr>
        <w:t xml:space="preserve"> female infertility). All potentially clinically relevant CCs were included as candidate variables and, consistent with CMS’s other claims-based readmission measures, some of those CCs were then combined into clinically coherent CC groupings.</w:t>
      </w:r>
    </w:p>
    <w:p w14:paraId="2951C0E5"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mortality (p&lt;0.01) in each of the 1,000 repeated samples (for example, 90 percent would mean that the candidate variable was selected as significant at p&lt;0.01 in 90 percent of the times). We also assessed the direction and magnitude of the regression coefficients.</w:t>
      </w:r>
    </w:p>
    <w:p w14:paraId="4061DA8C" w14:textId="19900C13" w:rsidR="009F3B9B" w:rsidRPr="00141E2A" w:rsidRDefault="009F3B9B" w:rsidP="009F3B9B">
      <w:pPr>
        <w:spacing w:before="120" w:after="120" w:line="240" w:lineRule="auto"/>
        <w:rPr>
          <w:rFonts w:cstheme="minorHAnsi"/>
          <w:bCs/>
          <w:color w:val="7030A0"/>
        </w:rPr>
      </w:pPr>
      <w:r w:rsidRPr="00141E2A">
        <w:rPr>
          <w:rFonts w:cstheme="minorHAnsi"/>
          <w:bCs/>
          <w:color w:val="7030A0"/>
        </w:rPr>
        <w:t xml:space="preserve">The clinical team reviewed these results and decided to retain risk adjustment variables above a predetermined cutoff, because they demonstrated a strong and stable association with risk of </w:t>
      </w:r>
      <w:r w:rsidRPr="00141E2A">
        <w:rPr>
          <w:rFonts w:cstheme="minorHAnsi"/>
          <w:bCs/>
          <w:color w:val="7030A0"/>
        </w:rPr>
        <w:lastRenderedPageBreak/>
        <w:t xml:space="preserve">readmission and were clinically relevant. Additionally, specific variables with </w:t>
      </w:r>
      <w:proofErr w:type="gramStart"/>
      <w:r w:rsidRPr="00141E2A">
        <w:rPr>
          <w:rFonts w:cstheme="minorHAnsi"/>
          <w:bCs/>
          <w:color w:val="7030A0"/>
        </w:rPr>
        <w:t>particular clinical</w:t>
      </w:r>
      <w:proofErr w:type="gramEnd"/>
      <w:r w:rsidRPr="00141E2A">
        <w:rPr>
          <w:rFonts w:cstheme="minorHAnsi"/>
          <w:bCs/>
          <w:color w:val="7030A0"/>
        </w:rPr>
        <w:t xml:space="preserve"> relevance to the risk of readmission were forced into the model (regardless of percent selection) to ensure appropriate risk adjustment for </w:t>
      </w:r>
      <w:r w:rsidR="00034A8A">
        <w:rPr>
          <w:rFonts w:cstheme="minorHAnsi"/>
          <w:bCs/>
          <w:color w:val="7030A0"/>
        </w:rPr>
        <w:t>CABG</w:t>
      </w:r>
      <w:r w:rsidRPr="00141E2A">
        <w:rPr>
          <w:rFonts w:cstheme="minorHAnsi"/>
          <w:bCs/>
          <w:color w:val="7030A0"/>
        </w:rPr>
        <w:t>. These included</w:t>
      </w:r>
      <w:r>
        <w:rPr>
          <w:rFonts w:cstheme="minorHAnsi"/>
          <w:bCs/>
          <w:color w:val="7030A0"/>
        </w:rPr>
        <w:t xml:space="preserve"> variables representing markers for end of life/frailty, such as</w:t>
      </w:r>
      <w:r w:rsidRPr="00141E2A">
        <w:rPr>
          <w:rFonts w:cstheme="minorHAnsi"/>
          <w:bCs/>
          <w:color w:val="7030A0"/>
        </w:rPr>
        <w:t>:</w:t>
      </w:r>
    </w:p>
    <w:p w14:paraId="050A0B89" w14:textId="77777777" w:rsidR="009F3B9B" w:rsidRPr="00141E2A" w:rsidRDefault="009F3B9B" w:rsidP="009F3B9B">
      <w:pPr>
        <w:spacing w:before="120" w:after="120" w:line="240" w:lineRule="auto"/>
        <w:rPr>
          <w:rFonts w:ascii="Calibri" w:eastAsia="SimSun" w:hAnsi="Calibri" w:cs="Calibri"/>
          <w:color w:val="7030A0"/>
        </w:rPr>
      </w:pPr>
      <w:r w:rsidRPr="00141E2A">
        <w:rPr>
          <w:rFonts w:ascii="Calibri" w:eastAsia="SimSun" w:hAnsi="Calibri" w:cs="Calibri"/>
          <w:color w:val="7030A0"/>
        </w:rPr>
        <w:t>Markers for end of life/frailty:</w:t>
      </w:r>
    </w:p>
    <w:p w14:paraId="6D693A51" w14:textId="7AECA1E8" w:rsidR="009F3B9B" w:rsidRPr="00BD2818" w:rsidRDefault="009F3B9B" w:rsidP="00BD2818">
      <w:pPr>
        <w:pStyle w:val="ListParagraph"/>
        <w:numPr>
          <w:ilvl w:val="0"/>
          <w:numId w:val="38"/>
        </w:numPr>
        <w:spacing w:after="0" w:line="240" w:lineRule="auto"/>
        <w:rPr>
          <w:rFonts w:cstheme="minorHAnsi"/>
          <w:bCs/>
          <w:color w:val="7030A0"/>
        </w:rPr>
      </w:pPr>
      <w:r w:rsidRPr="00BD2818">
        <w:rPr>
          <w:rFonts w:cstheme="minorHAnsi"/>
          <w:bCs/>
          <w:color w:val="7030A0"/>
        </w:rPr>
        <w:t>Decubitus Ulcer or Chronic Skin Ulcer (CC 157-CC 161)</w:t>
      </w:r>
    </w:p>
    <w:p w14:paraId="78EF346D" w14:textId="6FE4D99A" w:rsidR="009F3B9B" w:rsidRPr="00BD2818" w:rsidRDefault="00B56F40" w:rsidP="00BD2818">
      <w:pPr>
        <w:pStyle w:val="ListParagraph"/>
        <w:numPr>
          <w:ilvl w:val="0"/>
          <w:numId w:val="38"/>
        </w:numPr>
        <w:spacing w:after="0" w:line="240" w:lineRule="auto"/>
        <w:rPr>
          <w:rFonts w:cstheme="minorHAnsi"/>
          <w:bCs/>
          <w:color w:val="7030A0"/>
        </w:rPr>
      </w:pPr>
      <w:r>
        <w:rPr>
          <w:rFonts w:cstheme="minorHAnsi"/>
          <w:bCs/>
          <w:color w:val="7030A0"/>
        </w:rPr>
        <w:t>Metastatic and Other Severe Cancers (CC 8-CC 14</w:t>
      </w:r>
      <w:r w:rsidR="009F3B9B" w:rsidRPr="00BD2818">
        <w:rPr>
          <w:rFonts w:cstheme="minorHAnsi"/>
          <w:bCs/>
          <w:color w:val="7030A0"/>
        </w:rPr>
        <w:t>)</w:t>
      </w:r>
    </w:p>
    <w:p w14:paraId="0BBB354F" w14:textId="22B3731A" w:rsidR="009F3B9B" w:rsidRPr="00BD2818" w:rsidRDefault="009F3B9B" w:rsidP="00BD2818">
      <w:pPr>
        <w:pStyle w:val="ListParagraph"/>
        <w:numPr>
          <w:ilvl w:val="0"/>
          <w:numId w:val="38"/>
        </w:numPr>
        <w:spacing w:after="0" w:line="240" w:lineRule="auto"/>
        <w:rPr>
          <w:rFonts w:cstheme="minorHAnsi"/>
          <w:bCs/>
          <w:color w:val="7030A0"/>
        </w:rPr>
      </w:pPr>
      <w:r w:rsidRPr="00BD2818">
        <w:rPr>
          <w:rFonts w:cstheme="minorHAnsi"/>
          <w:bCs/>
          <w:color w:val="7030A0"/>
        </w:rPr>
        <w:t>Hemiplegia, Paraplegia, Paralysis, Functional disability (CC 70-CC 74, CC 103, CC 104, CC 189-CC 190)</w:t>
      </w:r>
    </w:p>
    <w:p w14:paraId="0C1EA1C9" w14:textId="77777777" w:rsidR="00BD2818" w:rsidRDefault="009F3B9B" w:rsidP="00BD2818">
      <w:pPr>
        <w:pStyle w:val="ListParagraph"/>
        <w:numPr>
          <w:ilvl w:val="0"/>
          <w:numId w:val="38"/>
        </w:numPr>
        <w:spacing w:after="0" w:line="240" w:lineRule="auto"/>
        <w:rPr>
          <w:rFonts w:cstheme="minorHAnsi"/>
          <w:bCs/>
          <w:color w:val="7030A0"/>
        </w:rPr>
      </w:pPr>
      <w:r w:rsidRPr="00BD2818">
        <w:rPr>
          <w:rFonts w:cstheme="minorHAnsi"/>
          <w:bCs/>
          <w:color w:val="7030A0"/>
        </w:rPr>
        <w:t>Stroke (CC 99-CC 100)</w:t>
      </w:r>
    </w:p>
    <w:p w14:paraId="02070C41" w14:textId="1DF409D6" w:rsidR="00BD2818" w:rsidRPr="00BD2818" w:rsidRDefault="00B56F40" w:rsidP="00BD2818">
      <w:pPr>
        <w:pStyle w:val="ListParagraph"/>
        <w:numPr>
          <w:ilvl w:val="0"/>
          <w:numId w:val="38"/>
        </w:numPr>
        <w:spacing w:after="0" w:line="240" w:lineRule="auto"/>
        <w:rPr>
          <w:rFonts w:cstheme="minorHAnsi"/>
          <w:bCs/>
          <w:color w:val="7030A0"/>
        </w:rPr>
      </w:pPr>
      <w:r>
        <w:rPr>
          <w:rFonts w:cstheme="minorHAnsi"/>
          <w:bCs/>
          <w:color w:val="7030A0"/>
        </w:rPr>
        <w:t>Chronic Kidney Disease, S</w:t>
      </w:r>
      <w:r w:rsidR="00BD2818" w:rsidRPr="00BD2818">
        <w:rPr>
          <w:rFonts w:cstheme="minorHAnsi"/>
          <w:bCs/>
          <w:color w:val="7030A0"/>
        </w:rPr>
        <w:t>tage 5</w:t>
      </w:r>
      <w:r>
        <w:rPr>
          <w:rFonts w:cstheme="minorHAnsi"/>
          <w:bCs/>
          <w:color w:val="7030A0"/>
        </w:rPr>
        <w:t xml:space="preserve"> (CC 136)</w:t>
      </w:r>
    </w:p>
    <w:p w14:paraId="0DF65644" w14:textId="2279924F"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This resulted in a final risk-a</w:t>
      </w:r>
      <w:r w:rsidR="0095651C">
        <w:rPr>
          <w:rFonts w:cstheme="minorHAnsi"/>
          <w:noProof/>
          <w:color w:val="7030A0"/>
        </w:rPr>
        <w:t>djustment model that included 26</w:t>
      </w:r>
      <w:r w:rsidRPr="00141E2A">
        <w:rPr>
          <w:rFonts w:cstheme="minorHAnsi"/>
          <w:noProof/>
          <w:color w:val="7030A0"/>
        </w:rPr>
        <w:t xml:space="preserve"> variables.</w:t>
      </w:r>
    </w:p>
    <w:p w14:paraId="3E582254" w14:textId="77777777" w:rsidR="009F3B9B" w:rsidRPr="00141E2A" w:rsidRDefault="009F3B9B" w:rsidP="009F3B9B">
      <w:pPr>
        <w:spacing w:before="120" w:after="120" w:line="240" w:lineRule="auto"/>
        <w:rPr>
          <w:rFonts w:cstheme="minorHAnsi"/>
          <w:bCs/>
          <w:color w:val="7030A0"/>
          <w:u w:val="single"/>
        </w:rPr>
      </w:pPr>
      <w:r w:rsidRPr="00141E2A">
        <w:rPr>
          <w:rFonts w:cstheme="minorHAnsi"/>
          <w:bCs/>
          <w:color w:val="7030A0"/>
          <w:u w:val="single"/>
        </w:rPr>
        <w:t>Social Risk Factors</w:t>
      </w:r>
    </w:p>
    <w:p w14:paraId="5629D020" w14:textId="77777777" w:rsidR="009F3B9B" w:rsidRPr="0097798F" w:rsidRDefault="009F3B9B" w:rsidP="009F3B9B">
      <w:pPr>
        <w:spacing w:before="120" w:after="120" w:line="240" w:lineRule="auto"/>
        <w:rPr>
          <w:rFonts w:cstheme="minorHAnsi"/>
          <w:noProof/>
          <w:color w:val="C00000"/>
        </w:rPr>
      </w:pPr>
      <w:bookmarkStart w:id="26" w:name="_Hlk40361510"/>
      <w:r w:rsidRPr="0097798F">
        <w:rPr>
          <w:rFonts w:cstheme="minorHAnsi"/>
          <w:noProof/>
          <w:color w:val="C00000"/>
        </w:rPr>
        <w:t>We weigh SRF adjustment using a comprehensive approach that evaluates the following:</w:t>
      </w:r>
    </w:p>
    <w:p w14:paraId="1D222CC6" w14:textId="77777777" w:rsidR="009F3B9B" w:rsidRPr="0097798F" w:rsidRDefault="009F3B9B" w:rsidP="009F3B9B">
      <w:pPr>
        <w:pStyle w:val="ListParagraph"/>
        <w:numPr>
          <w:ilvl w:val="0"/>
          <w:numId w:val="33"/>
        </w:numPr>
        <w:spacing w:before="120" w:after="120" w:line="240" w:lineRule="auto"/>
        <w:rPr>
          <w:rFonts w:cstheme="minorHAnsi"/>
          <w:noProof/>
          <w:color w:val="C00000"/>
        </w:rPr>
      </w:pPr>
      <w:r w:rsidRPr="0097798F">
        <w:rPr>
          <w:rFonts w:cstheme="minorHAnsi"/>
          <w:noProof/>
          <w:color w:val="C00000"/>
        </w:rPr>
        <w:t>Well-supported conceptual model for influence of SRFs on measure outcome (detailed below);</w:t>
      </w:r>
    </w:p>
    <w:p w14:paraId="431C76E7" w14:textId="77777777" w:rsidR="009F3B9B" w:rsidRPr="0097798F" w:rsidRDefault="009F3B9B" w:rsidP="009F3B9B">
      <w:pPr>
        <w:pStyle w:val="ListParagraph"/>
        <w:numPr>
          <w:ilvl w:val="0"/>
          <w:numId w:val="33"/>
        </w:numPr>
        <w:spacing w:before="120" w:after="120" w:line="240" w:lineRule="auto"/>
        <w:rPr>
          <w:rFonts w:cstheme="minorHAnsi"/>
          <w:noProof/>
          <w:color w:val="C00000"/>
        </w:rPr>
      </w:pPr>
      <w:r w:rsidRPr="0097798F">
        <w:rPr>
          <w:rFonts w:cstheme="minorHAnsi"/>
          <w:noProof/>
          <w:color w:val="C00000"/>
        </w:rPr>
        <w:t>Feasibility of testing meaningful SRFs in available data (section 1.8); and</w:t>
      </w:r>
    </w:p>
    <w:p w14:paraId="360A66FE" w14:textId="77777777" w:rsidR="009F3B9B" w:rsidRPr="0097798F" w:rsidRDefault="009F3B9B" w:rsidP="009F3B9B">
      <w:pPr>
        <w:pStyle w:val="ListParagraph"/>
        <w:numPr>
          <w:ilvl w:val="0"/>
          <w:numId w:val="33"/>
        </w:numPr>
        <w:spacing w:before="120" w:after="120" w:line="240" w:lineRule="auto"/>
        <w:rPr>
          <w:rFonts w:cstheme="minorHAnsi"/>
          <w:noProof/>
          <w:color w:val="C00000"/>
        </w:rPr>
      </w:pPr>
      <w:r w:rsidRPr="0097798F">
        <w:rPr>
          <w:rFonts w:cstheme="minorHAnsi"/>
          <w:noProof/>
          <w:color w:val="C00000"/>
        </w:rPr>
        <w:t>Empiric testing of SRFs (section 2b3.4b).</w:t>
      </w:r>
    </w:p>
    <w:p w14:paraId="481DE767" w14:textId="77777777" w:rsidR="009F3B9B" w:rsidRPr="0097798F" w:rsidRDefault="009F3B9B" w:rsidP="009F3B9B">
      <w:pPr>
        <w:spacing w:before="120" w:after="120" w:line="240" w:lineRule="auto"/>
        <w:rPr>
          <w:rFonts w:cstheme="minorHAnsi"/>
          <w:noProof/>
          <w:color w:val="C00000"/>
        </w:rPr>
      </w:pPr>
      <w:r w:rsidRPr="0097798F">
        <w:rPr>
          <w:rFonts w:cstheme="minorHAnsi"/>
          <w:noProof/>
          <w:color w:val="C00000"/>
        </w:rPr>
        <w:t>Below, we summarize the findings of the literature review and conceptual pathways by which social risk factors may influence risk of the outcome, as well as the statistical methods for SRF empiric testing. Our conceptualization of the pathways by which patients’ social risk factors affect the outcome is informed by the literature cited below and IMPACT Act–funded work by the National Academy of Science, Engineering and Medicine (NASEM) and the Department of Health and Human Services Assistant Secretary for Policy and Evaluation (ASPE).</w:t>
      </w:r>
    </w:p>
    <w:bookmarkEnd w:id="26"/>
    <w:p w14:paraId="34D68707" w14:textId="77777777" w:rsidR="009F3B9B" w:rsidRPr="00141E2A" w:rsidRDefault="009F3B9B" w:rsidP="009F3B9B">
      <w:pPr>
        <w:spacing w:before="120" w:after="120" w:line="240" w:lineRule="auto"/>
        <w:rPr>
          <w:rFonts w:cstheme="minorHAnsi"/>
          <w:noProof/>
          <w:color w:val="7030A0"/>
          <w:u w:val="single"/>
        </w:rPr>
      </w:pPr>
      <w:r w:rsidRPr="00141E2A">
        <w:rPr>
          <w:rFonts w:cstheme="minorHAnsi"/>
          <w:noProof/>
          <w:color w:val="7030A0"/>
          <w:u w:val="single"/>
        </w:rPr>
        <w:t>Causal Pathways for Social Risk Variable Selection</w:t>
      </w:r>
    </w:p>
    <w:p w14:paraId="2506DEF4" w14:textId="5A0C0CC4"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Although some recent literature evaluates the relationship between patient SRFs and the readmission outcome, few studies directly address causal pathways or examine the role of the hospital in these pathways (see, for example, Chang et al 2007; Gopaldas et al., 2009; Kim et al., 2007; LaPar et al., 2010; 2012</w:t>
      </w:r>
      <w:r>
        <w:rPr>
          <w:rFonts w:cstheme="minorHAnsi"/>
          <w:noProof/>
        </w:rPr>
        <w:t xml:space="preserve">; </w:t>
      </w:r>
      <w:r w:rsidRPr="00043DA7">
        <w:rPr>
          <w:rFonts w:cstheme="minorHAnsi"/>
          <w:noProof/>
          <w:color w:val="C00000"/>
        </w:rPr>
        <w:t>Lindenauer et al., 2013; Trivedi et al., 2014; Buntin et al., 2017</w:t>
      </w:r>
      <w:r>
        <w:rPr>
          <w:rFonts w:cstheme="minorHAnsi"/>
          <w:noProof/>
        </w:rPr>
        <w:t xml:space="preserve">; </w:t>
      </w:r>
      <w:r w:rsidRPr="00043DA7">
        <w:rPr>
          <w:rFonts w:cstheme="minorHAnsi"/>
          <w:noProof/>
          <w:color w:val="C00000"/>
        </w:rPr>
        <w:t>Hamadi et al., 2019</w:t>
      </w:r>
      <w:r w:rsidR="00F32721">
        <w:rPr>
          <w:rFonts w:cstheme="minorHAnsi"/>
          <w:noProof/>
          <w:color w:val="C00000"/>
        </w:rPr>
        <w:t>; Anderson et al., 2016</w:t>
      </w:r>
      <w:r w:rsidR="00F2379A">
        <w:rPr>
          <w:rFonts w:cstheme="minorHAnsi"/>
          <w:noProof/>
          <w:color w:val="C00000"/>
        </w:rPr>
        <w:t>; Anderson et al., 2016</w:t>
      </w:r>
      <w:r w:rsidRPr="00141E2A">
        <w:rPr>
          <w:rFonts w:cstheme="minorHAnsi"/>
          <w:noProof/>
          <w:color w:val="7030A0"/>
        </w:rPr>
        <w:t>). Moreover, the current literature examines a wide range of conditions and risk variables with no clear consensus on which risk factors demonstrate the strongest relationship with readmission.</w:t>
      </w:r>
    </w:p>
    <w:p w14:paraId="13A3EE17" w14:textId="77777777"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The social risk factors that have been examined in the literature can be categorized into three domains: (1) patient-level variables, (2) neighborhood/community-level variables, and (3) hospital-level variables.</w:t>
      </w:r>
    </w:p>
    <w:p w14:paraId="12F1ABB8" w14:textId="77777777"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Patient-level variables describe characteristics of individual patients, and include the patient’s income or education level (Eapen et al., 2015).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w:t>
      </w:r>
      <w:r w:rsidRPr="005126D1">
        <w:rPr>
          <w:rFonts w:cstheme="minorHAnsi"/>
          <w:noProof/>
        </w:rPr>
        <w:t xml:space="preserve"> </w:t>
      </w:r>
      <w:r w:rsidRPr="00043DA7">
        <w:rPr>
          <w:rFonts w:cstheme="minorHAnsi"/>
          <w:noProof/>
          <w:color w:val="C00000"/>
        </w:rPr>
        <w:t xml:space="preserve">Some of these variables may include the local availability of clinical providers (Herrin et al., 2015; Herrin et al., 2016). </w:t>
      </w:r>
      <w:r w:rsidRPr="00141E2A">
        <w:rPr>
          <w:rFonts w:cstheme="minorHAnsi"/>
          <w:noProof/>
          <w:color w:val="7030A0"/>
        </w:rPr>
        <w:t>Hospital-level variables measure attributes of the hospital which may be related to patient risk. Examples of hospital-level variables used in studies are ZIP code characteristics aggregated to the hospital level or the proportion of Medicaid patients served in the hospital (Gilman et al., 2014; Joynt et al., 2013; Jha et al., 2013).</w:t>
      </w:r>
    </w:p>
    <w:p w14:paraId="5C5570A2" w14:textId="77777777"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lastRenderedPageBreak/>
        <w:t>The conceptual relationship, or potential causal pathways by which these possible social risk factors influence the risk of readmission following an acute illness or major surgery, like the factors themselves, are varied and complex. There are at least four potential pathways that are important to consider:</w:t>
      </w:r>
    </w:p>
    <w:p w14:paraId="54CED8EF" w14:textId="77777777" w:rsidR="009F3B9B" w:rsidRPr="00141E2A" w:rsidRDefault="009F3B9B" w:rsidP="009F3B9B">
      <w:pPr>
        <w:pStyle w:val="ListParagraph"/>
        <w:numPr>
          <w:ilvl w:val="0"/>
          <w:numId w:val="31"/>
        </w:numPr>
        <w:spacing w:before="120" w:after="120" w:line="240" w:lineRule="auto"/>
        <w:rPr>
          <w:rFonts w:cstheme="minorHAnsi"/>
          <w:noProof/>
          <w:color w:val="7030A0"/>
        </w:rPr>
      </w:pPr>
      <w:r w:rsidRPr="00141E2A">
        <w:rPr>
          <w:rFonts w:cstheme="minorHAnsi"/>
          <w:b/>
          <w:noProof/>
          <w:color w:val="7030A0"/>
        </w:rPr>
        <w:t>Patients with social risk factors may have worse health at the time of hospital admission</w:t>
      </w:r>
      <w:r w:rsidRPr="00141E2A">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1E6519C0" w14:textId="77777777" w:rsidR="009F3B9B" w:rsidRPr="00141E2A" w:rsidRDefault="009F3B9B" w:rsidP="009F3B9B">
      <w:pPr>
        <w:pStyle w:val="ListParagraph"/>
        <w:numPr>
          <w:ilvl w:val="0"/>
          <w:numId w:val="31"/>
        </w:numPr>
        <w:spacing w:before="120" w:after="120" w:line="240" w:lineRule="auto"/>
        <w:rPr>
          <w:rFonts w:cstheme="minorHAnsi"/>
          <w:noProof/>
          <w:color w:val="7030A0"/>
        </w:rPr>
      </w:pPr>
      <w:r w:rsidRPr="00141E2A">
        <w:rPr>
          <w:rFonts w:cstheme="minorHAnsi"/>
          <w:b/>
          <w:noProof/>
          <w:color w:val="7030A0"/>
        </w:rPr>
        <w:t>Patients with social risk factors often receive care at lower quality hospitals</w:t>
      </w:r>
      <w:r w:rsidRPr="00141E2A">
        <w:rPr>
          <w:rFonts w:cstheme="minorHAnsi"/>
          <w:noProof/>
          <w:color w:val="7030A0"/>
        </w:rPr>
        <w:t>.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readmission following hospitalization.</w:t>
      </w:r>
    </w:p>
    <w:p w14:paraId="279994D2" w14:textId="77777777" w:rsidR="009F3B9B" w:rsidRPr="00141E2A" w:rsidRDefault="009F3B9B" w:rsidP="009F3B9B">
      <w:pPr>
        <w:pStyle w:val="ListParagraph"/>
        <w:numPr>
          <w:ilvl w:val="0"/>
          <w:numId w:val="31"/>
        </w:numPr>
        <w:spacing w:before="120" w:after="120" w:line="240" w:lineRule="auto"/>
        <w:rPr>
          <w:rFonts w:cstheme="minorHAnsi"/>
          <w:noProof/>
          <w:color w:val="7030A0"/>
        </w:rPr>
      </w:pPr>
      <w:r w:rsidRPr="00141E2A">
        <w:rPr>
          <w:rFonts w:cstheme="minorHAnsi"/>
          <w:b/>
          <w:noProof/>
          <w:color w:val="7030A0"/>
        </w:rPr>
        <w:t>Patients with social risk factors may receive differential care within a hospital</w:t>
      </w:r>
      <w:r w:rsidRPr="00141E2A">
        <w:rPr>
          <w:rFonts w:cstheme="minorHAnsi"/>
          <w:noProof/>
          <w:color w:val="7030A0"/>
        </w:rPr>
        <w:t>. The third major pathway by which social risk factors may contribute to readmission risk is that patients may not receive equivalent care within a facility. For example, patients with social risk factors such as lower education may require differentiated care (e.g. provision of lower literacy information – that they do not receive).</w:t>
      </w:r>
    </w:p>
    <w:p w14:paraId="49EF0D5C" w14:textId="77777777" w:rsidR="009F3B9B" w:rsidRPr="00141E2A" w:rsidRDefault="009F3B9B" w:rsidP="009F3B9B">
      <w:pPr>
        <w:pStyle w:val="ListParagraph"/>
        <w:numPr>
          <w:ilvl w:val="0"/>
          <w:numId w:val="31"/>
        </w:numPr>
        <w:spacing w:before="120" w:after="120" w:line="240" w:lineRule="auto"/>
        <w:rPr>
          <w:rFonts w:cstheme="minorHAnsi"/>
          <w:noProof/>
          <w:color w:val="7030A0"/>
        </w:rPr>
      </w:pPr>
      <w:r w:rsidRPr="00141E2A">
        <w:rPr>
          <w:rFonts w:cstheme="minorHAnsi"/>
          <w:b/>
          <w:noProof/>
          <w:color w:val="7030A0"/>
        </w:rPr>
        <w:t>Patients with social risk factors may experience worse health outcomes beyond the control of the health care system.</w:t>
      </w:r>
      <w:r w:rsidRPr="00141E2A">
        <w:rPr>
          <w:rFonts w:cstheme="minorHAnsi"/>
          <w:noProof/>
          <w:color w:val="7030A0"/>
        </w:rPr>
        <w:t xml:space="preserve"> Some social risk factors, such as income or wealth, may affect the likelihood of readmissions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72E070CA" w14:textId="77777777" w:rsidR="009F3B9B" w:rsidRPr="00141E2A" w:rsidRDefault="009F3B9B" w:rsidP="009F3B9B">
      <w:pPr>
        <w:spacing w:before="120" w:after="120" w:line="240" w:lineRule="auto"/>
        <w:rPr>
          <w:rFonts w:cstheme="minorHAnsi"/>
          <w:noProof/>
          <w:color w:val="7030A0"/>
        </w:rPr>
      </w:pPr>
      <w:r w:rsidRPr="0090122F">
        <w:rPr>
          <w:rFonts w:cstheme="minorHAnsi"/>
          <w:noProof/>
          <w:color w:val="C00000"/>
        </w:rPr>
        <w:t>Although we analytically aim to separate these pathways to the extent possible</w:t>
      </w:r>
      <w:r w:rsidRPr="00141E2A">
        <w:rPr>
          <w:rFonts w:cstheme="minorHAnsi"/>
          <w:noProof/>
          <w:color w:val="7030A0"/>
        </w:rPr>
        <w:t>, we acknowledge that risk factors often act on multiple pathways, and as such, individual pathways can be complex to distinguish analytically. Further, some social risk factors, despite having a strong conceptual relationship with worse outcomes, may not have statistically meaningful effects on the risk model. They also have different implications on the decision to risk adjust or not.</w:t>
      </w:r>
    </w:p>
    <w:p w14:paraId="2753E494" w14:textId="77777777" w:rsidR="009F3B9B" w:rsidRPr="00141E2A" w:rsidRDefault="009F3B9B" w:rsidP="009F3B9B">
      <w:pPr>
        <w:spacing w:before="120" w:after="120" w:line="240" w:lineRule="auto"/>
        <w:rPr>
          <w:rFonts w:cstheme="minorHAnsi"/>
          <w:noProof/>
          <w:color w:val="7030A0"/>
        </w:rPr>
      </w:pPr>
      <w:r w:rsidRPr="00141E2A">
        <w:rPr>
          <w:rFonts w:cstheme="minorHAnsi"/>
          <w:noProof/>
          <w:color w:val="7030A0"/>
        </w:rPr>
        <w:t xml:space="preserve">Based on this model and the considerations outlined in section 1.8 – </w:t>
      </w:r>
      <w:r w:rsidRPr="0090122F">
        <w:rPr>
          <w:rFonts w:cstheme="minorHAnsi"/>
          <w:noProof/>
          <w:color w:val="C00000"/>
        </w:rPr>
        <w:t xml:space="preserve">namely, that the AHRQ SES index and dual eligibility variables aim to capture the SRFs that are likely to influence these pathways (income, education, housing, and community factors) - </w:t>
      </w:r>
      <w:r w:rsidRPr="00141E2A">
        <w:rPr>
          <w:rFonts w:cstheme="minorHAnsi"/>
          <w:noProof/>
          <w:color w:val="7030A0"/>
        </w:rPr>
        <w:t>the following social risk variables were considered for risk-adjustment:</w:t>
      </w:r>
    </w:p>
    <w:p w14:paraId="5874CA85" w14:textId="77777777" w:rsidR="009F3B9B" w:rsidRPr="00141E2A" w:rsidRDefault="009F3B9B" w:rsidP="009F3B9B">
      <w:pPr>
        <w:pStyle w:val="ListParagraph"/>
        <w:numPr>
          <w:ilvl w:val="0"/>
          <w:numId w:val="32"/>
        </w:numPr>
        <w:spacing w:before="120" w:after="120" w:line="240" w:lineRule="auto"/>
        <w:rPr>
          <w:rFonts w:cstheme="minorHAnsi"/>
          <w:noProof/>
          <w:color w:val="7030A0"/>
        </w:rPr>
      </w:pPr>
      <w:r w:rsidRPr="00141E2A">
        <w:rPr>
          <w:rFonts w:cstheme="minorHAnsi"/>
          <w:noProof/>
          <w:color w:val="7030A0"/>
        </w:rPr>
        <w:t>Dual eligible status</w:t>
      </w:r>
    </w:p>
    <w:p w14:paraId="138A3878" w14:textId="77777777" w:rsidR="009F3B9B" w:rsidRPr="00141E2A" w:rsidRDefault="009F3B9B" w:rsidP="009F3B9B">
      <w:pPr>
        <w:pStyle w:val="ListParagraph"/>
        <w:numPr>
          <w:ilvl w:val="0"/>
          <w:numId w:val="32"/>
        </w:numPr>
        <w:spacing w:before="120" w:after="120" w:line="240" w:lineRule="auto"/>
        <w:rPr>
          <w:rFonts w:cstheme="minorHAnsi"/>
          <w:b/>
          <w:noProof/>
          <w:color w:val="7030A0"/>
        </w:rPr>
      </w:pPr>
      <w:r w:rsidRPr="00141E2A">
        <w:rPr>
          <w:rFonts w:cstheme="minorHAnsi"/>
          <w:noProof/>
          <w:color w:val="7030A0"/>
        </w:rPr>
        <w:t>AHRQ SES index</w:t>
      </w:r>
    </w:p>
    <w:p w14:paraId="38A51981" w14:textId="77777777" w:rsidR="009F3B9B" w:rsidRPr="00141E2A" w:rsidRDefault="009F3B9B" w:rsidP="009F3B9B">
      <w:pPr>
        <w:spacing w:before="120" w:after="120" w:line="240" w:lineRule="auto"/>
        <w:rPr>
          <w:rFonts w:cstheme="minorHAnsi"/>
          <w:noProof/>
          <w:color w:val="7030A0"/>
        </w:rPr>
      </w:pPr>
      <w:r w:rsidRPr="00141E2A">
        <w:rPr>
          <w:rFonts w:cstheme="minorHAnsi"/>
          <w:noProof/>
          <w:color w:val="7030A0"/>
          <w:u w:val="single"/>
        </w:rPr>
        <w:t>Statistical Methods</w:t>
      </w:r>
    </w:p>
    <w:p w14:paraId="30D02F66"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3DB7251C"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lastRenderedPageBreak/>
        <w:t xml:space="preserve">One concern with including SRFs in a model is that their effect may be at either the patient or the hospital level. For example, low SES may increase the risk of readmission because patients of low SES have an individual higher risk (patient-level effect) or because patients of low SES are more often admitted to hospitals with higher overall readmission rates (hospital-level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readmission for patients of low SES were largely due to lower quality/higher readmission risk in hospitals with more patients of low SES, then a significant hospital-level effect would be expected with little-to-no patient-level effect. However, if the increased readmission risk were solely related to higher risk for patients of low SES regardless of hospital effect, then a significant patient-level effect would be </w:t>
      </w:r>
      <w:proofErr w:type="gramStart"/>
      <w:r w:rsidRPr="00141E2A">
        <w:rPr>
          <w:rFonts w:cstheme="minorHAnsi"/>
          <w:bCs/>
          <w:color w:val="7030A0"/>
        </w:rPr>
        <w:t>expected</w:t>
      </w:r>
      <w:proofErr w:type="gramEnd"/>
      <w:r w:rsidRPr="00141E2A">
        <w:rPr>
          <w:rFonts w:cstheme="minorHAnsi"/>
          <w:bCs/>
          <w:color w:val="7030A0"/>
        </w:rPr>
        <w:t xml:space="preserve"> and a significant hospital-level effect would not be expected.</w:t>
      </w:r>
    </w:p>
    <w:p w14:paraId="361780D5" w14:textId="05417C6F" w:rsidR="009F3B9B" w:rsidRPr="00141E2A" w:rsidRDefault="009F3B9B" w:rsidP="009F3B9B">
      <w:pPr>
        <w:spacing w:before="120" w:after="120" w:line="240" w:lineRule="auto"/>
        <w:rPr>
          <w:rFonts w:cstheme="minorHAnsi"/>
          <w:bCs/>
          <w:color w:val="7030A0"/>
        </w:rPr>
      </w:pPr>
      <w:r w:rsidRPr="00141E2A">
        <w:rPr>
          <w:rFonts w:cstheme="minorHAnsi"/>
          <w:bCs/>
          <w:color w:val="7030A0"/>
        </w:rPr>
        <w:t xml:space="preserve">Specifically, we modeled the SRF variables as follows, let </w:t>
      </w:r>
      <w:proofErr w:type="spellStart"/>
      <w:r w:rsidRPr="00141E2A">
        <w:rPr>
          <w:rFonts w:cstheme="minorHAnsi"/>
          <w:bCs/>
          <w:color w:val="7030A0"/>
        </w:rPr>
        <w:t>X</w:t>
      </w:r>
      <w:r w:rsidRPr="00141E2A">
        <w:rPr>
          <w:rFonts w:cstheme="minorHAnsi"/>
          <w:bCs/>
          <w:color w:val="7030A0"/>
          <w:vertAlign w:val="subscript"/>
        </w:rPr>
        <w:t>ij</w:t>
      </w:r>
      <w:proofErr w:type="spellEnd"/>
      <w:r w:rsidRPr="00141E2A">
        <w:rPr>
          <w:rFonts w:cstheme="minorHAnsi"/>
          <w:bCs/>
          <w:color w:val="7030A0"/>
        </w:rPr>
        <w:t xml:space="preserve"> be a binary indicator of the SRF status of the </w:t>
      </w:r>
      <w:proofErr w:type="spellStart"/>
      <w:r w:rsidRPr="00141E2A">
        <w:rPr>
          <w:rFonts w:cstheme="minorHAnsi"/>
          <w:bCs/>
          <w:color w:val="7030A0"/>
        </w:rPr>
        <w:t>i</w:t>
      </w:r>
      <w:r w:rsidRPr="00141E2A">
        <w:rPr>
          <w:rFonts w:cstheme="minorHAnsi"/>
          <w:bCs/>
          <w:color w:val="7030A0"/>
          <w:vertAlign w:val="superscript"/>
        </w:rPr>
        <w:t>th</w:t>
      </w:r>
      <w:proofErr w:type="spellEnd"/>
      <w:r w:rsidRPr="00141E2A">
        <w:rPr>
          <w:rFonts w:cstheme="minorHAnsi"/>
          <w:bCs/>
          <w:color w:val="7030A0"/>
        </w:rPr>
        <w:t xml:space="preserve"> patient at the </w:t>
      </w:r>
      <w:proofErr w:type="spellStart"/>
      <w:r w:rsidRPr="00141E2A">
        <w:rPr>
          <w:rFonts w:cstheme="minorHAnsi"/>
          <w:bCs/>
          <w:color w:val="7030A0"/>
        </w:rPr>
        <w:t>j</w:t>
      </w:r>
      <w:r w:rsidRPr="00141E2A">
        <w:rPr>
          <w:rFonts w:cstheme="minorHAnsi"/>
          <w:bCs/>
          <w:color w:val="7030A0"/>
          <w:vertAlign w:val="superscript"/>
        </w:rPr>
        <w:t>th</w:t>
      </w:r>
      <w:proofErr w:type="spellEnd"/>
      <w:r w:rsidRPr="00141E2A">
        <w:rPr>
          <w:rFonts w:cstheme="minorHAnsi"/>
          <w:bCs/>
          <w:color w:val="7030A0"/>
        </w:rPr>
        <w:t xml:space="preserve"> hospital, and </w:t>
      </w:r>
      <w:proofErr w:type="spellStart"/>
      <w:r w:rsidRPr="00141E2A">
        <w:rPr>
          <w:rFonts w:cstheme="minorHAnsi"/>
          <w:b/>
          <w:bCs/>
          <w:color w:val="7030A0"/>
        </w:rPr>
        <w:t>X</w:t>
      </w:r>
      <w:r w:rsidRPr="00141E2A">
        <w:rPr>
          <w:rFonts w:cstheme="minorHAnsi"/>
          <w:bCs/>
          <w:color w:val="7030A0"/>
          <w:vertAlign w:val="subscript"/>
        </w:rPr>
        <w:t>j</w:t>
      </w:r>
      <w:proofErr w:type="spellEnd"/>
      <w:r w:rsidRPr="00141E2A">
        <w:rPr>
          <w:rFonts w:cstheme="minorHAnsi"/>
          <w:bCs/>
          <w:color w:val="7030A0"/>
        </w:rPr>
        <w:t xml:space="preserve"> the percent of patients at hospital j with </w:t>
      </w:r>
      <w:proofErr w:type="spellStart"/>
      <w:r w:rsidRPr="00141E2A">
        <w:rPr>
          <w:rFonts w:cstheme="minorHAnsi"/>
          <w:bCs/>
          <w:color w:val="7030A0"/>
        </w:rPr>
        <w:t>X</w:t>
      </w:r>
      <w:r w:rsidRPr="00141E2A">
        <w:rPr>
          <w:rFonts w:cstheme="minorHAnsi"/>
          <w:bCs/>
          <w:color w:val="7030A0"/>
          <w:vertAlign w:val="subscript"/>
        </w:rPr>
        <w:t>ij</w:t>
      </w:r>
      <w:proofErr w:type="spellEnd"/>
      <w:r w:rsidRPr="00141E2A">
        <w:rPr>
          <w:rFonts w:cstheme="minorHAnsi"/>
          <w:bCs/>
          <w:color w:val="7030A0"/>
        </w:rPr>
        <w:t xml:space="preserve"> = 1. Then we added both </w:t>
      </w:r>
      <w:proofErr w:type="spellStart"/>
      <w:r w:rsidRPr="00141E2A">
        <w:rPr>
          <w:rFonts w:cstheme="minorHAnsi"/>
          <w:bCs/>
          <w:color w:val="7030A0"/>
        </w:rPr>
        <w:t>X</w:t>
      </w:r>
      <w:r w:rsidRPr="00141E2A">
        <w:rPr>
          <w:rFonts w:cstheme="minorHAnsi"/>
          <w:bCs/>
          <w:color w:val="7030A0"/>
          <w:vertAlign w:val="subscript"/>
        </w:rPr>
        <w:t>ij</w:t>
      </w:r>
      <w:proofErr w:type="spellEnd"/>
      <w:r w:rsidRPr="00141E2A">
        <w:rPr>
          <w:rFonts w:cstheme="minorHAnsi"/>
          <w:bCs/>
          <w:color w:val="7030A0"/>
        </w:rPr>
        <w:t xml:space="preserve"> </w:t>
      </w:r>
      <w:r w:rsidRPr="00141E2A">
        <w:rPr>
          <w:rFonts w:cstheme="minorHAnsi"/>
          <w:bCs/>
          <w:color w:val="7030A0"/>
        </w:rPr>
        <w:sym w:font="Symbol" w:char="F0BA"/>
      </w:r>
      <w:r w:rsidRPr="00141E2A">
        <w:rPr>
          <w:rFonts w:cstheme="minorHAnsi"/>
          <w:bCs/>
          <w:color w:val="7030A0"/>
        </w:rPr>
        <w:t xml:space="preserve"> </w:t>
      </w:r>
      <w:proofErr w:type="spellStart"/>
      <w:r w:rsidRPr="00141E2A">
        <w:rPr>
          <w:rFonts w:cstheme="minorHAnsi"/>
          <w:bCs/>
          <w:color w:val="7030A0"/>
        </w:rPr>
        <w:t>X</w:t>
      </w:r>
      <w:r w:rsidRPr="00141E2A">
        <w:rPr>
          <w:rFonts w:cstheme="minorHAnsi"/>
          <w:bCs/>
          <w:color w:val="7030A0"/>
          <w:vertAlign w:val="subscript"/>
        </w:rPr>
        <w:t>patient</w:t>
      </w:r>
      <w:proofErr w:type="spellEnd"/>
      <w:r w:rsidRPr="00141E2A">
        <w:rPr>
          <w:rFonts w:cstheme="minorHAnsi"/>
          <w:bCs/>
          <w:color w:val="7030A0"/>
        </w:rPr>
        <w:t xml:space="preserve"> and </w:t>
      </w:r>
      <w:proofErr w:type="spellStart"/>
      <w:r w:rsidRPr="00141E2A">
        <w:rPr>
          <w:rFonts w:cstheme="minorHAnsi"/>
          <w:bCs/>
          <w:color w:val="7030A0"/>
        </w:rPr>
        <w:t>X</w:t>
      </w:r>
      <w:r w:rsidRPr="00141E2A">
        <w:rPr>
          <w:rFonts w:cstheme="minorHAnsi"/>
          <w:bCs/>
          <w:color w:val="7030A0"/>
          <w:vertAlign w:val="subscript"/>
        </w:rPr>
        <w:t>j</w:t>
      </w:r>
      <w:proofErr w:type="spellEnd"/>
      <w:r w:rsidRPr="00141E2A">
        <w:rPr>
          <w:rFonts w:cstheme="minorHAnsi"/>
          <w:bCs/>
          <w:color w:val="7030A0"/>
        </w:rPr>
        <w:t xml:space="preserve"> </w:t>
      </w:r>
      <w:r w:rsidRPr="00141E2A">
        <w:rPr>
          <w:rFonts w:cstheme="minorHAnsi"/>
          <w:bCs/>
          <w:color w:val="7030A0"/>
        </w:rPr>
        <w:sym w:font="Symbol" w:char="F0BA"/>
      </w:r>
      <w:r w:rsidRPr="00141E2A">
        <w:rPr>
          <w:rFonts w:cstheme="minorHAnsi"/>
          <w:bCs/>
          <w:color w:val="7030A0"/>
        </w:rPr>
        <w:t xml:space="preserve"> </w:t>
      </w:r>
      <w:proofErr w:type="spellStart"/>
      <w:r w:rsidRPr="00141E2A">
        <w:rPr>
          <w:rFonts w:cstheme="minorHAnsi"/>
          <w:bCs/>
          <w:color w:val="7030A0"/>
        </w:rPr>
        <w:t>X</w:t>
      </w:r>
      <w:r w:rsidRPr="00141E2A">
        <w:rPr>
          <w:rFonts w:cstheme="minorHAnsi"/>
          <w:bCs/>
          <w:color w:val="7030A0"/>
          <w:vertAlign w:val="subscript"/>
        </w:rPr>
        <w:t>hospital</w:t>
      </w:r>
      <w:proofErr w:type="spellEnd"/>
      <w:r w:rsidR="00B324DA">
        <w:rPr>
          <w:rFonts w:cstheme="minorHAnsi"/>
          <w:bCs/>
          <w:color w:val="7030A0"/>
          <w:vertAlign w:val="subscript"/>
        </w:rPr>
        <w:t xml:space="preserve"> </w:t>
      </w:r>
      <w:r w:rsidRPr="00141E2A">
        <w:rPr>
          <w:rFonts w:cstheme="minorHAnsi"/>
          <w:bCs/>
          <w:color w:val="7030A0"/>
        </w:rPr>
        <w:t xml:space="preserve">to the model. The first variable, </w:t>
      </w:r>
      <w:proofErr w:type="spellStart"/>
      <w:r w:rsidRPr="00141E2A">
        <w:rPr>
          <w:rFonts w:cstheme="minorHAnsi"/>
          <w:bCs/>
          <w:color w:val="7030A0"/>
        </w:rPr>
        <w:t>X</w:t>
      </w:r>
      <w:r w:rsidRPr="00141E2A">
        <w:rPr>
          <w:rFonts w:cstheme="minorHAnsi"/>
          <w:bCs/>
          <w:color w:val="7030A0"/>
          <w:vertAlign w:val="subscript"/>
        </w:rPr>
        <w:t>patient</w:t>
      </w:r>
      <w:proofErr w:type="spellEnd"/>
      <w:r w:rsidRPr="00141E2A">
        <w:rPr>
          <w:rFonts w:cstheme="minorHAnsi"/>
          <w:bCs/>
          <w:color w:val="7030A0"/>
        </w:rPr>
        <w:t xml:space="preserve">, represents the effect of the risk factor at the patient level (sometimes called the “within” hospital effect), and the second variable, </w:t>
      </w:r>
      <w:proofErr w:type="spellStart"/>
      <w:r w:rsidRPr="00141E2A">
        <w:rPr>
          <w:rFonts w:cstheme="minorHAnsi"/>
          <w:bCs/>
          <w:color w:val="7030A0"/>
        </w:rPr>
        <w:t>X</w:t>
      </w:r>
      <w:r w:rsidRPr="00141E2A">
        <w:rPr>
          <w:rFonts w:cstheme="minorHAnsi"/>
          <w:bCs/>
          <w:color w:val="7030A0"/>
          <w:vertAlign w:val="subscript"/>
        </w:rPr>
        <w:t>hospital</w:t>
      </w:r>
      <w:proofErr w:type="spellEnd"/>
      <w:r w:rsidRPr="00141E2A">
        <w:rPr>
          <w:rFonts w:cstheme="minorHAnsi"/>
          <w:bCs/>
          <w:color w:val="7030A0"/>
        </w:rPr>
        <w:t xml:space="preserve">, represents the effect at the hospital level (sometimes called the “between” hospital effect). By including </w:t>
      </w:r>
      <w:proofErr w:type="gramStart"/>
      <w:r w:rsidRPr="00141E2A">
        <w:rPr>
          <w:rFonts w:cstheme="minorHAnsi"/>
          <w:bCs/>
          <w:color w:val="7030A0"/>
        </w:rPr>
        <w:t>both of these</w:t>
      </w:r>
      <w:proofErr w:type="gramEnd"/>
      <w:r w:rsidRPr="00141E2A">
        <w:rPr>
          <w:rFonts w:cstheme="minorHAnsi"/>
          <w:bCs/>
          <w:color w:val="7030A0"/>
        </w:rPr>
        <w:t xml:space="preserve"> in the same model, we can assess whether these are independent effects, whether one effect dominates the other, or whether only one of these effects contributes. This analysis allows us to simultaneously estimate the independent effects of: 1) hospitals with higher or lower proportions of low SES patients on the readmission rate of an average patient; and 2) a patient’s SES on their own readmission rates when seen at an average hospital.</w:t>
      </w:r>
    </w:p>
    <w:p w14:paraId="3EB6472B"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71D503A7"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 xml:space="preserve">It is also important to note that the patient-level and hospital-level coefficients cannot be quantitatively compared because the patient’s SES circumstance in the model is binary whereas the hospital’s proportion of low SES patients is continuous. Therefore, </w:t>
      </w:r>
      <w:proofErr w:type="gramStart"/>
      <w:r w:rsidRPr="00141E2A">
        <w:rPr>
          <w:rFonts w:cstheme="minorHAnsi"/>
          <w:bCs/>
          <w:color w:val="7030A0"/>
        </w:rPr>
        <w:t>in order to</w:t>
      </w:r>
      <w:proofErr w:type="gramEnd"/>
      <w:r w:rsidRPr="00141E2A">
        <w:rPr>
          <w:rFonts w:cstheme="minorHAnsi"/>
          <w:bCs/>
          <w:color w:val="7030A0"/>
        </w:rPr>
        <w:t xml:space="preserve"> quantitatively compare the relative size of the patient and hospital effects, we calculated a range of predicted probabilities of readmission based on the fitted model.</w:t>
      </w:r>
    </w:p>
    <w:p w14:paraId="13F9FF01" w14:textId="6C18500A" w:rsidR="009F3B9B" w:rsidRPr="00141E2A" w:rsidRDefault="009F3B9B" w:rsidP="009F3B9B">
      <w:pPr>
        <w:spacing w:before="120" w:after="120" w:line="240" w:lineRule="auto"/>
        <w:rPr>
          <w:rFonts w:cstheme="minorHAnsi"/>
          <w:bCs/>
          <w:color w:val="7030A0"/>
        </w:rPr>
      </w:pPr>
      <w:r w:rsidRPr="00141E2A">
        <w:rPr>
          <w:rFonts w:cstheme="minorHAnsi"/>
          <w:bCs/>
          <w:color w:val="7030A0"/>
        </w:rPr>
        <w:t>Specifically, to estimate an average hospital effect, we calculated the predicted probabilities for the following scenarios: (1) Assuming all patients do not have the risk factor (</w:t>
      </w:r>
      <w:proofErr w:type="spellStart"/>
      <w:r w:rsidRPr="00141E2A">
        <w:rPr>
          <w:rFonts w:cstheme="minorHAnsi"/>
          <w:bCs/>
          <w:color w:val="7030A0"/>
        </w:rPr>
        <w:t>X</w:t>
      </w:r>
      <w:r w:rsidRPr="00141E2A">
        <w:rPr>
          <w:rFonts w:cstheme="minorHAnsi"/>
          <w:bCs/>
          <w:color w:val="7030A0"/>
          <w:vertAlign w:val="subscript"/>
        </w:rPr>
        <w:t>ij</w:t>
      </w:r>
      <w:proofErr w:type="spellEnd"/>
      <w:r w:rsidRPr="00141E2A">
        <w:rPr>
          <w:rFonts w:cstheme="minorHAnsi"/>
          <w:bCs/>
          <w:color w:val="7030A0"/>
        </w:rPr>
        <w:t xml:space="preserve"> =0) and hospital level risk factor is at 5% percentile (P5) of all hospital values; (2) Assuming all patients do not have the risk factor and hospital level risk factor is at 95% percentile (P95); (3) Assuming all patients do have the risk factor (</w:t>
      </w:r>
      <w:proofErr w:type="spellStart"/>
      <w:r w:rsidRPr="00141E2A">
        <w:rPr>
          <w:rFonts w:cstheme="minorHAnsi"/>
          <w:bCs/>
          <w:color w:val="7030A0"/>
        </w:rPr>
        <w:t>X</w:t>
      </w:r>
      <w:r w:rsidRPr="00141E2A">
        <w:rPr>
          <w:rFonts w:cstheme="minorHAnsi"/>
          <w:bCs/>
          <w:color w:val="7030A0"/>
          <w:vertAlign w:val="subscript"/>
        </w:rPr>
        <w:t>ij</w:t>
      </w:r>
      <w:proofErr w:type="spellEnd"/>
      <w:r w:rsidRPr="00141E2A">
        <w:rPr>
          <w:rFonts w:cstheme="minorHAnsi"/>
          <w:bCs/>
          <w:color w:val="7030A0"/>
        </w:rPr>
        <w:t xml:space="preserve"> =1) and hospital level risk factor is at 5% percentile (P5); (4) Assuming all patients have the risk factor and hospital level risk factor is at 95% percentile (P95). The average hospital effect is estimated by ((2)-(1) + (4)-(3))/2 (P95-P5). Then, to estimate an average patient effect, we first calculated the predicted probabilities by assuming patient-level risk factor equal to 0 or 1 at different hospital risk factor percentiles (0%, 5%, 10%, 25%, 50%, 75%, 90%, 95%, and 100%). Then</w:t>
      </w:r>
      <w:r w:rsidR="00422DF9">
        <w:rPr>
          <w:rFonts w:cstheme="minorHAnsi"/>
          <w:bCs/>
          <w:color w:val="7030A0"/>
        </w:rPr>
        <w:t>,</w:t>
      </w:r>
      <w:r w:rsidRPr="00141E2A">
        <w:rPr>
          <w:rFonts w:cstheme="minorHAnsi"/>
          <w:bCs/>
          <w:color w:val="7030A0"/>
        </w:rPr>
        <w:t xml:space="preserve"> at each of those percentiles, we could obtain the difference of predicted probabilities between all patients not having the risk factor and then all patients having the risk factor. We calculated the average of those differences in predicted probabilities (‘delta’) as the patient effect.</w:t>
      </w:r>
    </w:p>
    <w:p w14:paraId="78B87B0A"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lastRenderedPageBreak/>
        <w:t>In summary, the difference in predicted probabilities at the 95th and 5th percentiles (P95-P5) estimates the hospital-level effect of the SRF on readmission. The difference in predicted probabilities when all patients have and do not have the SES risk factor (delta) estimates the patient-level effect of the SES risk factor on readmission. The hospital-level effect is greater than the patient-level effect when P95-P5 is greater than delta. We used P95 and P5 rather than the maximum (P100) and minimum (P0) to avoid outlier values.</w:t>
      </w:r>
    </w:p>
    <w:p w14:paraId="585518E1"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We also performed the same analysis for several clinical covariates to contrast the relative contributions of patient- and hospital-level effects of clinical variables to the relative contributions for the SRFs.</w:t>
      </w:r>
    </w:p>
    <w:p w14:paraId="53A85F75" w14:textId="77777777" w:rsidR="009F3B9B" w:rsidRPr="00141E2A" w:rsidRDefault="009F3B9B" w:rsidP="009F3B9B">
      <w:pPr>
        <w:spacing w:before="120" w:after="120" w:line="240" w:lineRule="auto"/>
        <w:rPr>
          <w:rFonts w:cstheme="minorHAnsi"/>
          <w:bCs/>
          <w:color w:val="7030A0"/>
        </w:rPr>
      </w:pPr>
      <w:r w:rsidRPr="00141E2A">
        <w:rPr>
          <w:rFonts w:cstheme="minorHAnsi"/>
          <w:noProof/>
          <w:color w:val="7030A0"/>
          <w:u w:val="single"/>
        </w:rPr>
        <w:t>References</w:t>
      </w:r>
      <w:r w:rsidRPr="0095651C">
        <w:rPr>
          <w:rFonts w:cstheme="minorHAnsi"/>
          <w:noProof/>
          <w:color w:val="7030A0"/>
        </w:rPr>
        <w:t>:</w:t>
      </w:r>
    </w:p>
    <w:p w14:paraId="3A2CF1DE" w14:textId="1FEBD493" w:rsidR="00EC1BBB" w:rsidRPr="00EC1BBB" w:rsidRDefault="00EC1BBB" w:rsidP="009F3B9B">
      <w:pPr>
        <w:spacing w:before="120" w:after="120" w:line="240" w:lineRule="auto"/>
        <w:rPr>
          <w:rFonts w:cstheme="minorHAnsi"/>
          <w:bCs/>
          <w:color w:val="C00000"/>
        </w:rPr>
      </w:pPr>
      <w:r w:rsidRPr="00EC1BBB">
        <w:rPr>
          <w:rFonts w:cstheme="minorHAnsi"/>
          <w:color w:val="C00000"/>
          <w:shd w:val="clear" w:color="auto" w:fill="FFFFFF"/>
        </w:rPr>
        <w:t>Anderson JE, Li Z, Romano PS, Parker J, Chang DC. Should Risk Adjustment for Surgical Outcomes Reporting Include Sociodemographic Status? A Study of Coronary Artery Bypass Grafting in California. </w:t>
      </w:r>
      <w:r w:rsidRPr="00EC1BBB">
        <w:rPr>
          <w:rFonts w:cstheme="minorHAnsi"/>
          <w:i/>
          <w:iCs/>
          <w:color w:val="C00000"/>
          <w:shd w:val="clear" w:color="auto" w:fill="FFFFFF"/>
        </w:rPr>
        <w:t>J Am Coll Surg</w:t>
      </w:r>
      <w:r w:rsidRPr="00EC1BBB">
        <w:rPr>
          <w:rFonts w:cstheme="minorHAnsi"/>
          <w:color w:val="C00000"/>
          <w:shd w:val="clear" w:color="auto" w:fill="FFFFFF"/>
        </w:rPr>
        <w:t xml:space="preserve">. 2016;223(2):221‐230. </w:t>
      </w:r>
      <w:proofErr w:type="gramStart"/>
      <w:r w:rsidRPr="00EC1BBB">
        <w:rPr>
          <w:rFonts w:cstheme="minorHAnsi"/>
          <w:color w:val="C00000"/>
          <w:shd w:val="clear" w:color="auto" w:fill="FFFFFF"/>
        </w:rPr>
        <w:t>doi:10.1016/j.jamcollsurg</w:t>
      </w:r>
      <w:proofErr w:type="gramEnd"/>
      <w:r w:rsidRPr="00EC1BBB">
        <w:rPr>
          <w:rFonts w:cstheme="minorHAnsi"/>
          <w:color w:val="C00000"/>
          <w:shd w:val="clear" w:color="auto" w:fill="FFFFFF"/>
        </w:rPr>
        <w:t xml:space="preserve">.2016.05.008. </w:t>
      </w:r>
    </w:p>
    <w:p w14:paraId="7D62DEAC" w14:textId="53B0A168" w:rsidR="009F3B9B" w:rsidRDefault="009F3B9B" w:rsidP="009F3B9B">
      <w:pPr>
        <w:spacing w:before="120" w:after="120" w:line="240" w:lineRule="auto"/>
        <w:rPr>
          <w:rFonts w:cstheme="minorHAnsi"/>
          <w:bCs/>
        </w:rPr>
      </w:pPr>
      <w:r w:rsidRPr="00141E2A">
        <w:rPr>
          <w:rFonts w:cstheme="minorHAnsi"/>
          <w:bCs/>
          <w:color w:val="7030A0"/>
        </w:rPr>
        <w:t xml:space="preserve">Blum AB, </w:t>
      </w:r>
      <w:proofErr w:type="spellStart"/>
      <w:r w:rsidRPr="00141E2A">
        <w:rPr>
          <w:rFonts w:cstheme="minorHAnsi"/>
          <w:bCs/>
          <w:color w:val="7030A0"/>
        </w:rPr>
        <w:t>Egorova</w:t>
      </w:r>
      <w:proofErr w:type="spellEnd"/>
      <w:r w:rsidRPr="00141E2A">
        <w:rPr>
          <w:rFonts w:cstheme="minorHAnsi"/>
          <w:bCs/>
          <w:color w:val="7030A0"/>
        </w:rPr>
        <w:t xml:space="preserve"> NN, </w:t>
      </w:r>
      <w:proofErr w:type="spellStart"/>
      <w:r w:rsidRPr="00141E2A">
        <w:rPr>
          <w:rFonts w:cstheme="minorHAnsi"/>
          <w:bCs/>
          <w:color w:val="7030A0"/>
        </w:rPr>
        <w:t>Sosunov</w:t>
      </w:r>
      <w:proofErr w:type="spellEnd"/>
      <w:r w:rsidRPr="00141E2A">
        <w:rPr>
          <w:rFonts w:cstheme="minorHAnsi"/>
          <w:bCs/>
          <w:color w:val="7030A0"/>
        </w:rPr>
        <w:t xml:space="preserve"> EA, et al. Impact of socioeconomic status measures on hospital profiling in New York City. Circulation Cardiovascular quality and outcomes 2014; 7:391-7.</w:t>
      </w:r>
    </w:p>
    <w:p w14:paraId="55055E26" w14:textId="77777777" w:rsidR="009F3B9B" w:rsidRDefault="009F3B9B" w:rsidP="009F3B9B">
      <w:pPr>
        <w:spacing w:before="120" w:after="120" w:line="240" w:lineRule="auto"/>
        <w:rPr>
          <w:color w:val="C00000"/>
        </w:rPr>
      </w:pPr>
      <w:r w:rsidRPr="00043DA7">
        <w:rPr>
          <w:color w:val="C00000"/>
        </w:rPr>
        <w:t xml:space="preserve">Buntin MB, </w:t>
      </w:r>
      <w:proofErr w:type="spellStart"/>
      <w:r w:rsidRPr="00043DA7">
        <w:rPr>
          <w:color w:val="C00000"/>
        </w:rPr>
        <w:t>Ayanian</w:t>
      </w:r>
      <w:proofErr w:type="spellEnd"/>
      <w:r w:rsidRPr="00043DA7">
        <w:rPr>
          <w:color w:val="C00000"/>
        </w:rPr>
        <w:t xml:space="preserve"> JZ. Social Risk Factors and Equity in Medicare Payment. </w:t>
      </w:r>
      <w:r w:rsidRPr="00043DA7">
        <w:rPr>
          <w:i/>
          <w:iCs/>
          <w:color w:val="C00000"/>
        </w:rPr>
        <w:t xml:space="preserve">New England Journal of Medicine. </w:t>
      </w:r>
      <w:r w:rsidRPr="00043DA7">
        <w:rPr>
          <w:color w:val="C00000"/>
        </w:rPr>
        <w:t>2017;376(6):507-510</w:t>
      </w:r>
      <w:r>
        <w:rPr>
          <w:color w:val="C00000"/>
        </w:rPr>
        <w:t>.</w:t>
      </w:r>
    </w:p>
    <w:p w14:paraId="49F9C6C6" w14:textId="77777777" w:rsidR="009F3B9B" w:rsidRPr="00A8482F" w:rsidRDefault="009F3B9B" w:rsidP="009F3B9B">
      <w:pPr>
        <w:spacing w:before="120" w:after="120" w:line="240" w:lineRule="auto"/>
        <w:rPr>
          <w:color w:val="7030A0"/>
        </w:rPr>
      </w:pPr>
      <w:r w:rsidRPr="00A8482F">
        <w:rPr>
          <w:color w:val="7030A0"/>
        </w:rPr>
        <w:t xml:space="preserve">Calvillo-King L, Arnold D, Eubank KJ, et al. Impact of social factors on risk of readmission or mortality in pneumonia and heart failure: systematic review. J Gen Intern Med. 2013 Feb; 28(2):269-82. </w:t>
      </w:r>
      <w:proofErr w:type="spellStart"/>
      <w:r w:rsidRPr="00A8482F">
        <w:rPr>
          <w:color w:val="7030A0"/>
        </w:rPr>
        <w:t>doi</w:t>
      </w:r>
      <w:proofErr w:type="spellEnd"/>
      <w:r w:rsidRPr="00A8482F">
        <w:rPr>
          <w:color w:val="7030A0"/>
        </w:rPr>
        <w:t xml:space="preserve">: 10.1007/s11606-012-2235-x. </w:t>
      </w:r>
      <w:proofErr w:type="spellStart"/>
      <w:r w:rsidRPr="00A8482F">
        <w:rPr>
          <w:color w:val="7030A0"/>
        </w:rPr>
        <w:t>Epub</w:t>
      </w:r>
      <w:proofErr w:type="spellEnd"/>
      <w:r w:rsidRPr="00A8482F">
        <w:rPr>
          <w:color w:val="7030A0"/>
        </w:rPr>
        <w:t xml:space="preserve"> 2012 Oct 6.</w:t>
      </w:r>
    </w:p>
    <w:p w14:paraId="0E4B7426" w14:textId="7895E0AD" w:rsidR="009F3B9B" w:rsidRDefault="009F3B9B" w:rsidP="009F3B9B">
      <w:pPr>
        <w:spacing w:before="120" w:after="120" w:line="240" w:lineRule="auto"/>
        <w:rPr>
          <w:color w:val="7030A0"/>
        </w:rPr>
      </w:pPr>
      <w:r w:rsidRPr="00A8482F">
        <w:rPr>
          <w:color w:val="7030A0"/>
        </w:rPr>
        <w:t xml:space="preserve">Chang W-C, Kaul P, </w:t>
      </w:r>
      <w:proofErr w:type="spellStart"/>
      <w:r w:rsidRPr="00A8482F">
        <w:rPr>
          <w:color w:val="7030A0"/>
        </w:rPr>
        <w:t>Westerhout</w:t>
      </w:r>
      <w:proofErr w:type="spellEnd"/>
      <w:r w:rsidRPr="00A8482F">
        <w:rPr>
          <w:color w:val="7030A0"/>
        </w:rPr>
        <w:t xml:space="preserve"> C M, Graham M. M., Armstrong Paul W., “Effects of Socioeconomic Status on Mortality after Acute Myocardial Infarction.” The American Journal of Medicine. 2007; 120(1): 33-39.</w:t>
      </w:r>
    </w:p>
    <w:p w14:paraId="28D93C31" w14:textId="6219DD0E" w:rsidR="003F792D" w:rsidRPr="0078505F" w:rsidRDefault="003F792D" w:rsidP="009F3B9B">
      <w:pPr>
        <w:spacing w:before="120" w:after="120" w:line="240" w:lineRule="auto"/>
        <w:rPr>
          <w:color w:val="C00000"/>
        </w:rPr>
      </w:pPr>
      <w:r w:rsidRPr="0078505F">
        <w:rPr>
          <w:color w:val="C00000"/>
        </w:rPr>
        <w:t xml:space="preserve">Chen HF, </w:t>
      </w:r>
      <w:proofErr w:type="spellStart"/>
      <w:r w:rsidRPr="0078505F">
        <w:rPr>
          <w:color w:val="C00000"/>
        </w:rPr>
        <w:t>Nevola</w:t>
      </w:r>
      <w:proofErr w:type="spellEnd"/>
      <w:r w:rsidRPr="0078505F">
        <w:rPr>
          <w:color w:val="C00000"/>
        </w:rPr>
        <w:t xml:space="preserve"> A, Bird TM, et al. Understanding factors associated with readmission disparities among Delta region, Delta state, and other hospitals. Am J </w:t>
      </w:r>
      <w:proofErr w:type="spellStart"/>
      <w:r w:rsidRPr="0078505F">
        <w:rPr>
          <w:color w:val="C00000"/>
        </w:rPr>
        <w:t>Manag</w:t>
      </w:r>
      <w:proofErr w:type="spellEnd"/>
      <w:r w:rsidRPr="0078505F">
        <w:rPr>
          <w:color w:val="C00000"/>
        </w:rPr>
        <w:t xml:space="preserve"> Care. May 2018; 24(5): e150-15.</w:t>
      </w:r>
    </w:p>
    <w:p w14:paraId="62956E0B" w14:textId="77777777" w:rsidR="00F32721" w:rsidRPr="00141E2A" w:rsidRDefault="00F32721" w:rsidP="00F32721">
      <w:pPr>
        <w:spacing w:before="120" w:after="120" w:line="240" w:lineRule="auto"/>
        <w:rPr>
          <w:rFonts w:cstheme="minorHAnsi"/>
          <w:bCs/>
          <w:color w:val="C00000"/>
        </w:rPr>
      </w:pPr>
      <w:r w:rsidRPr="00141E2A">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(https://www.ncbi.nlm.nih.gov/books/NBK338754/doi:10.17226/21858)</w:t>
      </w:r>
    </w:p>
    <w:p w14:paraId="2B2F9081" w14:textId="7DF2D023" w:rsidR="00F32721" w:rsidRDefault="00F32721" w:rsidP="00F32721">
      <w:pPr>
        <w:spacing w:before="120" w:after="120" w:line="240" w:lineRule="auto"/>
        <w:rPr>
          <w:rFonts w:cstheme="minorHAnsi"/>
          <w:bCs/>
          <w:color w:val="C00000"/>
        </w:rPr>
      </w:pPr>
      <w:r w:rsidRPr="00141E2A">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1" w:history="1">
        <w:r w:rsidR="00DE708D" w:rsidRPr="00185587">
          <w:rPr>
            <w:rStyle w:val="Hyperlink"/>
            <w:rFonts w:cstheme="minorHAnsi"/>
          </w:rPr>
          <w:t>https://aspe.hhs.gov/pdf-report/report-congress-social-risk-factors-and-performance-under-medicares-value-based-purchasing-programs</w:t>
        </w:r>
      </w:hyperlink>
      <w:r w:rsidRPr="00141E2A">
        <w:rPr>
          <w:rFonts w:cstheme="minorHAnsi"/>
          <w:bCs/>
          <w:color w:val="C00000"/>
        </w:rPr>
        <w:t>).</w:t>
      </w:r>
    </w:p>
    <w:p w14:paraId="19B3C7F3" w14:textId="1ED20CDB" w:rsidR="00DE708D" w:rsidRPr="00DE708D" w:rsidRDefault="00DE708D" w:rsidP="00DE708D">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2"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7FB37D97" w14:textId="46DA5CD2" w:rsidR="009F3B9B" w:rsidRDefault="009F3B9B" w:rsidP="009F3B9B">
      <w:pPr>
        <w:spacing w:before="120" w:after="120" w:line="240" w:lineRule="auto"/>
        <w:rPr>
          <w:color w:val="7030A0"/>
        </w:rPr>
      </w:pPr>
      <w:proofErr w:type="spellStart"/>
      <w:r w:rsidRPr="00A8482F">
        <w:rPr>
          <w:color w:val="7030A0"/>
        </w:rPr>
        <w:t>Eapen</w:t>
      </w:r>
      <w:proofErr w:type="spellEnd"/>
      <w:r w:rsidRPr="00A8482F">
        <w:rPr>
          <w:color w:val="7030A0"/>
        </w:rPr>
        <w:t xml:space="preserve"> ZJ, McCoy LA, </w:t>
      </w:r>
      <w:proofErr w:type="spellStart"/>
      <w:r w:rsidRPr="00A8482F">
        <w:rPr>
          <w:color w:val="7030A0"/>
        </w:rPr>
        <w:t>Fonarow</w:t>
      </w:r>
      <w:proofErr w:type="spellEnd"/>
      <w:r w:rsidRPr="00A8482F">
        <w:rPr>
          <w:color w:val="7030A0"/>
        </w:rPr>
        <w:t xml:space="preserve"> GC, Yancy CW, Miranda ML, Peterson ED, </w:t>
      </w:r>
      <w:proofErr w:type="spellStart"/>
      <w:r w:rsidRPr="00A8482F">
        <w:rPr>
          <w:color w:val="7030A0"/>
        </w:rPr>
        <w:t>Califf</w:t>
      </w:r>
      <w:proofErr w:type="spellEnd"/>
      <w:r w:rsidRPr="00A8482F">
        <w:rPr>
          <w:color w:val="7030A0"/>
        </w:rPr>
        <w:t xml:space="preserve"> RM, Hernandez AF. Utility of socioeconomic status in predicting 30-day outcomes after heart failure hospitalization. </w:t>
      </w:r>
      <w:proofErr w:type="spellStart"/>
      <w:r w:rsidRPr="00A8482F">
        <w:rPr>
          <w:color w:val="7030A0"/>
        </w:rPr>
        <w:t>Circ</w:t>
      </w:r>
      <w:proofErr w:type="spellEnd"/>
      <w:r w:rsidRPr="00A8482F">
        <w:rPr>
          <w:color w:val="7030A0"/>
        </w:rPr>
        <w:t xml:space="preserve"> Heart Fail. May 2015; 8(3):473-80.</w:t>
      </w:r>
    </w:p>
    <w:p w14:paraId="4227C399" w14:textId="1EC102B1" w:rsidR="00F32721" w:rsidRPr="00F32721" w:rsidRDefault="00F32721" w:rsidP="009F3B9B">
      <w:pPr>
        <w:spacing w:before="120" w:after="120" w:line="240" w:lineRule="auto"/>
        <w:rPr>
          <w:rFonts w:cstheme="minorHAnsi"/>
          <w:color w:val="C00000"/>
        </w:rPr>
      </w:pPr>
      <w:r w:rsidRPr="00F32721">
        <w:rPr>
          <w:rFonts w:cstheme="minorHAnsi"/>
          <w:color w:val="C00000"/>
          <w:shd w:val="clear" w:color="auto" w:fill="FFFFFF"/>
        </w:rPr>
        <w:lastRenderedPageBreak/>
        <w:t xml:space="preserve">Feng TR, White RS, Gaber-Baylis LK, Turnbull ZA, </w:t>
      </w:r>
      <w:proofErr w:type="spellStart"/>
      <w:r w:rsidRPr="00F32721">
        <w:rPr>
          <w:rFonts w:cstheme="minorHAnsi"/>
          <w:color w:val="C00000"/>
          <w:shd w:val="clear" w:color="auto" w:fill="FFFFFF"/>
        </w:rPr>
        <w:t>Rong</w:t>
      </w:r>
      <w:proofErr w:type="spellEnd"/>
      <w:r w:rsidRPr="00F32721">
        <w:rPr>
          <w:rFonts w:cstheme="minorHAnsi"/>
          <w:color w:val="C00000"/>
          <w:shd w:val="clear" w:color="auto" w:fill="FFFFFF"/>
        </w:rPr>
        <w:t xml:space="preserve"> LQ. Coronary artery bypass graft readmission rates and risk factors - A retrospective cohort study. </w:t>
      </w:r>
      <w:proofErr w:type="spellStart"/>
      <w:r w:rsidRPr="00F32721">
        <w:rPr>
          <w:rFonts w:cstheme="minorHAnsi"/>
          <w:i/>
          <w:iCs/>
          <w:color w:val="C00000"/>
          <w:shd w:val="clear" w:color="auto" w:fill="FFFFFF"/>
        </w:rPr>
        <w:t>Int</w:t>
      </w:r>
      <w:proofErr w:type="spellEnd"/>
      <w:r w:rsidRPr="00F32721">
        <w:rPr>
          <w:rFonts w:cstheme="minorHAnsi"/>
          <w:i/>
          <w:iCs/>
          <w:color w:val="C00000"/>
          <w:shd w:val="clear" w:color="auto" w:fill="FFFFFF"/>
        </w:rPr>
        <w:t xml:space="preserve"> J Surg</w:t>
      </w:r>
      <w:r w:rsidRPr="00F32721">
        <w:rPr>
          <w:rFonts w:cstheme="minorHAnsi"/>
          <w:color w:val="C00000"/>
          <w:shd w:val="clear" w:color="auto" w:fill="FFFFFF"/>
        </w:rPr>
        <w:t xml:space="preserve">. 2018;54(Pt A):7‐17. </w:t>
      </w:r>
      <w:proofErr w:type="gramStart"/>
      <w:r w:rsidRPr="00F32721">
        <w:rPr>
          <w:rFonts w:cstheme="minorHAnsi"/>
          <w:color w:val="C00000"/>
          <w:shd w:val="clear" w:color="auto" w:fill="FFFFFF"/>
        </w:rPr>
        <w:t>doi:10.1016/j.ijsu</w:t>
      </w:r>
      <w:proofErr w:type="gramEnd"/>
      <w:r w:rsidRPr="00F32721">
        <w:rPr>
          <w:rFonts w:cstheme="minorHAnsi"/>
          <w:color w:val="C00000"/>
          <w:shd w:val="clear" w:color="auto" w:fill="FFFFFF"/>
        </w:rPr>
        <w:t>.2018.04.022.</w:t>
      </w:r>
    </w:p>
    <w:p w14:paraId="23E5F501" w14:textId="77777777" w:rsidR="009F3B9B" w:rsidRPr="00A8482F" w:rsidRDefault="009F3B9B" w:rsidP="009F3B9B">
      <w:pPr>
        <w:spacing w:before="120" w:after="120" w:line="240" w:lineRule="auto"/>
        <w:rPr>
          <w:color w:val="7030A0"/>
        </w:rPr>
      </w:pPr>
      <w:r w:rsidRPr="00A8482F">
        <w:rPr>
          <w:color w:val="7030A0"/>
        </w:rPr>
        <w:t>Gilman M, Adams EK, Hockenberry JM, et al. California safety-net hospitals likely to be penalized by ACA value, readmission, and meaningful-use programs.</w:t>
      </w:r>
      <w:r>
        <w:rPr>
          <w:color w:val="7030A0"/>
        </w:rPr>
        <w:t xml:space="preserve"> </w:t>
      </w:r>
      <w:r w:rsidRPr="00A8482F">
        <w:rPr>
          <w:color w:val="7030A0"/>
        </w:rPr>
        <w:t xml:space="preserve">Health </w:t>
      </w:r>
      <w:proofErr w:type="spellStart"/>
      <w:r w:rsidRPr="00A8482F">
        <w:rPr>
          <w:color w:val="7030A0"/>
        </w:rPr>
        <w:t>Aff</w:t>
      </w:r>
      <w:proofErr w:type="spellEnd"/>
      <w:r w:rsidRPr="00A8482F">
        <w:rPr>
          <w:color w:val="7030A0"/>
        </w:rPr>
        <w:t xml:space="preserve"> (Millwood). Aug 2014; 33(8):1314-22.</w:t>
      </w:r>
    </w:p>
    <w:p w14:paraId="47F4F79C" w14:textId="49A8EFA4" w:rsidR="009F3B9B" w:rsidRDefault="009F3B9B" w:rsidP="009F3B9B">
      <w:pPr>
        <w:spacing w:before="120" w:after="120" w:line="240" w:lineRule="auto"/>
        <w:rPr>
          <w:color w:val="7030A0"/>
        </w:rPr>
      </w:pPr>
      <w:proofErr w:type="spellStart"/>
      <w:r w:rsidRPr="00A8482F">
        <w:rPr>
          <w:color w:val="7030A0"/>
        </w:rPr>
        <w:t>Gopaldas</w:t>
      </w:r>
      <w:proofErr w:type="spellEnd"/>
      <w:r w:rsidRPr="00A8482F">
        <w:rPr>
          <w:color w:val="7030A0"/>
        </w:rPr>
        <w:t xml:space="preserve"> R </w:t>
      </w:r>
      <w:proofErr w:type="spellStart"/>
      <w:r w:rsidRPr="00A8482F">
        <w:rPr>
          <w:color w:val="7030A0"/>
        </w:rPr>
        <w:t>R</w:t>
      </w:r>
      <w:proofErr w:type="spellEnd"/>
      <w:r w:rsidRPr="00A8482F">
        <w:rPr>
          <w:color w:val="7030A0"/>
        </w:rPr>
        <w:t>, Chu D., “Predictors of surgical mortality and discharge status after coronary artery bypass grafting in patients 80 years and older.” The American Journal of Surgery. 2009; 198(5): 633-638</w:t>
      </w:r>
      <w:r>
        <w:rPr>
          <w:color w:val="7030A0"/>
        </w:rPr>
        <w:t>.</w:t>
      </w:r>
    </w:p>
    <w:p w14:paraId="70FE4FED" w14:textId="72A4BA13" w:rsidR="00422DF9" w:rsidRPr="00A8482F" w:rsidRDefault="00422DF9" w:rsidP="009F3B9B">
      <w:pPr>
        <w:spacing w:before="120" w:after="120" w:line="240" w:lineRule="auto"/>
        <w:rPr>
          <w:color w:val="7030A0"/>
        </w:rPr>
      </w:pPr>
      <w:r w:rsidRPr="00A8482F">
        <w:rPr>
          <w:rFonts w:cstheme="minorHAnsi"/>
          <w:bCs/>
          <w:color w:val="C00000"/>
        </w:rPr>
        <w:t xml:space="preserve">Hamadi H, Moody L, </w:t>
      </w:r>
      <w:proofErr w:type="spellStart"/>
      <w:r w:rsidRPr="00A8482F">
        <w:rPr>
          <w:rFonts w:cstheme="minorHAnsi"/>
          <w:bCs/>
          <w:color w:val="C00000"/>
        </w:rPr>
        <w:t>Apatu</w:t>
      </w:r>
      <w:proofErr w:type="spellEnd"/>
      <w:r w:rsidRPr="00A8482F">
        <w:rPr>
          <w:rFonts w:cstheme="minorHAnsi"/>
          <w:bCs/>
          <w:color w:val="C00000"/>
        </w:rPr>
        <w:t xml:space="preserve"> E, </w:t>
      </w:r>
      <w:proofErr w:type="spellStart"/>
      <w:r w:rsidRPr="00A8482F">
        <w:rPr>
          <w:rFonts w:cstheme="minorHAnsi"/>
          <w:bCs/>
          <w:color w:val="C00000"/>
        </w:rPr>
        <w:t>Vossos</w:t>
      </w:r>
      <w:proofErr w:type="spellEnd"/>
      <w:r w:rsidRPr="00A8482F">
        <w:rPr>
          <w:rFonts w:cstheme="minorHAnsi"/>
          <w:bCs/>
          <w:color w:val="C00000"/>
        </w:rPr>
        <w:t xml:space="preserve"> H, </w:t>
      </w:r>
      <w:proofErr w:type="spellStart"/>
      <w:r w:rsidRPr="00A8482F">
        <w:rPr>
          <w:rFonts w:cstheme="minorHAnsi"/>
          <w:bCs/>
          <w:color w:val="C00000"/>
        </w:rPr>
        <w:t>Tafili</w:t>
      </w:r>
      <w:proofErr w:type="spellEnd"/>
      <w:r w:rsidRPr="00A8482F">
        <w:rPr>
          <w:rFonts w:cstheme="minorHAnsi"/>
          <w:bCs/>
          <w:color w:val="C00000"/>
        </w:rPr>
        <w:t xml:space="preserve"> A, Spaulding A. Impact of hospitals' Referral Region racial and ethnic diversity on 30-day readmission rates of older adults. J Community Hosp Intern Med </w:t>
      </w:r>
      <w:proofErr w:type="spellStart"/>
      <w:r w:rsidRPr="00A8482F">
        <w:rPr>
          <w:rFonts w:cstheme="minorHAnsi"/>
          <w:bCs/>
          <w:color w:val="C00000"/>
        </w:rPr>
        <w:t>Perspect</w:t>
      </w:r>
      <w:proofErr w:type="spellEnd"/>
      <w:r w:rsidRPr="00A8482F">
        <w:rPr>
          <w:rFonts w:cstheme="minorHAnsi"/>
          <w:bCs/>
          <w:color w:val="C00000"/>
        </w:rPr>
        <w:t>. 2019;9(3):181-188.</w:t>
      </w:r>
    </w:p>
    <w:p w14:paraId="1BCC0A1E" w14:textId="77777777" w:rsidR="009F3B9B" w:rsidRPr="00A8482F" w:rsidRDefault="009F3B9B" w:rsidP="009F3B9B">
      <w:pPr>
        <w:spacing w:before="120" w:after="120" w:line="240" w:lineRule="auto"/>
        <w:rPr>
          <w:rFonts w:cstheme="minorHAnsi"/>
          <w:bCs/>
          <w:color w:val="C00000"/>
        </w:rPr>
      </w:pPr>
      <w:r w:rsidRPr="00A8482F">
        <w:rPr>
          <w:rFonts w:cstheme="minorHAnsi"/>
          <w:bCs/>
          <w:color w:val="C00000"/>
        </w:rPr>
        <w:t xml:space="preserve">Herrin J, Kenward K, Joshi MS, </w:t>
      </w:r>
      <w:proofErr w:type="spellStart"/>
      <w:r w:rsidRPr="00A8482F">
        <w:rPr>
          <w:rFonts w:cstheme="minorHAnsi"/>
          <w:bCs/>
          <w:color w:val="C00000"/>
        </w:rPr>
        <w:t>Audet</w:t>
      </w:r>
      <w:proofErr w:type="spellEnd"/>
      <w:r w:rsidRPr="00A8482F">
        <w:rPr>
          <w:rFonts w:cstheme="minorHAnsi"/>
          <w:bCs/>
          <w:color w:val="C00000"/>
        </w:rPr>
        <w:t xml:space="preserve"> AM, Hines SJ. Assessing Community Quality of Health Care. Health </w:t>
      </w:r>
      <w:proofErr w:type="spellStart"/>
      <w:r w:rsidRPr="00A8482F">
        <w:rPr>
          <w:rFonts w:cstheme="minorHAnsi"/>
          <w:bCs/>
          <w:color w:val="C00000"/>
        </w:rPr>
        <w:t>Serv</w:t>
      </w:r>
      <w:proofErr w:type="spellEnd"/>
      <w:r w:rsidRPr="00A8482F">
        <w:rPr>
          <w:rFonts w:cstheme="minorHAnsi"/>
          <w:bCs/>
          <w:color w:val="C00000"/>
        </w:rPr>
        <w:t xml:space="preserve"> Res. 2016 Feb;51(1):98-116. </w:t>
      </w:r>
      <w:proofErr w:type="spellStart"/>
      <w:r w:rsidRPr="00A8482F">
        <w:rPr>
          <w:rFonts w:cstheme="minorHAnsi"/>
          <w:bCs/>
          <w:color w:val="C00000"/>
        </w:rPr>
        <w:t>doi</w:t>
      </w:r>
      <w:proofErr w:type="spellEnd"/>
      <w:r w:rsidRPr="00A8482F">
        <w:rPr>
          <w:rFonts w:cstheme="minorHAnsi"/>
          <w:bCs/>
          <w:color w:val="C00000"/>
        </w:rPr>
        <w:t xml:space="preserve">: 10.1111/1475-6773.12322. </w:t>
      </w:r>
      <w:proofErr w:type="spellStart"/>
      <w:r w:rsidRPr="00A8482F">
        <w:rPr>
          <w:rFonts w:cstheme="minorHAnsi"/>
          <w:bCs/>
          <w:color w:val="C00000"/>
        </w:rPr>
        <w:t>Epub</w:t>
      </w:r>
      <w:proofErr w:type="spellEnd"/>
      <w:r w:rsidRPr="00A8482F">
        <w:rPr>
          <w:rFonts w:cstheme="minorHAnsi"/>
          <w:bCs/>
          <w:color w:val="C00000"/>
        </w:rPr>
        <w:t xml:space="preserve"> 2015 Jun 11. PMID: 26096649; PMCID: PMC4722214.</w:t>
      </w:r>
    </w:p>
    <w:p w14:paraId="7DACF0B2" w14:textId="77777777" w:rsidR="009F3B9B" w:rsidRPr="00A8482F" w:rsidRDefault="009F3B9B" w:rsidP="009F3B9B">
      <w:pPr>
        <w:spacing w:before="120" w:after="120" w:line="240" w:lineRule="auto"/>
        <w:rPr>
          <w:rFonts w:cstheme="minorHAnsi"/>
          <w:bCs/>
          <w:color w:val="C00000"/>
        </w:rPr>
      </w:pPr>
      <w:r w:rsidRPr="00A8482F">
        <w:rPr>
          <w:rFonts w:cstheme="minorHAnsi"/>
          <w:bCs/>
          <w:color w:val="C00000"/>
        </w:rPr>
        <w:t xml:space="preserve">Herrin J, St Andre J, Kenward K, Joshi MS, </w:t>
      </w:r>
      <w:proofErr w:type="spellStart"/>
      <w:r w:rsidRPr="00A8482F">
        <w:rPr>
          <w:rFonts w:cstheme="minorHAnsi"/>
          <w:bCs/>
          <w:color w:val="C00000"/>
        </w:rPr>
        <w:t>Audet</w:t>
      </w:r>
      <w:proofErr w:type="spellEnd"/>
      <w:r w:rsidRPr="00A8482F">
        <w:rPr>
          <w:rFonts w:cstheme="minorHAnsi"/>
          <w:bCs/>
          <w:color w:val="C00000"/>
        </w:rPr>
        <w:t xml:space="preserve"> AM, Hines SC. Community factors and hospital readmission rates. Health </w:t>
      </w:r>
      <w:proofErr w:type="spellStart"/>
      <w:r w:rsidRPr="00A8482F">
        <w:rPr>
          <w:rFonts w:cstheme="minorHAnsi"/>
          <w:bCs/>
          <w:color w:val="C00000"/>
        </w:rPr>
        <w:t>Serv</w:t>
      </w:r>
      <w:proofErr w:type="spellEnd"/>
      <w:r w:rsidRPr="00A8482F">
        <w:rPr>
          <w:rFonts w:cstheme="minorHAnsi"/>
          <w:bCs/>
          <w:color w:val="C00000"/>
        </w:rPr>
        <w:t xml:space="preserve"> Res. 2015 Feb;50(1):20-39. </w:t>
      </w:r>
      <w:proofErr w:type="spellStart"/>
      <w:r w:rsidRPr="00A8482F">
        <w:rPr>
          <w:rFonts w:cstheme="minorHAnsi"/>
          <w:bCs/>
          <w:color w:val="C00000"/>
        </w:rPr>
        <w:t>doi</w:t>
      </w:r>
      <w:proofErr w:type="spellEnd"/>
      <w:r w:rsidRPr="00A8482F">
        <w:rPr>
          <w:rFonts w:cstheme="minorHAnsi"/>
          <w:bCs/>
          <w:color w:val="C00000"/>
        </w:rPr>
        <w:t xml:space="preserve">: 10.1111/1475-6773.12177. </w:t>
      </w:r>
      <w:proofErr w:type="spellStart"/>
      <w:r w:rsidRPr="00A8482F">
        <w:rPr>
          <w:rFonts w:cstheme="minorHAnsi"/>
          <w:bCs/>
          <w:color w:val="C00000"/>
        </w:rPr>
        <w:t>Epub</w:t>
      </w:r>
      <w:proofErr w:type="spellEnd"/>
      <w:r w:rsidRPr="00A8482F">
        <w:rPr>
          <w:rFonts w:cstheme="minorHAnsi"/>
          <w:bCs/>
          <w:color w:val="C00000"/>
        </w:rPr>
        <w:t xml:space="preserve"> 2014 Apr 9. PMID: 24712374; PMCID: PMC4319869.</w:t>
      </w:r>
    </w:p>
    <w:p w14:paraId="3A46CE32" w14:textId="27E7B953" w:rsidR="009F3B9B" w:rsidRPr="0078505F" w:rsidRDefault="009F3B9B" w:rsidP="009F3B9B">
      <w:pPr>
        <w:spacing w:before="120" w:after="120" w:line="240" w:lineRule="auto"/>
        <w:rPr>
          <w:rFonts w:cstheme="minorHAnsi"/>
          <w:bCs/>
          <w:color w:val="7030A0"/>
        </w:rPr>
      </w:pPr>
      <w:r w:rsidRPr="00A8482F">
        <w:rPr>
          <w:rFonts w:cstheme="minorHAnsi"/>
          <w:bCs/>
          <w:color w:val="7030A0"/>
        </w:rPr>
        <w:t xml:space="preserve">Hu J, </w:t>
      </w:r>
      <w:proofErr w:type="spellStart"/>
      <w:r w:rsidRPr="00A8482F">
        <w:rPr>
          <w:rFonts w:cstheme="minorHAnsi"/>
          <w:bCs/>
          <w:color w:val="7030A0"/>
        </w:rPr>
        <w:t>Gonsahn</w:t>
      </w:r>
      <w:proofErr w:type="spellEnd"/>
      <w:r w:rsidRPr="00A8482F">
        <w:rPr>
          <w:rFonts w:cstheme="minorHAnsi"/>
          <w:bCs/>
          <w:color w:val="7030A0"/>
        </w:rPr>
        <w:t xml:space="preserve"> MD, </w:t>
      </w:r>
      <w:proofErr w:type="spellStart"/>
      <w:r w:rsidRPr="00A8482F">
        <w:rPr>
          <w:rFonts w:cstheme="minorHAnsi"/>
          <w:bCs/>
          <w:color w:val="7030A0"/>
        </w:rPr>
        <w:t>Nerenz</w:t>
      </w:r>
      <w:proofErr w:type="spellEnd"/>
      <w:r w:rsidRPr="00A8482F">
        <w:rPr>
          <w:rFonts w:cstheme="minorHAnsi"/>
          <w:bCs/>
          <w:color w:val="7030A0"/>
        </w:rPr>
        <w:t xml:space="preserve"> DR. Socioeconomic status and readmissions: evidence from an urban teaching hospital. Health affairs (Project Hope).</w:t>
      </w:r>
      <w:r w:rsidR="0078505F">
        <w:rPr>
          <w:rFonts w:cstheme="minorHAnsi"/>
          <w:bCs/>
          <w:color w:val="7030A0"/>
        </w:rPr>
        <w:t xml:space="preserve"> 2014; 33(5):778-785.</w:t>
      </w:r>
    </w:p>
    <w:p w14:paraId="4961326C"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Jha AK, </w:t>
      </w:r>
      <w:proofErr w:type="spellStart"/>
      <w:r w:rsidRPr="00A8482F">
        <w:rPr>
          <w:rFonts w:cstheme="minorHAnsi"/>
          <w:bCs/>
          <w:color w:val="7030A0"/>
        </w:rPr>
        <w:t>Orav</w:t>
      </w:r>
      <w:proofErr w:type="spellEnd"/>
      <w:r w:rsidRPr="00A8482F">
        <w:rPr>
          <w:rFonts w:cstheme="minorHAnsi"/>
          <w:bCs/>
          <w:color w:val="7030A0"/>
        </w:rPr>
        <w:t xml:space="preserve"> EJ, Epstein AM. Low-quality, high-cost hospitals, mainly in South, care for sharply higher shares of elderly black, Hispanic, and </w:t>
      </w:r>
      <w:proofErr w:type="spellStart"/>
      <w:r w:rsidRPr="00A8482F">
        <w:rPr>
          <w:rFonts w:cstheme="minorHAnsi"/>
          <w:bCs/>
          <w:color w:val="7030A0"/>
        </w:rPr>
        <w:t>medicaid</w:t>
      </w:r>
      <w:proofErr w:type="spellEnd"/>
      <w:r w:rsidRPr="00A8482F">
        <w:rPr>
          <w:rFonts w:cstheme="minorHAnsi"/>
          <w:bCs/>
          <w:color w:val="7030A0"/>
        </w:rPr>
        <w:t xml:space="preserve"> patients. Health affairs 2011; 30:1904-11.</w:t>
      </w:r>
    </w:p>
    <w:p w14:paraId="30D84668"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Joynt KE, Jha AK. Characteristics of hospitals receiving penalties under the Hospital Readmissions Reduction Program. JAMA. Jan </w:t>
      </w:r>
      <w:proofErr w:type="gramStart"/>
      <w:r w:rsidRPr="00A8482F">
        <w:rPr>
          <w:rFonts w:cstheme="minorHAnsi"/>
          <w:bCs/>
          <w:color w:val="7030A0"/>
        </w:rPr>
        <w:t>23</w:t>
      </w:r>
      <w:proofErr w:type="gramEnd"/>
      <w:r w:rsidRPr="00A8482F">
        <w:rPr>
          <w:rFonts w:cstheme="minorHAnsi"/>
          <w:bCs/>
          <w:color w:val="7030A0"/>
        </w:rPr>
        <w:t xml:space="preserve"> 2013; 309(4):342-3.</w:t>
      </w:r>
    </w:p>
    <w:p w14:paraId="7411D035"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Joynt KE, </w:t>
      </w:r>
      <w:proofErr w:type="spellStart"/>
      <w:r w:rsidRPr="00A8482F">
        <w:rPr>
          <w:rFonts w:cstheme="minorHAnsi"/>
          <w:bCs/>
          <w:color w:val="7030A0"/>
        </w:rPr>
        <w:t>Orav</w:t>
      </w:r>
      <w:proofErr w:type="spellEnd"/>
      <w:r w:rsidRPr="00A8482F">
        <w:rPr>
          <w:rFonts w:cstheme="minorHAnsi"/>
          <w:bCs/>
          <w:color w:val="7030A0"/>
        </w:rPr>
        <w:t xml:space="preserve"> EJ, Jha AK. Thirty-day readmission rates for Medicare beneficiaries by race and site of care. JAMA. 2011 Feb 16; 305(7):675-81. </w:t>
      </w:r>
      <w:proofErr w:type="spellStart"/>
      <w:r w:rsidRPr="00A8482F">
        <w:rPr>
          <w:rFonts w:cstheme="minorHAnsi"/>
          <w:bCs/>
          <w:color w:val="7030A0"/>
        </w:rPr>
        <w:t>doi</w:t>
      </w:r>
      <w:proofErr w:type="spellEnd"/>
      <w:r w:rsidRPr="00A8482F">
        <w:rPr>
          <w:rFonts w:cstheme="minorHAnsi"/>
          <w:bCs/>
          <w:color w:val="7030A0"/>
        </w:rPr>
        <w:t>: 10.1001/jama.2011.123.</w:t>
      </w:r>
    </w:p>
    <w:p w14:paraId="6A6D6595"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Kim C, Diez A V, Diez Roux T, Hofer P, </w:t>
      </w:r>
      <w:proofErr w:type="spellStart"/>
      <w:r w:rsidRPr="00A8482F">
        <w:rPr>
          <w:rFonts w:cstheme="minorHAnsi"/>
          <w:bCs/>
          <w:color w:val="7030A0"/>
        </w:rPr>
        <w:t>Nallamothu</w:t>
      </w:r>
      <w:proofErr w:type="spellEnd"/>
      <w:r w:rsidRPr="00A8482F">
        <w:rPr>
          <w:rFonts w:cstheme="minorHAnsi"/>
          <w:bCs/>
          <w:color w:val="7030A0"/>
        </w:rPr>
        <w:t xml:space="preserve"> B K, Bernstein S J, Rogers M, “Area socioeconomic status and mortality after coronary artery bypass graft surgery: The role of hospital volume.” Clinical Investigation Outcomes, Health Policy, and Managed Care. 2007; 154(2): 385-390.</w:t>
      </w:r>
    </w:p>
    <w:p w14:paraId="01DEE75D"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Krumholz HM, </w:t>
      </w:r>
      <w:proofErr w:type="spellStart"/>
      <w:r w:rsidRPr="00A8482F">
        <w:rPr>
          <w:rFonts w:cstheme="minorHAnsi"/>
          <w:bCs/>
          <w:color w:val="7030A0"/>
        </w:rPr>
        <w:t>Brindis</w:t>
      </w:r>
      <w:proofErr w:type="spellEnd"/>
      <w:r w:rsidRPr="00A8482F">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5F5E9348" w14:textId="5052A2D2" w:rsidR="009F3B9B" w:rsidRPr="00A8482F" w:rsidRDefault="009F3B9B" w:rsidP="009F3B9B">
      <w:pPr>
        <w:spacing w:before="120" w:after="120" w:line="240" w:lineRule="auto"/>
        <w:rPr>
          <w:rFonts w:cstheme="minorHAnsi"/>
          <w:bCs/>
          <w:color w:val="7030A0"/>
        </w:rPr>
      </w:pPr>
      <w:proofErr w:type="spellStart"/>
      <w:r w:rsidRPr="00A8482F">
        <w:rPr>
          <w:rFonts w:cstheme="minorHAnsi"/>
          <w:bCs/>
          <w:color w:val="7030A0"/>
        </w:rPr>
        <w:t>LaPar</w:t>
      </w:r>
      <w:proofErr w:type="spellEnd"/>
      <w:r w:rsidRPr="00A8482F">
        <w:rPr>
          <w:rFonts w:cstheme="minorHAnsi"/>
          <w:bCs/>
          <w:color w:val="7030A0"/>
        </w:rPr>
        <w:t xml:space="preserve"> DJ, </w:t>
      </w:r>
      <w:proofErr w:type="spellStart"/>
      <w:r w:rsidRPr="00A8482F">
        <w:rPr>
          <w:rFonts w:cstheme="minorHAnsi"/>
          <w:bCs/>
          <w:color w:val="7030A0"/>
        </w:rPr>
        <w:t>Bhamidipati</w:t>
      </w:r>
      <w:proofErr w:type="spellEnd"/>
      <w:r w:rsidRPr="00A8482F">
        <w:rPr>
          <w:rFonts w:cstheme="minorHAnsi"/>
          <w:bCs/>
          <w:color w:val="7030A0"/>
        </w:rPr>
        <w:t xml:space="preserve"> CM, et al. “Primary Payer Status Affects Mortality for Major Surgical Operations.” Annals of Surgery. 2010; 252(3): 544-551.</w:t>
      </w:r>
    </w:p>
    <w:p w14:paraId="4A450959" w14:textId="7E73E3ED" w:rsidR="009F3B9B" w:rsidRPr="00A8482F" w:rsidRDefault="009F3B9B" w:rsidP="009F3B9B">
      <w:pPr>
        <w:spacing w:before="120" w:after="120" w:line="240" w:lineRule="auto"/>
        <w:rPr>
          <w:rFonts w:cstheme="minorHAnsi"/>
          <w:bCs/>
          <w:color w:val="7030A0"/>
        </w:rPr>
      </w:pPr>
      <w:proofErr w:type="spellStart"/>
      <w:r w:rsidRPr="00A8482F">
        <w:rPr>
          <w:rFonts w:cstheme="minorHAnsi"/>
          <w:bCs/>
          <w:color w:val="7030A0"/>
        </w:rPr>
        <w:t>LaPar</w:t>
      </w:r>
      <w:proofErr w:type="spellEnd"/>
      <w:r w:rsidRPr="00A8482F">
        <w:rPr>
          <w:rFonts w:cstheme="minorHAnsi"/>
          <w:bCs/>
          <w:color w:val="7030A0"/>
        </w:rPr>
        <w:t xml:space="preserve"> DJ, </w:t>
      </w:r>
      <w:proofErr w:type="spellStart"/>
      <w:r w:rsidRPr="00A8482F">
        <w:rPr>
          <w:rFonts w:cstheme="minorHAnsi"/>
          <w:bCs/>
          <w:color w:val="7030A0"/>
        </w:rPr>
        <w:t>Stukenborg</w:t>
      </w:r>
      <w:proofErr w:type="spellEnd"/>
      <w:r w:rsidRPr="00A8482F">
        <w:rPr>
          <w:rFonts w:cstheme="minorHAnsi"/>
          <w:bCs/>
          <w:color w:val="7030A0"/>
        </w:rPr>
        <w:t xml:space="preserve"> GJ, et al “Primary Payer Status Is Associated </w:t>
      </w:r>
      <w:proofErr w:type="gramStart"/>
      <w:r w:rsidRPr="00A8482F">
        <w:rPr>
          <w:rFonts w:cstheme="minorHAnsi"/>
          <w:bCs/>
          <w:color w:val="7030A0"/>
        </w:rPr>
        <w:t>With</w:t>
      </w:r>
      <w:proofErr w:type="gramEnd"/>
      <w:r w:rsidRPr="00A8482F">
        <w:rPr>
          <w:rFonts w:cstheme="minorHAnsi"/>
          <w:bCs/>
          <w:color w:val="7030A0"/>
        </w:rPr>
        <w:t xml:space="preserve"> Mortality and Resource Utilization for Coronary Artery Bypass Grafting.” Circulation. 2012; 126:132-139.</w:t>
      </w:r>
    </w:p>
    <w:p w14:paraId="55848428" w14:textId="77777777" w:rsidR="009F3B9B" w:rsidRPr="00A8482F" w:rsidRDefault="009F3B9B" w:rsidP="009F3B9B">
      <w:pPr>
        <w:spacing w:before="120" w:after="120" w:line="240" w:lineRule="auto"/>
        <w:rPr>
          <w:rFonts w:cstheme="minorHAnsi"/>
          <w:bCs/>
          <w:color w:val="7030A0"/>
        </w:rPr>
      </w:pPr>
      <w:proofErr w:type="spellStart"/>
      <w:r w:rsidRPr="00A8482F">
        <w:rPr>
          <w:rFonts w:cstheme="minorHAnsi"/>
          <w:bCs/>
          <w:color w:val="7030A0"/>
        </w:rPr>
        <w:t>Lindenauer</w:t>
      </w:r>
      <w:proofErr w:type="spellEnd"/>
      <w:r w:rsidRPr="00A8482F">
        <w:rPr>
          <w:rFonts w:cstheme="minorHAnsi"/>
          <w:bCs/>
          <w:color w:val="7030A0"/>
        </w:rPr>
        <w:t xml:space="preserve"> PK, </w:t>
      </w:r>
      <w:proofErr w:type="spellStart"/>
      <w:r w:rsidRPr="00A8482F">
        <w:rPr>
          <w:rFonts w:cstheme="minorHAnsi"/>
          <w:bCs/>
          <w:color w:val="7030A0"/>
        </w:rPr>
        <w:t>Lagu</w:t>
      </w:r>
      <w:proofErr w:type="spellEnd"/>
      <w:r w:rsidRPr="00A8482F">
        <w:rPr>
          <w:rFonts w:cstheme="minorHAnsi"/>
          <w:bCs/>
          <w:color w:val="7030A0"/>
        </w:rPr>
        <w:t xml:space="preserve"> T, Rothberg MB, et al. Income inequality and </w:t>
      </w:r>
      <w:proofErr w:type="gramStart"/>
      <w:r w:rsidRPr="00A8482F">
        <w:rPr>
          <w:rFonts w:cstheme="minorHAnsi"/>
          <w:bCs/>
          <w:color w:val="7030A0"/>
        </w:rPr>
        <w:t>30 day</w:t>
      </w:r>
      <w:proofErr w:type="gramEnd"/>
      <w:r w:rsidRPr="00A8482F">
        <w:rPr>
          <w:rFonts w:cstheme="minorHAnsi"/>
          <w:bCs/>
          <w:color w:val="7030A0"/>
        </w:rPr>
        <w:t xml:space="preserve"> outcomes after acute myocardial infarction, heart failure, and pneumonia: retrospective cohort study. BMJ. 2013 Feb 14; </w:t>
      </w:r>
      <w:proofErr w:type="gramStart"/>
      <w:r w:rsidRPr="00A8482F">
        <w:rPr>
          <w:rFonts w:cstheme="minorHAnsi"/>
          <w:bCs/>
          <w:color w:val="7030A0"/>
        </w:rPr>
        <w:t>346:f</w:t>
      </w:r>
      <w:proofErr w:type="gramEnd"/>
      <w:r w:rsidRPr="00A8482F">
        <w:rPr>
          <w:rFonts w:cstheme="minorHAnsi"/>
          <w:bCs/>
          <w:color w:val="7030A0"/>
        </w:rPr>
        <w:t xml:space="preserve">521. </w:t>
      </w:r>
      <w:proofErr w:type="spellStart"/>
      <w:r w:rsidRPr="00A8482F">
        <w:rPr>
          <w:rFonts w:cstheme="minorHAnsi"/>
          <w:bCs/>
          <w:color w:val="7030A0"/>
        </w:rPr>
        <w:t>doi</w:t>
      </w:r>
      <w:proofErr w:type="spellEnd"/>
      <w:r w:rsidRPr="00A8482F">
        <w:rPr>
          <w:rFonts w:cstheme="minorHAnsi"/>
          <w:bCs/>
          <w:color w:val="7030A0"/>
        </w:rPr>
        <w:t>: 10.1136/</w:t>
      </w:r>
      <w:proofErr w:type="gramStart"/>
      <w:r w:rsidRPr="00A8482F">
        <w:rPr>
          <w:rFonts w:cstheme="minorHAnsi"/>
          <w:bCs/>
          <w:color w:val="7030A0"/>
        </w:rPr>
        <w:t>bmj.f</w:t>
      </w:r>
      <w:proofErr w:type="gramEnd"/>
      <w:r w:rsidRPr="00A8482F">
        <w:rPr>
          <w:rFonts w:cstheme="minorHAnsi"/>
          <w:bCs/>
          <w:color w:val="7030A0"/>
        </w:rPr>
        <w:t>521.</w:t>
      </w:r>
    </w:p>
    <w:p w14:paraId="57CED0CA"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Mather JF, Fortunato GJ, Ash JL, et al. Prediction of pneumonia 30-day readmissions: a single-center attempt to increase model performance. Respir Care. 2014 Feb; 59(2):199-208. </w:t>
      </w:r>
      <w:proofErr w:type="spellStart"/>
      <w:r w:rsidRPr="00A8482F">
        <w:rPr>
          <w:rFonts w:cstheme="minorHAnsi"/>
          <w:bCs/>
          <w:color w:val="7030A0"/>
        </w:rPr>
        <w:t>doi</w:t>
      </w:r>
      <w:proofErr w:type="spellEnd"/>
      <w:r w:rsidRPr="00A8482F">
        <w:rPr>
          <w:rFonts w:cstheme="minorHAnsi"/>
          <w:bCs/>
          <w:color w:val="7030A0"/>
        </w:rPr>
        <w:t xml:space="preserve">: 10.4187/respcare.02563. </w:t>
      </w:r>
      <w:proofErr w:type="spellStart"/>
      <w:r w:rsidRPr="00A8482F">
        <w:rPr>
          <w:rFonts w:cstheme="minorHAnsi"/>
          <w:bCs/>
          <w:color w:val="7030A0"/>
        </w:rPr>
        <w:t>Epub</w:t>
      </w:r>
      <w:proofErr w:type="spellEnd"/>
      <w:r w:rsidRPr="00A8482F">
        <w:rPr>
          <w:rFonts w:cstheme="minorHAnsi"/>
          <w:bCs/>
          <w:color w:val="7030A0"/>
        </w:rPr>
        <w:t xml:space="preserve"> 2013 Aug 13.</w:t>
      </w:r>
    </w:p>
    <w:p w14:paraId="342CC28E"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lastRenderedPageBreak/>
        <w:t xml:space="preserve">McHugh MD, </w:t>
      </w:r>
      <w:proofErr w:type="spellStart"/>
      <w:r w:rsidRPr="00A8482F">
        <w:rPr>
          <w:rFonts w:cstheme="minorHAnsi"/>
          <w:bCs/>
          <w:color w:val="7030A0"/>
        </w:rPr>
        <w:t>Carthon</w:t>
      </w:r>
      <w:proofErr w:type="spellEnd"/>
      <w:r w:rsidRPr="00A8482F">
        <w:rPr>
          <w:rFonts w:cstheme="minorHAnsi"/>
          <w:bCs/>
          <w:color w:val="7030A0"/>
        </w:rPr>
        <w:t xml:space="preserve"> JM, Kang XL. Medicare readmissions policies and racial and ethnic health disparities: a cautionary tale. Policy Polit </w:t>
      </w:r>
      <w:proofErr w:type="spellStart"/>
      <w:r w:rsidRPr="00A8482F">
        <w:rPr>
          <w:rFonts w:cstheme="minorHAnsi"/>
          <w:bCs/>
          <w:color w:val="7030A0"/>
        </w:rPr>
        <w:t>Nurs</w:t>
      </w:r>
      <w:proofErr w:type="spellEnd"/>
      <w:r w:rsidRPr="00A8482F">
        <w:rPr>
          <w:rFonts w:cstheme="minorHAnsi"/>
          <w:bCs/>
          <w:color w:val="7030A0"/>
        </w:rPr>
        <w:t xml:space="preserve"> </w:t>
      </w:r>
      <w:proofErr w:type="spellStart"/>
      <w:r w:rsidRPr="00A8482F">
        <w:rPr>
          <w:rFonts w:cstheme="minorHAnsi"/>
          <w:bCs/>
          <w:color w:val="7030A0"/>
        </w:rPr>
        <w:t>Pract</w:t>
      </w:r>
      <w:proofErr w:type="spellEnd"/>
      <w:r w:rsidRPr="00A8482F">
        <w:rPr>
          <w:rFonts w:cstheme="minorHAnsi"/>
          <w:bCs/>
          <w:color w:val="7030A0"/>
        </w:rPr>
        <w:t xml:space="preserve">. 2010 Nov; 11(4):309-16. </w:t>
      </w:r>
      <w:proofErr w:type="spellStart"/>
      <w:r w:rsidRPr="00A8482F">
        <w:rPr>
          <w:rFonts w:cstheme="minorHAnsi"/>
          <w:bCs/>
          <w:color w:val="7030A0"/>
        </w:rPr>
        <w:t>doi</w:t>
      </w:r>
      <w:proofErr w:type="spellEnd"/>
      <w:r w:rsidRPr="00A8482F">
        <w:rPr>
          <w:rFonts w:cstheme="minorHAnsi"/>
          <w:bCs/>
          <w:color w:val="7030A0"/>
        </w:rPr>
        <w:t>: 10.1177/1527154411398490.</w:t>
      </w:r>
    </w:p>
    <w:p w14:paraId="34308E04" w14:textId="77777777" w:rsidR="009F3B9B" w:rsidRPr="00A8482F" w:rsidRDefault="009F3B9B" w:rsidP="009F3B9B">
      <w:pPr>
        <w:spacing w:before="120" w:after="120" w:line="240" w:lineRule="auto"/>
        <w:rPr>
          <w:rFonts w:cstheme="minorHAnsi"/>
          <w:bCs/>
          <w:color w:val="7030A0"/>
        </w:rPr>
      </w:pPr>
      <w:r w:rsidRPr="00A8482F">
        <w:rPr>
          <w:rFonts w:cstheme="minorHAnsi"/>
          <w:bCs/>
          <w:color w:val="7030A0"/>
        </w:rPr>
        <w:t xml:space="preserve">Normand S-LT, </w:t>
      </w:r>
      <w:proofErr w:type="spellStart"/>
      <w:r w:rsidRPr="00A8482F">
        <w:rPr>
          <w:rFonts w:cstheme="minorHAnsi"/>
          <w:bCs/>
          <w:color w:val="7030A0"/>
        </w:rPr>
        <w:t>Shahian</w:t>
      </w:r>
      <w:proofErr w:type="spellEnd"/>
      <w:r w:rsidRPr="00A8482F">
        <w:rPr>
          <w:rFonts w:cstheme="minorHAnsi"/>
          <w:bCs/>
          <w:color w:val="7030A0"/>
        </w:rPr>
        <w:t xml:space="preserve"> DM. Statistical and Clinical Aspects of Hospital Outcomes Profiling. 2007/05 2007:206-226.</w:t>
      </w:r>
    </w:p>
    <w:p w14:paraId="45C4ED6B" w14:textId="77777777" w:rsidR="009F3B9B" w:rsidRDefault="009F3B9B" w:rsidP="009F3B9B">
      <w:pPr>
        <w:spacing w:before="120" w:after="120" w:line="240" w:lineRule="auto"/>
        <w:rPr>
          <w:rFonts w:cstheme="minorHAnsi"/>
          <w:bCs/>
          <w:color w:val="7030A0"/>
        </w:rPr>
      </w:pPr>
      <w:r w:rsidRPr="00A8482F">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2ED50407" w14:textId="77777777" w:rsidR="009F3B9B" w:rsidRDefault="009F3B9B" w:rsidP="009F3B9B">
      <w:pPr>
        <w:spacing w:before="120" w:after="120" w:line="240" w:lineRule="auto"/>
        <w:rPr>
          <w:rFonts w:cstheme="minorHAnsi"/>
          <w:bCs/>
          <w:color w:val="C00000"/>
        </w:rPr>
      </w:pPr>
      <w:r w:rsidRPr="00A8482F">
        <w:rPr>
          <w:rFonts w:cstheme="minorHAnsi"/>
          <w:bCs/>
          <w:color w:val="C00000"/>
        </w:rPr>
        <w:t xml:space="preserve">Pope GC, </w:t>
      </w:r>
      <w:proofErr w:type="spellStart"/>
      <w:r w:rsidRPr="00A8482F">
        <w:rPr>
          <w:rFonts w:cstheme="minorHAnsi"/>
          <w:bCs/>
          <w:color w:val="C00000"/>
        </w:rPr>
        <w:t>Kautter</w:t>
      </w:r>
      <w:proofErr w:type="spellEnd"/>
      <w:r w:rsidRPr="00A8482F">
        <w:rPr>
          <w:rFonts w:cstheme="minorHAnsi"/>
          <w:bCs/>
          <w:color w:val="C00000"/>
        </w:rPr>
        <w:t xml:space="preserve"> J, </w:t>
      </w:r>
      <w:proofErr w:type="spellStart"/>
      <w:r w:rsidRPr="00A8482F">
        <w:rPr>
          <w:rFonts w:cstheme="minorHAnsi"/>
          <w:bCs/>
          <w:color w:val="C00000"/>
        </w:rPr>
        <w:t>Ingber</w:t>
      </w:r>
      <w:proofErr w:type="spellEnd"/>
      <w:r w:rsidRPr="00A8482F">
        <w:rPr>
          <w:rFonts w:cstheme="minorHAnsi"/>
          <w:bCs/>
          <w:color w:val="C00000"/>
        </w:rPr>
        <w:t xml:space="preserve"> MJ, et al. Evaluation of the CMS-HCC Risk Adjustment Model: Final Report. 2011; https://www.cms.gov/Medicare/Health-Plans/MedicareAdvtgSpecRateStats/downloads/evaluation_risk_adj_model_2011.pdf. Accessed February 25, 2020</w:t>
      </w:r>
      <w:r>
        <w:rPr>
          <w:rFonts w:cstheme="minorHAnsi"/>
          <w:bCs/>
          <w:color w:val="C00000"/>
        </w:rPr>
        <w:t>.</w:t>
      </w:r>
    </w:p>
    <w:p w14:paraId="3D08586F" w14:textId="77777777" w:rsidR="009F3B9B" w:rsidRPr="00141E2A" w:rsidRDefault="009F3B9B" w:rsidP="009F3B9B">
      <w:pPr>
        <w:spacing w:before="120" w:after="120" w:line="240" w:lineRule="auto"/>
        <w:rPr>
          <w:rFonts w:cstheme="minorHAnsi"/>
          <w:bCs/>
          <w:color w:val="7030A0"/>
        </w:rPr>
      </w:pPr>
      <w:proofErr w:type="spellStart"/>
      <w:r w:rsidRPr="00141E2A">
        <w:rPr>
          <w:rFonts w:cstheme="minorHAnsi"/>
          <w:bCs/>
          <w:color w:val="7030A0"/>
        </w:rPr>
        <w:t>Reames</w:t>
      </w:r>
      <w:proofErr w:type="spellEnd"/>
      <w:r w:rsidRPr="00141E2A">
        <w:rPr>
          <w:rFonts w:cstheme="minorHAnsi"/>
          <w:bCs/>
          <w:color w:val="7030A0"/>
        </w:rPr>
        <w:t xml:space="preserve"> BN, </w:t>
      </w:r>
      <w:proofErr w:type="spellStart"/>
      <w:r w:rsidRPr="00141E2A">
        <w:rPr>
          <w:rFonts w:cstheme="minorHAnsi"/>
          <w:bCs/>
          <w:color w:val="7030A0"/>
        </w:rPr>
        <w:t>Birkmeyer</w:t>
      </w:r>
      <w:proofErr w:type="spellEnd"/>
      <w:r w:rsidRPr="00141E2A">
        <w:rPr>
          <w:rFonts w:cstheme="minorHAnsi"/>
          <w:bCs/>
          <w:color w:val="7030A0"/>
        </w:rPr>
        <w:t xml:space="preserve"> NJ, </w:t>
      </w:r>
      <w:proofErr w:type="spellStart"/>
      <w:r w:rsidRPr="00141E2A">
        <w:rPr>
          <w:rFonts w:cstheme="minorHAnsi"/>
          <w:bCs/>
          <w:color w:val="7030A0"/>
        </w:rPr>
        <w:t>Dimick</w:t>
      </w:r>
      <w:proofErr w:type="spellEnd"/>
      <w:r w:rsidRPr="00141E2A">
        <w:rPr>
          <w:rFonts w:cstheme="minorHAnsi"/>
          <w:bCs/>
          <w:color w:val="7030A0"/>
        </w:rPr>
        <w:t xml:space="preserve"> JB, et al. Socioeconomic disparities in mortality after cancer surgery: failure to rescue. JAMA surgery 2014; 149:475-81.</w:t>
      </w:r>
    </w:p>
    <w:p w14:paraId="043576A4"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 xml:space="preserve">Skinner J, Chandra A, </w:t>
      </w:r>
      <w:proofErr w:type="spellStart"/>
      <w:r w:rsidRPr="00141E2A">
        <w:rPr>
          <w:rFonts w:cstheme="minorHAnsi"/>
          <w:bCs/>
          <w:color w:val="7030A0"/>
        </w:rPr>
        <w:t>Staiger</w:t>
      </w:r>
      <w:proofErr w:type="spellEnd"/>
      <w:r w:rsidRPr="00141E2A">
        <w:rPr>
          <w:rFonts w:cstheme="minorHAnsi"/>
          <w:bCs/>
          <w:color w:val="7030A0"/>
        </w:rPr>
        <w:t xml:space="preserve"> D, et al. Mortality after acute myocardial infarction in hospitals that disproportionately treat black patients. Circulation 2005; 112:2634-41.</w:t>
      </w:r>
    </w:p>
    <w:p w14:paraId="12151CAA" w14:textId="77777777" w:rsidR="009F3B9B" w:rsidRPr="00141E2A" w:rsidRDefault="009F3B9B" w:rsidP="009F3B9B">
      <w:pPr>
        <w:spacing w:before="120" w:after="120" w:line="240" w:lineRule="auto"/>
        <w:rPr>
          <w:rFonts w:cstheme="minorHAnsi"/>
          <w:bCs/>
          <w:color w:val="7030A0"/>
        </w:rPr>
      </w:pPr>
      <w:r w:rsidRPr="00141E2A">
        <w:rPr>
          <w:rFonts w:cstheme="minorHAnsi"/>
          <w:bCs/>
          <w:color w:val="7030A0"/>
        </w:rPr>
        <w:t xml:space="preserve">Trivedi AN, </w:t>
      </w:r>
      <w:proofErr w:type="spellStart"/>
      <w:r w:rsidRPr="00141E2A">
        <w:rPr>
          <w:rFonts w:cstheme="minorHAnsi"/>
          <w:bCs/>
          <w:color w:val="7030A0"/>
        </w:rPr>
        <w:t>Nsa</w:t>
      </w:r>
      <w:proofErr w:type="spellEnd"/>
      <w:r w:rsidRPr="00141E2A">
        <w:rPr>
          <w:rFonts w:cstheme="minorHAnsi"/>
          <w:bCs/>
          <w:color w:val="7030A0"/>
        </w:rPr>
        <w:t xml:space="preserve"> W, Hausmann LR, et al. Quality and equity of care in U.S. hospitals. The New England journal of medicine 2014; 371:2298-308.</w:t>
      </w:r>
    </w:p>
    <w:p w14:paraId="4EF96A3E" w14:textId="6AD65FAD" w:rsidR="009F3B9B" w:rsidRDefault="009F3B9B" w:rsidP="009F3B9B">
      <w:pPr>
        <w:spacing w:before="120" w:after="120" w:line="240" w:lineRule="auto"/>
        <w:rPr>
          <w:rFonts w:cstheme="minorHAnsi"/>
          <w:bCs/>
          <w:color w:val="7030A0"/>
        </w:rPr>
      </w:pPr>
      <w:proofErr w:type="spellStart"/>
      <w:r w:rsidRPr="00141E2A">
        <w:rPr>
          <w:rFonts w:cstheme="minorHAnsi"/>
          <w:bCs/>
          <w:color w:val="7030A0"/>
        </w:rPr>
        <w:t>Vidic</w:t>
      </w:r>
      <w:proofErr w:type="spellEnd"/>
      <w:r w:rsidRPr="00141E2A">
        <w:rPr>
          <w:rFonts w:cstheme="minorHAnsi"/>
          <w:bCs/>
          <w:color w:val="7030A0"/>
        </w:rPr>
        <w:t xml:space="preserve"> A, Chibnall JT, Hauptman PJ. Heart failure is a major contributor to hospital readmission penalties. J Card Fail. 2015 Feb; 21(2):134-7. </w:t>
      </w:r>
      <w:proofErr w:type="spellStart"/>
      <w:r w:rsidRPr="00141E2A">
        <w:rPr>
          <w:rFonts w:cstheme="minorHAnsi"/>
          <w:bCs/>
          <w:color w:val="7030A0"/>
        </w:rPr>
        <w:t>doi</w:t>
      </w:r>
      <w:proofErr w:type="spellEnd"/>
      <w:r w:rsidRPr="00141E2A">
        <w:rPr>
          <w:rFonts w:cstheme="minorHAnsi"/>
          <w:bCs/>
          <w:color w:val="7030A0"/>
        </w:rPr>
        <w:t xml:space="preserve">: 10.1016/j.cardfail.2014.12.002. </w:t>
      </w:r>
      <w:proofErr w:type="spellStart"/>
      <w:r w:rsidRPr="00141E2A">
        <w:rPr>
          <w:rFonts w:cstheme="minorHAnsi"/>
          <w:bCs/>
          <w:color w:val="7030A0"/>
        </w:rPr>
        <w:t>Epub</w:t>
      </w:r>
      <w:proofErr w:type="spellEnd"/>
      <w:r w:rsidRPr="00141E2A">
        <w:rPr>
          <w:rFonts w:cstheme="minorHAnsi"/>
          <w:bCs/>
          <w:color w:val="7030A0"/>
        </w:rPr>
        <w:t xml:space="preserve"> 2014 Dec 9.</w:t>
      </w:r>
    </w:p>
    <w:p w14:paraId="0CABCFF6" w14:textId="5BF80B8F" w:rsidR="00001D73" w:rsidRPr="00F32721" w:rsidRDefault="00F32721" w:rsidP="009F3B9B">
      <w:pPr>
        <w:spacing w:before="120" w:after="120" w:line="240" w:lineRule="auto"/>
        <w:rPr>
          <w:rFonts w:cstheme="minorHAnsi"/>
          <w:bCs/>
          <w:color w:val="C00000"/>
        </w:rPr>
      </w:pPr>
      <w:proofErr w:type="spellStart"/>
      <w:r w:rsidRPr="00F32721">
        <w:rPr>
          <w:rFonts w:cstheme="minorHAnsi"/>
          <w:color w:val="C00000"/>
          <w:shd w:val="clear" w:color="auto" w:fill="FFFFFF"/>
        </w:rPr>
        <w:t>Zywot</w:t>
      </w:r>
      <w:proofErr w:type="spellEnd"/>
      <w:r w:rsidRPr="00F32721">
        <w:rPr>
          <w:rFonts w:cstheme="minorHAnsi"/>
          <w:color w:val="C00000"/>
          <w:shd w:val="clear" w:color="auto" w:fill="FFFFFF"/>
        </w:rPr>
        <w:t xml:space="preserve"> A, Lau CSM, Glass N, et al. Preoperative Scale to Determine All-Cause Readmission After Coronary Artery Bypass Operations. </w:t>
      </w:r>
      <w:r w:rsidRPr="00F32721">
        <w:rPr>
          <w:rFonts w:cstheme="minorHAnsi"/>
          <w:i/>
          <w:iCs/>
          <w:color w:val="C00000"/>
          <w:shd w:val="clear" w:color="auto" w:fill="FFFFFF"/>
        </w:rPr>
        <w:t xml:space="preserve">Ann </w:t>
      </w:r>
      <w:proofErr w:type="spellStart"/>
      <w:r w:rsidRPr="00F32721">
        <w:rPr>
          <w:rFonts w:cstheme="minorHAnsi"/>
          <w:i/>
          <w:iCs/>
          <w:color w:val="C00000"/>
          <w:shd w:val="clear" w:color="auto" w:fill="FFFFFF"/>
        </w:rPr>
        <w:t>Thorac</w:t>
      </w:r>
      <w:proofErr w:type="spellEnd"/>
      <w:r w:rsidRPr="00F32721">
        <w:rPr>
          <w:rFonts w:cstheme="minorHAnsi"/>
          <w:i/>
          <w:iCs/>
          <w:color w:val="C00000"/>
          <w:shd w:val="clear" w:color="auto" w:fill="FFFFFF"/>
        </w:rPr>
        <w:t xml:space="preserve"> Surg</w:t>
      </w:r>
      <w:r w:rsidRPr="00F32721">
        <w:rPr>
          <w:rFonts w:cstheme="minorHAnsi"/>
          <w:color w:val="C00000"/>
          <w:shd w:val="clear" w:color="auto" w:fill="FFFFFF"/>
        </w:rPr>
        <w:t xml:space="preserve">. 2018;105(4):1086‐1093. </w:t>
      </w:r>
      <w:proofErr w:type="gramStart"/>
      <w:r w:rsidRPr="00F32721">
        <w:rPr>
          <w:rFonts w:cstheme="minorHAnsi"/>
          <w:color w:val="C00000"/>
          <w:shd w:val="clear" w:color="auto" w:fill="FFFFFF"/>
        </w:rPr>
        <w:t>doi:10.1016/j.athoracsur</w:t>
      </w:r>
      <w:proofErr w:type="gramEnd"/>
      <w:r w:rsidRPr="00F32721">
        <w:rPr>
          <w:rFonts w:cstheme="minorHAnsi"/>
          <w:color w:val="C00000"/>
          <w:shd w:val="clear" w:color="auto" w:fill="FFFFFF"/>
        </w:rPr>
        <w:t xml:space="preserve">.2017.11.062. </w:t>
      </w:r>
    </w:p>
    <w:p w14:paraId="4260792A" w14:textId="499087DD"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w:t>
      </w:r>
      <w:r w:rsidR="00B324DA">
        <w:rPr>
          <w:rFonts w:cstheme="minorHAnsi"/>
          <w:b/>
          <w:bCs/>
        </w:rPr>
        <w:t xml:space="preserve"> </w:t>
      </w:r>
      <w:r>
        <w:rPr>
          <w:rFonts w:cstheme="minorHAnsi"/>
          <w:b/>
          <w:bCs/>
        </w:rPr>
        <w:t>Please check all that apply:</w:t>
      </w:r>
    </w:p>
    <w:p w14:paraId="2B47DA83" w14:textId="4B780DC4" w:rsidR="00275563" w:rsidRPr="005232D6" w:rsidRDefault="00F6040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313512">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54575A6D" w:rsidR="00275563" w:rsidRPr="005232D6" w:rsidRDefault="00F6040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Content>
          <w:r w:rsidR="00313512">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6040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2CA6B549" w14:textId="77777777" w:rsidR="009F3B9B" w:rsidRDefault="009C7513" w:rsidP="009F3B9B">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27712368" w14:textId="3A681BFB" w:rsidR="009F3B9B" w:rsidRDefault="009F3B9B" w:rsidP="009F3B9B">
      <w:pPr>
        <w:autoSpaceDE w:val="0"/>
        <w:autoSpaceDN w:val="0"/>
        <w:adjustRightInd w:val="0"/>
        <w:spacing w:after="0" w:line="240" w:lineRule="auto"/>
        <w:rPr>
          <w:rFonts w:cstheme="minorHAnsi"/>
          <w:b/>
          <w:bCs/>
        </w:rPr>
      </w:pPr>
    </w:p>
    <w:p w14:paraId="2B229E2F" w14:textId="137272CA" w:rsidR="009F3B9B" w:rsidRPr="00833464" w:rsidRDefault="009F3B9B" w:rsidP="009F3B9B">
      <w:pPr>
        <w:autoSpaceDE w:val="0"/>
        <w:autoSpaceDN w:val="0"/>
        <w:adjustRightInd w:val="0"/>
        <w:spacing w:after="0" w:line="240" w:lineRule="auto"/>
        <w:rPr>
          <w:rFonts w:cstheme="minorHAnsi"/>
          <w:bCs/>
          <w:color w:val="7030A0"/>
        </w:rPr>
      </w:pPr>
      <w:r w:rsidRPr="00833464">
        <w:rPr>
          <w:rFonts w:cstheme="minorHAnsi"/>
          <w:bCs/>
          <w:color w:val="7030A0"/>
        </w:rPr>
        <w:t xml:space="preserve">The table below shows the final variables in the model in the </w:t>
      </w:r>
      <w:r w:rsidRPr="00833464">
        <w:rPr>
          <w:rFonts w:cstheme="minorHAnsi"/>
          <w:bCs/>
          <w:color w:val="C00000"/>
        </w:rPr>
        <w:t xml:space="preserve">testing dataset </w:t>
      </w:r>
      <w:r w:rsidRPr="00833464">
        <w:rPr>
          <w:rFonts w:cstheme="minorHAnsi"/>
          <w:bCs/>
          <w:color w:val="7030A0"/>
        </w:rPr>
        <w:t>with associated odds ratios (OR) and 95 percent confidence intervals (CI).</w:t>
      </w:r>
    </w:p>
    <w:p w14:paraId="28AA7B5D" w14:textId="77777777" w:rsidR="00833464" w:rsidRPr="00833464" w:rsidRDefault="00833464" w:rsidP="009F3B9B">
      <w:pPr>
        <w:autoSpaceDE w:val="0"/>
        <w:autoSpaceDN w:val="0"/>
        <w:adjustRightInd w:val="0"/>
        <w:spacing w:after="0" w:line="240" w:lineRule="auto"/>
        <w:rPr>
          <w:rFonts w:cstheme="minorHAnsi"/>
          <w:bCs/>
        </w:rPr>
      </w:pPr>
    </w:p>
    <w:p w14:paraId="6A1B4C69" w14:textId="76026204" w:rsidR="009F3B9B" w:rsidRDefault="009F3B9B" w:rsidP="009F3B9B">
      <w:pPr>
        <w:autoSpaceDE w:val="0"/>
        <w:autoSpaceDN w:val="0"/>
        <w:adjustRightInd w:val="0"/>
        <w:spacing w:after="0" w:line="240" w:lineRule="auto"/>
        <w:rPr>
          <w:rFonts w:cstheme="minorHAnsi"/>
          <w:bCs/>
          <w:color w:val="C00000"/>
        </w:rPr>
      </w:pPr>
      <w:r w:rsidRPr="00833464">
        <w:rPr>
          <w:rFonts w:cstheme="minorHAnsi"/>
          <w:b/>
          <w:bCs/>
          <w:color w:val="C00000"/>
        </w:rPr>
        <w:t>Table</w:t>
      </w:r>
      <w:r w:rsidR="004D512C">
        <w:rPr>
          <w:rFonts w:cstheme="minorHAnsi"/>
          <w:b/>
          <w:bCs/>
          <w:color w:val="C00000"/>
        </w:rPr>
        <w:t xml:space="preserve"> 5</w:t>
      </w:r>
      <w:r w:rsidRPr="00833464">
        <w:rPr>
          <w:rFonts w:cstheme="minorHAnsi"/>
          <w:bCs/>
          <w:color w:val="C00000"/>
        </w:rPr>
        <w:t>. Adjusted OR and 95% CIs for t</w:t>
      </w:r>
      <w:r w:rsidR="0095651C">
        <w:rPr>
          <w:rFonts w:cstheme="minorHAnsi"/>
          <w:bCs/>
          <w:color w:val="C00000"/>
        </w:rPr>
        <w:t>he CABG Readmission</w:t>
      </w:r>
      <w:r w:rsidRPr="00833464">
        <w:rPr>
          <w:rFonts w:cstheme="minorHAnsi"/>
          <w:bCs/>
          <w:color w:val="C00000"/>
        </w:rPr>
        <w:t xml:space="preserve"> Hierarchical Logistic Regression Model </w:t>
      </w:r>
      <w:r w:rsidR="003F792D">
        <w:rPr>
          <w:rFonts w:cstheme="minorHAnsi"/>
          <w:bCs/>
          <w:color w:val="C00000"/>
        </w:rPr>
        <w:t>O</w:t>
      </w:r>
      <w:r w:rsidRPr="00833464">
        <w:rPr>
          <w:rFonts w:cstheme="minorHAnsi"/>
          <w:bCs/>
          <w:color w:val="C00000"/>
        </w:rPr>
        <w:t xml:space="preserve">ver Different Time Periods in the </w:t>
      </w:r>
      <w:r w:rsidR="00C869BA">
        <w:rPr>
          <w:rFonts w:cstheme="minorHAnsi"/>
          <w:b/>
          <w:bCs/>
          <w:color w:val="C00000"/>
        </w:rPr>
        <w:t>Testing</w:t>
      </w:r>
      <w:r w:rsidRPr="00833464">
        <w:rPr>
          <w:rFonts w:cstheme="minorHAnsi"/>
          <w:b/>
          <w:bCs/>
          <w:color w:val="C00000"/>
        </w:rPr>
        <w:t xml:space="preserve"> Dataset</w:t>
      </w:r>
      <w:r w:rsidRPr="00833464">
        <w:rPr>
          <w:rFonts w:cstheme="minorHAnsi"/>
          <w:bCs/>
          <w:color w:val="C00000"/>
        </w:rPr>
        <w:t xml:space="preserve"> </w:t>
      </w:r>
    </w:p>
    <w:p w14:paraId="4D776F38" w14:textId="37B84C01" w:rsidR="0095651C" w:rsidRPr="009F3B9B" w:rsidRDefault="00681667" w:rsidP="009F3B9B">
      <w:pPr>
        <w:autoSpaceDE w:val="0"/>
        <w:autoSpaceDN w:val="0"/>
        <w:adjustRightInd w:val="0"/>
        <w:spacing w:after="0" w:line="240" w:lineRule="auto"/>
        <w:rPr>
          <w:rFonts w:cstheme="minorHAnsi"/>
          <w:b/>
          <w:bCs/>
        </w:rPr>
      </w:pPr>
      <w:r w:rsidRPr="001A7EBA">
        <w:rPr>
          <w:rFonts w:cstheme="minorHAnsi"/>
          <w:bCs/>
          <w:color w:val="C00000"/>
        </w:rPr>
        <w:t xml:space="preserve"> </w:t>
      </w: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1402"/>
        <w:gridCol w:w="1350"/>
        <w:gridCol w:w="1440"/>
        <w:gridCol w:w="1440"/>
      </w:tblGrid>
      <w:tr w:rsidR="0095651C" w:rsidRPr="00156F37" w14:paraId="153486FA" w14:textId="77777777" w:rsidTr="0095651C">
        <w:trPr>
          <w:cantSplit/>
          <w:trHeight w:val="20"/>
          <w:tblHeader/>
          <w:jc w:val="center"/>
        </w:trPr>
        <w:tc>
          <w:tcPr>
            <w:tcW w:w="2047"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79F298E6" w14:textId="77777777" w:rsidR="0095651C" w:rsidRPr="0095651C" w:rsidRDefault="0095651C" w:rsidP="00042E5D">
            <w:pPr>
              <w:keepNext/>
              <w:spacing w:after="0"/>
              <w:jc w:val="center"/>
              <w:rPr>
                <w:rFonts w:eastAsia="Times New Roman" w:cs="Calibri"/>
                <w:b/>
                <w:color w:val="C00000"/>
              </w:rPr>
            </w:pPr>
            <w:r w:rsidRPr="0095651C">
              <w:rPr>
                <w:rFonts w:eastAsia="Times New Roman" w:cs="Calibri"/>
                <w:b/>
                <w:color w:val="C00000"/>
              </w:rPr>
              <w:lastRenderedPageBreak/>
              <w:t>Variable</w:t>
            </w:r>
          </w:p>
        </w:tc>
        <w:tc>
          <w:tcPr>
            <w:tcW w:w="735"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AE09C6C" w14:textId="77777777" w:rsidR="0095651C" w:rsidRPr="0095651C" w:rsidRDefault="0095651C" w:rsidP="00042E5D">
            <w:pPr>
              <w:keepNext/>
              <w:spacing w:after="0"/>
              <w:jc w:val="center"/>
              <w:rPr>
                <w:rFonts w:eastAsia="Times New Roman" w:cs="Calibri"/>
                <w:b/>
                <w:color w:val="C00000"/>
              </w:rPr>
            </w:pPr>
            <w:r w:rsidRPr="0095651C">
              <w:rPr>
                <w:rFonts w:eastAsia="Times New Roman" w:cs="Calibri"/>
                <w:b/>
                <w:color w:val="C00000"/>
              </w:rPr>
              <w:t xml:space="preserve">07/2016-06/2017 </w:t>
            </w:r>
            <w:r w:rsidRPr="0095651C">
              <w:rPr>
                <w:rFonts w:eastAsia="Times New Roman" w:cs="Calibri"/>
                <w:b/>
                <w:color w:val="C00000"/>
              </w:rPr>
              <w:br/>
              <w:t>OR (95% CI)</w:t>
            </w:r>
          </w:p>
        </w:tc>
        <w:tc>
          <w:tcPr>
            <w:tcW w:w="708"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45DDD897" w14:textId="77777777" w:rsidR="0095651C" w:rsidRPr="0095651C" w:rsidRDefault="0095651C" w:rsidP="00042E5D">
            <w:pPr>
              <w:keepNext/>
              <w:spacing w:after="0"/>
              <w:jc w:val="center"/>
              <w:rPr>
                <w:rFonts w:eastAsia="Times New Roman" w:cs="Calibri"/>
                <w:b/>
                <w:color w:val="C00000"/>
              </w:rPr>
            </w:pPr>
            <w:r w:rsidRPr="0095651C">
              <w:rPr>
                <w:rFonts w:eastAsia="Times New Roman" w:cs="Calibri"/>
                <w:b/>
                <w:color w:val="C00000"/>
              </w:rPr>
              <w:t xml:space="preserve">07/2017-06/2018 </w:t>
            </w:r>
            <w:r w:rsidRPr="0095651C">
              <w:rPr>
                <w:rFonts w:eastAsia="Times New Roman" w:cs="Calibri"/>
                <w:b/>
                <w:color w:val="C00000"/>
              </w:rPr>
              <w:br/>
              <w:t>OR (95% CI)</w:t>
            </w:r>
          </w:p>
        </w:tc>
        <w:tc>
          <w:tcPr>
            <w:tcW w:w="755"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ACAEE59" w14:textId="77777777" w:rsidR="0095651C" w:rsidRPr="0095651C" w:rsidRDefault="0095651C" w:rsidP="00042E5D">
            <w:pPr>
              <w:keepNext/>
              <w:spacing w:after="0"/>
              <w:jc w:val="center"/>
              <w:rPr>
                <w:rFonts w:eastAsia="Times New Roman" w:cs="Calibri"/>
                <w:b/>
                <w:color w:val="C00000"/>
              </w:rPr>
            </w:pPr>
            <w:r w:rsidRPr="0095651C">
              <w:rPr>
                <w:rFonts w:eastAsia="Times New Roman" w:cs="Calibri"/>
                <w:b/>
                <w:color w:val="C00000"/>
              </w:rPr>
              <w:t xml:space="preserve">07/2018-06/2019 </w:t>
            </w:r>
            <w:r w:rsidRPr="0095651C">
              <w:rPr>
                <w:rFonts w:eastAsia="Times New Roman" w:cs="Calibri"/>
                <w:b/>
                <w:color w:val="C00000"/>
              </w:rPr>
              <w:br/>
              <w:t>OR (95% CI)</w:t>
            </w:r>
          </w:p>
        </w:tc>
        <w:tc>
          <w:tcPr>
            <w:tcW w:w="755"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626AFD7" w14:textId="77777777" w:rsidR="0095651C" w:rsidRPr="0095651C" w:rsidRDefault="0095651C" w:rsidP="00042E5D">
            <w:pPr>
              <w:keepNext/>
              <w:spacing w:after="0"/>
              <w:jc w:val="center"/>
              <w:rPr>
                <w:rFonts w:eastAsia="Times New Roman" w:cs="Calibri"/>
                <w:b/>
                <w:color w:val="C00000"/>
              </w:rPr>
            </w:pPr>
            <w:r w:rsidRPr="0095651C">
              <w:rPr>
                <w:rFonts w:eastAsia="Times New Roman" w:cs="Calibri"/>
                <w:b/>
                <w:color w:val="C00000"/>
              </w:rPr>
              <w:t>07/2016-06/2019</w:t>
            </w:r>
            <w:r w:rsidRPr="0095651C">
              <w:rPr>
                <w:rFonts w:eastAsia="Times New Roman" w:cs="Calibri"/>
                <w:b/>
                <w:color w:val="C00000"/>
              </w:rPr>
              <w:br/>
              <w:t>OR (95% CI)</w:t>
            </w:r>
          </w:p>
        </w:tc>
      </w:tr>
      <w:tr w:rsidR="0095651C" w:rsidRPr="00156F37" w14:paraId="3D498619"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hideMark/>
          </w:tcPr>
          <w:p w14:paraId="1B2ADD52" w14:textId="77777777" w:rsidR="0095651C" w:rsidRPr="0095651C" w:rsidRDefault="0095651C" w:rsidP="00042E5D">
            <w:pPr>
              <w:keepNext/>
              <w:spacing w:after="0"/>
              <w:ind w:left="66"/>
              <w:rPr>
                <w:rFonts w:eastAsia="Times New Roman" w:cs="Calibri"/>
                <w:color w:val="C00000"/>
              </w:rPr>
            </w:pPr>
            <w:r w:rsidRPr="0095651C">
              <w:rPr>
                <w:rFonts w:eastAsia="Times New Roman" w:cs="Calibri"/>
                <w:color w:val="C00000"/>
              </w:rPr>
              <w:t>Age minus 65 (years above 65, continuous)</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679449E" w14:textId="77777777" w:rsidR="0095651C" w:rsidRPr="0095651C" w:rsidRDefault="0095651C" w:rsidP="00042E5D">
            <w:pPr>
              <w:spacing w:after="0"/>
              <w:jc w:val="center"/>
              <w:rPr>
                <w:rFonts w:eastAsia="Calibri" w:cs="Times New Roman"/>
                <w:color w:val="C00000"/>
              </w:rPr>
            </w:pPr>
            <w:r w:rsidRPr="0095651C">
              <w:rPr>
                <w:color w:val="C00000"/>
              </w:rPr>
              <w:t>1.02</w:t>
            </w:r>
            <w:r w:rsidRPr="0095651C">
              <w:rPr>
                <w:color w:val="C00000"/>
              </w:rPr>
              <w:br/>
              <w:t>(1.02-1.03)</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54A3339" w14:textId="77777777" w:rsidR="0095651C" w:rsidRPr="0095651C" w:rsidRDefault="0095651C" w:rsidP="00042E5D">
            <w:pPr>
              <w:spacing w:after="0"/>
              <w:jc w:val="center"/>
              <w:rPr>
                <w:rFonts w:eastAsia="Calibri" w:cs="Times New Roman"/>
                <w:color w:val="C00000"/>
              </w:rPr>
            </w:pPr>
            <w:r w:rsidRPr="0095651C">
              <w:rPr>
                <w:color w:val="C00000"/>
              </w:rPr>
              <w:t>1.02</w:t>
            </w:r>
            <w:r w:rsidRPr="0095651C">
              <w:rPr>
                <w:color w:val="C00000"/>
              </w:rPr>
              <w:br/>
              <w:t>(1.02-1.03)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A9BD2AC" w14:textId="77777777" w:rsidR="0095651C" w:rsidRPr="0095651C" w:rsidRDefault="0095651C" w:rsidP="00042E5D">
            <w:pPr>
              <w:spacing w:after="0"/>
              <w:jc w:val="center"/>
              <w:rPr>
                <w:rFonts w:eastAsia="Calibri" w:cs="Times New Roman"/>
                <w:color w:val="C00000"/>
              </w:rPr>
            </w:pPr>
            <w:r w:rsidRPr="0095651C">
              <w:rPr>
                <w:color w:val="C00000"/>
              </w:rPr>
              <w:t>1.03</w:t>
            </w:r>
            <w:r w:rsidRPr="0095651C">
              <w:rPr>
                <w:color w:val="C00000"/>
              </w:rPr>
              <w:br/>
              <w:t>(1.03-1.04)</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6EDD678" w14:textId="77777777" w:rsidR="0095651C" w:rsidRPr="0095651C" w:rsidRDefault="0095651C" w:rsidP="00042E5D">
            <w:pPr>
              <w:spacing w:after="0"/>
              <w:jc w:val="center"/>
              <w:rPr>
                <w:rFonts w:eastAsia="Calibri" w:cs="Times New Roman"/>
                <w:color w:val="C00000"/>
              </w:rPr>
            </w:pPr>
            <w:r w:rsidRPr="0095651C">
              <w:rPr>
                <w:color w:val="C00000"/>
              </w:rPr>
              <w:t>1.03</w:t>
            </w:r>
            <w:r w:rsidRPr="0095651C">
              <w:rPr>
                <w:color w:val="C00000"/>
              </w:rPr>
              <w:br/>
              <w:t>(1.02-1.03)</w:t>
            </w:r>
          </w:p>
        </w:tc>
      </w:tr>
      <w:tr w:rsidR="0095651C" w:rsidRPr="00156F37" w14:paraId="680CE276"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hideMark/>
          </w:tcPr>
          <w:p w14:paraId="48AA3204" w14:textId="77777777" w:rsidR="0095651C" w:rsidRPr="0095651C" w:rsidRDefault="0095651C" w:rsidP="00042E5D">
            <w:pPr>
              <w:keepNext/>
              <w:spacing w:after="0"/>
              <w:ind w:left="66"/>
              <w:rPr>
                <w:rFonts w:eastAsia="Times New Roman" w:cs="Calibri"/>
                <w:color w:val="C00000"/>
              </w:rPr>
            </w:pPr>
            <w:r w:rsidRPr="0095651C">
              <w:rPr>
                <w:rFonts w:eastAsia="Times New Roman" w:cs="Calibri"/>
                <w:color w:val="C00000"/>
              </w:rPr>
              <w:t>Male</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44DA17D" w14:textId="77777777" w:rsidR="0095651C" w:rsidRPr="0095651C" w:rsidRDefault="0095651C" w:rsidP="00042E5D">
            <w:pPr>
              <w:spacing w:after="0"/>
              <w:jc w:val="center"/>
              <w:rPr>
                <w:rFonts w:eastAsia="Calibri" w:cs="Times New Roman"/>
                <w:color w:val="C00000"/>
              </w:rPr>
            </w:pPr>
            <w:r w:rsidRPr="0095651C">
              <w:rPr>
                <w:color w:val="C00000"/>
              </w:rPr>
              <w:t>0.75</w:t>
            </w:r>
            <w:r w:rsidRPr="0095651C">
              <w:rPr>
                <w:color w:val="C00000"/>
              </w:rPr>
              <w:br/>
              <w:t>(0.71-0.80)</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713910AC" w14:textId="77777777" w:rsidR="0095651C" w:rsidRPr="0095651C" w:rsidRDefault="0095651C" w:rsidP="00042E5D">
            <w:pPr>
              <w:spacing w:after="0"/>
              <w:jc w:val="center"/>
              <w:rPr>
                <w:rFonts w:eastAsia="Calibri" w:cs="Times New Roman"/>
                <w:color w:val="C00000"/>
              </w:rPr>
            </w:pPr>
            <w:r w:rsidRPr="0095651C">
              <w:rPr>
                <w:color w:val="C00000"/>
              </w:rPr>
              <w:t>0.78</w:t>
            </w:r>
            <w:r w:rsidRPr="0095651C">
              <w:rPr>
                <w:color w:val="C00000"/>
              </w:rPr>
              <w:br/>
              <w:t>(0.74-0.83)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54195A3" w14:textId="77777777" w:rsidR="0095651C" w:rsidRPr="0095651C" w:rsidRDefault="0095651C" w:rsidP="00042E5D">
            <w:pPr>
              <w:spacing w:after="0"/>
              <w:jc w:val="center"/>
              <w:rPr>
                <w:rFonts w:eastAsia="Calibri" w:cs="Times New Roman"/>
                <w:color w:val="C00000"/>
              </w:rPr>
            </w:pPr>
            <w:r w:rsidRPr="0095651C">
              <w:rPr>
                <w:color w:val="C00000"/>
              </w:rPr>
              <w:t>0.77</w:t>
            </w:r>
            <w:r w:rsidRPr="0095651C">
              <w:rPr>
                <w:color w:val="C00000"/>
              </w:rPr>
              <w:br/>
              <w:t>(0.72-0.82)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016717F" w14:textId="77777777" w:rsidR="0095651C" w:rsidRPr="0095651C" w:rsidRDefault="0095651C" w:rsidP="00042E5D">
            <w:pPr>
              <w:spacing w:after="0"/>
              <w:jc w:val="center"/>
              <w:rPr>
                <w:rFonts w:eastAsia="Calibri" w:cs="Times New Roman"/>
                <w:color w:val="C00000"/>
              </w:rPr>
            </w:pPr>
            <w:r w:rsidRPr="0095651C">
              <w:rPr>
                <w:color w:val="C00000"/>
              </w:rPr>
              <w:t>0.77</w:t>
            </w:r>
            <w:r w:rsidRPr="0095651C">
              <w:rPr>
                <w:color w:val="C00000"/>
              </w:rPr>
              <w:br/>
              <w:t>(0.74-0.80)</w:t>
            </w:r>
          </w:p>
        </w:tc>
      </w:tr>
      <w:tr w:rsidR="0095651C" w:rsidRPr="00156F37" w14:paraId="6C9A3BDE"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5158B417" w14:textId="77777777" w:rsidR="0095651C" w:rsidRPr="0095651C" w:rsidRDefault="0095651C" w:rsidP="00042E5D">
            <w:pPr>
              <w:keepNext/>
              <w:spacing w:after="0"/>
              <w:ind w:left="66"/>
              <w:rPr>
                <w:rFonts w:eastAsia="Times New Roman" w:cs="Calibri"/>
                <w:color w:val="C00000"/>
              </w:rPr>
            </w:pPr>
            <w:r w:rsidRPr="0095651C">
              <w:rPr>
                <w:rFonts w:eastAsia="Times New Roman" w:cs="Times New Roman"/>
                <w:color w:val="C00000"/>
              </w:rPr>
              <w:t>Cardiogenic shock</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301AD6C" w14:textId="77777777" w:rsidR="0095651C" w:rsidRPr="0095651C" w:rsidRDefault="0095651C" w:rsidP="00042E5D">
            <w:pPr>
              <w:spacing w:after="0"/>
              <w:jc w:val="center"/>
              <w:rPr>
                <w:rFonts w:eastAsia="Calibri" w:cs="Times New Roman"/>
                <w:color w:val="C00000"/>
              </w:rPr>
            </w:pPr>
            <w:r w:rsidRPr="0095651C">
              <w:rPr>
                <w:color w:val="C00000"/>
              </w:rPr>
              <w:t>1.25</w:t>
            </w:r>
            <w:r w:rsidRPr="0095651C">
              <w:rPr>
                <w:color w:val="C00000"/>
              </w:rPr>
              <w:br/>
              <w:t>(1.05-1.49)</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266E4A0" w14:textId="77777777" w:rsidR="0095651C" w:rsidRPr="0095651C" w:rsidRDefault="0095651C" w:rsidP="00042E5D">
            <w:pPr>
              <w:spacing w:after="0"/>
              <w:jc w:val="center"/>
              <w:rPr>
                <w:rFonts w:eastAsia="Calibri" w:cs="Times New Roman"/>
                <w:color w:val="C00000"/>
              </w:rPr>
            </w:pPr>
            <w:r w:rsidRPr="0095651C">
              <w:rPr>
                <w:color w:val="C00000"/>
              </w:rPr>
              <w:t>1.28</w:t>
            </w:r>
            <w:r w:rsidRPr="0095651C">
              <w:rPr>
                <w:color w:val="C00000"/>
              </w:rPr>
              <w:br/>
              <w:t>(1.08-1.52)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05D802D" w14:textId="77777777" w:rsidR="0095651C" w:rsidRPr="0095651C" w:rsidRDefault="0095651C" w:rsidP="00042E5D">
            <w:pPr>
              <w:spacing w:after="0"/>
              <w:jc w:val="center"/>
              <w:rPr>
                <w:rFonts w:eastAsia="Calibri" w:cs="Times New Roman"/>
                <w:color w:val="C00000"/>
              </w:rPr>
            </w:pPr>
            <w:r w:rsidRPr="0095651C">
              <w:rPr>
                <w:color w:val="C00000"/>
              </w:rPr>
              <w:t>1.22</w:t>
            </w:r>
            <w:r w:rsidRPr="0095651C">
              <w:rPr>
                <w:color w:val="C00000"/>
              </w:rPr>
              <w:br/>
              <w:t>(1.02-1.46)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E0B2513" w14:textId="77777777" w:rsidR="0095651C" w:rsidRPr="0095651C" w:rsidRDefault="0095651C" w:rsidP="00042E5D">
            <w:pPr>
              <w:spacing w:after="0"/>
              <w:jc w:val="center"/>
              <w:rPr>
                <w:rFonts w:eastAsia="Calibri" w:cs="Times New Roman"/>
                <w:color w:val="C00000"/>
              </w:rPr>
            </w:pPr>
            <w:r w:rsidRPr="0095651C">
              <w:rPr>
                <w:color w:val="C00000"/>
              </w:rPr>
              <w:t>1.25</w:t>
            </w:r>
            <w:r w:rsidRPr="0095651C">
              <w:rPr>
                <w:color w:val="C00000"/>
              </w:rPr>
              <w:br/>
              <w:t>(1.13-1.39)</w:t>
            </w:r>
          </w:p>
        </w:tc>
      </w:tr>
      <w:tr w:rsidR="0095651C" w:rsidRPr="00156F37" w14:paraId="3F4D51A1"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73F7980D" w14:textId="77777777" w:rsidR="0095651C" w:rsidRPr="0095651C" w:rsidRDefault="0095651C" w:rsidP="00042E5D">
            <w:pPr>
              <w:spacing w:after="0"/>
              <w:ind w:left="66"/>
              <w:rPr>
                <w:rFonts w:eastAsia="Times New Roman" w:cs="Calibri"/>
                <w:color w:val="C00000"/>
              </w:rPr>
            </w:pPr>
            <w:r w:rsidRPr="0095651C">
              <w:rPr>
                <w:rFonts w:eastAsia="Times New Roman" w:cs="Times New Roman"/>
                <w:bCs/>
                <w:color w:val="C00000"/>
              </w:rPr>
              <w:t>History of coronary artery bypass graft (CABG) or valve surgery</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C9113D8" w14:textId="77777777" w:rsidR="0095651C" w:rsidRPr="0095651C" w:rsidRDefault="0095651C" w:rsidP="00042E5D">
            <w:pPr>
              <w:spacing w:after="0"/>
              <w:jc w:val="center"/>
              <w:rPr>
                <w:rFonts w:eastAsia="Calibri" w:cs="Times New Roman"/>
                <w:color w:val="C00000"/>
              </w:rPr>
            </w:pPr>
            <w:r w:rsidRPr="0095651C">
              <w:rPr>
                <w:color w:val="C00000"/>
              </w:rPr>
              <w:t>1.16</w:t>
            </w:r>
            <w:r w:rsidRPr="0095651C">
              <w:rPr>
                <w:color w:val="C00000"/>
              </w:rPr>
              <w:br/>
              <w:t>(1.05-1.29)</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64B33FAD" w14:textId="77777777" w:rsidR="0095651C" w:rsidRPr="0095651C" w:rsidRDefault="0095651C" w:rsidP="00042E5D">
            <w:pPr>
              <w:spacing w:after="0"/>
              <w:jc w:val="center"/>
              <w:rPr>
                <w:rFonts w:eastAsia="Calibri" w:cs="Times New Roman"/>
                <w:color w:val="C00000"/>
              </w:rPr>
            </w:pPr>
            <w:r w:rsidRPr="0095651C">
              <w:rPr>
                <w:color w:val="C00000"/>
              </w:rPr>
              <w:t>1.06</w:t>
            </w:r>
            <w:r w:rsidRPr="0095651C">
              <w:rPr>
                <w:color w:val="C00000"/>
              </w:rPr>
              <w:br/>
              <w:t>(0.95-1.18)</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B9EB394" w14:textId="77777777" w:rsidR="0095651C" w:rsidRPr="0095651C" w:rsidRDefault="0095651C" w:rsidP="00042E5D">
            <w:pPr>
              <w:spacing w:after="0"/>
              <w:jc w:val="center"/>
              <w:rPr>
                <w:rFonts w:eastAsia="Calibri" w:cs="Times New Roman"/>
                <w:color w:val="C00000"/>
              </w:rPr>
            </w:pPr>
            <w:r w:rsidRPr="0095651C">
              <w:rPr>
                <w:color w:val="C00000"/>
              </w:rPr>
              <w:t>1.13</w:t>
            </w:r>
            <w:r w:rsidRPr="0095651C">
              <w:rPr>
                <w:color w:val="C00000"/>
              </w:rPr>
              <w:br/>
              <w:t>(1.02-1.26)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225C058A" w14:textId="77777777" w:rsidR="0095651C" w:rsidRPr="0095651C" w:rsidRDefault="0095651C" w:rsidP="00042E5D">
            <w:pPr>
              <w:spacing w:after="0"/>
              <w:jc w:val="center"/>
              <w:rPr>
                <w:rFonts w:eastAsia="Calibri" w:cs="Times New Roman"/>
                <w:color w:val="C00000"/>
              </w:rPr>
            </w:pPr>
            <w:r w:rsidRPr="0095651C">
              <w:rPr>
                <w:color w:val="C00000"/>
              </w:rPr>
              <w:t>1.12</w:t>
            </w:r>
            <w:r w:rsidRPr="0095651C">
              <w:rPr>
                <w:color w:val="C00000"/>
              </w:rPr>
              <w:br/>
              <w:t>(1.05-1.19)</w:t>
            </w:r>
          </w:p>
        </w:tc>
      </w:tr>
      <w:tr w:rsidR="0095651C" w:rsidRPr="00156F37" w14:paraId="3A16796D"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144166CE"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Cancer; metastatic cancer and acute leukemia (CC 8-14)</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C11B418" w14:textId="77777777" w:rsidR="0095651C" w:rsidRPr="0095651C" w:rsidRDefault="0095651C" w:rsidP="00042E5D">
            <w:pPr>
              <w:spacing w:after="0"/>
              <w:jc w:val="center"/>
              <w:rPr>
                <w:rFonts w:eastAsia="Calibri" w:cs="Times New Roman"/>
                <w:color w:val="C00000"/>
              </w:rPr>
            </w:pPr>
            <w:r w:rsidRPr="0095651C">
              <w:rPr>
                <w:color w:val="C00000"/>
              </w:rPr>
              <w:t>1.00</w:t>
            </w:r>
            <w:r w:rsidRPr="0095651C">
              <w:rPr>
                <w:color w:val="C00000"/>
              </w:rPr>
              <w:br/>
              <w:t>(0.93-1.07)</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3E36CC98" w14:textId="77777777" w:rsidR="0095651C" w:rsidRPr="0095651C" w:rsidRDefault="0095651C" w:rsidP="00042E5D">
            <w:pPr>
              <w:spacing w:after="0"/>
              <w:jc w:val="center"/>
              <w:rPr>
                <w:rFonts w:eastAsia="Calibri" w:cs="Times New Roman"/>
                <w:color w:val="C00000"/>
              </w:rPr>
            </w:pPr>
            <w:r w:rsidRPr="0095651C">
              <w:rPr>
                <w:color w:val="C00000"/>
              </w:rPr>
              <w:t>0.97</w:t>
            </w:r>
            <w:r w:rsidRPr="0095651C">
              <w:rPr>
                <w:color w:val="C00000"/>
              </w:rPr>
              <w:br/>
              <w:t>(0.90-1.04)</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753AED2" w14:textId="77777777" w:rsidR="0095651C" w:rsidRPr="0095651C" w:rsidRDefault="0095651C" w:rsidP="00042E5D">
            <w:pPr>
              <w:spacing w:after="0"/>
              <w:jc w:val="center"/>
              <w:rPr>
                <w:rFonts w:eastAsia="Calibri" w:cs="Times New Roman"/>
                <w:color w:val="C00000"/>
              </w:rPr>
            </w:pPr>
            <w:r w:rsidRPr="0095651C">
              <w:rPr>
                <w:color w:val="C00000"/>
              </w:rPr>
              <w:t>1.07</w:t>
            </w:r>
            <w:r w:rsidRPr="0095651C">
              <w:rPr>
                <w:color w:val="C00000"/>
              </w:rPr>
              <w:br/>
              <w:t>(0.99-1.15)</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06692B1" w14:textId="77777777" w:rsidR="0095651C" w:rsidRPr="0095651C" w:rsidRDefault="0095651C" w:rsidP="00042E5D">
            <w:pPr>
              <w:spacing w:after="0"/>
              <w:jc w:val="center"/>
              <w:rPr>
                <w:rFonts w:eastAsia="Calibri" w:cs="Times New Roman"/>
                <w:color w:val="C00000"/>
              </w:rPr>
            </w:pPr>
            <w:r w:rsidRPr="0095651C">
              <w:rPr>
                <w:color w:val="C00000"/>
              </w:rPr>
              <w:t>1.01</w:t>
            </w:r>
            <w:r w:rsidRPr="0095651C">
              <w:rPr>
                <w:color w:val="C00000"/>
              </w:rPr>
              <w:br/>
              <w:t>(0.97-1.06)</w:t>
            </w:r>
          </w:p>
        </w:tc>
      </w:tr>
      <w:tr w:rsidR="0095651C" w:rsidRPr="00156F37" w14:paraId="777DC544"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0B3D1E5F"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Diabetes mellitus (DM) or DM complications (CC 17-19, 122-123)</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2C2D8D6"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(1.03-1.16)</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480557AB" w14:textId="77777777" w:rsidR="0095651C" w:rsidRPr="0095651C" w:rsidRDefault="0095651C" w:rsidP="00042E5D">
            <w:pPr>
              <w:spacing w:after="0"/>
              <w:jc w:val="center"/>
              <w:rPr>
                <w:rFonts w:eastAsia="Calibri" w:cs="Times New Roman"/>
                <w:color w:val="C00000"/>
              </w:rPr>
            </w:pPr>
            <w:r w:rsidRPr="0095651C">
              <w:rPr>
                <w:color w:val="C00000"/>
              </w:rPr>
              <w:t>1.19</w:t>
            </w:r>
            <w:r w:rsidRPr="0095651C">
              <w:rPr>
                <w:color w:val="C00000"/>
              </w:rPr>
              <w:br/>
              <w:t>(1.12-1.26)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001115E" w14:textId="77777777" w:rsidR="0095651C" w:rsidRPr="0095651C" w:rsidRDefault="0095651C" w:rsidP="00042E5D">
            <w:pPr>
              <w:spacing w:after="0"/>
              <w:jc w:val="center"/>
              <w:rPr>
                <w:rFonts w:eastAsia="Calibri" w:cs="Times New Roman"/>
                <w:color w:val="C00000"/>
              </w:rPr>
            </w:pPr>
            <w:r w:rsidRPr="0095651C">
              <w:rPr>
                <w:color w:val="C00000"/>
              </w:rPr>
              <w:t>1.14</w:t>
            </w:r>
            <w:r w:rsidRPr="0095651C">
              <w:rPr>
                <w:color w:val="C00000"/>
              </w:rPr>
              <w:br/>
              <w:t>(1.07-1.21)</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403F940" w14:textId="77777777" w:rsidR="0095651C" w:rsidRPr="0095651C" w:rsidRDefault="0095651C" w:rsidP="00042E5D">
            <w:pPr>
              <w:spacing w:after="0"/>
              <w:jc w:val="center"/>
              <w:rPr>
                <w:rFonts w:eastAsia="Calibri" w:cs="Times New Roman"/>
                <w:color w:val="C00000"/>
              </w:rPr>
            </w:pPr>
            <w:r w:rsidRPr="0095651C">
              <w:rPr>
                <w:color w:val="C00000"/>
              </w:rPr>
              <w:t>1.14</w:t>
            </w:r>
            <w:r w:rsidRPr="0095651C">
              <w:rPr>
                <w:color w:val="C00000"/>
              </w:rPr>
              <w:br/>
              <w:t>(1.10-1.18)</w:t>
            </w:r>
          </w:p>
        </w:tc>
      </w:tr>
      <w:tr w:rsidR="0095651C" w:rsidRPr="00156F37" w14:paraId="6A836CD6"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2F05CAAC"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Protein-calorie malnutrition (CC 21)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C3D03D3" w14:textId="77777777" w:rsidR="0095651C" w:rsidRPr="0095651C" w:rsidRDefault="0095651C" w:rsidP="00042E5D">
            <w:pPr>
              <w:spacing w:after="0"/>
              <w:jc w:val="center"/>
              <w:rPr>
                <w:rFonts w:eastAsia="Calibri" w:cs="Times New Roman"/>
                <w:color w:val="C00000"/>
              </w:rPr>
            </w:pPr>
            <w:r w:rsidRPr="0095651C">
              <w:rPr>
                <w:color w:val="C00000"/>
              </w:rPr>
              <w:t>1.36</w:t>
            </w:r>
            <w:r w:rsidRPr="0095651C">
              <w:rPr>
                <w:color w:val="C00000"/>
              </w:rPr>
              <w:br/>
              <w:t>(1.21-1.54)</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1BC8793D" w14:textId="77777777" w:rsidR="0095651C" w:rsidRPr="0095651C" w:rsidRDefault="0095651C" w:rsidP="00042E5D">
            <w:pPr>
              <w:spacing w:after="0"/>
              <w:jc w:val="center"/>
              <w:rPr>
                <w:rFonts w:eastAsia="Calibri" w:cs="Times New Roman"/>
                <w:color w:val="C00000"/>
              </w:rPr>
            </w:pPr>
            <w:r w:rsidRPr="0095651C">
              <w:rPr>
                <w:color w:val="C00000"/>
              </w:rPr>
              <w:t>1.27</w:t>
            </w:r>
            <w:r w:rsidRPr="0095651C">
              <w:rPr>
                <w:color w:val="C00000"/>
              </w:rPr>
              <w:br/>
              <w:t>(1.12-1.43)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4DFECDA" w14:textId="77777777" w:rsidR="0095651C" w:rsidRPr="0095651C" w:rsidRDefault="0095651C" w:rsidP="00042E5D">
            <w:pPr>
              <w:spacing w:after="0"/>
              <w:jc w:val="center"/>
              <w:rPr>
                <w:rFonts w:eastAsia="Calibri" w:cs="Times New Roman"/>
                <w:color w:val="C00000"/>
              </w:rPr>
            </w:pPr>
            <w:r w:rsidRPr="0095651C">
              <w:rPr>
                <w:color w:val="C00000"/>
              </w:rPr>
              <w:t>1.44</w:t>
            </w:r>
            <w:r w:rsidRPr="0095651C">
              <w:rPr>
                <w:color w:val="C00000"/>
              </w:rPr>
              <w:br/>
              <w:t>(1.26-1.63)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D8E6347" w14:textId="77777777" w:rsidR="0095651C" w:rsidRPr="0095651C" w:rsidRDefault="0095651C" w:rsidP="00042E5D">
            <w:pPr>
              <w:spacing w:after="0"/>
              <w:jc w:val="center"/>
              <w:rPr>
                <w:rFonts w:eastAsia="Calibri" w:cs="Times New Roman"/>
                <w:color w:val="C00000"/>
              </w:rPr>
            </w:pPr>
            <w:r w:rsidRPr="0095651C">
              <w:rPr>
                <w:color w:val="C00000"/>
              </w:rPr>
              <w:t>1.36</w:t>
            </w:r>
            <w:r w:rsidRPr="0095651C">
              <w:rPr>
                <w:color w:val="C00000"/>
              </w:rPr>
              <w:br/>
              <w:t>(1.26-1.46)</w:t>
            </w:r>
          </w:p>
        </w:tc>
      </w:tr>
      <w:tr w:rsidR="0095651C" w:rsidRPr="00156F37" w14:paraId="11290A64"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4EF349F9"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Morbid obesity; other endocrine/metabolic/nutritional disorders (CC 22, 25-26)</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669B570" w14:textId="77777777" w:rsidR="0095651C" w:rsidRPr="0095651C" w:rsidRDefault="0095651C" w:rsidP="00042E5D">
            <w:pPr>
              <w:spacing w:after="0"/>
              <w:jc w:val="center"/>
              <w:rPr>
                <w:rFonts w:eastAsia="Calibri" w:cs="Times New Roman"/>
                <w:color w:val="C00000"/>
              </w:rPr>
            </w:pPr>
            <w:r w:rsidRPr="0095651C">
              <w:rPr>
                <w:color w:val="C00000"/>
              </w:rPr>
              <w:t>0.99</w:t>
            </w:r>
            <w:r w:rsidRPr="0095651C">
              <w:rPr>
                <w:color w:val="C00000"/>
              </w:rPr>
              <w:br/>
              <w:t>(0.87-1.12)</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0627DAE" w14:textId="77777777" w:rsidR="0095651C" w:rsidRPr="0095651C" w:rsidRDefault="0095651C" w:rsidP="00042E5D">
            <w:pPr>
              <w:spacing w:after="0"/>
              <w:jc w:val="center"/>
              <w:rPr>
                <w:rFonts w:eastAsia="Calibri" w:cs="Times New Roman"/>
                <w:color w:val="C00000"/>
              </w:rPr>
            </w:pPr>
            <w:r w:rsidRPr="0095651C">
              <w:rPr>
                <w:color w:val="C00000"/>
              </w:rPr>
              <w:t>0.85</w:t>
            </w:r>
            <w:r w:rsidRPr="0095651C">
              <w:rPr>
                <w:color w:val="C00000"/>
              </w:rPr>
              <w:br/>
              <w:t>(0.74-0.96)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D7C3694" w14:textId="77777777" w:rsidR="0095651C" w:rsidRPr="0095651C" w:rsidRDefault="0095651C" w:rsidP="00042E5D">
            <w:pPr>
              <w:spacing w:after="0"/>
              <w:jc w:val="center"/>
              <w:rPr>
                <w:rFonts w:eastAsia="Calibri" w:cs="Times New Roman"/>
                <w:color w:val="C00000"/>
              </w:rPr>
            </w:pPr>
            <w:r w:rsidRPr="0095651C">
              <w:rPr>
                <w:color w:val="C00000"/>
              </w:rPr>
              <w:t>0.89</w:t>
            </w:r>
            <w:r w:rsidRPr="0095651C">
              <w:rPr>
                <w:color w:val="C00000"/>
              </w:rPr>
              <w:br/>
              <w:t>(0.77-1.02)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146B8B8" w14:textId="77777777" w:rsidR="0095651C" w:rsidRPr="0095651C" w:rsidRDefault="0095651C" w:rsidP="00042E5D">
            <w:pPr>
              <w:spacing w:after="0"/>
              <w:jc w:val="center"/>
              <w:rPr>
                <w:rFonts w:eastAsia="Calibri" w:cs="Times New Roman"/>
                <w:color w:val="C00000"/>
              </w:rPr>
            </w:pPr>
            <w:r w:rsidRPr="0095651C">
              <w:rPr>
                <w:color w:val="C00000"/>
              </w:rPr>
              <w:t>0.91</w:t>
            </w:r>
            <w:r w:rsidRPr="0095651C">
              <w:rPr>
                <w:color w:val="C00000"/>
              </w:rPr>
              <w:br/>
              <w:t>(0.85-0.98)</w:t>
            </w:r>
          </w:p>
        </w:tc>
      </w:tr>
      <w:tr w:rsidR="0095651C" w:rsidRPr="00156F37" w14:paraId="34E7909D"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6E8063DC"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Other significant endocrine and metabolic disorders; disorders of fluid/electrolyte/acid-base balance (CC 23-24)</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E83E9D7" w14:textId="77777777" w:rsidR="0095651C" w:rsidRPr="0095651C" w:rsidRDefault="0095651C" w:rsidP="00042E5D">
            <w:pPr>
              <w:spacing w:after="0"/>
              <w:jc w:val="center"/>
              <w:rPr>
                <w:rFonts w:eastAsia="Calibri" w:cs="Times New Roman"/>
                <w:color w:val="C00000"/>
              </w:rPr>
            </w:pPr>
            <w:r w:rsidRPr="0095651C">
              <w:rPr>
                <w:color w:val="C00000"/>
              </w:rPr>
              <w:t>1.15</w:t>
            </w:r>
            <w:r w:rsidRPr="0095651C">
              <w:rPr>
                <w:color w:val="C00000"/>
              </w:rPr>
              <w:br/>
              <w:t>(1.06-1.24)</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35AEC987" w14:textId="77777777" w:rsidR="0095651C" w:rsidRPr="0095651C" w:rsidRDefault="0095651C" w:rsidP="00042E5D">
            <w:pPr>
              <w:spacing w:after="0"/>
              <w:jc w:val="center"/>
              <w:rPr>
                <w:rFonts w:eastAsia="Calibri" w:cs="Times New Roman"/>
                <w:color w:val="C00000"/>
              </w:rPr>
            </w:pPr>
            <w:r w:rsidRPr="0095651C">
              <w:rPr>
                <w:color w:val="C00000"/>
              </w:rPr>
              <w:t>1.16</w:t>
            </w:r>
            <w:r w:rsidRPr="0095651C">
              <w:rPr>
                <w:color w:val="C00000"/>
              </w:rPr>
              <w:br/>
              <w:t>(1.08-1.26)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D761384"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(1.02-1.19)</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5D76FC5" w14:textId="77777777" w:rsidR="0095651C" w:rsidRPr="0095651C" w:rsidRDefault="0095651C" w:rsidP="00042E5D">
            <w:pPr>
              <w:spacing w:after="0"/>
              <w:jc w:val="center"/>
              <w:rPr>
                <w:rFonts w:eastAsia="Calibri" w:cs="Times New Roman"/>
                <w:color w:val="C00000"/>
              </w:rPr>
            </w:pPr>
            <w:r w:rsidRPr="0095651C">
              <w:rPr>
                <w:color w:val="C00000"/>
              </w:rPr>
              <w:t>1.14</w:t>
            </w:r>
            <w:r w:rsidRPr="0095651C">
              <w:rPr>
                <w:color w:val="C00000"/>
              </w:rPr>
              <w:br/>
              <w:t>(1.09-1.19)</w:t>
            </w:r>
          </w:p>
        </w:tc>
      </w:tr>
      <w:tr w:rsidR="0095651C" w:rsidRPr="00156F37" w14:paraId="51E16EBE"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32A3ABC8"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Severe hematological disorders (CC 46)</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C01DBD7" w14:textId="77777777" w:rsidR="0095651C" w:rsidRPr="0095651C" w:rsidRDefault="0095651C" w:rsidP="00042E5D">
            <w:pPr>
              <w:spacing w:after="0"/>
              <w:jc w:val="center"/>
              <w:rPr>
                <w:rFonts w:eastAsia="Calibri" w:cs="Times New Roman"/>
                <w:color w:val="C00000"/>
              </w:rPr>
            </w:pPr>
            <w:r w:rsidRPr="0095651C">
              <w:rPr>
                <w:color w:val="C00000"/>
              </w:rPr>
              <w:t>1.31</w:t>
            </w:r>
            <w:r w:rsidRPr="0095651C">
              <w:rPr>
                <w:color w:val="C00000"/>
              </w:rPr>
              <w:br/>
              <w:t>(0.94-1.81)</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7E5BAC2E" w14:textId="77777777" w:rsidR="0095651C" w:rsidRPr="0095651C" w:rsidRDefault="0095651C" w:rsidP="00042E5D">
            <w:pPr>
              <w:spacing w:after="0"/>
              <w:jc w:val="center"/>
              <w:rPr>
                <w:rFonts w:eastAsia="Calibri" w:cs="Times New Roman"/>
                <w:color w:val="C00000"/>
              </w:rPr>
            </w:pPr>
            <w:r w:rsidRPr="0095651C">
              <w:rPr>
                <w:color w:val="C00000"/>
              </w:rPr>
              <w:t>1.73</w:t>
            </w:r>
            <w:r w:rsidRPr="0095651C">
              <w:rPr>
                <w:color w:val="C00000"/>
              </w:rPr>
              <w:br/>
              <w:t>(1.26-2.37)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DE96230" w14:textId="77777777" w:rsidR="0095651C" w:rsidRPr="0095651C" w:rsidRDefault="0095651C" w:rsidP="00042E5D">
            <w:pPr>
              <w:spacing w:after="0"/>
              <w:jc w:val="center"/>
              <w:rPr>
                <w:rFonts w:eastAsia="Calibri" w:cs="Times New Roman"/>
                <w:color w:val="C00000"/>
              </w:rPr>
            </w:pPr>
            <w:r w:rsidRPr="0095651C">
              <w:rPr>
                <w:color w:val="C00000"/>
              </w:rPr>
              <w:t>1.48</w:t>
            </w:r>
            <w:r w:rsidRPr="0095651C">
              <w:rPr>
                <w:color w:val="C00000"/>
              </w:rPr>
              <w:br/>
              <w:t>(1.05-2.08)</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D68A07C" w14:textId="77777777" w:rsidR="0095651C" w:rsidRPr="0095651C" w:rsidRDefault="0095651C" w:rsidP="00042E5D">
            <w:pPr>
              <w:spacing w:after="0"/>
              <w:jc w:val="center"/>
              <w:rPr>
                <w:rFonts w:eastAsia="Calibri" w:cs="Times New Roman"/>
                <w:color w:val="C00000"/>
              </w:rPr>
            </w:pPr>
            <w:r w:rsidRPr="0095651C">
              <w:rPr>
                <w:color w:val="C00000"/>
              </w:rPr>
              <w:t>1.49</w:t>
            </w:r>
            <w:r w:rsidRPr="0095651C">
              <w:rPr>
                <w:color w:val="C00000"/>
              </w:rPr>
              <w:br/>
              <w:t>(1.23-1.80)</w:t>
            </w:r>
          </w:p>
        </w:tc>
      </w:tr>
      <w:tr w:rsidR="0095651C" w:rsidRPr="00156F37" w14:paraId="4D1B6A27"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5062439E"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Dementia or other specified brain disorders (CC 51-53)</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4C8E102" w14:textId="77777777" w:rsidR="0095651C" w:rsidRPr="0095651C" w:rsidRDefault="0095651C" w:rsidP="00042E5D">
            <w:pPr>
              <w:spacing w:after="0"/>
              <w:jc w:val="center"/>
              <w:rPr>
                <w:rFonts w:eastAsia="Calibri" w:cs="Times New Roman"/>
                <w:color w:val="C00000"/>
              </w:rPr>
            </w:pPr>
            <w:r w:rsidRPr="0095651C">
              <w:rPr>
                <w:color w:val="C00000"/>
              </w:rPr>
              <w:t>1.27</w:t>
            </w:r>
            <w:r w:rsidRPr="0095651C">
              <w:rPr>
                <w:color w:val="C00000"/>
              </w:rPr>
              <w:br/>
              <w:t>(1.14-1.42)</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96CF70D" w14:textId="77777777" w:rsidR="0095651C" w:rsidRPr="0095651C" w:rsidRDefault="0095651C" w:rsidP="00042E5D">
            <w:pPr>
              <w:spacing w:after="0"/>
              <w:jc w:val="center"/>
              <w:rPr>
                <w:rFonts w:eastAsia="Calibri" w:cs="Times New Roman"/>
                <w:color w:val="C00000"/>
              </w:rPr>
            </w:pPr>
            <w:r w:rsidRPr="0095651C">
              <w:rPr>
                <w:color w:val="C00000"/>
              </w:rPr>
              <w:t>1.27</w:t>
            </w:r>
            <w:r w:rsidRPr="0095651C">
              <w:rPr>
                <w:color w:val="C00000"/>
              </w:rPr>
              <w:br/>
              <w:t>(1.14-1.42)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44E61B9" w14:textId="77777777" w:rsidR="0095651C" w:rsidRPr="0095651C" w:rsidRDefault="0095651C" w:rsidP="00042E5D">
            <w:pPr>
              <w:spacing w:after="0"/>
              <w:jc w:val="center"/>
              <w:rPr>
                <w:rFonts w:eastAsia="Calibri" w:cs="Times New Roman"/>
                <w:color w:val="C00000"/>
              </w:rPr>
            </w:pPr>
            <w:r w:rsidRPr="0095651C">
              <w:rPr>
                <w:color w:val="C00000"/>
              </w:rPr>
              <w:t>1.23</w:t>
            </w:r>
            <w:r w:rsidRPr="0095651C">
              <w:rPr>
                <w:color w:val="C00000"/>
              </w:rPr>
              <w:br/>
              <w:t>(1.10-1.38)</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E07D24B" w14:textId="77777777" w:rsidR="0095651C" w:rsidRPr="0095651C" w:rsidRDefault="0095651C" w:rsidP="00042E5D">
            <w:pPr>
              <w:spacing w:after="0"/>
              <w:jc w:val="center"/>
              <w:rPr>
                <w:rFonts w:eastAsia="Calibri" w:cs="Times New Roman"/>
                <w:color w:val="C00000"/>
              </w:rPr>
            </w:pPr>
            <w:r w:rsidRPr="0095651C">
              <w:rPr>
                <w:color w:val="C00000"/>
              </w:rPr>
              <w:t>1.25</w:t>
            </w:r>
            <w:r w:rsidRPr="0095651C">
              <w:rPr>
                <w:color w:val="C00000"/>
              </w:rPr>
              <w:br/>
              <w:t>(1.18-1.34)</w:t>
            </w:r>
          </w:p>
        </w:tc>
      </w:tr>
      <w:tr w:rsidR="0095651C" w:rsidRPr="00156F37" w14:paraId="179E3629"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2FC42B04"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Major psychiatric disorders (CC 57-59)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13B311EC" w14:textId="77777777" w:rsidR="0095651C" w:rsidRPr="0095651C" w:rsidRDefault="0095651C" w:rsidP="00042E5D">
            <w:pPr>
              <w:spacing w:after="0"/>
              <w:jc w:val="center"/>
              <w:rPr>
                <w:rFonts w:eastAsia="Calibri" w:cs="Times New Roman"/>
                <w:color w:val="C00000"/>
              </w:rPr>
            </w:pPr>
            <w:r w:rsidRPr="0095651C">
              <w:rPr>
                <w:color w:val="C00000"/>
              </w:rPr>
              <w:t>1.33</w:t>
            </w:r>
            <w:r w:rsidRPr="0095651C">
              <w:rPr>
                <w:color w:val="C00000"/>
              </w:rPr>
              <w:br/>
              <w:t>(1.17-1.51)</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57C33990" w14:textId="77777777" w:rsidR="0095651C" w:rsidRPr="0095651C" w:rsidRDefault="0095651C" w:rsidP="00042E5D">
            <w:pPr>
              <w:spacing w:after="0"/>
              <w:jc w:val="center"/>
              <w:rPr>
                <w:rFonts w:eastAsia="Calibri" w:cs="Times New Roman"/>
                <w:color w:val="C00000"/>
              </w:rPr>
            </w:pPr>
            <w:r w:rsidRPr="0095651C">
              <w:rPr>
                <w:color w:val="C00000"/>
              </w:rPr>
              <w:t>1.22</w:t>
            </w:r>
            <w:r w:rsidRPr="0095651C">
              <w:rPr>
                <w:color w:val="C00000"/>
              </w:rPr>
              <w:br/>
              <w:t>(1.07-1.39)</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784374E" w14:textId="77777777" w:rsidR="0095651C" w:rsidRPr="0095651C" w:rsidRDefault="0095651C" w:rsidP="00042E5D">
            <w:pPr>
              <w:spacing w:after="0"/>
              <w:jc w:val="center"/>
              <w:rPr>
                <w:rFonts w:eastAsia="Calibri" w:cs="Times New Roman"/>
                <w:color w:val="C00000"/>
              </w:rPr>
            </w:pPr>
            <w:r w:rsidRPr="0095651C">
              <w:rPr>
                <w:color w:val="C00000"/>
              </w:rPr>
              <w:t>1.18</w:t>
            </w:r>
            <w:r w:rsidRPr="0095651C">
              <w:rPr>
                <w:color w:val="C00000"/>
              </w:rPr>
              <w:br/>
              <w:t>(1.04-1.35)</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264A9E0E" w14:textId="77777777" w:rsidR="0095651C" w:rsidRPr="0095651C" w:rsidRDefault="0095651C" w:rsidP="00042E5D">
            <w:pPr>
              <w:spacing w:after="0"/>
              <w:jc w:val="center"/>
              <w:rPr>
                <w:rFonts w:eastAsia="Calibri" w:cs="Times New Roman"/>
                <w:color w:val="C00000"/>
              </w:rPr>
            </w:pPr>
            <w:r w:rsidRPr="0095651C">
              <w:rPr>
                <w:color w:val="C00000"/>
              </w:rPr>
              <w:t>1.24</w:t>
            </w:r>
            <w:r w:rsidRPr="0095651C">
              <w:rPr>
                <w:color w:val="C00000"/>
              </w:rPr>
              <w:br/>
              <w:t>(1.15-1.34)</w:t>
            </w:r>
          </w:p>
        </w:tc>
      </w:tr>
      <w:tr w:rsidR="0095651C" w:rsidRPr="00156F37" w14:paraId="1C11DF98"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2B9089C7"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Hemiplegia, paraplegia, paralysis, functional disability (CC 70-74, 103-104, 189-190)</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3026AB0"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(0.95-1.27)</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6EC3C225" w14:textId="77777777" w:rsidR="0095651C" w:rsidRPr="0095651C" w:rsidRDefault="0095651C" w:rsidP="00042E5D">
            <w:pPr>
              <w:spacing w:after="0"/>
              <w:jc w:val="center"/>
              <w:rPr>
                <w:rFonts w:eastAsia="Calibri" w:cs="Times New Roman"/>
                <w:color w:val="C00000"/>
              </w:rPr>
            </w:pPr>
            <w:r w:rsidRPr="0095651C">
              <w:rPr>
                <w:color w:val="C00000"/>
              </w:rPr>
              <w:t>0.98</w:t>
            </w:r>
            <w:r w:rsidRPr="0095651C">
              <w:rPr>
                <w:color w:val="C00000"/>
              </w:rPr>
              <w:br/>
              <w:t>(0.84-1.14)</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6FBE7F8" w14:textId="77777777" w:rsidR="0095651C" w:rsidRPr="0095651C" w:rsidRDefault="0095651C" w:rsidP="00042E5D">
            <w:pPr>
              <w:spacing w:after="0"/>
              <w:jc w:val="center"/>
              <w:rPr>
                <w:rFonts w:eastAsia="Calibri" w:cs="Times New Roman"/>
                <w:color w:val="C00000"/>
              </w:rPr>
            </w:pPr>
            <w:r w:rsidRPr="0095651C">
              <w:rPr>
                <w:color w:val="C00000"/>
              </w:rPr>
              <w:t>1.26</w:t>
            </w:r>
            <w:r w:rsidRPr="0095651C">
              <w:rPr>
                <w:color w:val="C00000"/>
              </w:rPr>
              <w:br/>
              <w:t>(1.09-1.46)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8FF0FE6"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(1.01-1.20)</w:t>
            </w:r>
          </w:p>
        </w:tc>
      </w:tr>
      <w:tr w:rsidR="0095651C" w:rsidRPr="00156F37" w14:paraId="6406BE2D"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74BB996A"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Polyneuropathy; other neuropathies (CC 75, 81)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BF9777C" w14:textId="77777777" w:rsidR="0095651C" w:rsidRPr="0095651C" w:rsidRDefault="0095651C" w:rsidP="00042E5D">
            <w:pPr>
              <w:spacing w:after="0"/>
              <w:jc w:val="center"/>
              <w:rPr>
                <w:rFonts w:eastAsia="Calibri" w:cs="Times New Roman"/>
                <w:color w:val="C00000"/>
              </w:rPr>
            </w:pPr>
            <w:r w:rsidRPr="0095651C">
              <w:rPr>
                <w:color w:val="C00000"/>
              </w:rPr>
              <w:t>1.13</w:t>
            </w:r>
            <w:r w:rsidRPr="0095651C">
              <w:rPr>
                <w:color w:val="C00000"/>
              </w:rPr>
              <w:br/>
              <w:t>(1.05-1.22)</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C69B32E" w14:textId="77777777" w:rsidR="0095651C" w:rsidRPr="0095651C" w:rsidRDefault="0095651C" w:rsidP="00042E5D">
            <w:pPr>
              <w:spacing w:after="0"/>
              <w:jc w:val="center"/>
              <w:rPr>
                <w:rFonts w:eastAsia="Calibri" w:cs="Times New Roman"/>
                <w:color w:val="C00000"/>
              </w:rPr>
            </w:pPr>
            <w:r w:rsidRPr="0095651C">
              <w:rPr>
                <w:color w:val="C00000"/>
              </w:rPr>
              <w:t>1.13</w:t>
            </w:r>
            <w:r w:rsidRPr="0095651C">
              <w:rPr>
                <w:color w:val="C00000"/>
              </w:rPr>
              <w:br/>
              <w:t>(1.05-1.22)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E0BAB1A" w14:textId="77777777" w:rsidR="0095651C" w:rsidRPr="0095651C" w:rsidRDefault="0095651C" w:rsidP="00042E5D">
            <w:pPr>
              <w:spacing w:after="0"/>
              <w:jc w:val="center"/>
              <w:rPr>
                <w:rFonts w:eastAsia="Calibri" w:cs="Times New Roman"/>
                <w:color w:val="C00000"/>
              </w:rPr>
            </w:pPr>
            <w:r w:rsidRPr="0095651C">
              <w:rPr>
                <w:color w:val="C00000"/>
              </w:rPr>
              <w:t>0.99</w:t>
            </w:r>
            <w:r w:rsidRPr="0095651C">
              <w:rPr>
                <w:color w:val="C00000"/>
              </w:rPr>
              <w:br/>
              <w:t>(0.92-1.07)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0AFD18C" w14:textId="77777777" w:rsidR="0095651C" w:rsidRPr="0095651C" w:rsidRDefault="0095651C" w:rsidP="00042E5D">
            <w:pPr>
              <w:spacing w:after="0"/>
              <w:jc w:val="center"/>
              <w:rPr>
                <w:rFonts w:eastAsia="Calibri" w:cs="Times New Roman"/>
                <w:color w:val="C00000"/>
              </w:rPr>
            </w:pPr>
            <w:r w:rsidRPr="0095651C">
              <w:rPr>
                <w:color w:val="C00000"/>
              </w:rPr>
              <w:t>1.09</w:t>
            </w:r>
            <w:r w:rsidRPr="0095651C">
              <w:rPr>
                <w:color w:val="C00000"/>
              </w:rPr>
              <w:br/>
              <w:t>(1.05-1.14)</w:t>
            </w:r>
          </w:p>
        </w:tc>
      </w:tr>
      <w:tr w:rsidR="0095651C" w:rsidRPr="00156F37" w14:paraId="21A5C760"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71BAA7C6"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Congestive heart failure (CC 85)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0C3588F" w14:textId="77777777" w:rsidR="0095651C" w:rsidRPr="0095651C" w:rsidRDefault="0095651C" w:rsidP="00042E5D">
            <w:pPr>
              <w:spacing w:after="0"/>
              <w:jc w:val="center"/>
              <w:rPr>
                <w:rFonts w:eastAsia="Calibri" w:cs="Times New Roman"/>
                <w:color w:val="C00000"/>
              </w:rPr>
            </w:pPr>
            <w:r w:rsidRPr="0095651C">
              <w:rPr>
                <w:color w:val="C00000"/>
              </w:rPr>
              <w:t>1.19</w:t>
            </w:r>
            <w:r w:rsidRPr="0095651C">
              <w:rPr>
                <w:color w:val="C00000"/>
              </w:rPr>
              <w:br/>
              <w:t>(1.10-1.27)</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12922B8" w14:textId="77777777" w:rsidR="0095651C" w:rsidRPr="0095651C" w:rsidRDefault="0095651C" w:rsidP="00042E5D">
            <w:pPr>
              <w:spacing w:after="0"/>
              <w:jc w:val="center"/>
              <w:rPr>
                <w:rFonts w:eastAsia="Calibri" w:cs="Times New Roman"/>
                <w:color w:val="C00000"/>
              </w:rPr>
            </w:pPr>
            <w:r w:rsidRPr="0095651C">
              <w:rPr>
                <w:color w:val="C00000"/>
              </w:rPr>
              <w:t>1.27</w:t>
            </w:r>
            <w:r w:rsidRPr="0095651C">
              <w:rPr>
                <w:color w:val="C00000"/>
              </w:rPr>
              <w:br/>
              <w:t>(1.19-1.37)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2225AC3C" w14:textId="77777777" w:rsidR="0095651C" w:rsidRPr="0095651C" w:rsidRDefault="0095651C" w:rsidP="00042E5D">
            <w:pPr>
              <w:spacing w:after="0"/>
              <w:jc w:val="center"/>
              <w:rPr>
                <w:rFonts w:eastAsia="Calibri" w:cs="Times New Roman"/>
                <w:color w:val="C00000"/>
              </w:rPr>
            </w:pPr>
            <w:r w:rsidRPr="0095651C">
              <w:rPr>
                <w:color w:val="C00000"/>
              </w:rPr>
              <w:t>1.29</w:t>
            </w:r>
            <w:r w:rsidRPr="0095651C">
              <w:rPr>
                <w:color w:val="C00000"/>
              </w:rPr>
              <w:br/>
              <w:t>(1.19-1.38)</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A4D46E7" w14:textId="77777777" w:rsidR="0095651C" w:rsidRPr="0095651C" w:rsidRDefault="0095651C" w:rsidP="00042E5D">
            <w:pPr>
              <w:spacing w:after="0"/>
              <w:jc w:val="center"/>
              <w:rPr>
                <w:rFonts w:eastAsia="Calibri" w:cs="Times New Roman"/>
                <w:color w:val="C00000"/>
              </w:rPr>
            </w:pPr>
            <w:r w:rsidRPr="0095651C">
              <w:rPr>
                <w:color w:val="C00000"/>
              </w:rPr>
              <w:t>1.25</w:t>
            </w:r>
            <w:r w:rsidRPr="0095651C">
              <w:rPr>
                <w:color w:val="C00000"/>
              </w:rPr>
              <w:br/>
              <w:t>(1.20-1.30)</w:t>
            </w:r>
          </w:p>
        </w:tc>
      </w:tr>
      <w:tr w:rsidR="0095651C" w:rsidRPr="00156F37" w14:paraId="01C5E1AA"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6FDE7996"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Specified arrhythmias and other heart rhythm disorders (CC 96-97)</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4EB7188"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(1.03-1.17)</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176F3E35" w14:textId="77777777" w:rsidR="0095651C" w:rsidRPr="0095651C" w:rsidRDefault="0095651C" w:rsidP="00042E5D">
            <w:pPr>
              <w:spacing w:after="0"/>
              <w:jc w:val="center"/>
              <w:rPr>
                <w:rFonts w:eastAsia="Calibri" w:cs="Times New Roman"/>
                <w:color w:val="C00000"/>
              </w:rPr>
            </w:pPr>
            <w:r w:rsidRPr="0095651C">
              <w:rPr>
                <w:color w:val="C00000"/>
              </w:rPr>
              <w:t>1.08</w:t>
            </w:r>
            <w:r w:rsidRPr="0095651C">
              <w:rPr>
                <w:color w:val="C00000"/>
              </w:rPr>
              <w:br/>
              <w:t>(1.01-1.15)</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21B23BE4"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(1.03-1.17)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DB05BFD"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(1.06-1.14)</w:t>
            </w:r>
          </w:p>
        </w:tc>
      </w:tr>
      <w:tr w:rsidR="0095651C" w:rsidRPr="00156F37" w14:paraId="0F52FDC4"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1F6EE7B0"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Stroke (CC 99-100)</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CBB15DD" w14:textId="77777777" w:rsidR="0095651C" w:rsidRPr="0095651C" w:rsidRDefault="0095651C" w:rsidP="00042E5D">
            <w:pPr>
              <w:spacing w:after="0"/>
              <w:jc w:val="center"/>
              <w:rPr>
                <w:rFonts w:eastAsia="Calibri" w:cs="Times New Roman"/>
                <w:color w:val="C00000"/>
              </w:rPr>
            </w:pPr>
            <w:r w:rsidRPr="0095651C">
              <w:rPr>
                <w:color w:val="C00000"/>
              </w:rPr>
              <w:t>1.02</w:t>
            </w:r>
            <w:r w:rsidRPr="0095651C">
              <w:rPr>
                <w:color w:val="C00000"/>
              </w:rPr>
              <w:br/>
              <w:t>(0.89-1.17)</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3042C8B4"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(0.96-1.26)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D1A8054"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(0.96-1.27)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CB9CF50" w14:textId="77777777" w:rsidR="0095651C" w:rsidRPr="0095651C" w:rsidRDefault="0095651C" w:rsidP="00042E5D">
            <w:pPr>
              <w:spacing w:after="0"/>
              <w:jc w:val="center"/>
              <w:rPr>
                <w:rFonts w:eastAsia="Calibri" w:cs="Times New Roman"/>
                <w:color w:val="C00000"/>
              </w:rPr>
            </w:pPr>
            <w:r w:rsidRPr="0095651C">
              <w:rPr>
                <w:color w:val="C00000"/>
              </w:rPr>
              <w:t>1.07</w:t>
            </w:r>
            <w:r w:rsidRPr="0095651C">
              <w:rPr>
                <w:color w:val="C00000"/>
              </w:rPr>
              <w:br/>
              <w:t>(0.99-1.16)</w:t>
            </w:r>
          </w:p>
        </w:tc>
      </w:tr>
      <w:tr w:rsidR="0095651C" w:rsidRPr="00156F37" w14:paraId="7C2866FB"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7DDE098A"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lastRenderedPageBreak/>
              <w:t>Cerebrovascular disease (CC 101-102, 105)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A20DBF5" w14:textId="77777777" w:rsidR="0095651C" w:rsidRPr="0095651C" w:rsidRDefault="0095651C" w:rsidP="00042E5D">
            <w:pPr>
              <w:spacing w:after="0"/>
              <w:jc w:val="center"/>
              <w:rPr>
                <w:rFonts w:eastAsia="Calibri" w:cs="Times New Roman"/>
                <w:color w:val="C00000"/>
              </w:rPr>
            </w:pPr>
            <w:r w:rsidRPr="0095651C">
              <w:rPr>
                <w:color w:val="C00000"/>
              </w:rPr>
              <w:t>0.93</w:t>
            </w:r>
            <w:r w:rsidRPr="0095651C">
              <w:rPr>
                <w:color w:val="C00000"/>
              </w:rPr>
              <w:br/>
              <w:t>(0.87-1.00)</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69A32456" w14:textId="77777777" w:rsidR="0095651C" w:rsidRPr="0095651C" w:rsidRDefault="0095651C" w:rsidP="00042E5D">
            <w:pPr>
              <w:spacing w:after="0"/>
              <w:jc w:val="center"/>
              <w:rPr>
                <w:rFonts w:eastAsia="Calibri" w:cs="Times New Roman"/>
                <w:color w:val="C00000"/>
              </w:rPr>
            </w:pPr>
            <w:r w:rsidRPr="0095651C">
              <w:rPr>
                <w:color w:val="C00000"/>
              </w:rPr>
              <w:t>0.92</w:t>
            </w:r>
            <w:r w:rsidRPr="0095651C">
              <w:rPr>
                <w:color w:val="C00000"/>
              </w:rPr>
              <w:br/>
              <w:t>(0.86-0.99)</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2B5EB62" w14:textId="77777777" w:rsidR="0095651C" w:rsidRPr="0095651C" w:rsidRDefault="0095651C" w:rsidP="00042E5D">
            <w:pPr>
              <w:spacing w:after="0"/>
              <w:jc w:val="center"/>
              <w:rPr>
                <w:rFonts w:eastAsia="Calibri" w:cs="Times New Roman"/>
                <w:color w:val="C00000"/>
              </w:rPr>
            </w:pPr>
            <w:r w:rsidRPr="0095651C">
              <w:rPr>
                <w:color w:val="C00000"/>
              </w:rPr>
              <w:t>0.90</w:t>
            </w:r>
            <w:r w:rsidRPr="0095651C">
              <w:rPr>
                <w:color w:val="C00000"/>
              </w:rPr>
              <w:br/>
              <w:t>(0.84-0.97)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813D6E9" w14:textId="77777777" w:rsidR="0095651C" w:rsidRPr="0095651C" w:rsidRDefault="0095651C" w:rsidP="00042E5D">
            <w:pPr>
              <w:spacing w:after="0"/>
              <w:jc w:val="center"/>
              <w:rPr>
                <w:rFonts w:eastAsia="Calibri" w:cs="Times New Roman"/>
                <w:color w:val="C00000"/>
              </w:rPr>
            </w:pPr>
            <w:r w:rsidRPr="0095651C">
              <w:rPr>
                <w:color w:val="C00000"/>
              </w:rPr>
              <w:t>0.92</w:t>
            </w:r>
            <w:r w:rsidRPr="0095651C">
              <w:rPr>
                <w:color w:val="C00000"/>
              </w:rPr>
              <w:br/>
              <w:t>(0.89-0.96)</w:t>
            </w:r>
          </w:p>
        </w:tc>
      </w:tr>
      <w:tr w:rsidR="0095651C" w:rsidRPr="00156F37" w14:paraId="6419E509"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3503B02F"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Vascular or circulatory disease (CC 106-109)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98ABE6F" w14:textId="77777777" w:rsidR="0095651C" w:rsidRPr="0095651C" w:rsidRDefault="0095651C" w:rsidP="00042E5D">
            <w:pPr>
              <w:spacing w:after="0"/>
              <w:jc w:val="center"/>
              <w:rPr>
                <w:rFonts w:eastAsia="Calibri" w:cs="Times New Roman"/>
                <w:color w:val="C00000"/>
              </w:rPr>
            </w:pPr>
            <w:r w:rsidRPr="0095651C">
              <w:rPr>
                <w:color w:val="C00000"/>
              </w:rPr>
              <w:t>1.14</w:t>
            </w:r>
            <w:r w:rsidRPr="0095651C">
              <w:rPr>
                <w:color w:val="C00000"/>
              </w:rPr>
              <w:br/>
              <w:t>(1.07-1.21)</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AB88D7B" w14:textId="77777777" w:rsidR="0095651C" w:rsidRPr="0095651C" w:rsidRDefault="0095651C" w:rsidP="00042E5D">
            <w:pPr>
              <w:spacing w:after="0"/>
              <w:jc w:val="center"/>
              <w:rPr>
                <w:rFonts w:eastAsia="Calibri" w:cs="Times New Roman"/>
                <w:color w:val="C00000"/>
              </w:rPr>
            </w:pPr>
            <w:r w:rsidRPr="0095651C">
              <w:rPr>
                <w:color w:val="C00000"/>
              </w:rPr>
              <w:t>1.09</w:t>
            </w:r>
            <w:r w:rsidRPr="0095651C">
              <w:rPr>
                <w:color w:val="C00000"/>
              </w:rPr>
              <w:br/>
              <w:t>(1.02-1.16)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5186366" w14:textId="77777777" w:rsidR="0095651C" w:rsidRPr="0095651C" w:rsidRDefault="0095651C" w:rsidP="00042E5D">
            <w:pPr>
              <w:spacing w:after="0"/>
              <w:jc w:val="center"/>
              <w:rPr>
                <w:rFonts w:eastAsia="Calibri" w:cs="Times New Roman"/>
                <w:color w:val="C00000"/>
              </w:rPr>
            </w:pPr>
            <w:r w:rsidRPr="0095651C">
              <w:rPr>
                <w:color w:val="C00000"/>
              </w:rPr>
              <w:t>1.04</w:t>
            </w:r>
            <w:r w:rsidRPr="0095651C">
              <w:rPr>
                <w:color w:val="C00000"/>
              </w:rPr>
              <w:br/>
              <w:t>(0.97-1.11)</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3AA3756" w14:textId="77777777" w:rsidR="0095651C" w:rsidRPr="0095651C" w:rsidRDefault="0095651C" w:rsidP="00042E5D">
            <w:pPr>
              <w:spacing w:after="0"/>
              <w:jc w:val="center"/>
              <w:rPr>
                <w:rFonts w:eastAsia="Calibri" w:cs="Times New Roman"/>
                <w:color w:val="C00000"/>
              </w:rPr>
            </w:pPr>
            <w:r w:rsidRPr="0095651C">
              <w:rPr>
                <w:color w:val="C00000"/>
              </w:rPr>
              <w:t>1.09</w:t>
            </w:r>
            <w:r w:rsidRPr="0095651C">
              <w:rPr>
                <w:color w:val="C00000"/>
              </w:rPr>
              <w:br/>
              <w:t>(1.05-1.13)</w:t>
            </w:r>
          </w:p>
        </w:tc>
      </w:tr>
      <w:tr w:rsidR="0095651C" w:rsidRPr="00156F37" w14:paraId="77D8B1E0"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507481C8"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Chronic obstructive pulmonary disease (COPD) (CC 111)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0A3A4A2" w14:textId="77777777" w:rsidR="0095651C" w:rsidRPr="0095651C" w:rsidRDefault="0095651C" w:rsidP="00042E5D">
            <w:pPr>
              <w:spacing w:after="0"/>
              <w:jc w:val="center"/>
              <w:rPr>
                <w:rFonts w:eastAsia="Calibri" w:cs="Times New Roman"/>
                <w:color w:val="C00000"/>
              </w:rPr>
            </w:pPr>
            <w:r w:rsidRPr="0095651C">
              <w:rPr>
                <w:color w:val="C00000"/>
              </w:rPr>
              <w:t>1.41</w:t>
            </w:r>
            <w:r w:rsidRPr="0095651C">
              <w:rPr>
                <w:color w:val="C00000"/>
              </w:rPr>
              <w:br/>
              <w:t>(1.32-1.50)</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40EF9F90" w14:textId="77777777" w:rsidR="0095651C" w:rsidRPr="0095651C" w:rsidRDefault="0095651C" w:rsidP="00042E5D">
            <w:pPr>
              <w:spacing w:after="0"/>
              <w:jc w:val="center"/>
              <w:rPr>
                <w:rFonts w:eastAsia="Calibri" w:cs="Times New Roman"/>
                <w:color w:val="C00000"/>
              </w:rPr>
            </w:pPr>
            <w:r w:rsidRPr="0095651C">
              <w:rPr>
                <w:color w:val="C00000"/>
              </w:rPr>
              <w:t>1.38</w:t>
            </w:r>
            <w:r w:rsidRPr="0095651C">
              <w:rPr>
                <w:color w:val="C00000"/>
              </w:rPr>
              <w:br/>
              <w:t>(1.30-1.47)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3C92071" w14:textId="77777777" w:rsidR="0095651C" w:rsidRPr="0095651C" w:rsidRDefault="0095651C" w:rsidP="00042E5D">
            <w:pPr>
              <w:spacing w:after="0"/>
              <w:jc w:val="center"/>
              <w:rPr>
                <w:rFonts w:eastAsia="Calibri" w:cs="Times New Roman"/>
                <w:color w:val="C00000"/>
              </w:rPr>
            </w:pPr>
            <w:r w:rsidRPr="0095651C">
              <w:rPr>
                <w:color w:val="C00000"/>
              </w:rPr>
              <w:t>1.41</w:t>
            </w:r>
            <w:r w:rsidRPr="0095651C">
              <w:rPr>
                <w:color w:val="C00000"/>
              </w:rPr>
              <w:br/>
              <w:t>(1.32-1.51)</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5EE73AF" w14:textId="77777777" w:rsidR="0095651C" w:rsidRPr="0095651C" w:rsidRDefault="0095651C" w:rsidP="00042E5D">
            <w:pPr>
              <w:spacing w:after="0"/>
              <w:jc w:val="center"/>
              <w:rPr>
                <w:rFonts w:eastAsia="Calibri" w:cs="Times New Roman"/>
                <w:color w:val="C00000"/>
              </w:rPr>
            </w:pPr>
            <w:r w:rsidRPr="0095651C">
              <w:rPr>
                <w:color w:val="C00000"/>
              </w:rPr>
              <w:t>1.40</w:t>
            </w:r>
            <w:r w:rsidRPr="0095651C">
              <w:rPr>
                <w:color w:val="C00000"/>
              </w:rPr>
              <w:br/>
              <w:t>(1.34-1.45)</w:t>
            </w:r>
          </w:p>
        </w:tc>
      </w:tr>
      <w:tr w:rsidR="0095651C" w:rsidRPr="00156F37" w14:paraId="6E4F4067"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4F2CCC25"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Fibrosis of lung or other chronic lung disorders (CC 112)</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4A08555" w14:textId="77777777" w:rsidR="0095651C" w:rsidRPr="0095651C" w:rsidRDefault="0095651C" w:rsidP="00042E5D">
            <w:pPr>
              <w:spacing w:after="0"/>
              <w:jc w:val="center"/>
              <w:rPr>
                <w:rFonts w:eastAsia="Calibri" w:cs="Times New Roman"/>
                <w:color w:val="C00000"/>
              </w:rPr>
            </w:pPr>
            <w:r w:rsidRPr="0095651C">
              <w:rPr>
                <w:color w:val="C00000"/>
              </w:rPr>
              <w:t>0.97</w:t>
            </w:r>
            <w:r w:rsidRPr="0095651C">
              <w:rPr>
                <w:color w:val="C00000"/>
              </w:rPr>
              <w:br/>
              <w:t>(0.84-1.12)</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1D27B1D9" w14:textId="77777777" w:rsidR="0095651C" w:rsidRPr="0095651C" w:rsidRDefault="0095651C" w:rsidP="00042E5D">
            <w:pPr>
              <w:spacing w:after="0"/>
              <w:jc w:val="center"/>
              <w:rPr>
                <w:rFonts w:eastAsia="Calibri" w:cs="Times New Roman"/>
                <w:color w:val="C00000"/>
              </w:rPr>
            </w:pPr>
            <w:r w:rsidRPr="0095651C">
              <w:rPr>
                <w:color w:val="C00000"/>
              </w:rPr>
              <w:t>1.17</w:t>
            </w:r>
            <w:r w:rsidRPr="0095651C">
              <w:rPr>
                <w:color w:val="C00000"/>
              </w:rPr>
              <w:br/>
              <w:t>(1.02-1.33)</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6DE8C81" w14:textId="77777777" w:rsidR="0095651C" w:rsidRPr="0095651C" w:rsidRDefault="0095651C" w:rsidP="00042E5D">
            <w:pPr>
              <w:spacing w:after="0"/>
              <w:jc w:val="center"/>
              <w:rPr>
                <w:rFonts w:eastAsia="Calibri" w:cs="Times New Roman"/>
                <w:color w:val="C00000"/>
              </w:rPr>
            </w:pPr>
            <w:r w:rsidRPr="0095651C">
              <w:rPr>
                <w:color w:val="C00000"/>
              </w:rPr>
              <w:t>1.15</w:t>
            </w:r>
            <w:r w:rsidRPr="0095651C">
              <w:rPr>
                <w:color w:val="C00000"/>
              </w:rPr>
              <w:br/>
              <w:t>(1.01-1.32)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2C0ECF4" w14:textId="77777777" w:rsidR="0095651C" w:rsidRPr="0095651C" w:rsidRDefault="0095651C" w:rsidP="00042E5D">
            <w:pPr>
              <w:spacing w:after="0"/>
              <w:jc w:val="center"/>
              <w:rPr>
                <w:rFonts w:eastAsia="Calibri" w:cs="Times New Roman"/>
                <w:color w:val="C00000"/>
              </w:rPr>
            </w:pPr>
            <w:r w:rsidRPr="0095651C">
              <w:rPr>
                <w:color w:val="C00000"/>
              </w:rPr>
              <w:t>1.09</w:t>
            </w:r>
            <w:r w:rsidRPr="0095651C">
              <w:rPr>
                <w:color w:val="C00000"/>
              </w:rPr>
              <w:br/>
              <w:t>(1.01-1.18)</w:t>
            </w:r>
          </w:p>
        </w:tc>
      </w:tr>
      <w:tr w:rsidR="0095651C" w:rsidRPr="00156F37" w14:paraId="6F17DA2D"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7166A1AE"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Pneumonia (CC 114-116)</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9559091" w14:textId="77777777" w:rsidR="0095651C" w:rsidRPr="0095651C" w:rsidRDefault="0095651C" w:rsidP="00042E5D">
            <w:pPr>
              <w:spacing w:after="0"/>
              <w:jc w:val="center"/>
              <w:rPr>
                <w:rFonts w:eastAsia="Calibri" w:cs="Times New Roman"/>
                <w:color w:val="C00000"/>
              </w:rPr>
            </w:pPr>
            <w:r w:rsidRPr="0095651C">
              <w:rPr>
                <w:color w:val="C00000"/>
              </w:rPr>
              <w:t>1.18</w:t>
            </w:r>
            <w:r w:rsidRPr="0095651C">
              <w:rPr>
                <w:color w:val="C00000"/>
              </w:rPr>
              <w:br/>
              <w:t>(1.09-1.28)</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3297C3FF" w14:textId="77777777" w:rsidR="0095651C" w:rsidRPr="0095651C" w:rsidRDefault="0095651C" w:rsidP="00042E5D">
            <w:pPr>
              <w:spacing w:after="0"/>
              <w:jc w:val="center"/>
              <w:rPr>
                <w:rFonts w:eastAsia="Calibri" w:cs="Times New Roman"/>
                <w:color w:val="C00000"/>
              </w:rPr>
            </w:pPr>
            <w:r w:rsidRPr="0095651C">
              <w:rPr>
                <w:color w:val="C00000"/>
              </w:rPr>
              <w:t>1.31</w:t>
            </w:r>
            <w:r w:rsidRPr="0095651C">
              <w:rPr>
                <w:color w:val="C00000"/>
              </w:rPr>
              <w:br/>
              <w:t>(1.21-1.42)</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346E5C2" w14:textId="77777777" w:rsidR="0095651C" w:rsidRPr="0095651C" w:rsidRDefault="0095651C" w:rsidP="00042E5D">
            <w:pPr>
              <w:spacing w:after="0"/>
              <w:jc w:val="center"/>
              <w:rPr>
                <w:rFonts w:eastAsia="Calibri" w:cs="Times New Roman"/>
                <w:color w:val="C00000"/>
              </w:rPr>
            </w:pPr>
            <w:r w:rsidRPr="0095651C">
              <w:rPr>
                <w:color w:val="C00000"/>
              </w:rPr>
              <w:t>1.16</w:t>
            </w:r>
            <w:r w:rsidRPr="0095651C">
              <w:rPr>
                <w:color w:val="C00000"/>
              </w:rPr>
              <w:br/>
              <w:t>(1.06-1.27)</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1E8E7F7" w14:textId="77777777" w:rsidR="0095651C" w:rsidRPr="0095651C" w:rsidRDefault="0095651C" w:rsidP="00042E5D">
            <w:pPr>
              <w:spacing w:after="0"/>
              <w:jc w:val="center"/>
              <w:rPr>
                <w:rFonts w:eastAsia="Calibri" w:cs="Times New Roman"/>
                <w:color w:val="C00000"/>
              </w:rPr>
            </w:pPr>
            <w:r w:rsidRPr="0095651C">
              <w:rPr>
                <w:color w:val="C00000"/>
              </w:rPr>
              <w:t>1.21</w:t>
            </w:r>
            <w:r w:rsidRPr="0095651C">
              <w:rPr>
                <w:color w:val="C00000"/>
              </w:rPr>
              <w:br/>
              <w:t>(1.16-1.27)</w:t>
            </w:r>
          </w:p>
        </w:tc>
      </w:tr>
      <w:tr w:rsidR="0095651C" w:rsidRPr="00156F37" w14:paraId="1ABA286D"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0119F354"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Other respiratory disorders (CC 118)</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B987E1C" w14:textId="77777777" w:rsidR="0095651C" w:rsidRPr="0095651C" w:rsidRDefault="0095651C" w:rsidP="00042E5D">
            <w:pPr>
              <w:spacing w:after="0"/>
              <w:jc w:val="center"/>
              <w:rPr>
                <w:rFonts w:eastAsia="Calibri" w:cs="Times New Roman"/>
                <w:color w:val="C00000"/>
              </w:rPr>
            </w:pPr>
            <w:r w:rsidRPr="0095651C">
              <w:rPr>
                <w:color w:val="C00000"/>
              </w:rPr>
              <w:t>1.08</w:t>
            </w:r>
            <w:r w:rsidRPr="0095651C">
              <w:rPr>
                <w:color w:val="C00000"/>
              </w:rPr>
              <w:br/>
              <w:t>(1.02-1.15)</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42AD28A" w14:textId="77777777" w:rsidR="0095651C" w:rsidRPr="0095651C" w:rsidRDefault="0095651C" w:rsidP="00042E5D">
            <w:pPr>
              <w:spacing w:after="0"/>
              <w:jc w:val="center"/>
              <w:rPr>
                <w:rFonts w:eastAsia="Calibri" w:cs="Times New Roman"/>
                <w:color w:val="C00000"/>
              </w:rPr>
            </w:pPr>
            <w:r w:rsidRPr="0095651C">
              <w:rPr>
                <w:color w:val="C00000"/>
              </w:rPr>
              <w:t>1.12</w:t>
            </w:r>
            <w:r w:rsidRPr="0095651C">
              <w:rPr>
                <w:color w:val="C00000"/>
              </w:rPr>
              <w:br/>
              <w:t>(1.05-1.19)</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9DBB951" w14:textId="77777777" w:rsidR="0095651C" w:rsidRPr="0095651C" w:rsidRDefault="0095651C" w:rsidP="00042E5D">
            <w:pPr>
              <w:spacing w:after="0"/>
              <w:jc w:val="center"/>
              <w:rPr>
                <w:rFonts w:eastAsia="Calibri" w:cs="Times New Roman"/>
                <w:color w:val="C00000"/>
              </w:rPr>
            </w:pPr>
            <w:r w:rsidRPr="0095651C">
              <w:rPr>
                <w:color w:val="C00000"/>
              </w:rPr>
              <w:t>1.09</w:t>
            </w:r>
            <w:r w:rsidRPr="0095651C">
              <w:rPr>
                <w:color w:val="C00000"/>
              </w:rPr>
              <w:br/>
              <w:t>(1.02-1.15)</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D6159AC" w14:textId="77777777" w:rsidR="0095651C" w:rsidRPr="0095651C" w:rsidRDefault="0095651C" w:rsidP="00042E5D">
            <w:pPr>
              <w:spacing w:after="0"/>
              <w:jc w:val="center"/>
              <w:rPr>
                <w:rFonts w:eastAsia="Calibri" w:cs="Times New Roman"/>
                <w:color w:val="C00000"/>
              </w:rPr>
            </w:pPr>
            <w:r w:rsidRPr="0095651C">
              <w:rPr>
                <w:color w:val="C00000"/>
              </w:rPr>
              <w:t>1.10</w:t>
            </w:r>
            <w:r w:rsidRPr="0095651C">
              <w:rPr>
                <w:color w:val="C00000"/>
              </w:rPr>
              <w:br/>
              <w:t>(1.06-1.14)</w:t>
            </w:r>
          </w:p>
        </w:tc>
      </w:tr>
      <w:tr w:rsidR="0095651C" w:rsidRPr="00156F37" w14:paraId="25225957"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72ADAAB2"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Dialysis status (CC 134)</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B7A6B59" w14:textId="77777777" w:rsidR="0095651C" w:rsidRPr="0095651C" w:rsidRDefault="0095651C" w:rsidP="00042E5D">
            <w:pPr>
              <w:spacing w:after="0"/>
              <w:jc w:val="center"/>
              <w:rPr>
                <w:rFonts w:eastAsia="Calibri" w:cs="Times New Roman"/>
                <w:color w:val="C00000"/>
              </w:rPr>
            </w:pPr>
            <w:r w:rsidRPr="0095651C">
              <w:rPr>
                <w:color w:val="C00000"/>
              </w:rPr>
              <w:t>1.56</w:t>
            </w:r>
            <w:r w:rsidRPr="0095651C">
              <w:rPr>
                <w:color w:val="C00000"/>
              </w:rPr>
              <w:br/>
              <w:t>(1.33-1.83)</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7274F265" w14:textId="77777777" w:rsidR="0095651C" w:rsidRPr="0095651C" w:rsidRDefault="0095651C" w:rsidP="00042E5D">
            <w:pPr>
              <w:spacing w:after="0"/>
              <w:jc w:val="center"/>
              <w:rPr>
                <w:rFonts w:eastAsia="Calibri" w:cs="Times New Roman"/>
                <w:color w:val="C00000"/>
              </w:rPr>
            </w:pPr>
            <w:r w:rsidRPr="0095651C">
              <w:rPr>
                <w:color w:val="C00000"/>
              </w:rPr>
              <w:t>1.44</w:t>
            </w:r>
            <w:r w:rsidRPr="0095651C">
              <w:rPr>
                <w:color w:val="C00000"/>
              </w:rPr>
              <w:br/>
              <w:t>(1.22-1.69)</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0B840E52" w14:textId="77777777" w:rsidR="0095651C" w:rsidRPr="0095651C" w:rsidRDefault="0095651C" w:rsidP="00042E5D">
            <w:pPr>
              <w:spacing w:after="0"/>
              <w:jc w:val="center"/>
              <w:rPr>
                <w:rFonts w:eastAsia="Calibri" w:cs="Times New Roman"/>
                <w:color w:val="C00000"/>
              </w:rPr>
            </w:pPr>
            <w:r w:rsidRPr="0095651C">
              <w:rPr>
                <w:color w:val="C00000"/>
              </w:rPr>
              <w:t>1.44</w:t>
            </w:r>
            <w:r w:rsidRPr="0095651C">
              <w:rPr>
                <w:color w:val="C00000"/>
              </w:rPr>
              <w:br/>
              <w:t>(1.21-1.70)</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4261C8E" w14:textId="77777777" w:rsidR="0095651C" w:rsidRPr="0095651C" w:rsidRDefault="0095651C" w:rsidP="00042E5D">
            <w:pPr>
              <w:spacing w:after="0"/>
              <w:jc w:val="center"/>
              <w:rPr>
                <w:rFonts w:eastAsia="Calibri" w:cs="Times New Roman"/>
                <w:color w:val="C00000"/>
              </w:rPr>
            </w:pPr>
            <w:r w:rsidRPr="0095651C">
              <w:rPr>
                <w:color w:val="C00000"/>
              </w:rPr>
              <w:t>1.47</w:t>
            </w:r>
            <w:r w:rsidRPr="0095651C">
              <w:rPr>
                <w:color w:val="C00000"/>
              </w:rPr>
              <w:br/>
              <w:t>(1.34-1.62)</w:t>
            </w:r>
          </w:p>
        </w:tc>
      </w:tr>
      <w:tr w:rsidR="0095651C" w:rsidRPr="00156F37" w14:paraId="32998086"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31CA2BB5"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Renal failure (CC 135-140)</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3FB9513" w14:textId="77777777" w:rsidR="0095651C" w:rsidRPr="0095651C" w:rsidRDefault="0095651C" w:rsidP="00042E5D">
            <w:pPr>
              <w:spacing w:after="0"/>
              <w:jc w:val="center"/>
              <w:rPr>
                <w:rFonts w:eastAsia="Calibri" w:cs="Times New Roman"/>
                <w:color w:val="C00000"/>
              </w:rPr>
            </w:pPr>
            <w:r w:rsidRPr="0095651C">
              <w:rPr>
                <w:color w:val="C00000"/>
              </w:rPr>
              <w:t>1.36</w:t>
            </w:r>
            <w:r w:rsidRPr="0095651C">
              <w:rPr>
                <w:color w:val="C00000"/>
              </w:rPr>
              <w:br/>
              <w:t>(1.27-1.45)</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5592B6F8" w14:textId="77777777" w:rsidR="0095651C" w:rsidRPr="0095651C" w:rsidRDefault="0095651C" w:rsidP="00042E5D">
            <w:pPr>
              <w:spacing w:after="0"/>
              <w:jc w:val="center"/>
              <w:rPr>
                <w:rFonts w:eastAsia="Calibri" w:cs="Times New Roman"/>
                <w:color w:val="C00000"/>
              </w:rPr>
            </w:pPr>
            <w:r w:rsidRPr="0095651C">
              <w:rPr>
                <w:color w:val="C00000"/>
              </w:rPr>
              <w:t>1.37</w:t>
            </w:r>
            <w:r w:rsidRPr="0095651C">
              <w:rPr>
                <w:color w:val="C00000"/>
              </w:rPr>
              <w:br/>
              <w:t>(1.28-1.46)</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882235A" w14:textId="77777777" w:rsidR="0095651C" w:rsidRPr="0095651C" w:rsidRDefault="0095651C" w:rsidP="00042E5D">
            <w:pPr>
              <w:spacing w:after="0"/>
              <w:jc w:val="center"/>
              <w:rPr>
                <w:rFonts w:eastAsia="Calibri" w:cs="Times New Roman"/>
                <w:color w:val="C00000"/>
              </w:rPr>
            </w:pPr>
            <w:r w:rsidRPr="0095651C">
              <w:rPr>
                <w:color w:val="C00000"/>
              </w:rPr>
              <w:t>1.32</w:t>
            </w:r>
            <w:r w:rsidRPr="0095651C">
              <w:rPr>
                <w:color w:val="C00000"/>
              </w:rPr>
              <w:br/>
              <w:t>(1.23-1.40)</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33933D0A" w14:textId="77777777" w:rsidR="0095651C" w:rsidRPr="0095651C" w:rsidRDefault="0095651C" w:rsidP="00042E5D">
            <w:pPr>
              <w:spacing w:after="0"/>
              <w:jc w:val="center"/>
              <w:rPr>
                <w:rFonts w:eastAsia="Calibri" w:cs="Times New Roman"/>
                <w:color w:val="C00000"/>
              </w:rPr>
            </w:pPr>
            <w:r w:rsidRPr="0095651C">
              <w:rPr>
                <w:color w:val="C00000"/>
              </w:rPr>
              <w:t>1.35</w:t>
            </w:r>
            <w:r w:rsidRPr="0095651C">
              <w:rPr>
                <w:color w:val="C00000"/>
              </w:rPr>
              <w:br/>
              <w:t>(1.30-1.40)</w:t>
            </w:r>
          </w:p>
        </w:tc>
      </w:tr>
      <w:tr w:rsidR="0095651C" w:rsidRPr="00156F37" w14:paraId="0B94920D" w14:textId="77777777" w:rsidTr="0095651C">
        <w:trPr>
          <w:cantSplit/>
          <w:trHeight w:val="20"/>
          <w:jc w:val="center"/>
        </w:trPr>
        <w:tc>
          <w:tcPr>
            <w:tcW w:w="2047" w:type="pct"/>
            <w:tcBorders>
              <w:top w:val="single" w:sz="4" w:space="0" w:color="auto"/>
              <w:left w:val="single" w:sz="4" w:space="0" w:color="auto"/>
              <w:bottom w:val="single" w:sz="4" w:space="0" w:color="auto"/>
              <w:right w:val="single" w:sz="4" w:space="0" w:color="auto"/>
            </w:tcBorders>
            <w:vAlign w:val="center"/>
          </w:tcPr>
          <w:p w14:paraId="45E470FE" w14:textId="77777777" w:rsidR="0095651C" w:rsidRPr="0095651C" w:rsidRDefault="0095651C" w:rsidP="00042E5D">
            <w:pPr>
              <w:spacing w:after="0"/>
              <w:ind w:left="66"/>
              <w:rPr>
                <w:rFonts w:eastAsia="Times New Roman" w:cs="Calibri"/>
                <w:color w:val="C00000"/>
              </w:rPr>
            </w:pPr>
            <w:r w:rsidRPr="0095651C">
              <w:rPr>
                <w:rFonts w:eastAsia="Times New Roman" w:cs="Times New Roman"/>
                <w:color w:val="C00000"/>
              </w:rPr>
              <w:t>Decubitus ulcer or chronic skin ulcer (CC 157-161)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7CF91B8" w14:textId="77777777" w:rsidR="0095651C" w:rsidRPr="0095651C" w:rsidRDefault="0095651C" w:rsidP="00042E5D">
            <w:pPr>
              <w:spacing w:after="0"/>
              <w:jc w:val="center"/>
              <w:rPr>
                <w:rFonts w:eastAsia="Calibri" w:cs="Times New Roman"/>
                <w:color w:val="C00000"/>
              </w:rPr>
            </w:pPr>
            <w:r w:rsidRPr="0095651C">
              <w:rPr>
                <w:color w:val="C00000"/>
              </w:rPr>
              <w:t>1.42</w:t>
            </w:r>
            <w:r w:rsidRPr="0095651C">
              <w:rPr>
                <w:color w:val="C00000"/>
              </w:rPr>
              <w:br/>
              <w:t>(1.24-1.62)</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21162AB2" w14:textId="77777777" w:rsidR="0095651C" w:rsidRPr="0095651C" w:rsidRDefault="0095651C" w:rsidP="00042E5D">
            <w:pPr>
              <w:spacing w:after="0"/>
              <w:jc w:val="center"/>
              <w:rPr>
                <w:rFonts w:eastAsia="Calibri" w:cs="Times New Roman"/>
                <w:color w:val="C00000"/>
              </w:rPr>
            </w:pPr>
            <w:r w:rsidRPr="0095651C">
              <w:rPr>
                <w:color w:val="C00000"/>
              </w:rPr>
              <w:t>1.22</w:t>
            </w:r>
            <w:r w:rsidRPr="0095651C">
              <w:rPr>
                <w:color w:val="C00000"/>
              </w:rPr>
              <w:br/>
              <w:t>(1.06-1.40)</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A70A2E3" w14:textId="77777777" w:rsidR="0095651C" w:rsidRPr="0095651C" w:rsidRDefault="0095651C" w:rsidP="00042E5D">
            <w:pPr>
              <w:spacing w:after="0"/>
              <w:jc w:val="center"/>
              <w:rPr>
                <w:rFonts w:eastAsia="Calibri" w:cs="Times New Roman"/>
                <w:color w:val="C00000"/>
              </w:rPr>
            </w:pPr>
            <w:r w:rsidRPr="0095651C">
              <w:rPr>
                <w:color w:val="C00000"/>
              </w:rPr>
              <w:t>1.34</w:t>
            </w:r>
            <w:r w:rsidRPr="0095651C">
              <w:rPr>
                <w:color w:val="C00000"/>
              </w:rPr>
              <w:br/>
              <w:t>(1.16-1.55)</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7E25CF74" w14:textId="77777777" w:rsidR="0095651C" w:rsidRPr="0095651C" w:rsidRDefault="0095651C" w:rsidP="00042E5D">
            <w:pPr>
              <w:spacing w:after="0"/>
              <w:jc w:val="center"/>
              <w:rPr>
                <w:rFonts w:eastAsia="Calibri" w:cs="Times New Roman"/>
                <w:color w:val="C00000"/>
              </w:rPr>
            </w:pPr>
            <w:r w:rsidRPr="0095651C">
              <w:rPr>
                <w:color w:val="C00000"/>
              </w:rPr>
              <w:t>1.32</w:t>
            </w:r>
            <w:r w:rsidRPr="0095651C">
              <w:rPr>
                <w:color w:val="C00000"/>
              </w:rPr>
              <w:br/>
              <w:t>(1.22-1.43)</w:t>
            </w:r>
          </w:p>
        </w:tc>
      </w:tr>
    </w:tbl>
    <w:p w14:paraId="0CABCFF7" w14:textId="35FB344D" w:rsidR="00092566" w:rsidRDefault="00092566" w:rsidP="00001D73">
      <w:pPr>
        <w:autoSpaceDE w:val="0"/>
        <w:autoSpaceDN w:val="0"/>
        <w:adjustRightInd w:val="0"/>
        <w:spacing w:after="0" w:line="240" w:lineRule="auto"/>
        <w:rPr>
          <w:rFonts w:cstheme="minorHAnsi"/>
          <w:b/>
          <w:bCs/>
        </w:rPr>
      </w:pPr>
    </w:p>
    <w:p w14:paraId="0CABCFF8" w14:textId="7DAE094D"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w:t>
      </w:r>
      <w:r w:rsidR="00B324DA">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49D751E" w14:textId="57A2FF80" w:rsidR="00B7404B" w:rsidRDefault="00B7404B" w:rsidP="00001D73">
      <w:pPr>
        <w:autoSpaceDE w:val="0"/>
        <w:autoSpaceDN w:val="0"/>
        <w:adjustRightInd w:val="0"/>
        <w:spacing w:after="0" w:line="240" w:lineRule="auto"/>
        <w:rPr>
          <w:rFonts w:cstheme="minorHAnsi"/>
          <w:b/>
          <w:bCs/>
        </w:rPr>
      </w:pPr>
    </w:p>
    <w:p w14:paraId="6A346FA4" w14:textId="747AB847" w:rsidR="00B7404B" w:rsidRPr="007C0E4E" w:rsidRDefault="00B7404B" w:rsidP="00B7404B">
      <w:pPr>
        <w:autoSpaceDE w:val="0"/>
        <w:autoSpaceDN w:val="0"/>
        <w:adjustRightInd w:val="0"/>
        <w:spacing w:after="0" w:line="240" w:lineRule="auto"/>
        <w:rPr>
          <w:rFonts w:cstheme="minorHAnsi"/>
          <w:bCs/>
          <w:color w:val="C00000"/>
        </w:rPr>
      </w:pPr>
      <w:r w:rsidRPr="007C0E4E">
        <w:rPr>
          <w:rFonts w:cstheme="minorHAnsi"/>
          <w:bCs/>
          <w:color w:val="C00000"/>
        </w:rPr>
        <w:t>Throughout this section, we present new SRF testing results based on the current testing dataset (2020); in addition, we show pri</w:t>
      </w:r>
      <w:r w:rsidR="0095651C">
        <w:rPr>
          <w:rFonts w:cstheme="minorHAnsi"/>
          <w:bCs/>
          <w:color w:val="C00000"/>
        </w:rPr>
        <w:t>or analyses included in the prior</w:t>
      </w:r>
      <w:r w:rsidRPr="007C0E4E">
        <w:rPr>
          <w:rFonts w:cstheme="minorHAnsi"/>
          <w:bCs/>
          <w:color w:val="C00000"/>
        </w:rPr>
        <w:t xml:space="preserve"> endorsement maintenance forms for comparison purposes. </w:t>
      </w:r>
    </w:p>
    <w:p w14:paraId="78ABCC1A" w14:textId="77777777" w:rsidR="00B7404B" w:rsidRPr="007C0E4E" w:rsidRDefault="00B7404B" w:rsidP="00B7404B">
      <w:pPr>
        <w:autoSpaceDE w:val="0"/>
        <w:autoSpaceDN w:val="0"/>
        <w:adjustRightInd w:val="0"/>
        <w:spacing w:after="0" w:line="240" w:lineRule="auto"/>
        <w:rPr>
          <w:rFonts w:cstheme="minorHAnsi"/>
          <w:bCs/>
          <w:u w:val="single"/>
        </w:rPr>
      </w:pPr>
    </w:p>
    <w:p w14:paraId="71C2065E" w14:textId="35BFE8C5" w:rsidR="00B7404B" w:rsidRPr="00E1127C" w:rsidRDefault="003F792D" w:rsidP="00B7404B">
      <w:pPr>
        <w:autoSpaceDE w:val="0"/>
        <w:autoSpaceDN w:val="0"/>
        <w:adjustRightInd w:val="0"/>
        <w:spacing w:after="0" w:line="240" w:lineRule="auto"/>
        <w:rPr>
          <w:rFonts w:cstheme="minorHAnsi"/>
          <w:bCs/>
          <w:color w:val="C00000"/>
          <w:u w:val="single"/>
        </w:rPr>
      </w:pPr>
      <w:r w:rsidRPr="00E1127C">
        <w:rPr>
          <w:rFonts w:cstheme="minorHAnsi"/>
          <w:bCs/>
          <w:color w:val="C00000"/>
          <w:u w:val="single"/>
        </w:rPr>
        <w:t xml:space="preserve">Table 6. </w:t>
      </w:r>
      <w:r w:rsidR="00B7404B" w:rsidRPr="00E1127C">
        <w:rPr>
          <w:rFonts w:cstheme="minorHAnsi"/>
          <w:bCs/>
          <w:color w:val="C00000"/>
          <w:u w:val="single"/>
        </w:rPr>
        <w:t>Variation in prevalence of the factor across measured entities in 2020</w:t>
      </w:r>
      <w:r w:rsidR="004D512C" w:rsidRPr="00E1127C">
        <w:rPr>
          <w:rFonts w:cstheme="minorHAnsi"/>
          <w:bCs/>
          <w:color w:val="C00000"/>
          <w:u w:val="single"/>
        </w:rPr>
        <w:t xml:space="preserve"> and 2016</w:t>
      </w:r>
    </w:p>
    <w:p w14:paraId="37B6A232" w14:textId="74792EB4" w:rsidR="007C0E4E" w:rsidRDefault="007C0E4E" w:rsidP="00B7404B">
      <w:pPr>
        <w:autoSpaceDE w:val="0"/>
        <w:autoSpaceDN w:val="0"/>
        <w:adjustRightInd w:val="0"/>
        <w:spacing w:after="0" w:line="240" w:lineRule="auto"/>
        <w:rPr>
          <w:rFonts w:cstheme="minorHAnsi"/>
          <w:bCs/>
          <w:color w:val="7030A0"/>
          <w:u w:val="single"/>
        </w:rPr>
      </w:pPr>
    </w:p>
    <w:tbl>
      <w:tblPr>
        <w:tblStyle w:val="TableGrid"/>
        <w:tblW w:w="0" w:type="auto"/>
        <w:tblInd w:w="1075" w:type="dxa"/>
        <w:tblLook w:val="04A0" w:firstRow="1" w:lastRow="0" w:firstColumn="1" w:lastColumn="0" w:noHBand="0" w:noVBand="1"/>
      </w:tblPr>
      <w:tblGrid>
        <w:gridCol w:w="2041"/>
        <w:gridCol w:w="2189"/>
        <w:gridCol w:w="2250"/>
      </w:tblGrid>
      <w:tr w:rsidR="007C0E4E" w14:paraId="5CEB8068" w14:textId="77777777" w:rsidTr="009026A4">
        <w:trPr>
          <w:cantSplit/>
          <w:tblHeader/>
        </w:trPr>
        <w:tc>
          <w:tcPr>
            <w:tcW w:w="2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71851E" w14:textId="77777777" w:rsidR="007C0E4E" w:rsidRDefault="007C0E4E" w:rsidP="009026A4">
            <w:pPr>
              <w:autoSpaceDE w:val="0"/>
              <w:autoSpaceDN w:val="0"/>
              <w:adjustRightInd w:val="0"/>
              <w:spacing w:before="120" w:after="120"/>
              <w:jc w:val="center"/>
              <w:rPr>
                <w:rFonts w:cstheme="minorHAnsi"/>
                <w:b/>
                <w:bCs/>
              </w:rPr>
            </w:pPr>
            <w:r>
              <w:rPr>
                <w:rFonts w:cstheme="minorHAnsi"/>
                <w:b/>
                <w:bCs/>
                <w:color w:val="7030A0"/>
              </w:rPr>
              <w:t>SRFs</w:t>
            </w:r>
          </w:p>
        </w:tc>
        <w:tc>
          <w:tcPr>
            <w:tcW w:w="2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0CC71C" w14:textId="77777777" w:rsidR="007C0E4E" w:rsidRDefault="007C0E4E" w:rsidP="009026A4">
            <w:pPr>
              <w:autoSpaceDE w:val="0"/>
              <w:autoSpaceDN w:val="0"/>
              <w:adjustRightInd w:val="0"/>
              <w:spacing w:before="120" w:after="120"/>
              <w:jc w:val="center"/>
              <w:rPr>
                <w:rFonts w:cstheme="minorHAnsi"/>
                <w:b/>
                <w:bCs/>
                <w:color w:val="C00000"/>
              </w:rPr>
            </w:pPr>
            <w:r>
              <w:rPr>
                <w:rFonts w:cstheme="minorHAnsi"/>
                <w:b/>
                <w:bCs/>
                <w:color w:val="C00000"/>
              </w:rPr>
              <w:t>2020 Prevalence</w:t>
            </w:r>
            <w:r>
              <w:rPr>
                <w:rFonts w:cstheme="minorHAnsi"/>
                <w:b/>
                <w:bCs/>
                <w:color w:val="C00000"/>
              </w:rPr>
              <w:br/>
              <w:t>% (IQR)</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3F56A4" w14:textId="77777777" w:rsidR="007C0E4E" w:rsidRDefault="007C0E4E" w:rsidP="009026A4">
            <w:pPr>
              <w:autoSpaceDE w:val="0"/>
              <w:autoSpaceDN w:val="0"/>
              <w:adjustRightInd w:val="0"/>
              <w:spacing w:before="120" w:after="120"/>
              <w:jc w:val="center"/>
              <w:rPr>
                <w:rFonts w:cstheme="minorHAnsi"/>
                <w:bCs/>
              </w:rPr>
            </w:pPr>
            <w:r>
              <w:rPr>
                <w:rFonts w:cstheme="minorHAnsi"/>
                <w:b/>
                <w:bCs/>
                <w:color w:val="7030A0"/>
              </w:rPr>
              <w:t>2016 Prevalence</w:t>
            </w:r>
            <w:r>
              <w:rPr>
                <w:rFonts w:cstheme="minorHAnsi"/>
                <w:b/>
                <w:bCs/>
                <w:color w:val="7030A0"/>
              </w:rPr>
              <w:br/>
              <w:t>% (IQR)</w:t>
            </w:r>
          </w:p>
        </w:tc>
      </w:tr>
      <w:tr w:rsidR="007C0E4E" w14:paraId="1CF06841" w14:textId="77777777" w:rsidTr="009026A4">
        <w:trPr>
          <w:cantSplit/>
          <w:tblHeader/>
        </w:trPr>
        <w:tc>
          <w:tcPr>
            <w:tcW w:w="2041" w:type="dxa"/>
            <w:tcBorders>
              <w:top w:val="single" w:sz="4" w:space="0" w:color="auto"/>
              <w:left w:val="single" w:sz="4" w:space="0" w:color="auto"/>
              <w:bottom w:val="single" w:sz="4" w:space="0" w:color="auto"/>
              <w:right w:val="single" w:sz="4" w:space="0" w:color="auto"/>
            </w:tcBorders>
            <w:hideMark/>
          </w:tcPr>
          <w:p w14:paraId="51AA03C6" w14:textId="77777777" w:rsidR="007C0E4E" w:rsidRDefault="007C0E4E" w:rsidP="009026A4">
            <w:pPr>
              <w:autoSpaceDE w:val="0"/>
              <w:autoSpaceDN w:val="0"/>
              <w:adjustRightInd w:val="0"/>
              <w:spacing w:before="120" w:after="120"/>
              <w:rPr>
                <w:rFonts w:cstheme="minorHAnsi"/>
                <w:bCs/>
                <w:color w:val="7030A0"/>
              </w:rPr>
            </w:pPr>
            <w:r>
              <w:rPr>
                <w:rFonts w:cstheme="minorHAnsi"/>
                <w:bCs/>
                <w:color w:val="7030A0"/>
              </w:rPr>
              <w:t>Dual</w:t>
            </w:r>
          </w:p>
        </w:tc>
        <w:tc>
          <w:tcPr>
            <w:tcW w:w="2189" w:type="dxa"/>
            <w:tcBorders>
              <w:top w:val="single" w:sz="4" w:space="0" w:color="auto"/>
              <w:left w:val="single" w:sz="4" w:space="0" w:color="auto"/>
              <w:bottom w:val="single" w:sz="4" w:space="0" w:color="auto"/>
              <w:right w:val="single" w:sz="4" w:space="0" w:color="auto"/>
            </w:tcBorders>
            <w:hideMark/>
          </w:tcPr>
          <w:p w14:paraId="025FB5A6" w14:textId="30196893" w:rsidR="007C0E4E" w:rsidRDefault="009E2856" w:rsidP="009026A4">
            <w:pPr>
              <w:autoSpaceDE w:val="0"/>
              <w:autoSpaceDN w:val="0"/>
              <w:adjustRightInd w:val="0"/>
              <w:spacing w:before="120" w:after="120"/>
              <w:jc w:val="center"/>
              <w:rPr>
                <w:rFonts w:cstheme="minorHAnsi"/>
                <w:bCs/>
                <w:color w:val="C00000"/>
              </w:rPr>
            </w:pPr>
            <w:r>
              <w:rPr>
                <w:rFonts w:cstheme="minorHAnsi"/>
                <w:bCs/>
                <w:color w:val="C00000"/>
              </w:rPr>
              <w:t>4</w:t>
            </w:r>
            <w:r w:rsidR="007C0E4E">
              <w:rPr>
                <w:rFonts w:cstheme="minorHAnsi"/>
                <w:bCs/>
                <w:color w:val="C00000"/>
              </w:rPr>
              <w:t>.70% (2.30-8.60%)</w:t>
            </w:r>
          </w:p>
        </w:tc>
        <w:tc>
          <w:tcPr>
            <w:tcW w:w="2250" w:type="dxa"/>
            <w:tcBorders>
              <w:top w:val="single" w:sz="4" w:space="0" w:color="auto"/>
              <w:left w:val="single" w:sz="4" w:space="0" w:color="auto"/>
              <w:bottom w:val="single" w:sz="4" w:space="0" w:color="auto"/>
              <w:right w:val="single" w:sz="4" w:space="0" w:color="auto"/>
            </w:tcBorders>
            <w:hideMark/>
          </w:tcPr>
          <w:p w14:paraId="2CC8584E" w14:textId="22985DAF" w:rsidR="007C0E4E" w:rsidRDefault="007C0E4E" w:rsidP="009026A4">
            <w:pPr>
              <w:autoSpaceDE w:val="0"/>
              <w:autoSpaceDN w:val="0"/>
              <w:adjustRightInd w:val="0"/>
              <w:spacing w:before="120" w:after="120"/>
              <w:jc w:val="center"/>
              <w:rPr>
                <w:rFonts w:cstheme="minorHAnsi"/>
                <w:bCs/>
                <w:color w:val="7030A0"/>
              </w:rPr>
            </w:pPr>
            <w:r>
              <w:rPr>
                <w:rFonts w:cstheme="minorHAnsi"/>
                <w:bCs/>
                <w:color w:val="7030A0"/>
              </w:rPr>
              <w:t>7.1% (4.4-11</w:t>
            </w:r>
            <w:r w:rsidR="001F25AB">
              <w:rPr>
                <w:rFonts w:cstheme="minorHAnsi"/>
                <w:bCs/>
                <w:color w:val="7030A0"/>
              </w:rPr>
              <w:t>.0</w:t>
            </w:r>
            <w:r>
              <w:rPr>
                <w:rFonts w:cstheme="minorHAnsi"/>
                <w:bCs/>
                <w:color w:val="7030A0"/>
              </w:rPr>
              <w:t>%)</w:t>
            </w:r>
          </w:p>
        </w:tc>
      </w:tr>
      <w:tr w:rsidR="007C0E4E" w14:paraId="184FC904" w14:textId="77777777" w:rsidTr="009026A4">
        <w:trPr>
          <w:cantSplit/>
          <w:tblHeader/>
        </w:trPr>
        <w:tc>
          <w:tcPr>
            <w:tcW w:w="2041" w:type="dxa"/>
            <w:tcBorders>
              <w:top w:val="single" w:sz="4" w:space="0" w:color="auto"/>
              <w:left w:val="single" w:sz="4" w:space="0" w:color="auto"/>
              <w:bottom w:val="single" w:sz="4" w:space="0" w:color="auto"/>
              <w:right w:val="single" w:sz="4" w:space="0" w:color="auto"/>
            </w:tcBorders>
            <w:hideMark/>
          </w:tcPr>
          <w:p w14:paraId="4DDC4DC5" w14:textId="77777777" w:rsidR="007C0E4E" w:rsidRDefault="007C0E4E" w:rsidP="009026A4">
            <w:pPr>
              <w:autoSpaceDE w:val="0"/>
              <w:autoSpaceDN w:val="0"/>
              <w:adjustRightInd w:val="0"/>
              <w:spacing w:before="120" w:after="120"/>
              <w:rPr>
                <w:rFonts w:cstheme="minorHAnsi"/>
                <w:bCs/>
                <w:color w:val="7030A0"/>
              </w:rPr>
            </w:pPr>
            <w:r>
              <w:rPr>
                <w:rFonts w:cstheme="minorHAnsi"/>
                <w:bCs/>
                <w:color w:val="7030A0"/>
              </w:rPr>
              <w:t xml:space="preserve">AHRQ Low SES </w:t>
            </w:r>
          </w:p>
        </w:tc>
        <w:tc>
          <w:tcPr>
            <w:tcW w:w="2189" w:type="dxa"/>
            <w:tcBorders>
              <w:top w:val="single" w:sz="4" w:space="0" w:color="auto"/>
              <w:left w:val="single" w:sz="4" w:space="0" w:color="auto"/>
              <w:bottom w:val="single" w:sz="4" w:space="0" w:color="auto"/>
              <w:right w:val="single" w:sz="4" w:space="0" w:color="auto"/>
            </w:tcBorders>
            <w:hideMark/>
          </w:tcPr>
          <w:p w14:paraId="17A05556" w14:textId="53F2B58E" w:rsidR="007C0E4E" w:rsidRDefault="007C0E4E" w:rsidP="009026A4">
            <w:pPr>
              <w:autoSpaceDE w:val="0"/>
              <w:autoSpaceDN w:val="0"/>
              <w:adjustRightInd w:val="0"/>
              <w:spacing w:before="120" w:after="120"/>
              <w:jc w:val="center"/>
              <w:rPr>
                <w:rFonts w:cstheme="minorHAnsi"/>
                <w:bCs/>
                <w:color w:val="C00000"/>
              </w:rPr>
            </w:pPr>
            <w:r>
              <w:rPr>
                <w:rFonts w:cstheme="minorHAnsi"/>
                <w:bCs/>
                <w:color w:val="C00000"/>
              </w:rPr>
              <w:t>14.6% (7.70-26.3%)</w:t>
            </w:r>
          </w:p>
        </w:tc>
        <w:tc>
          <w:tcPr>
            <w:tcW w:w="2250" w:type="dxa"/>
            <w:tcBorders>
              <w:top w:val="single" w:sz="4" w:space="0" w:color="auto"/>
              <w:left w:val="single" w:sz="4" w:space="0" w:color="auto"/>
              <w:bottom w:val="single" w:sz="4" w:space="0" w:color="auto"/>
              <w:right w:val="single" w:sz="4" w:space="0" w:color="auto"/>
            </w:tcBorders>
            <w:hideMark/>
          </w:tcPr>
          <w:p w14:paraId="7CF684C1" w14:textId="141721D4" w:rsidR="007C0E4E" w:rsidRDefault="007C0E4E" w:rsidP="009026A4">
            <w:pPr>
              <w:autoSpaceDE w:val="0"/>
              <w:autoSpaceDN w:val="0"/>
              <w:adjustRightInd w:val="0"/>
              <w:spacing w:before="120" w:after="120"/>
              <w:jc w:val="center"/>
              <w:rPr>
                <w:rFonts w:cstheme="minorHAnsi"/>
                <w:bCs/>
                <w:color w:val="7030A0"/>
              </w:rPr>
            </w:pPr>
            <w:r>
              <w:rPr>
                <w:rFonts w:cstheme="minorHAnsi"/>
                <w:bCs/>
                <w:color w:val="7030A0"/>
              </w:rPr>
              <w:t>18.5% (7.5-37.2%)</w:t>
            </w:r>
          </w:p>
        </w:tc>
      </w:tr>
    </w:tbl>
    <w:p w14:paraId="6801A7B9" w14:textId="77777777" w:rsidR="007C0E4E" w:rsidRPr="007C0E4E" w:rsidRDefault="007C0E4E" w:rsidP="00B7404B">
      <w:pPr>
        <w:autoSpaceDE w:val="0"/>
        <w:autoSpaceDN w:val="0"/>
        <w:adjustRightInd w:val="0"/>
        <w:spacing w:after="0" w:line="240" w:lineRule="auto"/>
        <w:rPr>
          <w:rFonts w:cstheme="minorHAnsi"/>
          <w:bCs/>
          <w:color w:val="7030A0"/>
          <w:u w:val="single"/>
        </w:rPr>
      </w:pPr>
    </w:p>
    <w:p w14:paraId="0AAE7D14" w14:textId="562117BE" w:rsidR="007C0E4E" w:rsidRPr="007C0E4E" w:rsidRDefault="007C0E4E" w:rsidP="007C0E4E">
      <w:pPr>
        <w:autoSpaceDE w:val="0"/>
        <w:autoSpaceDN w:val="0"/>
        <w:adjustRightInd w:val="0"/>
        <w:spacing w:after="0" w:line="240" w:lineRule="auto"/>
        <w:rPr>
          <w:rFonts w:cstheme="minorHAnsi"/>
          <w:bCs/>
          <w:color w:val="C00000"/>
        </w:rPr>
      </w:pPr>
      <w:r w:rsidRPr="007C0E4E">
        <w:rPr>
          <w:rFonts w:cstheme="minorHAnsi"/>
          <w:bCs/>
          <w:color w:val="C00000"/>
        </w:rPr>
        <w:t>The prevalence of social risk factors in the CABG cohort varies widely across measured entities in 2020. The median percentage o</w:t>
      </w:r>
      <w:r w:rsidR="009E2856">
        <w:rPr>
          <w:rFonts w:cstheme="minorHAnsi"/>
          <w:bCs/>
          <w:color w:val="C00000"/>
        </w:rPr>
        <w:t>f dual eligible patients was 4.7</w:t>
      </w:r>
      <w:r w:rsidRPr="007C0E4E">
        <w:rPr>
          <w:rFonts w:cstheme="minorHAnsi"/>
          <w:bCs/>
          <w:color w:val="C00000"/>
        </w:rPr>
        <w:t xml:space="preserve">0% (IQR 2.30%-8.60%) and the median </w:t>
      </w:r>
      <w:r w:rsidRPr="007C0E4E">
        <w:rPr>
          <w:rFonts w:cstheme="minorHAnsi"/>
          <w:bCs/>
          <w:color w:val="C00000"/>
        </w:rPr>
        <w:lastRenderedPageBreak/>
        <w:t>percentage of patients with an AHRQ SES index score adjusted for cost of living at the census block group level equal to or below 42.7</w:t>
      </w:r>
      <w:r w:rsidR="00065406">
        <w:rPr>
          <w:rFonts w:cstheme="minorHAnsi"/>
          <w:bCs/>
          <w:color w:val="C00000"/>
        </w:rPr>
        <w:t xml:space="preserve"> (lowest quartile)</w:t>
      </w:r>
      <w:r w:rsidRPr="007C0E4E">
        <w:rPr>
          <w:rFonts w:cstheme="minorHAnsi"/>
          <w:bCs/>
          <w:color w:val="C00000"/>
        </w:rPr>
        <w:t xml:space="preserve"> was 14.6% (IQR 7.70%-26.3%) in 2020. These results are consistent</w:t>
      </w:r>
      <w:r w:rsidR="00E34807">
        <w:rPr>
          <w:rFonts w:cstheme="minorHAnsi"/>
          <w:bCs/>
          <w:color w:val="C00000"/>
        </w:rPr>
        <w:t xml:space="preserve"> </w:t>
      </w:r>
      <w:r w:rsidRPr="007C0E4E">
        <w:rPr>
          <w:rFonts w:cstheme="minorHAnsi"/>
          <w:bCs/>
          <w:color w:val="C00000"/>
        </w:rPr>
        <w:t xml:space="preserve">with </w:t>
      </w:r>
      <w:r w:rsidR="00E34807">
        <w:rPr>
          <w:rFonts w:cstheme="minorHAnsi"/>
          <w:bCs/>
          <w:color w:val="C00000"/>
        </w:rPr>
        <w:t>although lower than</w:t>
      </w:r>
      <w:r w:rsidR="00E34807" w:rsidRPr="007C0E4E">
        <w:rPr>
          <w:rFonts w:cstheme="minorHAnsi"/>
          <w:bCs/>
          <w:color w:val="C00000"/>
        </w:rPr>
        <w:t xml:space="preserve"> </w:t>
      </w:r>
      <w:r w:rsidRPr="007C0E4E">
        <w:rPr>
          <w:rFonts w:cstheme="minorHAnsi"/>
          <w:bCs/>
          <w:color w:val="C00000"/>
        </w:rPr>
        <w:t>th</w:t>
      </w:r>
      <w:r w:rsidR="009E2856">
        <w:rPr>
          <w:rFonts w:cstheme="minorHAnsi"/>
          <w:bCs/>
          <w:color w:val="C00000"/>
        </w:rPr>
        <w:t>e 2016 results presented above.</w:t>
      </w:r>
      <w:r w:rsidR="00BF0127">
        <w:rPr>
          <w:rFonts w:cstheme="minorHAnsi"/>
          <w:bCs/>
          <w:color w:val="C00000"/>
        </w:rPr>
        <w:t xml:space="preserve"> </w:t>
      </w:r>
    </w:p>
    <w:p w14:paraId="604C12B8" w14:textId="631E5B6E" w:rsidR="007C0E4E" w:rsidRDefault="007C0E4E" w:rsidP="00001D73">
      <w:pPr>
        <w:autoSpaceDE w:val="0"/>
        <w:autoSpaceDN w:val="0"/>
        <w:adjustRightInd w:val="0"/>
        <w:spacing w:after="0" w:line="240" w:lineRule="auto"/>
        <w:rPr>
          <w:rFonts w:cstheme="minorHAnsi"/>
          <w:b/>
          <w:bCs/>
        </w:rPr>
      </w:pPr>
    </w:p>
    <w:p w14:paraId="2FB0784D" w14:textId="37AD9950" w:rsidR="007C0E4E" w:rsidRPr="00E1127C" w:rsidRDefault="003F792D" w:rsidP="007C0E4E">
      <w:pPr>
        <w:autoSpaceDE w:val="0"/>
        <w:autoSpaceDN w:val="0"/>
        <w:adjustRightInd w:val="0"/>
        <w:spacing w:after="0" w:line="240" w:lineRule="auto"/>
        <w:rPr>
          <w:rFonts w:cstheme="minorHAnsi"/>
          <w:bCs/>
          <w:color w:val="C00000"/>
          <w:u w:val="single"/>
        </w:rPr>
      </w:pPr>
      <w:r w:rsidRPr="00E1127C">
        <w:rPr>
          <w:rFonts w:cstheme="minorHAnsi"/>
          <w:bCs/>
          <w:color w:val="C00000"/>
          <w:u w:val="single"/>
        </w:rPr>
        <w:t xml:space="preserve">Table 7. </w:t>
      </w:r>
      <w:r w:rsidR="004D512C" w:rsidRPr="00E1127C">
        <w:rPr>
          <w:rFonts w:cstheme="minorHAnsi"/>
          <w:bCs/>
          <w:color w:val="C00000"/>
          <w:u w:val="single"/>
        </w:rPr>
        <w:t xml:space="preserve">Comparison of observed readmission rates in patients with and without social risk </w:t>
      </w:r>
      <w:r w:rsidR="007C0E4E" w:rsidRPr="00E1127C">
        <w:rPr>
          <w:rFonts w:cstheme="minorHAnsi"/>
          <w:bCs/>
          <w:color w:val="C00000"/>
          <w:u w:val="single"/>
        </w:rPr>
        <w:t xml:space="preserve">in 2020 and </w:t>
      </w:r>
      <w:r w:rsidR="005335E0" w:rsidRPr="00E1127C">
        <w:rPr>
          <w:rFonts w:cstheme="minorHAnsi"/>
          <w:bCs/>
          <w:color w:val="C00000"/>
          <w:u w:val="single"/>
        </w:rPr>
        <w:t>2016</w:t>
      </w:r>
    </w:p>
    <w:p w14:paraId="483FA63C" w14:textId="569AD3B9" w:rsidR="007C0E4E" w:rsidRDefault="007C0E4E" w:rsidP="00001D73">
      <w:pPr>
        <w:autoSpaceDE w:val="0"/>
        <w:autoSpaceDN w:val="0"/>
        <w:adjustRightInd w:val="0"/>
        <w:spacing w:after="0" w:line="240" w:lineRule="auto"/>
        <w:rPr>
          <w:rFonts w:cstheme="minorHAnsi"/>
          <w:bCs/>
        </w:rPr>
      </w:pPr>
    </w:p>
    <w:tbl>
      <w:tblPr>
        <w:tblStyle w:val="TableGrid"/>
        <w:tblW w:w="0" w:type="auto"/>
        <w:tblInd w:w="85" w:type="dxa"/>
        <w:tblLook w:val="04A0" w:firstRow="1" w:lastRow="0" w:firstColumn="1" w:lastColumn="0" w:noHBand="0" w:noVBand="1"/>
      </w:tblPr>
      <w:tblGrid>
        <w:gridCol w:w="4050"/>
        <w:gridCol w:w="2250"/>
        <w:gridCol w:w="2160"/>
      </w:tblGrid>
      <w:tr w:rsidR="007C0E4E" w14:paraId="7AF040F3" w14:textId="77777777" w:rsidTr="009026A4">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8DDDE0" w14:textId="77777777" w:rsidR="007C0E4E" w:rsidRDefault="007C0E4E" w:rsidP="009026A4">
            <w:pPr>
              <w:autoSpaceDE w:val="0"/>
              <w:autoSpaceDN w:val="0"/>
              <w:adjustRightInd w:val="0"/>
              <w:spacing w:before="120" w:after="120"/>
              <w:rPr>
                <w:rFonts w:cstheme="minorHAnsi"/>
                <w:b/>
                <w:bCs/>
                <w:color w:val="7030A0"/>
              </w:rPr>
            </w:pPr>
            <w:bookmarkStart w:id="27" w:name="_Hlk40183568"/>
            <w:r>
              <w:rPr>
                <w:rFonts w:cstheme="minorHAnsi"/>
                <w:b/>
                <w:bCs/>
                <w:color w:val="7030A0"/>
              </w:rPr>
              <w:t>SRFs</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85E42B" w14:textId="77777777" w:rsidR="007C0E4E" w:rsidRDefault="007C0E4E" w:rsidP="009026A4">
            <w:pPr>
              <w:autoSpaceDE w:val="0"/>
              <w:autoSpaceDN w:val="0"/>
              <w:adjustRightInd w:val="0"/>
              <w:spacing w:before="120" w:after="120"/>
              <w:rPr>
                <w:rFonts w:cstheme="minorHAnsi"/>
                <w:b/>
                <w:bCs/>
                <w:color w:val="C00000"/>
              </w:rPr>
            </w:pPr>
            <w:r>
              <w:rPr>
                <w:rFonts w:cstheme="minorHAnsi"/>
                <w:b/>
                <w:bCs/>
                <w:color w:val="C00000"/>
              </w:rPr>
              <w:t>2020 Observed Rate</w:t>
            </w:r>
          </w:p>
        </w:tc>
        <w:tc>
          <w:tcPr>
            <w:tcW w:w="2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8F20F5" w14:textId="77777777" w:rsidR="007C0E4E" w:rsidRDefault="007C0E4E" w:rsidP="009026A4">
            <w:pPr>
              <w:autoSpaceDE w:val="0"/>
              <w:autoSpaceDN w:val="0"/>
              <w:adjustRightInd w:val="0"/>
              <w:spacing w:before="120" w:after="120"/>
              <w:rPr>
                <w:rFonts w:cstheme="minorHAnsi"/>
                <w:bCs/>
                <w:color w:val="7030A0"/>
              </w:rPr>
            </w:pPr>
            <w:r>
              <w:rPr>
                <w:rFonts w:cstheme="minorHAnsi"/>
                <w:b/>
                <w:bCs/>
                <w:color w:val="7030A0"/>
              </w:rPr>
              <w:t>2016 Observed Rate</w:t>
            </w:r>
          </w:p>
        </w:tc>
      </w:tr>
      <w:tr w:rsidR="007C0E4E" w14:paraId="68714136" w14:textId="77777777" w:rsidTr="009026A4">
        <w:tc>
          <w:tcPr>
            <w:tcW w:w="4050" w:type="dxa"/>
            <w:tcBorders>
              <w:top w:val="single" w:sz="4" w:space="0" w:color="auto"/>
              <w:left w:val="single" w:sz="4" w:space="0" w:color="auto"/>
              <w:bottom w:val="single" w:sz="4" w:space="0" w:color="auto"/>
              <w:right w:val="single" w:sz="4" w:space="0" w:color="auto"/>
            </w:tcBorders>
            <w:hideMark/>
          </w:tcPr>
          <w:p w14:paraId="6DF8A455" w14:textId="77777777" w:rsidR="007C0E4E" w:rsidRDefault="007C0E4E" w:rsidP="009026A4">
            <w:pPr>
              <w:autoSpaceDE w:val="0"/>
              <w:autoSpaceDN w:val="0"/>
              <w:adjustRightInd w:val="0"/>
              <w:spacing w:before="120" w:after="120"/>
              <w:rPr>
                <w:rFonts w:cstheme="minorHAnsi"/>
                <w:bCs/>
                <w:color w:val="7030A0"/>
              </w:rPr>
            </w:pPr>
            <w:r>
              <w:rPr>
                <w:rFonts w:cstheme="minorHAnsi"/>
                <w:bCs/>
                <w:color w:val="7030A0"/>
              </w:rPr>
              <w:t>Dual (vs. Non-Dual)</w:t>
            </w:r>
          </w:p>
        </w:tc>
        <w:tc>
          <w:tcPr>
            <w:tcW w:w="2250" w:type="dxa"/>
            <w:tcBorders>
              <w:top w:val="single" w:sz="4" w:space="0" w:color="auto"/>
              <w:left w:val="single" w:sz="4" w:space="0" w:color="auto"/>
              <w:bottom w:val="single" w:sz="4" w:space="0" w:color="auto"/>
              <w:right w:val="single" w:sz="4" w:space="0" w:color="auto"/>
            </w:tcBorders>
            <w:hideMark/>
          </w:tcPr>
          <w:p w14:paraId="76C54D08" w14:textId="372D7F44" w:rsidR="007C0E4E" w:rsidRDefault="007C0E4E" w:rsidP="009026A4">
            <w:pPr>
              <w:autoSpaceDE w:val="0"/>
              <w:autoSpaceDN w:val="0"/>
              <w:adjustRightInd w:val="0"/>
              <w:spacing w:before="120" w:after="120"/>
              <w:jc w:val="center"/>
              <w:rPr>
                <w:rFonts w:cstheme="minorHAnsi"/>
                <w:bCs/>
                <w:color w:val="C00000"/>
              </w:rPr>
            </w:pPr>
            <w:r>
              <w:rPr>
                <w:rFonts w:cstheme="minorHAnsi"/>
                <w:bCs/>
                <w:color w:val="C00000"/>
              </w:rPr>
              <w:t>19.2% (vs. 12.3%)</w:t>
            </w:r>
          </w:p>
        </w:tc>
        <w:tc>
          <w:tcPr>
            <w:tcW w:w="2160" w:type="dxa"/>
            <w:tcBorders>
              <w:top w:val="single" w:sz="4" w:space="0" w:color="auto"/>
              <w:left w:val="single" w:sz="4" w:space="0" w:color="auto"/>
              <w:bottom w:val="single" w:sz="4" w:space="0" w:color="auto"/>
              <w:right w:val="single" w:sz="4" w:space="0" w:color="auto"/>
            </w:tcBorders>
            <w:hideMark/>
          </w:tcPr>
          <w:p w14:paraId="0A292B5D" w14:textId="731EB6DF" w:rsidR="007C0E4E" w:rsidRDefault="001F25AB" w:rsidP="009026A4">
            <w:pPr>
              <w:autoSpaceDE w:val="0"/>
              <w:autoSpaceDN w:val="0"/>
              <w:adjustRightInd w:val="0"/>
              <w:spacing w:before="120" w:after="120"/>
              <w:jc w:val="center"/>
              <w:rPr>
                <w:rFonts w:cstheme="minorHAnsi"/>
                <w:bCs/>
                <w:color w:val="7030A0"/>
              </w:rPr>
            </w:pPr>
            <w:r>
              <w:rPr>
                <w:rFonts w:cstheme="minorHAnsi"/>
                <w:bCs/>
                <w:color w:val="7030A0"/>
              </w:rPr>
              <w:t>19.5% (vs. 14.5</w:t>
            </w:r>
            <w:r w:rsidR="007C0E4E">
              <w:rPr>
                <w:rFonts w:cstheme="minorHAnsi"/>
                <w:bCs/>
                <w:color w:val="7030A0"/>
              </w:rPr>
              <w:t>%)</w:t>
            </w:r>
          </w:p>
        </w:tc>
      </w:tr>
      <w:tr w:rsidR="007C0E4E" w14:paraId="4B88953B" w14:textId="77777777" w:rsidTr="009026A4">
        <w:tc>
          <w:tcPr>
            <w:tcW w:w="4050" w:type="dxa"/>
            <w:tcBorders>
              <w:top w:val="single" w:sz="4" w:space="0" w:color="auto"/>
              <w:left w:val="single" w:sz="4" w:space="0" w:color="auto"/>
              <w:bottom w:val="single" w:sz="4" w:space="0" w:color="auto"/>
              <w:right w:val="single" w:sz="4" w:space="0" w:color="auto"/>
            </w:tcBorders>
            <w:hideMark/>
          </w:tcPr>
          <w:p w14:paraId="5BDF97D2" w14:textId="77777777" w:rsidR="007C0E4E" w:rsidRDefault="007C0E4E" w:rsidP="009026A4">
            <w:pPr>
              <w:autoSpaceDE w:val="0"/>
              <w:autoSpaceDN w:val="0"/>
              <w:adjustRightInd w:val="0"/>
              <w:spacing w:before="120" w:after="120"/>
              <w:rPr>
                <w:rFonts w:cstheme="minorHAnsi"/>
                <w:bCs/>
                <w:color w:val="7030A0"/>
              </w:rPr>
            </w:pPr>
            <w:r>
              <w:rPr>
                <w:rFonts w:cstheme="minorHAnsi"/>
                <w:bCs/>
                <w:color w:val="7030A0"/>
              </w:rPr>
              <w:t>AHRQ Low SES (vs. SES score above 42.7)</w:t>
            </w:r>
          </w:p>
        </w:tc>
        <w:tc>
          <w:tcPr>
            <w:tcW w:w="2250" w:type="dxa"/>
            <w:tcBorders>
              <w:top w:val="single" w:sz="4" w:space="0" w:color="auto"/>
              <w:left w:val="single" w:sz="4" w:space="0" w:color="auto"/>
              <w:bottom w:val="single" w:sz="4" w:space="0" w:color="auto"/>
              <w:right w:val="single" w:sz="4" w:space="0" w:color="auto"/>
            </w:tcBorders>
            <w:hideMark/>
          </w:tcPr>
          <w:p w14:paraId="2BD04003" w14:textId="4A550567" w:rsidR="007C0E4E" w:rsidRDefault="00CB77BA" w:rsidP="009026A4">
            <w:pPr>
              <w:autoSpaceDE w:val="0"/>
              <w:autoSpaceDN w:val="0"/>
              <w:adjustRightInd w:val="0"/>
              <w:spacing w:before="120" w:after="120"/>
              <w:jc w:val="center"/>
              <w:rPr>
                <w:rFonts w:cstheme="minorHAnsi"/>
                <w:bCs/>
                <w:color w:val="C00000"/>
              </w:rPr>
            </w:pPr>
            <w:r>
              <w:rPr>
                <w:rFonts w:cstheme="minorHAnsi"/>
                <w:bCs/>
                <w:color w:val="C00000"/>
              </w:rPr>
              <w:t>14.8% (vs 12</w:t>
            </w:r>
            <w:r w:rsidR="007C0E4E">
              <w:rPr>
                <w:rFonts w:cstheme="minorHAnsi"/>
                <w:bCs/>
                <w:color w:val="C00000"/>
              </w:rPr>
              <w:t>.3%)</w:t>
            </w:r>
          </w:p>
        </w:tc>
        <w:tc>
          <w:tcPr>
            <w:tcW w:w="2160" w:type="dxa"/>
            <w:tcBorders>
              <w:top w:val="single" w:sz="4" w:space="0" w:color="auto"/>
              <w:left w:val="single" w:sz="4" w:space="0" w:color="auto"/>
              <w:bottom w:val="single" w:sz="4" w:space="0" w:color="auto"/>
              <w:right w:val="single" w:sz="4" w:space="0" w:color="auto"/>
            </w:tcBorders>
            <w:hideMark/>
          </w:tcPr>
          <w:p w14:paraId="6F347C11" w14:textId="0A185163" w:rsidR="007C0E4E" w:rsidRDefault="001F25AB" w:rsidP="009026A4">
            <w:pPr>
              <w:autoSpaceDE w:val="0"/>
              <w:autoSpaceDN w:val="0"/>
              <w:adjustRightInd w:val="0"/>
              <w:spacing w:before="120" w:after="120"/>
              <w:jc w:val="center"/>
              <w:rPr>
                <w:rFonts w:cstheme="minorHAnsi"/>
                <w:bCs/>
                <w:color w:val="7030A0"/>
              </w:rPr>
            </w:pPr>
            <w:r>
              <w:rPr>
                <w:rFonts w:cstheme="minorHAnsi"/>
                <w:bCs/>
                <w:color w:val="7030A0"/>
              </w:rPr>
              <w:t>16.1% (vs. 14.6</w:t>
            </w:r>
            <w:r w:rsidR="007C0E4E">
              <w:rPr>
                <w:rFonts w:cstheme="minorHAnsi"/>
                <w:bCs/>
                <w:color w:val="7030A0"/>
              </w:rPr>
              <w:t>%)</w:t>
            </w:r>
          </w:p>
        </w:tc>
        <w:bookmarkEnd w:id="27"/>
      </w:tr>
    </w:tbl>
    <w:p w14:paraId="0CB953AD" w14:textId="46C2E92D" w:rsidR="007C0E4E" w:rsidRDefault="007C0E4E" w:rsidP="00001D73">
      <w:pPr>
        <w:autoSpaceDE w:val="0"/>
        <w:autoSpaceDN w:val="0"/>
        <w:adjustRightInd w:val="0"/>
        <w:spacing w:after="0" w:line="240" w:lineRule="auto"/>
        <w:rPr>
          <w:rFonts w:cstheme="minorHAnsi"/>
          <w:bCs/>
        </w:rPr>
      </w:pPr>
    </w:p>
    <w:p w14:paraId="67FC90E7" w14:textId="769AA551" w:rsidR="007C0E4E" w:rsidRPr="007C0E4E" w:rsidRDefault="007C0E4E" w:rsidP="007C0E4E">
      <w:pPr>
        <w:autoSpaceDE w:val="0"/>
        <w:autoSpaceDN w:val="0"/>
        <w:adjustRightInd w:val="0"/>
        <w:spacing w:after="0" w:line="240" w:lineRule="auto"/>
        <w:rPr>
          <w:rFonts w:cstheme="minorHAnsi"/>
          <w:bCs/>
          <w:color w:val="C00000"/>
        </w:rPr>
      </w:pPr>
      <w:r w:rsidRPr="007C0E4E">
        <w:rPr>
          <w:rFonts w:cstheme="minorHAnsi"/>
          <w:bCs/>
          <w:color w:val="C00000"/>
        </w:rPr>
        <w:t>The patient-level observed CABG readmission rates are higher for dual-eligible patients (19.2%) compared with 12.3% for non-</w:t>
      </w:r>
      <w:r w:rsidR="00CB77BA">
        <w:rPr>
          <w:rFonts w:cstheme="minorHAnsi"/>
          <w:bCs/>
          <w:color w:val="C00000"/>
        </w:rPr>
        <w:t>dual patients in 2020. Similarly</w:t>
      </w:r>
      <w:r w:rsidRPr="007C0E4E">
        <w:rPr>
          <w:rFonts w:cstheme="minorHAnsi"/>
          <w:bCs/>
          <w:color w:val="C00000"/>
        </w:rPr>
        <w:t>, the readmission rate for patients with an AHRQ SES index score equal to or below 42.7</w:t>
      </w:r>
      <w:r w:rsidR="00C869BA">
        <w:rPr>
          <w:rFonts w:cstheme="minorHAnsi"/>
          <w:bCs/>
          <w:color w:val="C00000"/>
        </w:rPr>
        <w:t xml:space="preserve"> (lowest quartile)</w:t>
      </w:r>
      <w:r w:rsidRPr="007C0E4E">
        <w:rPr>
          <w:rFonts w:cstheme="minorHAnsi"/>
          <w:bCs/>
          <w:color w:val="C00000"/>
        </w:rPr>
        <w:t xml:space="preserve"> was 14.8% compared with 12.3% for patients with an AHRQ SES index score above 42.7 in 2020. For both SRF variables, patient-level readmission rates have declined among all characteristic groups of patients.</w:t>
      </w:r>
    </w:p>
    <w:p w14:paraId="404B0012" w14:textId="41B3647C" w:rsidR="007C0E4E" w:rsidRDefault="007C0E4E" w:rsidP="00001D73">
      <w:pPr>
        <w:autoSpaceDE w:val="0"/>
        <w:autoSpaceDN w:val="0"/>
        <w:adjustRightInd w:val="0"/>
        <w:spacing w:after="0" w:line="240" w:lineRule="auto"/>
        <w:rPr>
          <w:rFonts w:cstheme="minorHAnsi"/>
          <w:bCs/>
        </w:rPr>
      </w:pPr>
    </w:p>
    <w:p w14:paraId="33E9E36D" w14:textId="1FB279AE" w:rsidR="007C0E4E" w:rsidRPr="007C0E4E" w:rsidRDefault="007C0E4E" w:rsidP="007C0E4E">
      <w:pPr>
        <w:autoSpaceDE w:val="0"/>
        <w:autoSpaceDN w:val="0"/>
        <w:adjustRightInd w:val="0"/>
        <w:spacing w:after="0" w:line="240" w:lineRule="auto"/>
        <w:rPr>
          <w:rFonts w:cstheme="minorHAnsi"/>
          <w:bCs/>
          <w:color w:val="C00000"/>
          <w:u w:val="single"/>
        </w:rPr>
      </w:pPr>
      <w:bookmarkStart w:id="28" w:name="_Hlk42774889"/>
      <w:r w:rsidRPr="007C0E4E">
        <w:rPr>
          <w:rFonts w:cstheme="minorHAnsi"/>
          <w:bCs/>
          <w:color w:val="C00000"/>
          <w:u w:val="single"/>
        </w:rPr>
        <w:t>Incremental effect of S</w:t>
      </w:r>
      <w:r w:rsidR="00D55D26">
        <w:rPr>
          <w:rFonts w:cstheme="minorHAnsi"/>
          <w:bCs/>
          <w:color w:val="C00000"/>
          <w:u w:val="single"/>
        </w:rPr>
        <w:t>RF</w:t>
      </w:r>
      <w:r w:rsidRPr="007C0E4E">
        <w:rPr>
          <w:rFonts w:cstheme="minorHAnsi"/>
          <w:bCs/>
          <w:color w:val="C00000"/>
          <w:u w:val="single"/>
        </w:rPr>
        <w:t xml:space="preserve"> variables in a multivariable model in 2020 and 2016</w:t>
      </w:r>
    </w:p>
    <w:p w14:paraId="2EC69C2C" w14:textId="77777777" w:rsidR="007C0E4E" w:rsidRPr="007C0E4E" w:rsidRDefault="007C0E4E" w:rsidP="007C0E4E">
      <w:pPr>
        <w:autoSpaceDE w:val="0"/>
        <w:autoSpaceDN w:val="0"/>
        <w:adjustRightInd w:val="0"/>
        <w:spacing w:after="0" w:line="240" w:lineRule="auto"/>
        <w:rPr>
          <w:rFonts w:cstheme="minorHAnsi"/>
          <w:bCs/>
          <w:color w:val="C00000"/>
        </w:rPr>
      </w:pPr>
    </w:p>
    <w:p w14:paraId="14621A14" w14:textId="37DB24F6" w:rsidR="007C0E4E" w:rsidRPr="007C0E4E" w:rsidRDefault="007C0E4E" w:rsidP="007C0E4E">
      <w:pPr>
        <w:autoSpaceDE w:val="0"/>
        <w:autoSpaceDN w:val="0"/>
        <w:adjustRightInd w:val="0"/>
        <w:spacing w:after="0" w:line="240" w:lineRule="auto"/>
        <w:rPr>
          <w:rFonts w:cstheme="minorHAnsi"/>
          <w:bCs/>
          <w:color w:val="C00000"/>
        </w:rPr>
      </w:pPr>
      <w:r w:rsidRPr="00CB77BA">
        <w:rPr>
          <w:rFonts w:cstheme="minorHAnsi"/>
          <w:bCs/>
          <w:color w:val="C00000"/>
        </w:rPr>
        <w:t>We examined the strength and significance of the SRF variables in the co</w:t>
      </w:r>
      <w:r w:rsidR="00065406" w:rsidRPr="00CB77BA">
        <w:rPr>
          <w:rFonts w:cstheme="minorHAnsi"/>
          <w:bCs/>
          <w:color w:val="C00000"/>
        </w:rPr>
        <w:t>ntext of a multivariable model. W</w:t>
      </w:r>
      <w:r w:rsidRPr="00CB77BA">
        <w:rPr>
          <w:rFonts w:cstheme="minorHAnsi"/>
          <w:bCs/>
          <w:color w:val="C00000"/>
        </w:rPr>
        <w:t xml:space="preserve">hen we include these variables in a multivariable model that includes </w:t>
      </w:r>
      <w:proofErr w:type="gramStart"/>
      <w:r w:rsidRPr="00CB77BA">
        <w:rPr>
          <w:rFonts w:cstheme="minorHAnsi"/>
          <w:bCs/>
          <w:color w:val="C00000"/>
        </w:rPr>
        <w:t>all of</w:t>
      </w:r>
      <w:proofErr w:type="gramEnd"/>
      <w:r w:rsidRPr="00CB77BA">
        <w:rPr>
          <w:rFonts w:cstheme="minorHAnsi"/>
          <w:bCs/>
          <w:color w:val="C00000"/>
        </w:rPr>
        <w:t xml:space="preserve"> the claims-based clinical variables</w:t>
      </w:r>
      <w:r w:rsidRPr="007C0E4E">
        <w:rPr>
          <w:rFonts w:cstheme="minorHAnsi"/>
          <w:bCs/>
          <w:color w:val="C00000"/>
        </w:rPr>
        <w:t>, the effect size of</w:t>
      </w:r>
      <w:r w:rsidR="00CB77BA">
        <w:rPr>
          <w:rFonts w:cstheme="minorHAnsi"/>
          <w:bCs/>
          <w:color w:val="C00000"/>
        </w:rPr>
        <w:t xml:space="preserve"> each of these variables is moderate</w:t>
      </w:r>
      <w:r w:rsidRPr="007C0E4E">
        <w:rPr>
          <w:rFonts w:cstheme="minorHAnsi"/>
          <w:bCs/>
          <w:color w:val="C00000"/>
        </w:rPr>
        <w:t>. In 2020, dual eligibility and the AHRQ SES index have effect sizes</w:t>
      </w:r>
      <w:r w:rsidR="0095651C">
        <w:rPr>
          <w:rFonts w:cstheme="minorHAnsi"/>
          <w:bCs/>
          <w:color w:val="C00000"/>
        </w:rPr>
        <w:t xml:space="preserve"> (odds ratios)</w:t>
      </w:r>
      <w:r w:rsidRPr="007C0E4E">
        <w:rPr>
          <w:rFonts w:cstheme="minorHAnsi"/>
          <w:bCs/>
          <w:color w:val="C00000"/>
        </w:rPr>
        <w:t xml:space="preserve"> of 1.32 and 1.13 when added independently to the model, Furthermore, the effect size of each variable is attenuated (1.29 and 1.10 for dual and SES) wh</w:t>
      </w:r>
      <w:r w:rsidR="00BF0127">
        <w:rPr>
          <w:rFonts w:cstheme="minorHAnsi"/>
          <w:bCs/>
          <w:color w:val="C00000"/>
        </w:rPr>
        <w:t>en both are added to the model.</w:t>
      </w:r>
    </w:p>
    <w:p w14:paraId="128F3FCB" w14:textId="77777777" w:rsidR="007C0E4E" w:rsidRPr="007C0E4E" w:rsidRDefault="007C0E4E" w:rsidP="007C0E4E">
      <w:pPr>
        <w:autoSpaceDE w:val="0"/>
        <w:autoSpaceDN w:val="0"/>
        <w:adjustRightInd w:val="0"/>
        <w:spacing w:after="0" w:line="240" w:lineRule="auto"/>
        <w:rPr>
          <w:rFonts w:cstheme="minorHAnsi"/>
          <w:bCs/>
          <w:color w:val="C00000"/>
        </w:rPr>
      </w:pPr>
    </w:p>
    <w:p w14:paraId="1C8F1003" w14:textId="6DD89A27" w:rsidR="007C0E4E" w:rsidRDefault="007C0E4E" w:rsidP="007C0E4E">
      <w:pPr>
        <w:autoSpaceDE w:val="0"/>
        <w:autoSpaceDN w:val="0"/>
        <w:adjustRightInd w:val="0"/>
        <w:spacing w:after="0" w:line="240" w:lineRule="auto"/>
        <w:rPr>
          <w:rFonts w:cstheme="minorHAnsi"/>
          <w:bCs/>
          <w:color w:val="C00000"/>
        </w:rPr>
      </w:pPr>
      <w:r w:rsidRPr="007C0E4E">
        <w:rPr>
          <w:rFonts w:cstheme="minorHAnsi"/>
          <w:bCs/>
          <w:color w:val="C00000"/>
        </w:rPr>
        <w:t xml:space="preserve">We also find that the </w:t>
      </w:r>
      <w:r w:rsidR="003F792D">
        <w:rPr>
          <w:rFonts w:cstheme="minorHAnsi"/>
          <w:bCs/>
          <w:color w:val="C00000"/>
        </w:rPr>
        <w:t>C</w:t>
      </w:r>
      <w:r w:rsidRPr="007C0E4E">
        <w:rPr>
          <w:rFonts w:cstheme="minorHAnsi"/>
          <w:bCs/>
          <w:color w:val="C00000"/>
        </w:rPr>
        <w:t>-statistic is essentially unchanged with the addition of any of these v</w:t>
      </w:r>
      <w:r w:rsidR="004D512C">
        <w:rPr>
          <w:rFonts w:cstheme="minorHAnsi"/>
          <w:bCs/>
          <w:color w:val="C00000"/>
        </w:rPr>
        <w:t>ariables into the model (Table 8</w:t>
      </w:r>
      <w:r w:rsidRPr="007C0E4E">
        <w:rPr>
          <w:rFonts w:cstheme="minorHAnsi"/>
          <w:bCs/>
          <w:color w:val="C00000"/>
        </w:rPr>
        <w:t>).</w:t>
      </w:r>
    </w:p>
    <w:p w14:paraId="2F04272B" w14:textId="4D5F61A1" w:rsidR="007C0E4E" w:rsidRDefault="007C0E4E" w:rsidP="007C0E4E">
      <w:pPr>
        <w:autoSpaceDE w:val="0"/>
        <w:autoSpaceDN w:val="0"/>
        <w:adjustRightInd w:val="0"/>
        <w:spacing w:after="0" w:line="240" w:lineRule="auto"/>
        <w:rPr>
          <w:rFonts w:cstheme="minorHAnsi"/>
          <w:bCs/>
          <w:color w:val="C00000"/>
        </w:rPr>
      </w:pPr>
    </w:p>
    <w:p w14:paraId="3470D773" w14:textId="3D7D308B" w:rsidR="007C0E4E" w:rsidRPr="007C0E4E" w:rsidRDefault="004D512C" w:rsidP="007C0E4E">
      <w:pPr>
        <w:autoSpaceDE w:val="0"/>
        <w:autoSpaceDN w:val="0"/>
        <w:adjustRightInd w:val="0"/>
        <w:spacing w:after="0" w:line="240" w:lineRule="auto"/>
        <w:rPr>
          <w:rFonts w:cstheme="minorHAnsi"/>
          <w:b/>
          <w:bCs/>
          <w:color w:val="C00000"/>
        </w:rPr>
      </w:pPr>
      <w:r>
        <w:rPr>
          <w:rFonts w:cstheme="minorHAnsi"/>
          <w:b/>
          <w:bCs/>
          <w:color w:val="C00000"/>
        </w:rPr>
        <w:t>Table 8</w:t>
      </w:r>
    </w:p>
    <w:p w14:paraId="5F31427D" w14:textId="77777777" w:rsidR="007C0E4E" w:rsidRPr="007C0E4E" w:rsidRDefault="007C0E4E" w:rsidP="007C0E4E">
      <w:pPr>
        <w:autoSpaceDE w:val="0"/>
        <w:autoSpaceDN w:val="0"/>
        <w:adjustRightInd w:val="0"/>
        <w:spacing w:after="0" w:line="240" w:lineRule="auto"/>
        <w:rPr>
          <w:rFonts w:cstheme="minorHAnsi"/>
          <w:bCs/>
          <w:color w:val="C00000"/>
        </w:rPr>
      </w:pPr>
    </w:p>
    <w:tbl>
      <w:tblPr>
        <w:tblStyle w:val="TableGrid"/>
        <w:tblW w:w="9487" w:type="dxa"/>
        <w:tblInd w:w="85" w:type="dxa"/>
        <w:tblLook w:val="04A0" w:firstRow="1" w:lastRow="0" w:firstColumn="1" w:lastColumn="0" w:noHBand="0" w:noVBand="1"/>
      </w:tblPr>
      <w:tblGrid>
        <w:gridCol w:w="5621"/>
        <w:gridCol w:w="2180"/>
        <w:gridCol w:w="1686"/>
      </w:tblGrid>
      <w:tr w:rsidR="007C0E4E" w:rsidRPr="006F5BE7" w14:paraId="1FB10CE3" w14:textId="77777777" w:rsidTr="009026A4">
        <w:trPr>
          <w:cantSplit/>
          <w:trHeight w:val="371"/>
          <w:tblHeader/>
        </w:trPr>
        <w:tc>
          <w:tcPr>
            <w:tcW w:w="5621" w:type="dxa"/>
            <w:shd w:val="clear" w:color="auto" w:fill="BFBFBF" w:themeFill="background1" w:themeFillShade="BF"/>
          </w:tcPr>
          <w:p w14:paraId="44E7C6CA" w14:textId="2DD4BACE" w:rsidR="007C0E4E" w:rsidRPr="00430530" w:rsidRDefault="00034A8A" w:rsidP="009026A4">
            <w:pPr>
              <w:autoSpaceDE w:val="0"/>
              <w:autoSpaceDN w:val="0"/>
              <w:adjustRightInd w:val="0"/>
              <w:spacing w:before="120" w:after="120"/>
              <w:rPr>
                <w:rFonts w:cstheme="minorHAnsi"/>
                <w:b/>
                <w:bCs/>
                <w:color w:val="7030A0"/>
              </w:rPr>
            </w:pPr>
            <w:bookmarkStart w:id="29" w:name="_Hlk40359082"/>
            <w:r>
              <w:rPr>
                <w:rFonts w:cstheme="minorHAnsi"/>
                <w:b/>
                <w:bCs/>
                <w:color w:val="7030A0"/>
              </w:rPr>
              <w:t>CABG</w:t>
            </w:r>
            <w:r w:rsidR="007C0E4E" w:rsidRPr="00430530">
              <w:rPr>
                <w:rFonts w:cstheme="minorHAnsi"/>
                <w:b/>
                <w:bCs/>
                <w:color w:val="7030A0"/>
              </w:rPr>
              <w:t xml:space="preserve"> Readmission Models</w:t>
            </w:r>
          </w:p>
        </w:tc>
        <w:tc>
          <w:tcPr>
            <w:tcW w:w="2180" w:type="dxa"/>
            <w:shd w:val="clear" w:color="auto" w:fill="BFBFBF" w:themeFill="background1" w:themeFillShade="BF"/>
          </w:tcPr>
          <w:p w14:paraId="0AC21CCF" w14:textId="77777777" w:rsidR="007C0E4E" w:rsidRPr="006F5BE7" w:rsidRDefault="007C0E4E" w:rsidP="009026A4">
            <w:pPr>
              <w:autoSpaceDE w:val="0"/>
              <w:autoSpaceDN w:val="0"/>
              <w:adjustRightInd w:val="0"/>
              <w:spacing w:before="120" w:after="120"/>
              <w:jc w:val="center"/>
              <w:rPr>
                <w:rFonts w:cstheme="minorHAnsi"/>
                <w:b/>
                <w:bCs/>
                <w:color w:val="C00000"/>
              </w:rPr>
            </w:pPr>
            <w:r w:rsidRPr="006F5BE7">
              <w:rPr>
                <w:rFonts w:cstheme="minorHAnsi"/>
                <w:b/>
                <w:bCs/>
                <w:color w:val="C00000"/>
              </w:rPr>
              <w:t xml:space="preserve">2020 </w:t>
            </w:r>
            <w:r>
              <w:rPr>
                <w:rFonts w:cstheme="minorHAnsi"/>
                <w:b/>
                <w:bCs/>
                <w:color w:val="C00000"/>
              </w:rPr>
              <w:t>C-Statistic</w:t>
            </w:r>
          </w:p>
        </w:tc>
        <w:tc>
          <w:tcPr>
            <w:tcW w:w="1686" w:type="dxa"/>
            <w:shd w:val="clear" w:color="auto" w:fill="BFBFBF" w:themeFill="background1" w:themeFillShade="BF"/>
          </w:tcPr>
          <w:p w14:paraId="53D7FA7A" w14:textId="77777777" w:rsidR="007C0E4E" w:rsidRPr="00430530" w:rsidRDefault="007C0E4E" w:rsidP="009026A4">
            <w:pPr>
              <w:autoSpaceDE w:val="0"/>
              <w:autoSpaceDN w:val="0"/>
              <w:adjustRightInd w:val="0"/>
              <w:spacing w:before="120" w:after="120"/>
              <w:jc w:val="center"/>
              <w:rPr>
                <w:rFonts w:cstheme="minorHAnsi"/>
                <w:bCs/>
                <w:color w:val="7030A0"/>
              </w:rPr>
            </w:pPr>
            <w:r w:rsidRPr="00430530">
              <w:rPr>
                <w:rFonts w:cstheme="minorHAnsi"/>
                <w:b/>
                <w:bCs/>
                <w:color w:val="7030A0"/>
              </w:rPr>
              <w:t>2016 C-Statistic</w:t>
            </w:r>
          </w:p>
        </w:tc>
      </w:tr>
      <w:tr w:rsidR="007C0E4E" w:rsidRPr="006F5BE7" w14:paraId="2EFDC317" w14:textId="77777777" w:rsidTr="009026A4">
        <w:trPr>
          <w:cantSplit/>
          <w:trHeight w:val="957"/>
          <w:tblHeader/>
        </w:trPr>
        <w:tc>
          <w:tcPr>
            <w:tcW w:w="5621" w:type="dxa"/>
            <w:tcBorders>
              <w:bottom w:val="single" w:sz="4" w:space="0" w:color="auto"/>
            </w:tcBorders>
          </w:tcPr>
          <w:p w14:paraId="66482FE3" w14:textId="3B12BDBD" w:rsidR="007C0E4E" w:rsidRPr="00430530" w:rsidRDefault="007C0E4E" w:rsidP="009026A4">
            <w:pPr>
              <w:autoSpaceDE w:val="0"/>
              <w:autoSpaceDN w:val="0"/>
              <w:adjustRightInd w:val="0"/>
              <w:spacing w:before="120" w:after="120"/>
              <w:rPr>
                <w:rFonts w:cstheme="minorHAnsi"/>
                <w:bCs/>
                <w:color w:val="7030A0"/>
              </w:rPr>
            </w:pPr>
            <w:bookmarkStart w:id="30" w:name="_Hlk40183958"/>
            <w:r w:rsidRPr="00430530">
              <w:rPr>
                <w:rFonts w:cstheme="minorHAnsi"/>
                <w:bCs/>
                <w:color w:val="7030A0"/>
              </w:rPr>
              <w:t xml:space="preserve">Base Model: risk-adjusted model using the original clinical risk variables selected for the 2020 CMS public report of the </w:t>
            </w:r>
            <w:r w:rsidR="00034A8A">
              <w:rPr>
                <w:rFonts w:cstheme="minorHAnsi"/>
                <w:bCs/>
                <w:color w:val="7030A0"/>
              </w:rPr>
              <w:t>CABG</w:t>
            </w:r>
            <w:r w:rsidRPr="00430530">
              <w:rPr>
                <w:rFonts w:cstheme="minorHAnsi"/>
                <w:bCs/>
                <w:color w:val="7030A0"/>
              </w:rPr>
              <w:t xml:space="preserve"> readmission measure</w:t>
            </w:r>
          </w:p>
        </w:tc>
        <w:tc>
          <w:tcPr>
            <w:tcW w:w="2180" w:type="dxa"/>
            <w:tcBorders>
              <w:bottom w:val="single" w:sz="4" w:space="0" w:color="auto"/>
            </w:tcBorders>
          </w:tcPr>
          <w:p w14:paraId="7A6205FB" w14:textId="38691ABB" w:rsidR="007C0E4E" w:rsidRPr="00430530" w:rsidRDefault="00F2379A" w:rsidP="009026A4">
            <w:pPr>
              <w:autoSpaceDE w:val="0"/>
              <w:autoSpaceDN w:val="0"/>
              <w:adjustRightInd w:val="0"/>
              <w:spacing w:before="120" w:after="120"/>
              <w:jc w:val="center"/>
              <w:rPr>
                <w:rFonts w:cstheme="minorHAnsi"/>
                <w:bCs/>
                <w:color w:val="C00000"/>
              </w:rPr>
            </w:pPr>
            <w:r>
              <w:rPr>
                <w:rFonts w:cstheme="minorHAnsi"/>
                <w:bCs/>
                <w:color w:val="C00000"/>
              </w:rPr>
              <w:t>0.64</w:t>
            </w:r>
          </w:p>
        </w:tc>
        <w:tc>
          <w:tcPr>
            <w:tcW w:w="1686" w:type="dxa"/>
            <w:tcBorders>
              <w:bottom w:val="single" w:sz="4" w:space="0" w:color="auto"/>
            </w:tcBorders>
          </w:tcPr>
          <w:p w14:paraId="1D8C6B51" w14:textId="78469F81" w:rsidR="007C0E4E" w:rsidRPr="00430530" w:rsidRDefault="00F2379A" w:rsidP="009026A4">
            <w:pPr>
              <w:autoSpaceDE w:val="0"/>
              <w:autoSpaceDN w:val="0"/>
              <w:adjustRightInd w:val="0"/>
              <w:spacing w:before="120" w:after="120"/>
              <w:jc w:val="center"/>
              <w:rPr>
                <w:rFonts w:cstheme="minorHAnsi"/>
                <w:bCs/>
                <w:color w:val="7030A0"/>
              </w:rPr>
            </w:pPr>
            <w:r>
              <w:rPr>
                <w:rFonts w:cstheme="minorHAnsi"/>
                <w:bCs/>
                <w:color w:val="7030A0"/>
              </w:rPr>
              <w:t>0.62</w:t>
            </w:r>
          </w:p>
        </w:tc>
      </w:tr>
      <w:tr w:rsidR="007C0E4E" w:rsidRPr="006F5BE7" w14:paraId="7899D23A" w14:textId="77777777" w:rsidTr="009026A4">
        <w:trPr>
          <w:cantSplit/>
          <w:trHeight w:val="766"/>
          <w:tblHeader/>
        </w:trPr>
        <w:tc>
          <w:tcPr>
            <w:tcW w:w="5621" w:type="dxa"/>
            <w:tcBorders>
              <w:top w:val="single" w:sz="4" w:space="0" w:color="auto"/>
            </w:tcBorders>
          </w:tcPr>
          <w:p w14:paraId="583219D4"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Base Model plus AHRQ Low SES based on beneficiary residential 9-digit ZIP codes (SES9) as a social risk variable</w:t>
            </w:r>
          </w:p>
        </w:tc>
        <w:tc>
          <w:tcPr>
            <w:tcW w:w="2180" w:type="dxa"/>
            <w:tcBorders>
              <w:top w:val="single" w:sz="4" w:space="0" w:color="auto"/>
            </w:tcBorders>
          </w:tcPr>
          <w:p w14:paraId="1515B701" w14:textId="66972927" w:rsidR="007C0E4E" w:rsidRPr="00430530" w:rsidRDefault="00F2379A" w:rsidP="009026A4">
            <w:pPr>
              <w:autoSpaceDE w:val="0"/>
              <w:autoSpaceDN w:val="0"/>
              <w:adjustRightInd w:val="0"/>
              <w:spacing w:before="120" w:after="120"/>
              <w:jc w:val="center"/>
              <w:rPr>
                <w:rFonts w:cstheme="minorHAnsi"/>
                <w:bCs/>
                <w:color w:val="C00000"/>
              </w:rPr>
            </w:pPr>
            <w:r>
              <w:rPr>
                <w:rFonts w:cstheme="minorHAnsi"/>
                <w:bCs/>
                <w:color w:val="C00000"/>
              </w:rPr>
              <w:t>0.64</w:t>
            </w:r>
          </w:p>
        </w:tc>
        <w:tc>
          <w:tcPr>
            <w:tcW w:w="1686" w:type="dxa"/>
            <w:tcBorders>
              <w:top w:val="single" w:sz="4" w:space="0" w:color="auto"/>
            </w:tcBorders>
          </w:tcPr>
          <w:p w14:paraId="7D1A64CC" w14:textId="517C4E8A" w:rsidR="007C0E4E" w:rsidRPr="00430530" w:rsidRDefault="00F2379A" w:rsidP="009026A4">
            <w:pPr>
              <w:autoSpaceDE w:val="0"/>
              <w:autoSpaceDN w:val="0"/>
              <w:adjustRightInd w:val="0"/>
              <w:spacing w:before="120" w:after="120"/>
              <w:jc w:val="center"/>
              <w:rPr>
                <w:rFonts w:cstheme="minorHAnsi"/>
                <w:bCs/>
                <w:color w:val="7030A0"/>
              </w:rPr>
            </w:pPr>
            <w:r>
              <w:rPr>
                <w:rFonts w:cstheme="minorHAnsi"/>
                <w:bCs/>
                <w:color w:val="7030A0"/>
              </w:rPr>
              <w:t>0.62</w:t>
            </w:r>
          </w:p>
        </w:tc>
      </w:tr>
      <w:bookmarkEnd w:id="30"/>
      <w:tr w:rsidR="007C0E4E" w:rsidRPr="006F5BE7" w14:paraId="74D4C936" w14:textId="77777777" w:rsidTr="009026A4">
        <w:trPr>
          <w:cantSplit/>
          <w:trHeight w:val="569"/>
          <w:tblHeader/>
        </w:trPr>
        <w:tc>
          <w:tcPr>
            <w:tcW w:w="5621" w:type="dxa"/>
          </w:tcPr>
          <w:p w14:paraId="4022FF78"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Base Model plus dual eligibility (dual) as a social risk variable</w:t>
            </w:r>
          </w:p>
        </w:tc>
        <w:tc>
          <w:tcPr>
            <w:tcW w:w="2180" w:type="dxa"/>
          </w:tcPr>
          <w:p w14:paraId="19AF76F0" w14:textId="38BF56C0" w:rsidR="007C0E4E" w:rsidRPr="00430530" w:rsidRDefault="00F2379A" w:rsidP="009026A4">
            <w:pPr>
              <w:autoSpaceDE w:val="0"/>
              <w:autoSpaceDN w:val="0"/>
              <w:adjustRightInd w:val="0"/>
              <w:spacing w:before="120" w:after="120"/>
              <w:jc w:val="center"/>
              <w:rPr>
                <w:rFonts w:cstheme="minorHAnsi"/>
                <w:bCs/>
                <w:color w:val="C00000"/>
              </w:rPr>
            </w:pPr>
            <w:r>
              <w:rPr>
                <w:rFonts w:cstheme="minorHAnsi"/>
                <w:bCs/>
                <w:color w:val="C00000"/>
              </w:rPr>
              <w:t>0.64</w:t>
            </w:r>
          </w:p>
        </w:tc>
        <w:tc>
          <w:tcPr>
            <w:tcW w:w="1686" w:type="dxa"/>
          </w:tcPr>
          <w:p w14:paraId="7B728E94" w14:textId="5E294179" w:rsidR="007C0E4E" w:rsidRPr="00430530" w:rsidRDefault="00F2379A" w:rsidP="009026A4">
            <w:pPr>
              <w:autoSpaceDE w:val="0"/>
              <w:autoSpaceDN w:val="0"/>
              <w:adjustRightInd w:val="0"/>
              <w:spacing w:before="120" w:after="120"/>
              <w:jc w:val="center"/>
              <w:rPr>
                <w:rFonts w:cstheme="minorHAnsi"/>
                <w:bCs/>
                <w:color w:val="7030A0"/>
              </w:rPr>
            </w:pPr>
            <w:r>
              <w:rPr>
                <w:rFonts w:cstheme="minorHAnsi"/>
                <w:bCs/>
                <w:color w:val="7030A0"/>
              </w:rPr>
              <w:t>0.62</w:t>
            </w:r>
          </w:p>
        </w:tc>
      </w:tr>
      <w:tr w:rsidR="007C0E4E" w:rsidRPr="00161A75" w14:paraId="196EB218" w14:textId="77777777" w:rsidTr="009026A4">
        <w:trPr>
          <w:cantSplit/>
          <w:trHeight w:val="562"/>
          <w:tblHeader/>
        </w:trPr>
        <w:tc>
          <w:tcPr>
            <w:tcW w:w="5621" w:type="dxa"/>
          </w:tcPr>
          <w:p w14:paraId="223809CA"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Base Model plus SES9 and dual as social risk variables</w:t>
            </w:r>
          </w:p>
        </w:tc>
        <w:tc>
          <w:tcPr>
            <w:tcW w:w="2180" w:type="dxa"/>
          </w:tcPr>
          <w:p w14:paraId="5ADC56E2" w14:textId="71FB3F67" w:rsidR="007C0E4E" w:rsidRPr="00430530" w:rsidRDefault="00F2379A" w:rsidP="009026A4">
            <w:pPr>
              <w:autoSpaceDE w:val="0"/>
              <w:autoSpaceDN w:val="0"/>
              <w:adjustRightInd w:val="0"/>
              <w:spacing w:before="120" w:after="120"/>
              <w:jc w:val="center"/>
              <w:rPr>
                <w:rFonts w:cstheme="minorHAnsi"/>
                <w:bCs/>
                <w:color w:val="C00000"/>
              </w:rPr>
            </w:pPr>
            <w:r>
              <w:rPr>
                <w:rFonts w:cstheme="minorHAnsi"/>
                <w:bCs/>
                <w:color w:val="C00000"/>
              </w:rPr>
              <w:t>0.64</w:t>
            </w:r>
          </w:p>
        </w:tc>
        <w:tc>
          <w:tcPr>
            <w:tcW w:w="1686" w:type="dxa"/>
          </w:tcPr>
          <w:p w14:paraId="51FE0766" w14:textId="77777777" w:rsidR="007C0E4E" w:rsidRPr="00430530" w:rsidRDefault="007C0E4E" w:rsidP="009026A4">
            <w:pPr>
              <w:autoSpaceDE w:val="0"/>
              <w:autoSpaceDN w:val="0"/>
              <w:adjustRightInd w:val="0"/>
              <w:spacing w:before="120" w:after="120"/>
              <w:jc w:val="center"/>
              <w:rPr>
                <w:rFonts w:cstheme="minorHAnsi"/>
                <w:bCs/>
                <w:color w:val="7030A0"/>
              </w:rPr>
            </w:pPr>
            <w:r w:rsidRPr="00430530">
              <w:rPr>
                <w:rFonts w:cstheme="minorHAnsi"/>
                <w:bCs/>
                <w:color w:val="7030A0"/>
              </w:rPr>
              <w:t>--</w:t>
            </w:r>
          </w:p>
        </w:tc>
      </w:tr>
      <w:bookmarkEnd w:id="29"/>
    </w:tbl>
    <w:p w14:paraId="1A22B181" w14:textId="3711E66A" w:rsidR="007C0E4E" w:rsidRDefault="007C0E4E" w:rsidP="00001D73">
      <w:pPr>
        <w:autoSpaceDE w:val="0"/>
        <w:autoSpaceDN w:val="0"/>
        <w:adjustRightInd w:val="0"/>
        <w:spacing w:after="0" w:line="240" w:lineRule="auto"/>
        <w:rPr>
          <w:rFonts w:cstheme="minorHAnsi"/>
          <w:bCs/>
        </w:rPr>
      </w:pPr>
    </w:p>
    <w:p w14:paraId="24DD188F" w14:textId="4A7A904E"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lastRenderedPageBreak/>
        <w:t xml:space="preserve">Furthermore, we find that the addition of any of these variables into the model has little to no effect on hospital performance. We examined the change in hospitals’ RSRRs with the addition of any of these variables. The median absolute change in hospitals’ RSRRs when adding a dual eligibility indicator is </w:t>
      </w:r>
      <w:r w:rsidRPr="007C0E4E">
        <w:rPr>
          <w:rFonts w:cstheme="minorHAnsi"/>
          <w:bCs/>
          <w:color w:val="C00000"/>
        </w:rPr>
        <w:t>0.</w:t>
      </w:r>
      <w:r w:rsidR="005335E0">
        <w:rPr>
          <w:rFonts w:cstheme="minorHAnsi"/>
          <w:bCs/>
          <w:color w:val="C00000"/>
        </w:rPr>
        <w:t>037</w:t>
      </w:r>
      <w:r w:rsidRPr="007C0E4E">
        <w:rPr>
          <w:rFonts w:cstheme="minorHAnsi"/>
          <w:bCs/>
          <w:color w:val="C00000"/>
        </w:rPr>
        <w:t xml:space="preserve">% </w:t>
      </w:r>
      <w:r w:rsidRPr="007C0E4E">
        <w:rPr>
          <w:rFonts w:cstheme="minorHAnsi"/>
          <w:bCs/>
          <w:color w:val="7030A0"/>
        </w:rPr>
        <w:t>(interquartile range [IQR</w:t>
      </w:r>
      <w:r w:rsidRPr="00BE40B3">
        <w:rPr>
          <w:rFonts w:cstheme="minorHAnsi"/>
          <w:bCs/>
          <w:color w:val="7030A0"/>
        </w:rPr>
        <w:t>]</w:t>
      </w:r>
      <w:r w:rsidRPr="007C0E4E">
        <w:rPr>
          <w:rFonts w:cstheme="minorHAnsi"/>
          <w:bCs/>
          <w:color w:val="C00000"/>
        </w:rPr>
        <w:t xml:space="preserve"> -0.02</w:t>
      </w:r>
      <w:r w:rsidR="00BE40B3">
        <w:rPr>
          <w:rFonts w:cstheme="minorHAnsi"/>
          <w:bCs/>
          <w:color w:val="C00000"/>
        </w:rPr>
        <w:t>3</w:t>
      </w:r>
      <w:r w:rsidRPr="007C0E4E">
        <w:rPr>
          <w:rFonts w:cstheme="minorHAnsi"/>
          <w:bCs/>
          <w:color w:val="C00000"/>
        </w:rPr>
        <w:t>% – 0.0</w:t>
      </w:r>
      <w:r w:rsidR="00BE40B3">
        <w:rPr>
          <w:rFonts w:cstheme="minorHAnsi"/>
          <w:bCs/>
          <w:color w:val="C00000"/>
        </w:rPr>
        <w:t>47</w:t>
      </w:r>
      <w:r w:rsidR="004D512C">
        <w:rPr>
          <w:rFonts w:cstheme="minorHAnsi"/>
          <w:bCs/>
          <w:color w:val="C00000"/>
        </w:rPr>
        <w:t>%</w:t>
      </w:r>
      <w:r w:rsidRPr="007C0E4E">
        <w:rPr>
          <w:rFonts w:cstheme="minorHAnsi"/>
          <w:bCs/>
          <w:color w:val="7030A0"/>
        </w:rPr>
        <w:t xml:space="preserve">) with a correlation coefficient between RSRRs for each hospital with and without dual eligibility added of </w:t>
      </w:r>
      <w:r w:rsidRPr="007C0E4E">
        <w:rPr>
          <w:rFonts w:cstheme="minorHAnsi"/>
          <w:bCs/>
          <w:color w:val="C00000"/>
        </w:rPr>
        <w:t>0.99</w:t>
      </w:r>
      <w:r w:rsidR="00BE40B3">
        <w:rPr>
          <w:rFonts w:cstheme="minorHAnsi"/>
          <w:bCs/>
          <w:color w:val="C00000"/>
        </w:rPr>
        <w:t>8</w:t>
      </w:r>
      <w:r w:rsidRPr="007C0E4E">
        <w:rPr>
          <w:rFonts w:cstheme="minorHAnsi"/>
          <w:bCs/>
          <w:color w:val="7030A0"/>
        </w:rPr>
        <w:t xml:space="preserve">. The median absolute change in hospitals’ RSRRs when adding a low AHRQ SES Index score indicator to the model is </w:t>
      </w:r>
      <w:r w:rsidR="00BE40B3">
        <w:rPr>
          <w:rFonts w:cstheme="minorHAnsi"/>
          <w:bCs/>
          <w:color w:val="C00000"/>
        </w:rPr>
        <w:t>0.13</w:t>
      </w:r>
      <w:r w:rsidRPr="007C0E4E">
        <w:rPr>
          <w:rFonts w:cstheme="minorHAnsi"/>
          <w:bCs/>
          <w:color w:val="C00000"/>
        </w:rPr>
        <w:t xml:space="preserve">9% </w:t>
      </w:r>
      <w:r w:rsidRPr="007C0E4E">
        <w:rPr>
          <w:rFonts w:cstheme="minorHAnsi"/>
          <w:bCs/>
          <w:color w:val="7030A0"/>
        </w:rPr>
        <w:t>(</w:t>
      </w:r>
      <w:r w:rsidR="00BE40B3">
        <w:rPr>
          <w:rFonts w:cstheme="minorHAnsi"/>
          <w:bCs/>
          <w:color w:val="C00000"/>
        </w:rPr>
        <w:t>IQR -0.117</w:t>
      </w:r>
      <w:r w:rsidRPr="007C0E4E">
        <w:rPr>
          <w:rFonts w:cstheme="minorHAnsi"/>
          <w:bCs/>
          <w:color w:val="C00000"/>
        </w:rPr>
        <w:t>% – 0.</w:t>
      </w:r>
      <w:r w:rsidR="00BE40B3">
        <w:rPr>
          <w:rFonts w:cstheme="minorHAnsi"/>
          <w:bCs/>
          <w:color w:val="C00000"/>
        </w:rPr>
        <w:t>153</w:t>
      </w:r>
      <w:r w:rsidR="004D512C">
        <w:rPr>
          <w:rFonts w:cstheme="minorHAnsi"/>
          <w:bCs/>
          <w:color w:val="C00000"/>
        </w:rPr>
        <w:t>%</w:t>
      </w:r>
      <w:r w:rsidRPr="007C0E4E">
        <w:rPr>
          <w:rFonts w:cstheme="minorHAnsi"/>
          <w:bCs/>
          <w:color w:val="7030A0"/>
        </w:rPr>
        <w:t xml:space="preserve">) with a correlation coefficient between RSRRs for each hospital with and without an indicator for a low AHRQ SES Index score adjusted for cost of living at the census block group level is </w:t>
      </w:r>
      <w:r w:rsidRPr="007C0E4E">
        <w:rPr>
          <w:rFonts w:cstheme="minorHAnsi"/>
          <w:bCs/>
          <w:color w:val="C00000"/>
        </w:rPr>
        <w:t>0.9</w:t>
      </w:r>
      <w:r w:rsidR="00BE40B3">
        <w:rPr>
          <w:rFonts w:cstheme="minorHAnsi"/>
          <w:bCs/>
          <w:color w:val="C00000"/>
        </w:rPr>
        <w:t>81</w:t>
      </w:r>
      <w:r w:rsidRPr="007C0E4E">
        <w:rPr>
          <w:rFonts w:cstheme="minorHAnsi"/>
          <w:bCs/>
          <w:color w:val="7030A0"/>
        </w:rPr>
        <w:t>.</w:t>
      </w:r>
    </w:p>
    <w:p w14:paraId="1BC1A763" w14:textId="77777777" w:rsidR="007C0E4E" w:rsidRPr="007C0E4E" w:rsidRDefault="007C0E4E" w:rsidP="0095651C">
      <w:pPr>
        <w:autoSpaceDE w:val="0"/>
        <w:autoSpaceDN w:val="0"/>
        <w:adjustRightInd w:val="0"/>
        <w:spacing w:before="120" w:after="120" w:line="240" w:lineRule="auto"/>
        <w:rPr>
          <w:rFonts w:cstheme="minorHAnsi"/>
          <w:bCs/>
          <w:color w:val="7030A0"/>
          <w:u w:val="single"/>
        </w:rPr>
      </w:pPr>
      <w:r w:rsidRPr="007C0E4E">
        <w:rPr>
          <w:rFonts w:cstheme="minorHAnsi"/>
          <w:bCs/>
          <w:color w:val="7030A0"/>
          <w:u w:val="single"/>
        </w:rPr>
        <w:t>Contextual Effect Analysis</w:t>
      </w:r>
    </w:p>
    <w:p w14:paraId="6F3F3650" w14:textId="77777777"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t xml:space="preserve">As described in </w:t>
      </w:r>
      <w:r w:rsidRPr="007C0E4E">
        <w:rPr>
          <w:rFonts w:cstheme="minorHAnsi"/>
          <w:bCs/>
          <w:color w:val="C00000"/>
        </w:rPr>
        <w:t>2b3.3a</w:t>
      </w:r>
      <w:r w:rsidRPr="007C0E4E">
        <w:rPr>
          <w:rFonts w:cstheme="minorHAnsi"/>
          <w:bCs/>
          <w:color w:val="7030A0"/>
        </w:rPr>
        <w:t xml:space="preserve">, we performed a decomposition analysis in 2020 and 2016 for each SRF variable to assess whether there was a corresponding contextual effect. </w:t>
      </w:r>
      <w:proofErr w:type="gramStart"/>
      <w:r w:rsidRPr="007C0E4E">
        <w:rPr>
          <w:rFonts w:cstheme="minorHAnsi"/>
          <w:bCs/>
          <w:color w:val="7030A0"/>
        </w:rPr>
        <w:t>In order to</w:t>
      </w:r>
      <w:proofErr w:type="gramEnd"/>
      <w:r w:rsidRPr="007C0E4E">
        <w:rPr>
          <w:rFonts w:cstheme="minorHAnsi"/>
          <w:bCs/>
          <w:color w:val="7030A0"/>
        </w:rPr>
        <w:t xml:space="preserve"> better interpret the magnitude of results, we performed the same analysis for selected clinical risk factors. The results are described in the tables/figures below.</w:t>
      </w:r>
    </w:p>
    <w:p w14:paraId="6713817D" w14:textId="77777777" w:rsidR="007C0E4E" w:rsidRPr="007C0E4E" w:rsidRDefault="007C0E4E" w:rsidP="007C0E4E">
      <w:pPr>
        <w:autoSpaceDE w:val="0"/>
        <w:autoSpaceDN w:val="0"/>
        <w:adjustRightInd w:val="0"/>
        <w:spacing w:after="0" w:line="240" w:lineRule="auto"/>
        <w:rPr>
          <w:rFonts w:cstheme="minorHAnsi"/>
          <w:bCs/>
          <w:color w:val="7030A0"/>
        </w:rPr>
      </w:pPr>
    </w:p>
    <w:p w14:paraId="725B7DEF" w14:textId="6B17DA54"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t xml:space="preserve">Both the patient-level and hospital-level dual eligibility, and low AHRQ SES Index effects were significantly associated with </w:t>
      </w:r>
      <w:r w:rsidR="00034A8A">
        <w:rPr>
          <w:rFonts w:cstheme="minorHAnsi"/>
          <w:bCs/>
          <w:color w:val="7030A0"/>
        </w:rPr>
        <w:t>CABG</w:t>
      </w:r>
      <w:r w:rsidRPr="007C0E4E">
        <w:rPr>
          <w:rFonts w:cstheme="minorHAnsi"/>
          <w:bCs/>
          <w:color w:val="7030A0"/>
        </w:rPr>
        <w:t xml:space="preserve"> readmission in the decomposition analysis. </w:t>
      </w:r>
      <w:r w:rsidRPr="007C0E4E">
        <w:rPr>
          <w:rFonts w:cstheme="minorHAnsi"/>
          <w:b/>
          <w:bCs/>
          <w:color w:val="7030A0"/>
        </w:rPr>
        <w:t>That the hospital level effects were significant indicates that if the dual eligible o</w:t>
      </w:r>
      <w:r w:rsidR="004D512C">
        <w:rPr>
          <w:rFonts w:cstheme="minorHAnsi"/>
          <w:b/>
          <w:bCs/>
          <w:color w:val="7030A0"/>
        </w:rPr>
        <w:t>r low AHRQ SES Index variables we</w:t>
      </w:r>
      <w:r w:rsidRPr="007C0E4E">
        <w:rPr>
          <w:rFonts w:cstheme="minorHAnsi"/>
          <w:b/>
          <w:bCs/>
          <w:color w:val="7030A0"/>
        </w:rPr>
        <w:t>re used in the model to adjust for patient-level differences, then some of the differences between hospitals would also be adjusted for, potentially obscuring a signal of hospital quality</w:t>
      </w:r>
      <w:r w:rsidRPr="007C0E4E">
        <w:rPr>
          <w:rFonts w:cstheme="minorHAnsi"/>
          <w:bCs/>
          <w:color w:val="7030A0"/>
        </w:rPr>
        <w:t>.</w:t>
      </w:r>
    </w:p>
    <w:p w14:paraId="3AFB3EBF" w14:textId="77777777" w:rsidR="007C0E4E" w:rsidRPr="007C0E4E" w:rsidRDefault="007C0E4E" w:rsidP="007C0E4E">
      <w:pPr>
        <w:autoSpaceDE w:val="0"/>
        <w:autoSpaceDN w:val="0"/>
        <w:adjustRightInd w:val="0"/>
        <w:spacing w:after="0" w:line="240" w:lineRule="auto"/>
        <w:rPr>
          <w:rFonts w:cstheme="minorHAnsi"/>
          <w:bCs/>
          <w:color w:val="7030A0"/>
        </w:rPr>
      </w:pPr>
    </w:p>
    <w:p w14:paraId="53A30837" w14:textId="439E773F"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t>To assess the relative contributions of the patient- and hospital-level effects, we calculated a range of predicted probabilities of readmission for the SRF variables and clinical covariates (comorbidities), as described in section 2b3.3a. The results are presented in the figures and table below (table of</w:t>
      </w:r>
      <w:r w:rsidR="0095651C">
        <w:rPr>
          <w:rFonts w:cstheme="minorHAnsi"/>
          <w:bCs/>
          <w:color w:val="7030A0"/>
        </w:rPr>
        <w:t xml:space="preserve"> predicted probabilities for SRF</w:t>
      </w:r>
      <w:r w:rsidRPr="007C0E4E">
        <w:rPr>
          <w:rFonts w:cstheme="minorHAnsi"/>
          <w:bCs/>
          <w:color w:val="7030A0"/>
        </w:rPr>
        <w:t xml:space="preserve"> variables).</w:t>
      </w:r>
    </w:p>
    <w:p w14:paraId="307F1639" w14:textId="77777777" w:rsidR="007C0E4E" w:rsidRPr="007C0E4E" w:rsidRDefault="007C0E4E" w:rsidP="007C0E4E">
      <w:pPr>
        <w:autoSpaceDE w:val="0"/>
        <w:autoSpaceDN w:val="0"/>
        <w:adjustRightInd w:val="0"/>
        <w:spacing w:after="0" w:line="240" w:lineRule="auto"/>
        <w:rPr>
          <w:rFonts w:cstheme="minorHAnsi"/>
          <w:bCs/>
          <w:color w:val="7030A0"/>
        </w:rPr>
      </w:pPr>
    </w:p>
    <w:p w14:paraId="1684664C" w14:textId="72C2E130" w:rsidR="007C0E4E" w:rsidRPr="003C10FC" w:rsidRDefault="007C0E4E" w:rsidP="007C0E4E">
      <w:pPr>
        <w:autoSpaceDE w:val="0"/>
        <w:autoSpaceDN w:val="0"/>
        <w:adjustRightInd w:val="0"/>
        <w:spacing w:after="0" w:line="240" w:lineRule="auto"/>
        <w:rPr>
          <w:rFonts w:cstheme="minorHAnsi"/>
          <w:bCs/>
          <w:color w:val="C00000"/>
        </w:rPr>
      </w:pPr>
      <w:bookmarkStart w:id="31" w:name="_Hlk57192371"/>
      <w:r w:rsidRPr="003C10FC">
        <w:rPr>
          <w:rFonts w:cstheme="minorHAnsi"/>
          <w:bCs/>
          <w:color w:val="C00000"/>
        </w:rPr>
        <w:t xml:space="preserve">For </w:t>
      </w:r>
      <w:r w:rsidR="00F87E73">
        <w:rPr>
          <w:rFonts w:cstheme="minorHAnsi"/>
          <w:bCs/>
          <w:color w:val="C00000"/>
        </w:rPr>
        <w:t>the AHRQ SES index</w:t>
      </w:r>
      <w:r w:rsidRPr="003C10FC">
        <w:rPr>
          <w:rFonts w:cstheme="minorHAnsi"/>
          <w:bCs/>
          <w:color w:val="C00000"/>
        </w:rPr>
        <w:t>, the hospital-level effect (P95-P5) is greater than the patient-le</w:t>
      </w:r>
      <w:r w:rsidR="0095651C" w:rsidRPr="003C10FC">
        <w:rPr>
          <w:rFonts w:cstheme="minorHAnsi"/>
          <w:bCs/>
          <w:color w:val="C00000"/>
        </w:rPr>
        <w:t>vel effect (delta) (</w:t>
      </w:r>
      <w:r w:rsidR="004D512C">
        <w:rPr>
          <w:rFonts w:cstheme="minorHAnsi"/>
          <w:bCs/>
          <w:color w:val="C00000"/>
        </w:rPr>
        <w:t>Figures 3 and 4</w:t>
      </w:r>
      <w:r w:rsidRPr="003C10FC">
        <w:rPr>
          <w:rFonts w:cstheme="minorHAnsi"/>
          <w:bCs/>
          <w:color w:val="C00000"/>
        </w:rPr>
        <w:t>;</w:t>
      </w:r>
      <w:r w:rsidR="004D512C">
        <w:rPr>
          <w:rFonts w:cstheme="minorHAnsi"/>
          <w:bCs/>
          <w:color w:val="C00000"/>
        </w:rPr>
        <w:t xml:space="preserve"> predicted probabilities for SRF</w:t>
      </w:r>
      <w:r w:rsidRPr="003C10FC">
        <w:rPr>
          <w:rFonts w:cstheme="minorHAnsi"/>
          <w:bCs/>
          <w:color w:val="C00000"/>
        </w:rPr>
        <w:t xml:space="preserve"> variables)</w:t>
      </w:r>
      <w:r w:rsidR="003C10FC" w:rsidRPr="003C10FC">
        <w:rPr>
          <w:rFonts w:cstheme="minorHAnsi"/>
          <w:bCs/>
          <w:color w:val="C00000"/>
        </w:rPr>
        <w:t>; however, the patient-level effect is greater than the hospital-level effect for dual eligible status</w:t>
      </w:r>
      <w:r w:rsidRPr="003C10FC">
        <w:rPr>
          <w:rFonts w:cstheme="minorHAnsi"/>
          <w:bCs/>
          <w:color w:val="C00000"/>
        </w:rPr>
        <w:t xml:space="preserve">. For clinical variables, the patient-level effect (delta) is greater than the hospital-level effect (P95-P5) for </w:t>
      </w:r>
      <w:r w:rsidR="0095651C" w:rsidRPr="003C10FC">
        <w:rPr>
          <w:rFonts w:cstheme="minorHAnsi"/>
          <w:bCs/>
          <w:color w:val="C00000"/>
        </w:rPr>
        <w:t>heart failure, CO</w:t>
      </w:r>
      <w:r w:rsidRPr="003C10FC">
        <w:rPr>
          <w:rFonts w:cstheme="minorHAnsi"/>
          <w:bCs/>
          <w:color w:val="C00000"/>
        </w:rPr>
        <w:t>PD</w:t>
      </w:r>
      <w:r w:rsidR="0095651C" w:rsidRPr="003C10FC">
        <w:rPr>
          <w:rFonts w:cstheme="minorHAnsi"/>
          <w:bCs/>
          <w:color w:val="C00000"/>
        </w:rPr>
        <w:t>, and dialysis status (</w:t>
      </w:r>
      <w:r w:rsidR="004D512C">
        <w:rPr>
          <w:rFonts w:cstheme="minorHAnsi"/>
          <w:bCs/>
          <w:color w:val="C00000"/>
        </w:rPr>
        <w:t>Figures 3 and 4</w:t>
      </w:r>
      <w:r w:rsidRPr="003C10FC">
        <w:rPr>
          <w:rFonts w:cstheme="minorHAnsi"/>
          <w:bCs/>
          <w:color w:val="C00000"/>
        </w:rPr>
        <w:t xml:space="preserve">; predicted probabilities for clinical variables). The clinical variables had the opposite pattern, with a greater effect at the patient level than at the hospital level for </w:t>
      </w:r>
      <w:r w:rsidR="0095651C" w:rsidRPr="003C10FC">
        <w:rPr>
          <w:rFonts w:cstheme="minorHAnsi"/>
          <w:bCs/>
          <w:color w:val="C00000"/>
        </w:rPr>
        <w:t>heart failure,</w:t>
      </w:r>
      <w:r w:rsidRPr="003C10FC">
        <w:rPr>
          <w:rFonts w:cstheme="minorHAnsi"/>
          <w:bCs/>
          <w:color w:val="C00000"/>
        </w:rPr>
        <w:t xml:space="preserve"> COPD</w:t>
      </w:r>
      <w:r w:rsidR="0095651C" w:rsidRPr="003C10FC">
        <w:rPr>
          <w:rFonts w:cstheme="minorHAnsi"/>
          <w:bCs/>
          <w:color w:val="C00000"/>
        </w:rPr>
        <w:t>, and dialysis status</w:t>
      </w:r>
      <w:r w:rsidRPr="003C10FC">
        <w:rPr>
          <w:rFonts w:cstheme="minorHAnsi"/>
          <w:bCs/>
          <w:color w:val="C00000"/>
        </w:rPr>
        <w:t xml:space="preserve">. </w:t>
      </w:r>
      <w:r w:rsidR="0095651C" w:rsidRPr="003C10FC">
        <w:rPr>
          <w:rFonts w:cstheme="minorHAnsi"/>
          <w:bCs/>
          <w:color w:val="C00000"/>
        </w:rPr>
        <w:t>In sum, including SRF</w:t>
      </w:r>
      <w:r w:rsidRPr="003C10FC">
        <w:rPr>
          <w:rFonts w:cstheme="minorHAnsi"/>
          <w:bCs/>
          <w:color w:val="C00000"/>
        </w:rPr>
        <w:t xml:space="preserve"> variables into the model would predominantly adjust for a hospital-level effect, which is an important signal of hospital quality.</w:t>
      </w:r>
    </w:p>
    <w:bookmarkEnd w:id="31"/>
    <w:p w14:paraId="70552010" w14:textId="77777777" w:rsidR="007C0E4E" w:rsidRPr="007C0E4E" w:rsidRDefault="007C0E4E" w:rsidP="007C0E4E">
      <w:pPr>
        <w:autoSpaceDE w:val="0"/>
        <w:autoSpaceDN w:val="0"/>
        <w:adjustRightInd w:val="0"/>
        <w:spacing w:after="0" w:line="240" w:lineRule="auto"/>
        <w:rPr>
          <w:rFonts w:cstheme="minorHAnsi"/>
          <w:bCs/>
          <w:color w:val="7030A0"/>
        </w:rPr>
      </w:pPr>
    </w:p>
    <w:p w14:paraId="0CBBF755" w14:textId="4A8BD948"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t>In the context of our conceptual model, we find clear evidence supporting the first two mechani</w:t>
      </w:r>
      <w:r w:rsidR="00BF0127">
        <w:rPr>
          <w:rFonts w:cstheme="minorHAnsi"/>
          <w:bCs/>
          <w:color w:val="7030A0"/>
        </w:rPr>
        <w:t>sms by which SRFs</w:t>
      </w:r>
      <w:r w:rsidRPr="007C0E4E">
        <w:rPr>
          <w:rFonts w:cstheme="minorHAnsi"/>
          <w:bCs/>
          <w:color w:val="7030A0"/>
        </w:rPr>
        <w:t xml:space="preserve"> might be related to poor outcomes. First, we find that although unadjusted rates of readmission are higher for patients</w:t>
      </w:r>
      <w:r w:rsidR="003C10FC">
        <w:rPr>
          <w:rFonts w:cstheme="minorHAnsi"/>
          <w:bCs/>
          <w:color w:val="7030A0"/>
        </w:rPr>
        <w:t xml:space="preserve"> of low SES, the addition of SRFs</w:t>
      </w:r>
      <w:r w:rsidRPr="007C0E4E">
        <w:rPr>
          <w:rFonts w:cstheme="minorHAnsi"/>
          <w:bCs/>
          <w:color w:val="7030A0"/>
        </w:rPr>
        <w:t xml:space="preserve"> to the readmission risk model, which already adjusts for clinical factors, makes very little difference. </w:t>
      </w:r>
      <w:proofErr w:type="gramStart"/>
      <w:r w:rsidRPr="007C0E4E">
        <w:rPr>
          <w:rFonts w:cstheme="minorHAnsi"/>
          <w:bCs/>
          <w:color w:val="7030A0"/>
        </w:rPr>
        <w:t>In particular, there</w:t>
      </w:r>
      <w:proofErr w:type="gramEnd"/>
      <w:r w:rsidRPr="007C0E4E">
        <w:rPr>
          <w:rFonts w:cstheme="minorHAnsi"/>
          <w:bCs/>
          <w:color w:val="7030A0"/>
        </w:rPr>
        <w:t xml:space="preserve"> is little-to-no change in model performance or hospital </w:t>
      </w:r>
      <w:r w:rsidR="004D512C">
        <w:rPr>
          <w:rFonts w:cstheme="minorHAnsi"/>
          <w:bCs/>
          <w:color w:val="7030A0"/>
        </w:rPr>
        <w:t>results with the addition of SRFs</w:t>
      </w:r>
      <w:r w:rsidRPr="007C0E4E">
        <w:rPr>
          <w:rFonts w:cstheme="minorHAnsi"/>
          <w:bCs/>
          <w:color w:val="7030A0"/>
        </w:rPr>
        <w:t>. This suggests that the model already largely accounts for the differences in clinical risk factors (degree of illness and comorbiditi</w:t>
      </w:r>
      <w:r w:rsidR="003C10FC">
        <w:rPr>
          <w:rFonts w:cstheme="minorHAnsi"/>
          <w:bCs/>
          <w:color w:val="7030A0"/>
        </w:rPr>
        <w:t>es) among patients of varied SES</w:t>
      </w:r>
      <w:r w:rsidRPr="007C0E4E">
        <w:rPr>
          <w:rFonts w:cstheme="minorHAnsi"/>
          <w:bCs/>
          <w:color w:val="7030A0"/>
        </w:rPr>
        <w:t xml:space="preserve">. </w:t>
      </w:r>
    </w:p>
    <w:p w14:paraId="44C14DDE" w14:textId="29D4B235" w:rsidR="007C0E4E" w:rsidRDefault="007C0E4E" w:rsidP="00001D73">
      <w:pPr>
        <w:autoSpaceDE w:val="0"/>
        <w:autoSpaceDN w:val="0"/>
        <w:adjustRightInd w:val="0"/>
        <w:spacing w:after="0" w:line="240" w:lineRule="auto"/>
        <w:rPr>
          <w:rFonts w:cstheme="minorHAnsi"/>
          <w:bCs/>
        </w:rPr>
      </w:pPr>
    </w:p>
    <w:p w14:paraId="5FC56DAC" w14:textId="4EC0F907" w:rsidR="007C0E4E" w:rsidRDefault="007C0E4E" w:rsidP="00001D73">
      <w:pPr>
        <w:autoSpaceDE w:val="0"/>
        <w:autoSpaceDN w:val="0"/>
        <w:adjustRightInd w:val="0"/>
        <w:spacing w:after="0" w:line="240" w:lineRule="auto"/>
        <w:rPr>
          <w:rFonts w:cstheme="minorHAnsi"/>
          <w:bCs/>
          <w:color w:val="7030A0"/>
        </w:rPr>
      </w:pPr>
      <w:r w:rsidRPr="006E4AD3">
        <w:rPr>
          <w:rFonts w:cstheme="minorHAnsi"/>
          <w:bCs/>
          <w:color w:val="7030A0"/>
        </w:rPr>
        <w:t xml:space="preserve">Second, </w:t>
      </w:r>
      <w:bookmarkStart w:id="32" w:name="_Hlk57192398"/>
      <w:r w:rsidRPr="006E4AD3">
        <w:rPr>
          <w:rFonts w:cstheme="minorHAnsi"/>
          <w:bCs/>
          <w:color w:val="7030A0"/>
        </w:rPr>
        <w:t xml:space="preserve">the predominance of the hospital-level effect of </w:t>
      </w:r>
      <w:r w:rsidR="003C10FC">
        <w:rPr>
          <w:rFonts w:cstheme="minorHAnsi"/>
          <w:bCs/>
          <w:color w:val="7030A0"/>
        </w:rPr>
        <w:t>SRFs</w:t>
      </w:r>
      <w:r w:rsidRPr="006E4AD3">
        <w:rPr>
          <w:rFonts w:cstheme="minorHAnsi"/>
          <w:bCs/>
          <w:color w:val="7030A0"/>
        </w:rPr>
        <w:t xml:space="preserve"> in the decomposition analyses </w:t>
      </w:r>
      <w:r w:rsidRPr="00043DA7">
        <w:rPr>
          <w:rFonts w:cstheme="minorHAnsi"/>
          <w:bCs/>
          <w:color w:val="C00000"/>
        </w:rPr>
        <w:t>for 2020 and 2016 (</w:t>
      </w:r>
      <w:r w:rsidR="004D512C">
        <w:rPr>
          <w:rFonts w:cstheme="minorHAnsi"/>
          <w:bCs/>
          <w:color w:val="C00000"/>
        </w:rPr>
        <w:t>Figures 3 and 4</w:t>
      </w:r>
      <w:r w:rsidRPr="00043DA7">
        <w:rPr>
          <w:rFonts w:cstheme="minorHAnsi"/>
          <w:bCs/>
          <w:color w:val="C00000"/>
        </w:rPr>
        <w:t xml:space="preserve"> below)</w:t>
      </w:r>
      <w:r w:rsidRPr="00391B1B">
        <w:rPr>
          <w:rFonts w:cstheme="minorHAnsi"/>
          <w:bCs/>
        </w:rPr>
        <w:t xml:space="preserve"> </w:t>
      </w:r>
      <w:r w:rsidRPr="006E4AD3">
        <w:rPr>
          <w:rFonts w:cstheme="minorHAnsi"/>
          <w:bCs/>
          <w:color w:val="7030A0"/>
        </w:rPr>
        <w:t>suggests the risk associated with low SES is in large part due to lower quality of care at hospitals where more patients with these risk factors are treated. D</w:t>
      </w:r>
      <w:r w:rsidR="004D512C">
        <w:rPr>
          <w:rFonts w:cstheme="minorHAnsi"/>
          <w:bCs/>
          <w:color w:val="7030A0"/>
        </w:rPr>
        <w:t>irect adjustment for patient SRFs</w:t>
      </w:r>
      <w:r w:rsidRPr="006E4AD3">
        <w:rPr>
          <w:rFonts w:cstheme="minorHAnsi"/>
          <w:bCs/>
          <w:color w:val="7030A0"/>
        </w:rPr>
        <w:t xml:space="preserve"> would essentially “over adjust” the measure</w:t>
      </w:r>
      <w:proofErr w:type="gramStart"/>
      <w:r w:rsidRPr="006E4AD3">
        <w:rPr>
          <w:rFonts w:cstheme="minorHAnsi"/>
          <w:bCs/>
          <w:color w:val="7030A0"/>
        </w:rPr>
        <w:t>, that is to say, it</w:t>
      </w:r>
      <w:proofErr w:type="gramEnd"/>
      <w:r w:rsidRPr="006E4AD3">
        <w:rPr>
          <w:rFonts w:cstheme="minorHAnsi"/>
          <w:bCs/>
          <w:color w:val="7030A0"/>
        </w:rPr>
        <w:t xml:space="preserve"> would be adjusting for an </w:t>
      </w:r>
      <w:r w:rsidRPr="006E4AD3">
        <w:rPr>
          <w:rFonts w:cstheme="minorHAnsi"/>
          <w:bCs/>
          <w:color w:val="7030A0"/>
        </w:rPr>
        <w:lastRenderedPageBreak/>
        <w:t>endogenous factor, one that influences the outcome through the site of treatment (hospital), as much as through an attribute of the patient</w:t>
      </w:r>
      <w:r>
        <w:rPr>
          <w:rFonts w:cstheme="minorHAnsi"/>
          <w:bCs/>
          <w:color w:val="7030A0"/>
        </w:rPr>
        <w:t>.</w:t>
      </w:r>
    </w:p>
    <w:bookmarkEnd w:id="32"/>
    <w:p w14:paraId="4B7CF13C" w14:textId="133F6E3B" w:rsidR="007C0E4E" w:rsidRDefault="007C0E4E" w:rsidP="00001D73">
      <w:pPr>
        <w:autoSpaceDE w:val="0"/>
        <w:autoSpaceDN w:val="0"/>
        <w:adjustRightInd w:val="0"/>
        <w:spacing w:after="0" w:line="240" w:lineRule="auto"/>
        <w:rPr>
          <w:rFonts w:cstheme="minorHAnsi"/>
          <w:bCs/>
          <w:color w:val="7030A0"/>
        </w:rPr>
      </w:pPr>
    </w:p>
    <w:p w14:paraId="729E0FDE" w14:textId="2A2B7897"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t xml:space="preserve">In comparison, we did not observe the same predominance of the hospital-level effect among the clinical covariates, reinforcing the sense that </w:t>
      </w:r>
      <w:r w:rsidR="003C10FC">
        <w:rPr>
          <w:rFonts w:cstheme="minorHAnsi"/>
          <w:bCs/>
          <w:color w:val="7030A0"/>
        </w:rPr>
        <w:t>SRFs</w:t>
      </w:r>
      <w:r w:rsidRPr="007C0E4E">
        <w:rPr>
          <w:rFonts w:cstheme="minorHAnsi"/>
          <w:bCs/>
          <w:color w:val="7030A0"/>
        </w:rPr>
        <w:t xml:space="preserve"> have a distinct causal pathway in their impact on readmission risk. </w:t>
      </w:r>
    </w:p>
    <w:p w14:paraId="34D39CA7" w14:textId="77777777" w:rsidR="007C0E4E" w:rsidRPr="007C0E4E" w:rsidRDefault="007C0E4E" w:rsidP="007C0E4E">
      <w:pPr>
        <w:autoSpaceDE w:val="0"/>
        <w:autoSpaceDN w:val="0"/>
        <w:adjustRightInd w:val="0"/>
        <w:spacing w:after="0" w:line="240" w:lineRule="auto"/>
        <w:rPr>
          <w:rFonts w:cstheme="minorHAnsi"/>
          <w:bCs/>
          <w:color w:val="7030A0"/>
        </w:rPr>
      </w:pPr>
    </w:p>
    <w:p w14:paraId="352D86D0" w14:textId="54F8BFC2" w:rsidR="007C0E4E" w:rsidRPr="007C0E4E" w:rsidRDefault="007C0E4E" w:rsidP="007C0E4E">
      <w:pPr>
        <w:autoSpaceDE w:val="0"/>
        <w:autoSpaceDN w:val="0"/>
        <w:adjustRightInd w:val="0"/>
        <w:spacing w:after="0" w:line="240" w:lineRule="auto"/>
        <w:rPr>
          <w:rFonts w:cstheme="minorHAnsi"/>
          <w:bCs/>
          <w:color w:val="7030A0"/>
        </w:rPr>
      </w:pPr>
      <w:r w:rsidRPr="007C0E4E">
        <w:rPr>
          <w:rFonts w:cstheme="minorHAnsi"/>
          <w:bCs/>
          <w:color w:val="7030A0"/>
        </w:rPr>
        <w:t xml:space="preserve">Table </w:t>
      </w:r>
      <w:r w:rsidR="004D512C">
        <w:rPr>
          <w:rFonts w:cstheme="minorHAnsi"/>
          <w:bCs/>
          <w:color w:val="7030A0"/>
        </w:rPr>
        <w:t>9</w:t>
      </w:r>
      <w:r w:rsidRPr="007C0E4E">
        <w:rPr>
          <w:rFonts w:cstheme="minorHAnsi"/>
          <w:bCs/>
          <w:color w:val="7030A0"/>
        </w:rPr>
        <w:t>. Parameter Estimates for Hospital-Level and Patient-Level in 2020 and 2016 from Decomposition Analysis</w:t>
      </w:r>
    </w:p>
    <w:p w14:paraId="03748256" w14:textId="5FF23BF3" w:rsidR="007C0E4E" w:rsidRDefault="007C0E4E" w:rsidP="00001D73">
      <w:pPr>
        <w:autoSpaceDE w:val="0"/>
        <w:autoSpaceDN w:val="0"/>
        <w:adjustRightInd w:val="0"/>
        <w:spacing w:after="0" w:line="240" w:lineRule="auto"/>
        <w:rPr>
          <w:rFonts w:cstheme="minorHAnsi"/>
          <w:bCs/>
        </w:rPr>
      </w:pPr>
    </w:p>
    <w:tbl>
      <w:tblPr>
        <w:tblStyle w:val="TableGrid"/>
        <w:tblW w:w="9517" w:type="dxa"/>
        <w:tblInd w:w="85" w:type="dxa"/>
        <w:tblLook w:val="04A0" w:firstRow="1" w:lastRow="0" w:firstColumn="1" w:lastColumn="0" w:noHBand="0" w:noVBand="1"/>
      </w:tblPr>
      <w:tblGrid>
        <w:gridCol w:w="3982"/>
        <w:gridCol w:w="2816"/>
        <w:gridCol w:w="2719"/>
      </w:tblGrid>
      <w:tr w:rsidR="007C0E4E" w:rsidRPr="006F5BE7" w14:paraId="3244B47C" w14:textId="77777777" w:rsidTr="009026A4">
        <w:trPr>
          <w:trHeight w:val="667"/>
        </w:trPr>
        <w:tc>
          <w:tcPr>
            <w:tcW w:w="3982" w:type="dxa"/>
            <w:shd w:val="clear" w:color="auto" w:fill="BFBFBF" w:themeFill="background1" w:themeFillShade="BF"/>
          </w:tcPr>
          <w:p w14:paraId="68303A84" w14:textId="77777777" w:rsidR="007C0E4E" w:rsidRPr="00430530" w:rsidRDefault="007C0E4E" w:rsidP="009026A4">
            <w:pPr>
              <w:autoSpaceDE w:val="0"/>
              <w:autoSpaceDN w:val="0"/>
              <w:adjustRightInd w:val="0"/>
              <w:spacing w:before="120" w:after="120"/>
              <w:jc w:val="center"/>
              <w:rPr>
                <w:rFonts w:cstheme="minorHAnsi"/>
                <w:b/>
                <w:bCs/>
              </w:rPr>
            </w:pPr>
            <w:r w:rsidRPr="00430530">
              <w:rPr>
                <w:rFonts w:cstheme="minorHAnsi"/>
                <w:b/>
                <w:bCs/>
                <w:color w:val="7030A0"/>
              </w:rPr>
              <w:t>Parameter</w:t>
            </w:r>
          </w:p>
        </w:tc>
        <w:tc>
          <w:tcPr>
            <w:tcW w:w="2816" w:type="dxa"/>
            <w:shd w:val="clear" w:color="auto" w:fill="BFBFBF" w:themeFill="background1" w:themeFillShade="BF"/>
          </w:tcPr>
          <w:p w14:paraId="1D41BD3C" w14:textId="5E5CBEF3" w:rsidR="007C0E4E" w:rsidRPr="00430530" w:rsidRDefault="007C0E4E" w:rsidP="009026A4">
            <w:pPr>
              <w:autoSpaceDE w:val="0"/>
              <w:autoSpaceDN w:val="0"/>
              <w:adjustRightInd w:val="0"/>
              <w:spacing w:before="120" w:after="120"/>
              <w:jc w:val="center"/>
              <w:rPr>
                <w:rFonts w:cstheme="minorHAnsi"/>
                <w:b/>
                <w:bCs/>
                <w:color w:val="C00000"/>
              </w:rPr>
            </w:pPr>
            <w:r w:rsidRPr="00430530">
              <w:rPr>
                <w:rFonts w:cstheme="minorHAnsi"/>
                <w:b/>
                <w:bCs/>
                <w:color w:val="C00000"/>
              </w:rPr>
              <w:t>2020 Estimate (standard error), p-value</w:t>
            </w:r>
          </w:p>
        </w:tc>
        <w:tc>
          <w:tcPr>
            <w:tcW w:w="2719" w:type="dxa"/>
            <w:shd w:val="clear" w:color="auto" w:fill="BFBFBF" w:themeFill="background1" w:themeFillShade="BF"/>
          </w:tcPr>
          <w:p w14:paraId="7E05741F" w14:textId="161FD5E0" w:rsidR="007C0E4E" w:rsidRPr="00430530" w:rsidRDefault="007C0E4E" w:rsidP="009026A4">
            <w:pPr>
              <w:autoSpaceDE w:val="0"/>
              <w:autoSpaceDN w:val="0"/>
              <w:adjustRightInd w:val="0"/>
              <w:spacing w:before="120" w:after="120"/>
              <w:jc w:val="center"/>
              <w:rPr>
                <w:rFonts w:cstheme="minorHAnsi"/>
                <w:b/>
                <w:bCs/>
              </w:rPr>
            </w:pPr>
            <w:r w:rsidRPr="00430530">
              <w:rPr>
                <w:rFonts w:cstheme="minorHAnsi"/>
                <w:b/>
                <w:bCs/>
                <w:color w:val="7030A0"/>
              </w:rPr>
              <w:t>2016 Estimate (standard error), p-value</w:t>
            </w:r>
          </w:p>
        </w:tc>
      </w:tr>
      <w:tr w:rsidR="007C0E4E" w:rsidRPr="006F5BE7" w14:paraId="2D4C6ABC" w14:textId="77777777" w:rsidTr="009026A4">
        <w:trPr>
          <w:trHeight w:val="839"/>
        </w:trPr>
        <w:tc>
          <w:tcPr>
            <w:tcW w:w="3982" w:type="dxa"/>
            <w:tcBorders>
              <w:bottom w:val="single" w:sz="4" w:space="0" w:color="auto"/>
            </w:tcBorders>
          </w:tcPr>
          <w:p w14:paraId="10CCD031"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Low SES census block group (AHRQ SES index linked to 9-digit ZIP – Adjusted for Cost of Living) – Patient Level</w:t>
            </w:r>
          </w:p>
        </w:tc>
        <w:tc>
          <w:tcPr>
            <w:tcW w:w="2816" w:type="dxa"/>
            <w:tcBorders>
              <w:bottom w:val="single" w:sz="4" w:space="0" w:color="auto"/>
            </w:tcBorders>
          </w:tcPr>
          <w:p w14:paraId="1C5BA4CB" w14:textId="2DF5D5ED" w:rsidR="007C0E4E" w:rsidRPr="00430530" w:rsidRDefault="007C0E4E" w:rsidP="009026A4">
            <w:pPr>
              <w:autoSpaceDE w:val="0"/>
              <w:autoSpaceDN w:val="0"/>
              <w:adjustRightInd w:val="0"/>
              <w:spacing w:before="120" w:after="120"/>
              <w:jc w:val="center"/>
              <w:rPr>
                <w:rFonts w:cstheme="minorHAnsi"/>
                <w:bCs/>
                <w:color w:val="C00000"/>
              </w:rPr>
            </w:pPr>
            <w:r>
              <w:rPr>
                <w:rFonts w:cstheme="minorHAnsi"/>
                <w:bCs/>
                <w:color w:val="C00000"/>
              </w:rPr>
              <w:t>0.0</w:t>
            </w:r>
            <w:r w:rsidR="003F3B83">
              <w:rPr>
                <w:rFonts w:cstheme="minorHAnsi"/>
                <w:bCs/>
                <w:color w:val="C00000"/>
              </w:rPr>
              <w:t>70</w:t>
            </w:r>
            <w:r w:rsidR="00625311">
              <w:rPr>
                <w:rFonts w:cstheme="minorHAnsi"/>
                <w:bCs/>
                <w:color w:val="C00000"/>
              </w:rPr>
              <w:t xml:space="preserve"> (0.002), </w:t>
            </w:r>
            <w:r w:rsidR="0044494A">
              <w:rPr>
                <w:rFonts w:cstheme="minorHAnsi"/>
                <w:bCs/>
                <w:color w:val="C00000"/>
              </w:rPr>
              <w:t>&lt;0.01</w:t>
            </w:r>
          </w:p>
        </w:tc>
        <w:tc>
          <w:tcPr>
            <w:tcW w:w="2719" w:type="dxa"/>
            <w:tcBorders>
              <w:bottom w:val="single" w:sz="4" w:space="0" w:color="auto"/>
            </w:tcBorders>
          </w:tcPr>
          <w:p w14:paraId="02CDD40B" w14:textId="240A501A" w:rsidR="007C0E4E" w:rsidRPr="00430530" w:rsidRDefault="00625311" w:rsidP="009026A4">
            <w:pPr>
              <w:autoSpaceDE w:val="0"/>
              <w:autoSpaceDN w:val="0"/>
              <w:adjustRightInd w:val="0"/>
              <w:spacing w:before="120" w:after="120"/>
              <w:jc w:val="center"/>
              <w:rPr>
                <w:rFonts w:cstheme="minorHAnsi"/>
                <w:bCs/>
                <w:color w:val="7030A0"/>
              </w:rPr>
            </w:pPr>
            <w:r>
              <w:rPr>
                <w:rFonts w:cstheme="minorHAnsi"/>
                <w:bCs/>
                <w:color w:val="7030A0"/>
              </w:rPr>
              <w:t>0.03</w:t>
            </w:r>
            <w:r w:rsidR="003F3B83">
              <w:rPr>
                <w:rFonts w:cstheme="minorHAnsi"/>
                <w:bCs/>
                <w:color w:val="7030A0"/>
              </w:rPr>
              <w:t>6</w:t>
            </w:r>
            <w:r>
              <w:rPr>
                <w:rFonts w:cstheme="minorHAnsi"/>
                <w:bCs/>
                <w:color w:val="7030A0"/>
              </w:rPr>
              <w:t xml:space="preserve"> (0.020), 0.07</w:t>
            </w:r>
            <w:r w:rsidR="003F3B83">
              <w:rPr>
                <w:rFonts w:cstheme="minorHAnsi"/>
                <w:bCs/>
                <w:color w:val="7030A0"/>
              </w:rPr>
              <w:t>8</w:t>
            </w:r>
          </w:p>
        </w:tc>
      </w:tr>
      <w:tr w:rsidR="007C0E4E" w:rsidRPr="006F5BE7" w14:paraId="6C8E323A" w14:textId="77777777" w:rsidTr="009026A4">
        <w:trPr>
          <w:trHeight w:val="829"/>
        </w:trPr>
        <w:tc>
          <w:tcPr>
            <w:tcW w:w="3982" w:type="dxa"/>
            <w:tcBorders>
              <w:top w:val="single" w:sz="4" w:space="0" w:color="auto"/>
            </w:tcBorders>
          </w:tcPr>
          <w:p w14:paraId="67A785BD"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Low SES census block group (AHRQ SES index linked to 9-digit ZIP – Adjusted for Cost of Living) – Hospital Level</w:t>
            </w:r>
          </w:p>
        </w:tc>
        <w:tc>
          <w:tcPr>
            <w:tcW w:w="2816" w:type="dxa"/>
            <w:tcBorders>
              <w:top w:val="single" w:sz="4" w:space="0" w:color="auto"/>
            </w:tcBorders>
          </w:tcPr>
          <w:p w14:paraId="20C29388" w14:textId="01B0A33C" w:rsidR="007C0E4E" w:rsidRPr="00430530" w:rsidRDefault="00625311" w:rsidP="009026A4">
            <w:pPr>
              <w:autoSpaceDE w:val="0"/>
              <w:autoSpaceDN w:val="0"/>
              <w:adjustRightInd w:val="0"/>
              <w:spacing w:before="120" w:after="120"/>
              <w:jc w:val="center"/>
              <w:rPr>
                <w:rFonts w:cstheme="minorHAnsi"/>
                <w:bCs/>
                <w:color w:val="C00000"/>
              </w:rPr>
            </w:pPr>
            <w:r>
              <w:rPr>
                <w:rFonts w:cstheme="minorHAnsi"/>
                <w:bCs/>
                <w:color w:val="C00000"/>
              </w:rPr>
              <w:t>0.57</w:t>
            </w:r>
            <w:r w:rsidR="003F3B83">
              <w:rPr>
                <w:rFonts w:cstheme="minorHAnsi"/>
                <w:bCs/>
                <w:color w:val="C00000"/>
              </w:rPr>
              <w:t>3</w:t>
            </w:r>
            <w:r>
              <w:rPr>
                <w:rFonts w:cstheme="minorHAnsi"/>
                <w:bCs/>
                <w:color w:val="C00000"/>
              </w:rPr>
              <w:t xml:space="preserve"> (0.08</w:t>
            </w:r>
            <w:r w:rsidR="003F3B83">
              <w:rPr>
                <w:rFonts w:cstheme="minorHAnsi"/>
                <w:bCs/>
                <w:color w:val="C00000"/>
              </w:rPr>
              <w:t>8</w:t>
            </w:r>
            <w:r w:rsidR="007C0E4E" w:rsidRPr="00430530">
              <w:rPr>
                <w:rFonts w:cstheme="minorHAnsi"/>
                <w:bCs/>
                <w:color w:val="C00000"/>
              </w:rPr>
              <w:t>), &lt;0.0001</w:t>
            </w:r>
          </w:p>
        </w:tc>
        <w:tc>
          <w:tcPr>
            <w:tcW w:w="2719" w:type="dxa"/>
            <w:tcBorders>
              <w:top w:val="single" w:sz="4" w:space="0" w:color="auto"/>
            </w:tcBorders>
          </w:tcPr>
          <w:p w14:paraId="63A28326" w14:textId="0498C7D9" w:rsidR="007C0E4E" w:rsidRPr="00430530" w:rsidRDefault="00625311" w:rsidP="009026A4">
            <w:pPr>
              <w:autoSpaceDE w:val="0"/>
              <w:autoSpaceDN w:val="0"/>
              <w:adjustRightInd w:val="0"/>
              <w:spacing w:before="120" w:after="120"/>
              <w:jc w:val="center"/>
              <w:rPr>
                <w:rFonts w:cstheme="minorHAnsi"/>
                <w:bCs/>
                <w:color w:val="7030A0"/>
              </w:rPr>
            </w:pPr>
            <w:r>
              <w:rPr>
                <w:rFonts w:cstheme="minorHAnsi"/>
                <w:bCs/>
                <w:color w:val="7030A0"/>
              </w:rPr>
              <w:t>0.21</w:t>
            </w:r>
            <w:r w:rsidR="003F3B83">
              <w:rPr>
                <w:rFonts w:cstheme="minorHAnsi"/>
                <w:bCs/>
                <w:color w:val="7030A0"/>
              </w:rPr>
              <w:t>9</w:t>
            </w:r>
            <w:r>
              <w:rPr>
                <w:rFonts w:cstheme="minorHAnsi"/>
                <w:bCs/>
                <w:color w:val="7030A0"/>
              </w:rPr>
              <w:t xml:space="preserve"> (0.051</w:t>
            </w:r>
            <w:r w:rsidR="007C0E4E" w:rsidRPr="00430530">
              <w:rPr>
                <w:rFonts w:cstheme="minorHAnsi"/>
                <w:bCs/>
                <w:color w:val="7030A0"/>
              </w:rPr>
              <w:t>), &lt;0.0001</w:t>
            </w:r>
          </w:p>
        </w:tc>
      </w:tr>
      <w:tr w:rsidR="007C0E4E" w:rsidRPr="006F5BE7" w14:paraId="4EAACAF0" w14:textId="77777777" w:rsidTr="009026A4">
        <w:trPr>
          <w:trHeight w:val="419"/>
        </w:trPr>
        <w:tc>
          <w:tcPr>
            <w:tcW w:w="3982" w:type="dxa"/>
          </w:tcPr>
          <w:p w14:paraId="2629CAB7"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 xml:space="preserve">Dual-Eligible – Patient Level </w:t>
            </w:r>
          </w:p>
        </w:tc>
        <w:tc>
          <w:tcPr>
            <w:tcW w:w="2816" w:type="dxa"/>
          </w:tcPr>
          <w:p w14:paraId="2C529AD5" w14:textId="1036C511" w:rsidR="007C0E4E" w:rsidRPr="00430530" w:rsidRDefault="00625311" w:rsidP="009026A4">
            <w:pPr>
              <w:autoSpaceDE w:val="0"/>
              <w:autoSpaceDN w:val="0"/>
              <w:adjustRightInd w:val="0"/>
              <w:spacing w:before="120" w:after="120"/>
              <w:jc w:val="center"/>
              <w:rPr>
                <w:rFonts w:cstheme="minorHAnsi"/>
                <w:bCs/>
                <w:color w:val="C00000"/>
              </w:rPr>
            </w:pPr>
            <w:r>
              <w:rPr>
                <w:rFonts w:cstheme="minorHAnsi"/>
                <w:bCs/>
                <w:color w:val="C00000"/>
              </w:rPr>
              <w:t>0.26</w:t>
            </w:r>
            <w:r w:rsidR="003F3B83">
              <w:rPr>
                <w:rFonts w:cstheme="minorHAnsi"/>
                <w:bCs/>
                <w:color w:val="C00000"/>
              </w:rPr>
              <w:t>9</w:t>
            </w:r>
            <w:r>
              <w:rPr>
                <w:rFonts w:cstheme="minorHAnsi"/>
                <w:bCs/>
                <w:color w:val="C00000"/>
              </w:rPr>
              <w:t xml:space="preserve"> (0.03</w:t>
            </w:r>
            <w:r w:rsidR="003F3B83">
              <w:rPr>
                <w:rFonts w:cstheme="minorHAnsi"/>
                <w:bCs/>
                <w:color w:val="C00000"/>
              </w:rPr>
              <w:t>3</w:t>
            </w:r>
            <w:r w:rsidR="007C0E4E" w:rsidRPr="00430530">
              <w:rPr>
                <w:rFonts w:cstheme="minorHAnsi"/>
                <w:bCs/>
                <w:color w:val="C00000"/>
              </w:rPr>
              <w:t>), &lt;0.0001</w:t>
            </w:r>
          </w:p>
        </w:tc>
        <w:tc>
          <w:tcPr>
            <w:tcW w:w="2719" w:type="dxa"/>
          </w:tcPr>
          <w:p w14:paraId="780ABABD" w14:textId="56DD7AF6" w:rsidR="007C0E4E" w:rsidRPr="00430530" w:rsidRDefault="00625311" w:rsidP="009026A4">
            <w:pPr>
              <w:autoSpaceDE w:val="0"/>
              <w:autoSpaceDN w:val="0"/>
              <w:adjustRightInd w:val="0"/>
              <w:spacing w:before="120" w:after="120"/>
              <w:jc w:val="center"/>
              <w:rPr>
                <w:rFonts w:cstheme="minorHAnsi"/>
                <w:bCs/>
                <w:color w:val="7030A0"/>
              </w:rPr>
            </w:pPr>
            <w:r>
              <w:rPr>
                <w:rFonts w:cstheme="minorHAnsi"/>
                <w:bCs/>
                <w:color w:val="7030A0"/>
              </w:rPr>
              <w:t>0.17</w:t>
            </w:r>
            <w:r w:rsidR="003F3B83">
              <w:rPr>
                <w:rFonts w:cstheme="minorHAnsi"/>
                <w:bCs/>
                <w:color w:val="7030A0"/>
              </w:rPr>
              <w:t>1</w:t>
            </w:r>
            <w:r>
              <w:rPr>
                <w:rFonts w:cstheme="minorHAnsi"/>
                <w:bCs/>
                <w:color w:val="7030A0"/>
              </w:rPr>
              <w:t xml:space="preserve"> (0.02</w:t>
            </w:r>
            <w:r w:rsidR="003F3B83">
              <w:rPr>
                <w:rFonts w:cstheme="minorHAnsi"/>
                <w:bCs/>
                <w:color w:val="7030A0"/>
              </w:rPr>
              <w:t>7</w:t>
            </w:r>
            <w:r w:rsidR="007C0E4E" w:rsidRPr="00430530">
              <w:rPr>
                <w:rFonts w:cstheme="minorHAnsi"/>
                <w:bCs/>
                <w:color w:val="7030A0"/>
              </w:rPr>
              <w:t>), &lt;0.0001</w:t>
            </w:r>
          </w:p>
        </w:tc>
      </w:tr>
      <w:tr w:rsidR="007C0E4E" w:rsidRPr="00161A75" w14:paraId="6BF74CA7" w14:textId="77777777" w:rsidTr="009026A4">
        <w:trPr>
          <w:trHeight w:val="419"/>
        </w:trPr>
        <w:tc>
          <w:tcPr>
            <w:tcW w:w="3982" w:type="dxa"/>
          </w:tcPr>
          <w:p w14:paraId="093830C8" w14:textId="77777777" w:rsidR="007C0E4E" w:rsidRPr="00430530" w:rsidRDefault="007C0E4E" w:rsidP="009026A4">
            <w:pPr>
              <w:autoSpaceDE w:val="0"/>
              <w:autoSpaceDN w:val="0"/>
              <w:adjustRightInd w:val="0"/>
              <w:spacing w:before="120" w:after="120"/>
              <w:rPr>
                <w:rFonts w:cstheme="minorHAnsi"/>
                <w:bCs/>
                <w:color w:val="7030A0"/>
              </w:rPr>
            </w:pPr>
            <w:r w:rsidRPr="00430530">
              <w:rPr>
                <w:rFonts w:cstheme="minorHAnsi"/>
                <w:bCs/>
                <w:color w:val="7030A0"/>
              </w:rPr>
              <w:t>Dual-Eligible – Hospital Level</w:t>
            </w:r>
          </w:p>
        </w:tc>
        <w:tc>
          <w:tcPr>
            <w:tcW w:w="2816" w:type="dxa"/>
          </w:tcPr>
          <w:p w14:paraId="4BB42918" w14:textId="31AAB2E7" w:rsidR="007C0E4E" w:rsidRPr="00430530" w:rsidRDefault="00625311" w:rsidP="009026A4">
            <w:pPr>
              <w:autoSpaceDE w:val="0"/>
              <w:autoSpaceDN w:val="0"/>
              <w:adjustRightInd w:val="0"/>
              <w:spacing w:before="120" w:after="120"/>
              <w:jc w:val="center"/>
              <w:rPr>
                <w:rFonts w:cstheme="minorHAnsi"/>
                <w:bCs/>
                <w:color w:val="C00000"/>
              </w:rPr>
            </w:pPr>
            <w:r>
              <w:rPr>
                <w:rFonts w:cstheme="minorHAnsi"/>
                <w:bCs/>
                <w:color w:val="C00000"/>
              </w:rPr>
              <w:t>0.437 (0.12</w:t>
            </w:r>
            <w:r w:rsidR="003F3B83">
              <w:rPr>
                <w:rFonts w:cstheme="minorHAnsi"/>
                <w:bCs/>
                <w:color w:val="C00000"/>
              </w:rPr>
              <w:t>9</w:t>
            </w:r>
            <w:r>
              <w:rPr>
                <w:rFonts w:cstheme="minorHAnsi"/>
                <w:bCs/>
                <w:color w:val="C00000"/>
              </w:rPr>
              <w:t xml:space="preserve">), </w:t>
            </w:r>
            <w:r w:rsidR="003F3B83">
              <w:rPr>
                <w:rFonts w:cstheme="minorHAnsi"/>
                <w:bCs/>
                <w:color w:val="C00000"/>
              </w:rPr>
              <w:t>&lt;0.001</w:t>
            </w:r>
          </w:p>
        </w:tc>
        <w:tc>
          <w:tcPr>
            <w:tcW w:w="2719" w:type="dxa"/>
          </w:tcPr>
          <w:p w14:paraId="59995FA6" w14:textId="1CDD8270" w:rsidR="007C0E4E" w:rsidRPr="00430530" w:rsidRDefault="00625311" w:rsidP="009026A4">
            <w:pPr>
              <w:autoSpaceDE w:val="0"/>
              <w:autoSpaceDN w:val="0"/>
              <w:adjustRightInd w:val="0"/>
              <w:spacing w:before="120" w:after="120"/>
              <w:jc w:val="center"/>
              <w:rPr>
                <w:rFonts w:cstheme="minorHAnsi"/>
                <w:bCs/>
                <w:color w:val="7030A0"/>
              </w:rPr>
            </w:pPr>
            <w:r>
              <w:rPr>
                <w:rFonts w:cstheme="minorHAnsi"/>
                <w:bCs/>
                <w:color w:val="7030A0"/>
              </w:rPr>
              <w:t xml:space="preserve">0.340 (0.147), </w:t>
            </w:r>
            <w:r w:rsidR="0044494A">
              <w:rPr>
                <w:rFonts w:cstheme="minorHAnsi"/>
                <w:bCs/>
                <w:color w:val="7030A0"/>
              </w:rPr>
              <w:t>&lt;0.05</w:t>
            </w:r>
          </w:p>
        </w:tc>
      </w:tr>
    </w:tbl>
    <w:p w14:paraId="33DE09F1" w14:textId="77777777" w:rsidR="007C0E4E" w:rsidRPr="007C0E4E" w:rsidRDefault="007C0E4E" w:rsidP="00001D73">
      <w:pPr>
        <w:autoSpaceDE w:val="0"/>
        <w:autoSpaceDN w:val="0"/>
        <w:adjustRightInd w:val="0"/>
        <w:spacing w:after="0" w:line="240" w:lineRule="auto"/>
        <w:rPr>
          <w:rFonts w:cstheme="minorHAnsi"/>
          <w:bCs/>
        </w:rPr>
      </w:pPr>
    </w:p>
    <w:p w14:paraId="6E606C01" w14:textId="77777777" w:rsidR="001B324F" w:rsidRDefault="001B324F">
      <w:pPr>
        <w:rPr>
          <w:rFonts w:cstheme="minorHAnsi"/>
          <w:bCs/>
          <w:color w:val="C00000"/>
        </w:rPr>
      </w:pPr>
      <w:r>
        <w:rPr>
          <w:rFonts w:cstheme="minorHAnsi"/>
          <w:bCs/>
          <w:color w:val="C00000"/>
        </w:rPr>
        <w:br w:type="page"/>
      </w:r>
    </w:p>
    <w:p w14:paraId="14AE4C05" w14:textId="217A5D77" w:rsidR="00625311" w:rsidRDefault="004D512C" w:rsidP="00625311">
      <w:pPr>
        <w:autoSpaceDE w:val="0"/>
        <w:autoSpaceDN w:val="0"/>
        <w:adjustRightInd w:val="0"/>
        <w:spacing w:after="0" w:line="240" w:lineRule="auto"/>
        <w:rPr>
          <w:rFonts w:cstheme="minorHAnsi"/>
          <w:bCs/>
          <w:color w:val="C00000"/>
        </w:rPr>
      </w:pPr>
      <w:r>
        <w:rPr>
          <w:rFonts w:cstheme="minorHAnsi"/>
          <w:bCs/>
          <w:color w:val="C00000"/>
        </w:rPr>
        <w:lastRenderedPageBreak/>
        <w:t>Figure 3</w:t>
      </w:r>
      <w:r w:rsidR="00625311" w:rsidRPr="00625311">
        <w:rPr>
          <w:rFonts w:cstheme="minorHAnsi"/>
          <w:bCs/>
          <w:color w:val="C00000"/>
        </w:rPr>
        <w:t>. Decomposition Analysis for 2020, CABG Readmission</w:t>
      </w:r>
    </w:p>
    <w:p w14:paraId="38A5E13F" w14:textId="285FB449" w:rsidR="00625311" w:rsidRDefault="00625311" w:rsidP="00625311">
      <w:pPr>
        <w:tabs>
          <w:tab w:val="left" w:pos="6102"/>
        </w:tabs>
        <w:autoSpaceDE w:val="0"/>
        <w:autoSpaceDN w:val="0"/>
        <w:adjustRightInd w:val="0"/>
        <w:spacing w:after="0" w:line="240" w:lineRule="auto"/>
        <w:rPr>
          <w:rFonts w:cstheme="minorHAnsi"/>
          <w:bCs/>
          <w:color w:val="C00000"/>
        </w:rPr>
      </w:pPr>
      <w:r>
        <w:rPr>
          <w:rFonts w:cstheme="minorHAnsi"/>
          <w:bCs/>
          <w:color w:val="C00000"/>
        </w:rPr>
        <w:tab/>
      </w:r>
    </w:p>
    <w:p w14:paraId="113B1FAE" w14:textId="7237215A" w:rsidR="00E22458" w:rsidRPr="00625311" w:rsidRDefault="000F0FF0" w:rsidP="00625311">
      <w:pPr>
        <w:autoSpaceDE w:val="0"/>
        <w:autoSpaceDN w:val="0"/>
        <w:adjustRightInd w:val="0"/>
        <w:spacing w:after="0" w:line="240" w:lineRule="auto"/>
        <w:rPr>
          <w:rFonts w:cstheme="minorHAnsi"/>
          <w:bCs/>
          <w:color w:val="C00000"/>
        </w:rPr>
      </w:pPr>
      <w:r>
        <w:rPr>
          <w:rFonts w:cstheme="minorHAnsi"/>
          <w:bCs/>
          <w:noProof/>
          <w:color w:val="C00000"/>
        </w:rPr>
        <w:drawing>
          <wp:inline distT="0" distB="0" distL="0" distR="0" wp14:anchorId="1AF366B1" wp14:editId="684F5C7E">
            <wp:extent cx="5499100" cy="2646045"/>
            <wp:effectExtent l="0" t="0" r="6350" b="1905"/>
            <wp:docPr id="2" name="Picture 2" descr="Figure 3 presents the results of a Decomposition Analysis for 2020 of the CABG Readmission measure.  Both the patient-level and hospital-level dual eligibility, and low AHRQ SES Index effects were significantly associated with CABG readmission in the decomposition analysis.  For the AHRQ SES index, the hospital-level effect (P95-P5) is greater than the patient-level effect (delta).  However, the patient-level effect is greater than the hospital-level effect for dual eligible status. For clinical variables, the patient-level effect (delta) is greater than the hospital-level effect (P95-P5) for heart failure, COPD, and dialysis status.  The clinical variables had the opposite pattern, with a greater effect at the patient level than at the hospital level for heart failure, COPD, and dialysis status. In sum, including SRF variables into the model would predominantly adjust for a hospital-level effect, which is an important signal of hospital quality." title="Figure 3. Decomposition Analysis for 2020, CABG Read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99100" cy="2646045"/>
                    </a:xfrm>
                    <a:prstGeom prst="rect">
                      <a:avLst/>
                    </a:prstGeom>
                    <a:noFill/>
                  </pic:spPr>
                </pic:pic>
              </a:graphicData>
            </a:graphic>
          </wp:inline>
        </w:drawing>
      </w:r>
    </w:p>
    <w:p w14:paraId="266CB237" w14:textId="158C82C0" w:rsidR="001B324F" w:rsidRDefault="001B324F">
      <w:pPr>
        <w:rPr>
          <w:rFonts w:cstheme="minorHAnsi"/>
          <w:bCs/>
          <w:color w:val="7030A0"/>
        </w:rPr>
      </w:pPr>
    </w:p>
    <w:p w14:paraId="41E2F658" w14:textId="5F2841AF" w:rsidR="00625311" w:rsidRPr="00625311" w:rsidRDefault="004D512C" w:rsidP="00625311">
      <w:pPr>
        <w:autoSpaceDE w:val="0"/>
        <w:autoSpaceDN w:val="0"/>
        <w:adjustRightInd w:val="0"/>
        <w:spacing w:after="0" w:line="240" w:lineRule="auto"/>
        <w:rPr>
          <w:rFonts w:cstheme="minorHAnsi"/>
          <w:bCs/>
          <w:color w:val="7030A0"/>
        </w:rPr>
      </w:pPr>
      <w:r>
        <w:rPr>
          <w:rFonts w:cstheme="minorHAnsi"/>
          <w:bCs/>
          <w:color w:val="7030A0"/>
        </w:rPr>
        <w:t>Figure 4</w:t>
      </w:r>
      <w:r w:rsidR="00625311" w:rsidRPr="00625311">
        <w:rPr>
          <w:rFonts w:cstheme="minorHAnsi"/>
          <w:bCs/>
          <w:color w:val="7030A0"/>
        </w:rPr>
        <w:t>. Decomposition Analysis for 2016, CABG Readmission</w:t>
      </w:r>
    </w:p>
    <w:p w14:paraId="5C8BB058" w14:textId="75B93F82" w:rsidR="00625311" w:rsidRDefault="00625311" w:rsidP="00001D73">
      <w:pPr>
        <w:autoSpaceDE w:val="0"/>
        <w:autoSpaceDN w:val="0"/>
        <w:adjustRightInd w:val="0"/>
        <w:spacing w:after="0" w:line="240" w:lineRule="auto"/>
        <w:rPr>
          <w:rFonts w:cstheme="minorHAnsi"/>
          <w:b/>
          <w:bCs/>
          <w:color w:val="7030A0"/>
        </w:rPr>
      </w:pPr>
    </w:p>
    <w:p w14:paraId="7CF6523D" w14:textId="24605D34" w:rsidR="00E22458" w:rsidRPr="00625311" w:rsidRDefault="000F0FF0" w:rsidP="00001D73">
      <w:pPr>
        <w:autoSpaceDE w:val="0"/>
        <w:autoSpaceDN w:val="0"/>
        <w:adjustRightInd w:val="0"/>
        <w:spacing w:after="0" w:line="240" w:lineRule="auto"/>
        <w:rPr>
          <w:rFonts w:cstheme="minorHAnsi"/>
          <w:b/>
          <w:bCs/>
          <w:color w:val="7030A0"/>
        </w:rPr>
      </w:pPr>
      <w:r>
        <w:rPr>
          <w:rFonts w:cstheme="minorHAnsi"/>
          <w:b/>
          <w:bCs/>
          <w:noProof/>
          <w:color w:val="7030A0"/>
        </w:rPr>
        <w:drawing>
          <wp:inline distT="0" distB="0" distL="0" distR="0" wp14:anchorId="3107C2D1" wp14:editId="4D777A65">
            <wp:extent cx="5499100" cy="2646045"/>
            <wp:effectExtent l="0" t="0" r="6350" b="1905"/>
            <wp:docPr id="6" name="Picture 6" descr="Figure 4. presents the results of a Decomposition Analysis for 2016 of the CABG Readmission measure.  Both the patient-level and hospital-level dual eligibility, and low AHRQ SES Index effects were significantly associated with CABG readmission in the decomposition analysis.  For the AHRQ SES index, the hospital-level effect (P95-P5) is greater than the patient-level effect (delta) (predicted probabilities for SRF variables); however, the patient-level effect is greater than the hospital-level effect for dual eligible status. For clinical variables, the patient-level effect (delta) is greater than the hospital-level effect (P95-P5) for heart failure, COPD, and dialysis status.  The clinical variables had the opposite pattern, with a greater effect at the patient level than at the hospital level for heart failure, COPD, and dialysis status. In sum, including SRF variables into the model would predominantly adjust for a hospital-level effect, which is an important signal of hospital quality.  The predominance of the hospital-level effect of SRFs in the decomposition analysis for 2016 suggest the risk associated with low SES is in large part due to lower quality of care at hospitals where more patients with these risk factors are treated." title="Figure 4. Decomposition Analysis for 2016, CABG Read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9100" cy="2646045"/>
                    </a:xfrm>
                    <a:prstGeom prst="rect">
                      <a:avLst/>
                    </a:prstGeom>
                    <a:noFill/>
                  </pic:spPr>
                </pic:pic>
              </a:graphicData>
            </a:graphic>
          </wp:inline>
        </w:drawing>
      </w:r>
    </w:p>
    <w:p w14:paraId="70F1A62E" w14:textId="15793F4F" w:rsidR="00625311" w:rsidRPr="00625311" w:rsidRDefault="00625311" w:rsidP="00625311">
      <w:pPr>
        <w:autoSpaceDE w:val="0"/>
        <w:autoSpaceDN w:val="0"/>
        <w:adjustRightInd w:val="0"/>
        <w:spacing w:after="0" w:line="240" w:lineRule="auto"/>
        <w:rPr>
          <w:rFonts w:cstheme="minorHAnsi"/>
          <w:bCs/>
          <w:u w:val="single"/>
        </w:rPr>
      </w:pPr>
    </w:p>
    <w:p w14:paraId="01812A13" w14:textId="77777777" w:rsidR="00625311" w:rsidRPr="00E6062F" w:rsidRDefault="00625311" w:rsidP="00625311">
      <w:pPr>
        <w:autoSpaceDE w:val="0"/>
        <w:autoSpaceDN w:val="0"/>
        <w:adjustRightInd w:val="0"/>
        <w:spacing w:after="0" w:line="240" w:lineRule="auto"/>
        <w:rPr>
          <w:rFonts w:cstheme="minorHAnsi"/>
          <w:bCs/>
          <w:color w:val="C00000"/>
          <w:u w:val="single"/>
        </w:rPr>
      </w:pPr>
      <w:r w:rsidRPr="00E6062F">
        <w:rPr>
          <w:rFonts w:cstheme="minorHAnsi"/>
          <w:bCs/>
          <w:color w:val="C00000"/>
          <w:u w:val="single"/>
        </w:rPr>
        <w:t>Summary</w:t>
      </w:r>
    </w:p>
    <w:p w14:paraId="3212604D" w14:textId="77777777" w:rsidR="00DE708D" w:rsidRDefault="00DE708D" w:rsidP="00DE708D">
      <w:pPr>
        <w:spacing w:before="120" w:line="240" w:lineRule="auto"/>
        <w:rPr>
          <w:color w:val="C00000"/>
        </w:rPr>
      </w:pPr>
      <w:r w:rsidRPr="005D2960">
        <w:rPr>
          <w:rFonts w:eastAsia="Times New Roman" w:cstheme="minorHAnsi"/>
          <w:color w:val="C00000"/>
        </w:rPr>
        <w:t xml:space="preserve">For risk-adjusted outcome measures, CMS first considers adjustment for clinical comorbidities, frailty indicators, and then examines additional risk imparted by SRFs after the potential for greater disease burden is included in the risk model (see section 2b3.3a). </w:t>
      </w:r>
      <w:r w:rsidR="00E6062F" w:rsidRPr="00485173">
        <w:rPr>
          <w:rFonts w:eastAsia="Times New Roman" w:cstheme="minorHAnsi"/>
          <w:color w:val="C00000"/>
        </w:rPr>
        <w:t>We believe that this is consistent with NQF current guidance and is appropriate given the evidence cited in our submission that people who experience greater social risk are more likely to have more disease burde</w:t>
      </w:r>
      <w:r>
        <w:rPr>
          <w:rFonts w:eastAsia="Times New Roman" w:cstheme="minorHAnsi"/>
          <w:color w:val="C00000"/>
        </w:rPr>
        <w:t>n compared with those who have less social risk</w:t>
      </w:r>
      <w:r w:rsidR="00E6062F" w:rsidRPr="00485173">
        <w:rPr>
          <w:rFonts w:eastAsia="Times New Roman" w:cstheme="minorHAnsi"/>
          <w:color w:val="C00000"/>
        </w:rPr>
        <w:t xml:space="preserve">; and that this is clearly not a signal of hospital quality. In addition, according to NQF guidance, developers should assess social risk factors for their contribution of unique variation in the outcome – that they are not redundant (NQF, 2014). Therefore, if clinical risk factors explain all or most </w:t>
      </w:r>
      <w:r w:rsidR="00E6062F" w:rsidRPr="00485173">
        <w:rPr>
          <w:rFonts w:eastAsia="Times New Roman" w:cstheme="minorHAnsi"/>
          <w:color w:val="C00000"/>
        </w:rPr>
        <w:lastRenderedPageBreak/>
        <w:t xml:space="preserve">of the patient variation in the outcome, then NQF guidance does not support adding social risk factors that do not account for variation. </w:t>
      </w:r>
      <w:r w:rsidRPr="00DE708D">
        <w:rPr>
          <w:color w:val="C00000"/>
        </w:rPr>
        <w:t>CMS’s decisions about which risk factors should be included in each measure’s risk-adjustment model are based on whether inclusion of such variables is likely to make the measures more successful at illuminating quality differences and motivating quality improvement. (This aim should be distinguished from decisions made in response to concerns about the impact of related payment programs on safety-net hospitals; concerns which can be addressed through other policy mechanisms.)</w:t>
      </w:r>
    </w:p>
    <w:p w14:paraId="30CB451A" w14:textId="3BFE29C8" w:rsidR="00E6062F" w:rsidRPr="00485173" w:rsidRDefault="00DE708D" w:rsidP="00DE708D">
      <w:pPr>
        <w:spacing w:before="120" w:line="240" w:lineRule="auto"/>
        <w:rPr>
          <w:rFonts w:cstheme="minorHAnsi"/>
          <w:b/>
          <w:bCs/>
          <w:color w:val="C00000"/>
        </w:rPr>
      </w:pPr>
      <w:r w:rsidRPr="005D2960">
        <w:rPr>
          <w:color w:val="C00000"/>
        </w:rPr>
        <w:t xml:space="preserve">We found wide variation in the prevalence of the two SRFs we examined, with a large proportion of hospitals treating zero patients with these SRFs. We also found that both had some association with readmission risk. </w:t>
      </w:r>
      <w:r w:rsidR="00E6062F" w:rsidRPr="00485173">
        <w:rPr>
          <w:rFonts w:cstheme="minorHAnsi"/>
          <w:bCs/>
          <w:color w:val="C00000"/>
        </w:rPr>
        <w:t xml:space="preserve">However, adjustment for these factors did not have </w:t>
      </w:r>
      <w:r>
        <w:rPr>
          <w:rFonts w:cstheme="minorHAnsi"/>
          <w:bCs/>
          <w:color w:val="C00000"/>
        </w:rPr>
        <w:t>a material</w:t>
      </w:r>
      <w:r w:rsidR="00E6062F">
        <w:rPr>
          <w:rFonts w:cstheme="minorHAnsi"/>
          <w:bCs/>
          <w:color w:val="C00000"/>
        </w:rPr>
        <w:t xml:space="preserve"> impact on hospital RSR</w:t>
      </w:r>
      <w:r w:rsidR="00E6062F" w:rsidRPr="00485173">
        <w:rPr>
          <w:rFonts w:cstheme="minorHAnsi"/>
          <w:bCs/>
          <w:color w:val="C00000"/>
        </w:rPr>
        <w:t>Rs, suggesting that existing clinical risk factors capture much of the risk related to social risk.</w:t>
      </w:r>
      <w:r w:rsidR="00E6062F">
        <w:rPr>
          <w:rFonts w:cstheme="minorHAnsi"/>
          <w:bCs/>
          <w:color w:val="C00000"/>
        </w:rPr>
        <w:t xml:space="preserve"> Peer-reviewed literature supports this claim (Anderson et al., 2016).</w:t>
      </w:r>
    </w:p>
    <w:p w14:paraId="0126B850" w14:textId="5E9A4CFC" w:rsidR="00E6062F" w:rsidRPr="00485173" w:rsidRDefault="00DE708D" w:rsidP="00E6062F">
      <w:pPr>
        <w:spacing w:line="240" w:lineRule="auto"/>
        <w:rPr>
          <w:color w:val="C00000"/>
        </w:rPr>
      </w:pPr>
      <w:r w:rsidRPr="00485173">
        <w:rPr>
          <w:color w:val="C00000"/>
        </w:rPr>
        <w:t>Ongoing research aims to identify valid patient-level social risk factors and highlight disparities related to social risk</w:t>
      </w:r>
      <w:r>
        <w:rPr>
          <w:color w:val="C00000"/>
        </w:rPr>
        <w:t xml:space="preserve"> </w:t>
      </w:r>
      <w:r w:rsidRPr="005D2960">
        <w:rPr>
          <w:color w:val="C00000"/>
        </w:rPr>
        <w:t xml:space="preserve">– in fact, ASPE’s latest report to Congress highlights which SRFs are valid in claims data, and that adjustment for SRFs in </w:t>
      </w:r>
      <w:r>
        <w:rPr>
          <w:color w:val="C00000"/>
        </w:rPr>
        <w:t xml:space="preserve">publicly reported </w:t>
      </w:r>
      <w:r w:rsidRPr="005D2960">
        <w:rPr>
          <w:color w:val="C00000"/>
        </w:rPr>
        <w:t>quality measures is not recommended because providers should be accountable for overall outcomes, regard</w:t>
      </w:r>
      <w:r>
        <w:rPr>
          <w:color w:val="C00000"/>
        </w:rPr>
        <w:t>less of social risk (ASPE 2020)</w:t>
      </w:r>
      <w:r w:rsidRPr="00485173">
        <w:rPr>
          <w:color w:val="C00000"/>
        </w:rPr>
        <w:t xml:space="preserve">. </w:t>
      </w:r>
      <w:r w:rsidR="00E6062F" w:rsidRPr="00485173">
        <w:rPr>
          <w:color w:val="C00000"/>
        </w:rPr>
        <w:t>As additional variables become available, they will be considered for testing and inclusion w</w:t>
      </w:r>
      <w:r>
        <w:rPr>
          <w:color w:val="C00000"/>
        </w:rPr>
        <w:t>ithin the measure. There are</w:t>
      </w:r>
      <w:r w:rsidR="00E6062F" w:rsidRPr="00485173">
        <w:rPr>
          <w:color w:val="C00000"/>
        </w:rPr>
        <w:t xml:space="preserve"> alternative ways to adjust for social risk as part of measure program implementation, such as stratification or peer grouping, which CMS recently applied to the Hospital Readmission Reduction Program (HRRP). CMS also confidentially reports disparities in the readmission measures to hospitals so that they have more detailed, actionable information about their patient population’s social risk. </w:t>
      </w:r>
      <w:r w:rsidRPr="00DE708D">
        <w:rPr>
          <w:rFonts w:cstheme="minorHAnsi"/>
          <w:bCs/>
          <w:color w:val="C00000"/>
        </w:rPr>
        <w:t>Given these empiric findings and program considerations, CMS chose not to include these two SRFs in the final risk model at this time.</w:t>
      </w:r>
    </w:p>
    <w:p w14:paraId="45797B93" w14:textId="77777777" w:rsidR="00E6062F" w:rsidRPr="00485173" w:rsidRDefault="00E6062F" w:rsidP="00E6062F">
      <w:pPr>
        <w:spacing w:line="240" w:lineRule="auto"/>
        <w:rPr>
          <w:color w:val="C00000"/>
        </w:rPr>
      </w:pPr>
      <w:r w:rsidRPr="00485173">
        <w:rPr>
          <w:color w:val="C00000"/>
        </w:rPr>
        <w:t>We acknowledge the importance of balancing these competing considerations and are committed to constant refinement and improvement of risk adjustment models used in all measures. We will continue to reevaluate this model and available risk factors on an ongoing basis, with the goal of producing the most accurate and fair risk adjustment models for assessing provider performance.</w:t>
      </w:r>
    </w:p>
    <w:p w14:paraId="615054C7" w14:textId="12F88337" w:rsidR="00C869BA" w:rsidRDefault="00C869BA" w:rsidP="00C869BA">
      <w:pPr>
        <w:spacing w:before="120" w:after="120" w:line="240" w:lineRule="auto"/>
        <w:rPr>
          <w:rFonts w:cstheme="minorHAnsi"/>
          <w:color w:val="C00000"/>
          <w:shd w:val="clear" w:color="auto" w:fill="FFFFFF"/>
        </w:rPr>
      </w:pPr>
      <w:r w:rsidRPr="00C869BA">
        <w:rPr>
          <w:rFonts w:cstheme="minorHAnsi"/>
          <w:color w:val="C00000"/>
          <w:u w:val="single"/>
          <w:shd w:val="clear" w:color="auto" w:fill="FFFFFF"/>
        </w:rPr>
        <w:t>References</w:t>
      </w:r>
      <w:r>
        <w:rPr>
          <w:rFonts w:cstheme="minorHAnsi"/>
          <w:color w:val="C00000"/>
          <w:shd w:val="clear" w:color="auto" w:fill="FFFFFF"/>
        </w:rPr>
        <w:t>:</w:t>
      </w:r>
    </w:p>
    <w:p w14:paraId="37EA49D3" w14:textId="0799D680" w:rsidR="00C869BA" w:rsidRDefault="00C869BA" w:rsidP="00C869BA">
      <w:pPr>
        <w:spacing w:before="120" w:after="120" w:line="240" w:lineRule="auto"/>
        <w:rPr>
          <w:rFonts w:cstheme="minorHAnsi"/>
          <w:color w:val="C00000"/>
          <w:shd w:val="clear" w:color="auto" w:fill="FFFFFF"/>
        </w:rPr>
      </w:pPr>
      <w:r w:rsidRPr="00EC1BBB">
        <w:rPr>
          <w:rFonts w:cstheme="minorHAnsi"/>
          <w:color w:val="C00000"/>
          <w:shd w:val="clear" w:color="auto" w:fill="FFFFFF"/>
        </w:rPr>
        <w:t>Anderson JE, Li Z, Romano PS, Parker J, Chang DC. Should Risk Adjustment for Surgical Outcomes Reporting Include Sociodemographic Status? A Study of Coronary Artery Bypass Grafting in California. </w:t>
      </w:r>
      <w:r w:rsidRPr="00EC1BBB">
        <w:rPr>
          <w:rFonts w:cstheme="minorHAnsi"/>
          <w:i/>
          <w:iCs/>
          <w:color w:val="C00000"/>
          <w:shd w:val="clear" w:color="auto" w:fill="FFFFFF"/>
        </w:rPr>
        <w:t>J Am Coll Surg</w:t>
      </w:r>
      <w:r w:rsidRPr="00EC1BBB">
        <w:rPr>
          <w:rFonts w:cstheme="minorHAnsi"/>
          <w:color w:val="C00000"/>
          <w:shd w:val="clear" w:color="auto" w:fill="FFFFFF"/>
        </w:rPr>
        <w:t xml:space="preserve">. 2016;223(2):221‐230. </w:t>
      </w:r>
      <w:proofErr w:type="gramStart"/>
      <w:r w:rsidRPr="00EC1BBB">
        <w:rPr>
          <w:rFonts w:cstheme="minorHAnsi"/>
          <w:color w:val="C00000"/>
          <w:shd w:val="clear" w:color="auto" w:fill="FFFFFF"/>
        </w:rPr>
        <w:t>doi:10.1016/j.jamcollsurg</w:t>
      </w:r>
      <w:proofErr w:type="gramEnd"/>
      <w:r w:rsidRPr="00EC1BBB">
        <w:rPr>
          <w:rFonts w:cstheme="minorHAnsi"/>
          <w:color w:val="C00000"/>
          <w:shd w:val="clear" w:color="auto" w:fill="FFFFFF"/>
        </w:rPr>
        <w:t>.2016.05.008</w:t>
      </w:r>
      <w:r w:rsidR="00E6062F">
        <w:rPr>
          <w:rFonts w:cstheme="minorHAnsi"/>
          <w:color w:val="C00000"/>
          <w:shd w:val="clear" w:color="auto" w:fill="FFFFFF"/>
        </w:rPr>
        <w:t>.</w:t>
      </w:r>
    </w:p>
    <w:p w14:paraId="33C69496" w14:textId="7101B09F" w:rsidR="00DE708D" w:rsidRDefault="00DE708D" w:rsidP="00C869BA">
      <w:pPr>
        <w:spacing w:before="120" w:after="120" w:line="240" w:lineRule="auto"/>
        <w:rPr>
          <w:rFonts w:cstheme="minorHAnsi"/>
          <w:color w:val="C00000"/>
          <w:shd w:val="clear" w:color="auto" w:fill="FFFFFF"/>
        </w:rPr>
      </w:pPr>
      <w:r w:rsidRPr="00DE708D">
        <w:rPr>
          <w:rFonts w:cstheme="minorHAnsi"/>
          <w:color w:val="C00000"/>
          <w:shd w:val="clear" w:color="auto" w:fill="FFFFFF"/>
        </w:rPr>
        <w:t xml:space="preserve">Department of Health and Human Services, Office of the Assistant Secretary of Planning and Evaluation (ASPE). Second Report to Congress: Social Risk Factors and Performance in Medicare’s Value-based Purchasing Programs. 2020; </w:t>
      </w:r>
      <w:hyperlink r:id="rId25" w:history="1">
        <w:r w:rsidRPr="00185587">
          <w:rPr>
            <w:rStyle w:val="Hyperlink"/>
            <w:rFonts w:cstheme="minorHAnsi"/>
            <w:shd w:val="clear" w:color="auto" w:fill="FFFFFF"/>
          </w:rPr>
          <w:t>https://aspe.hhs.gov/system/files/pdf/263676/Social-Risk-in-Medicare%E2%80%99s-VBP-2nd-Report.pdf</w:t>
        </w:r>
      </w:hyperlink>
      <w:r>
        <w:rPr>
          <w:rFonts w:cstheme="minorHAnsi"/>
          <w:color w:val="C00000"/>
          <w:shd w:val="clear" w:color="auto" w:fill="FFFFFF"/>
        </w:rPr>
        <w:t xml:space="preserve">. </w:t>
      </w:r>
      <w:r w:rsidRPr="00DE708D">
        <w:rPr>
          <w:rFonts w:cstheme="minorHAnsi"/>
          <w:color w:val="C00000"/>
          <w:shd w:val="clear" w:color="auto" w:fill="FFFFFF"/>
        </w:rPr>
        <w:t>Accessed July 2, 2020.</w:t>
      </w:r>
    </w:p>
    <w:p w14:paraId="577A7A56" w14:textId="77777777" w:rsidR="00E6062F" w:rsidRPr="00485173" w:rsidRDefault="00E6062F" w:rsidP="00E6062F">
      <w:pPr>
        <w:spacing w:line="240" w:lineRule="auto"/>
        <w:rPr>
          <w:color w:val="C00000"/>
        </w:rPr>
      </w:pPr>
      <w:r w:rsidRPr="00485173">
        <w:rPr>
          <w:rFonts w:cstheme="minorHAnsi"/>
          <w:color w:val="C00000"/>
        </w:rPr>
        <w:t xml:space="preserve">National Quality Forum (NQF). Risk adjustment for socioeconomic status or other sociodemographic factors: Technical report. 2014; </w:t>
      </w:r>
      <w:hyperlink r:id="rId26" w:history="1">
        <w:r w:rsidRPr="00485173">
          <w:rPr>
            <w:rStyle w:val="Hyperlink"/>
            <w:rFonts w:cstheme="minorHAnsi"/>
            <w:color w:val="C00000"/>
          </w:rPr>
          <w:t>http://www.qualityforum.org/Publications/2014/08/Risk_Adjustment_for_Socioeconomic_Status_or_Other_Sociodemographic_Factors.aspx</w:t>
        </w:r>
      </w:hyperlink>
      <w:r w:rsidRPr="00485173">
        <w:rPr>
          <w:rFonts w:cstheme="minorHAnsi"/>
          <w:color w:val="C00000"/>
        </w:rPr>
        <w:t>. Accessed June 16, 2020.</w:t>
      </w:r>
    </w:p>
    <w:bookmarkEnd w:id="28"/>
    <w:p w14:paraId="0EFC6DC9" w14:textId="24A861D6" w:rsidR="00625311"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3E4015FF" w14:textId="77777777" w:rsidR="00625311" w:rsidRPr="006C4214" w:rsidRDefault="00625311" w:rsidP="00625311">
      <w:pPr>
        <w:autoSpaceDE w:val="0"/>
        <w:autoSpaceDN w:val="0"/>
        <w:adjustRightInd w:val="0"/>
        <w:spacing w:before="120" w:after="120" w:line="240" w:lineRule="auto"/>
        <w:rPr>
          <w:rFonts w:cstheme="minorHAnsi"/>
          <w:bCs/>
          <w:color w:val="7030A0"/>
        </w:rPr>
      </w:pPr>
      <w:r w:rsidRPr="006C4214">
        <w:rPr>
          <w:rFonts w:cstheme="minorHAnsi"/>
          <w:bCs/>
          <w:color w:val="7030A0"/>
          <w:u w:val="single"/>
        </w:rPr>
        <w:lastRenderedPageBreak/>
        <w:t>Approach to assessing model performance</w:t>
      </w:r>
    </w:p>
    <w:p w14:paraId="3B98B599" w14:textId="77777777" w:rsidR="00625311" w:rsidRPr="006C4214" w:rsidRDefault="00625311" w:rsidP="00625311">
      <w:pPr>
        <w:autoSpaceDE w:val="0"/>
        <w:autoSpaceDN w:val="0"/>
        <w:adjustRightInd w:val="0"/>
        <w:spacing w:after="120" w:line="240" w:lineRule="auto"/>
        <w:rPr>
          <w:rFonts w:cstheme="minorHAnsi"/>
          <w:bCs/>
          <w:color w:val="7030A0"/>
        </w:rPr>
      </w:pPr>
      <w:r w:rsidRPr="006C4214">
        <w:rPr>
          <w:rFonts w:cstheme="minorHAnsi"/>
          <w:bCs/>
          <w:color w:val="7030A0"/>
        </w:rPr>
        <w:t>We computed three summary statistics for assessing model performance (Harrell and Shih, 2001) for the expanded cohort:</w:t>
      </w:r>
    </w:p>
    <w:p w14:paraId="6C7B7FE0" w14:textId="77777777" w:rsidR="00625311" w:rsidRPr="006C4214" w:rsidRDefault="00625311" w:rsidP="00625311">
      <w:pPr>
        <w:autoSpaceDE w:val="0"/>
        <w:autoSpaceDN w:val="0"/>
        <w:adjustRightInd w:val="0"/>
        <w:spacing w:after="120" w:line="240" w:lineRule="auto"/>
        <w:rPr>
          <w:color w:val="7030A0"/>
        </w:rPr>
      </w:pPr>
      <w:r w:rsidRPr="006C4214">
        <w:rPr>
          <w:rFonts w:cstheme="minorHAnsi"/>
          <w:b/>
          <w:bCs/>
          <w:i/>
          <w:color w:val="7030A0"/>
        </w:rPr>
        <w:t>Discrimination Statistics</w:t>
      </w:r>
      <w:r w:rsidRPr="006C4214">
        <w:rPr>
          <w:color w:val="7030A0"/>
        </w:rPr>
        <w:t xml:space="preserve"> </w:t>
      </w:r>
    </w:p>
    <w:p w14:paraId="58E5B7A6" w14:textId="130D55BC" w:rsidR="00625311" w:rsidRPr="006C4214" w:rsidRDefault="00625311" w:rsidP="00625311">
      <w:pPr>
        <w:pStyle w:val="ListParagraph"/>
        <w:numPr>
          <w:ilvl w:val="0"/>
          <w:numId w:val="34"/>
        </w:numPr>
        <w:autoSpaceDE w:val="0"/>
        <w:autoSpaceDN w:val="0"/>
        <w:adjustRightInd w:val="0"/>
        <w:spacing w:after="120" w:line="240" w:lineRule="auto"/>
        <w:rPr>
          <w:rFonts w:cstheme="minorHAnsi"/>
          <w:bCs/>
          <w:color w:val="7030A0"/>
        </w:rPr>
      </w:pPr>
      <w:r w:rsidRPr="006C4214">
        <w:rPr>
          <w:color w:val="7030A0"/>
        </w:rPr>
        <w:t xml:space="preserve">Area under the receiver operating characteristic (ROC) curve (the </w:t>
      </w:r>
      <w:r w:rsidR="00C20652">
        <w:rPr>
          <w:color w:val="7030A0"/>
        </w:rPr>
        <w:t>C</w:t>
      </w:r>
      <w:r w:rsidRPr="006C4214">
        <w:rPr>
          <w:color w:val="7030A0"/>
        </w:rPr>
        <w:t xml:space="preserve">-statistic) is the probability that predicting the outcome is better than chance, which is a measure of how accurately a statistical model </w:t>
      </w:r>
      <w:proofErr w:type="gramStart"/>
      <w:r w:rsidRPr="006C4214">
        <w:rPr>
          <w:color w:val="7030A0"/>
        </w:rPr>
        <w:t>is able to</w:t>
      </w:r>
      <w:proofErr w:type="gramEnd"/>
      <w:r w:rsidRPr="006C4214">
        <w:rPr>
          <w:color w:val="7030A0"/>
        </w:rPr>
        <w:t xml:space="preserve"> distinguish between a patient with and without an outcome).</w:t>
      </w:r>
    </w:p>
    <w:p w14:paraId="7FC33E22" w14:textId="77777777" w:rsidR="00625311" w:rsidRPr="006C4214" w:rsidRDefault="00625311" w:rsidP="00625311">
      <w:pPr>
        <w:pStyle w:val="ListParagraph"/>
        <w:numPr>
          <w:ilvl w:val="0"/>
          <w:numId w:val="34"/>
        </w:numPr>
        <w:autoSpaceDE w:val="0"/>
        <w:autoSpaceDN w:val="0"/>
        <w:adjustRightInd w:val="0"/>
        <w:spacing w:after="120" w:line="240" w:lineRule="auto"/>
        <w:rPr>
          <w:rFonts w:cstheme="minorHAnsi"/>
          <w:bCs/>
          <w:color w:val="7030A0"/>
        </w:rPr>
      </w:pPr>
      <w:r w:rsidRPr="006C4214">
        <w:rPr>
          <w:rFonts w:cstheme="minorHAnsi"/>
          <w:bCs/>
          <w:color w:val="7030A0"/>
        </w:rPr>
        <w:t xml:space="preserve">Predictive ability </w:t>
      </w:r>
      <w:r w:rsidRPr="006C4214">
        <w:rPr>
          <w:color w:val="7030A0"/>
        </w:rPr>
        <w:t>(discrimination in predictive ability measures the ability to distinguish high-risk subjects from low-risk subjects; therefore, we would hope to see a wide range between the lowest decile and highest decile.</w:t>
      </w:r>
    </w:p>
    <w:p w14:paraId="00338E99" w14:textId="77777777" w:rsidR="00625311" w:rsidRPr="006C4214" w:rsidRDefault="00625311" w:rsidP="00625311">
      <w:pPr>
        <w:autoSpaceDE w:val="0"/>
        <w:autoSpaceDN w:val="0"/>
        <w:adjustRightInd w:val="0"/>
        <w:spacing w:after="120" w:line="240" w:lineRule="auto"/>
        <w:rPr>
          <w:b/>
          <w:i/>
          <w:color w:val="7030A0"/>
        </w:rPr>
      </w:pPr>
      <w:r w:rsidRPr="006C4214">
        <w:rPr>
          <w:b/>
          <w:i/>
          <w:color w:val="7030A0"/>
        </w:rPr>
        <w:t>Calibration Statistics</w:t>
      </w:r>
    </w:p>
    <w:p w14:paraId="54F23AF4" w14:textId="77777777" w:rsidR="00625311" w:rsidRPr="006C4214" w:rsidRDefault="00625311" w:rsidP="00625311">
      <w:pPr>
        <w:pStyle w:val="ListParagraph"/>
        <w:numPr>
          <w:ilvl w:val="0"/>
          <w:numId w:val="34"/>
        </w:numPr>
        <w:autoSpaceDE w:val="0"/>
        <w:autoSpaceDN w:val="0"/>
        <w:adjustRightInd w:val="0"/>
        <w:spacing w:after="120" w:line="240" w:lineRule="auto"/>
        <w:rPr>
          <w:rFonts w:cstheme="minorHAnsi"/>
          <w:bCs/>
          <w:color w:val="7030A0"/>
        </w:rPr>
      </w:pPr>
      <w:r w:rsidRPr="006C4214">
        <w:rPr>
          <w:rFonts w:cstheme="minorHAnsi"/>
          <w:bCs/>
          <w:color w:val="7030A0"/>
        </w:rPr>
        <w:t>Over-fitting indices (over-fitting refers to the phenomenon in which a model accurately describes the relationship between predictive variables and outcome in the development dataset but fails to provide valid predictions in new patients).</w:t>
      </w:r>
    </w:p>
    <w:p w14:paraId="6BCC8565" w14:textId="0549D6A3" w:rsidR="00625311" w:rsidRPr="006C4214" w:rsidRDefault="00625311" w:rsidP="00625311">
      <w:pPr>
        <w:autoSpaceDE w:val="0"/>
        <w:autoSpaceDN w:val="0"/>
        <w:adjustRightInd w:val="0"/>
        <w:spacing w:after="120" w:line="240" w:lineRule="auto"/>
        <w:rPr>
          <w:rFonts w:cstheme="minorHAnsi"/>
          <w:bCs/>
          <w:color w:val="7030A0"/>
        </w:rPr>
      </w:pPr>
      <w:r w:rsidRPr="006C4214">
        <w:rPr>
          <w:rFonts w:cstheme="minorHAnsi"/>
          <w:bCs/>
          <w:color w:val="7030A0"/>
        </w:rPr>
        <w:t xml:space="preserve">We tested the performance of the model for </w:t>
      </w:r>
      <w:r w:rsidR="003C10FC">
        <w:rPr>
          <w:rFonts w:cstheme="minorHAnsi"/>
          <w:b/>
          <w:bCs/>
          <w:color w:val="7030A0"/>
        </w:rPr>
        <w:t>the development data</w:t>
      </w:r>
      <w:r w:rsidRPr="006C4214">
        <w:rPr>
          <w:rFonts w:cstheme="minorHAnsi"/>
          <w:b/>
          <w:bCs/>
          <w:color w:val="7030A0"/>
        </w:rPr>
        <w:t xml:space="preserve">set </w:t>
      </w:r>
      <w:r w:rsidRPr="006C4214">
        <w:rPr>
          <w:rFonts w:cstheme="minorHAnsi"/>
          <w:bCs/>
          <w:color w:val="7030A0"/>
        </w:rPr>
        <w:t>described in section 1.7.</w:t>
      </w:r>
    </w:p>
    <w:p w14:paraId="20266B5B" w14:textId="77777777" w:rsidR="00625311" w:rsidRPr="006C4214" w:rsidRDefault="00625311" w:rsidP="00625311">
      <w:pPr>
        <w:autoSpaceDE w:val="0"/>
        <w:autoSpaceDN w:val="0"/>
        <w:adjustRightInd w:val="0"/>
        <w:spacing w:after="120" w:line="240" w:lineRule="auto"/>
        <w:rPr>
          <w:color w:val="7030A0"/>
        </w:rPr>
      </w:pPr>
      <w:r w:rsidRPr="006C4214">
        <w:rPr>
          <w:rFonts w:cstheme="minorHAnsi"/>
          <w:bCs/>
          <w:color w:val="7030A0"/>
          <w:u w:val="single"/>
        </w:rPr>
        <w:t>References:</w:t>
      </w:r>
      <w:r w:rsidRPr="006C4214">
        <w:rPr>
          <w:color w:val="7030A0"/>
        </w:rPr>
        <w:t xml:space="preserve"> </w:t>
      </w:r>
    </w:p>
    <w:p w14:paraId="48FD7360" w14:textId="398219D9" w:rsidR="00625311" w:rsidRPr="00625311" w:rsidRDefault="00625311" w:rsidP="00625311">
      <w:pPr>
        <w:autoSpaceDE w:val="0"/>
        <w:autoSpaceDN w:val="0"/>
        <w:adjustRightInd w:val="0"/>
        <w:spacing w:after="120" w:line="240" w:lineRule="auto"/>
        <w:rPr>
          <w:rFonts w:cstheme="minorHAnsi"/>
          <w:bCs/>
          <w:color w:val="7030A0"/>
        </w:rPr>
      </w:pPr>
      <w:r w:rsidRPr="006C4214">
        <w:rPr>
          <w:color w:val="7030A0"/>
        </w:rPr>
        <w:t xml:space="preserve">Harrell FE and Shih YC, </w:t>
      </w:r>
      <w:proofErr w:type="gramStart"/>
      <w:r w:rsidRPr="006C4214">
        <w:rPr>
          <w:color w:val="7030A0"/>
        </w:rPr>
        <w:t>Using</w:t>
      </w:r>
      <w:proofErr w:type="gramEnd"/>
      <w:r w:rsidRPr="006C4214">
        <w:rPr>
          <w:color w:val="7030A0"/>
        </w:rPr>
        <w:t xml:space="preserve"> full probability models to compute probabilities of actual interest to decision makers, </w:t>
      </w:r>
      <w:r w:rsidRPr="006C4214">
        <w:rPr>
          <w:i/>
          <w:iCs/>
          <w:color w:val="7030A0"/>
        </w:rPr>
        <w:t>Int. J. Technol. Assess. Health Care</w:t>
      </w:r>
      <w:r w:rsidRPr="006C4214">
        <w:rPr>
          <w:color w:val="7030A0"/>
        </w:rPr>
        <w:t xml:space="preserve"> </w:t>
      </w:r>
      <w:r w:rsidRPr="006C4214">
        <w:rPr>
          <w:rStyle w:val="Strong"/>
          <w:b w:val="0"/>
          <w:color w:val="7030A0"/>
        </w:rPr>
        <w:t>17</w:t>
      </w:r>
      <w:r w:rsidRPr="006C4214">
        <w:rPr>
          <w:color w:val="7030A0"/>
        </w:rPr>
        <w:t xml:space="preserve"> (2001), pp. 17–26.</w:t>
      </w:r>
    </w:p>
    <w:p w14:paraId="4C5957DC" w14:textId="77777777" w:rsidR="0079733D" w:rsidRDefault="0079733D"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51538">
        <w:rPr>
          <w:rFonts w:cstheme="minorHAnsi"/>
          <w:bCs/>
          <w:i/>
        </w:rPr>
        <w:t>characteristics (case mix)</w:t>
      </w:r>
      <w:r w:rsidRPr="00E51538">
        <w:rPr>
          <w:rFonts w:cstheme="minorHAnsi"/>
          <w:bCs/>
          <w:i/>
        </w:rPr>
        <w:t xml:space="preserve"> below</w:t>
      </w:r>
      <w:r w:rsidRPr="00E51538">
        <w:rPr>
          <w:rFonts w:cstheme="minorHAnsi"/>
          <w:bCs/>
        </w:rPr>
        <w:t>.</w:t>
      </w:r>
      <w:r w:rsidR="00092566" w:rsidRPr="00E51538">
        <w:rPr>
          <w:rFonts w:cstheme="minorHAnsi"/>
          <w:bCs/>
        </w:rPr>
        <w:br/>
      </w:r>
      <w:r w:rsidR="001F7A20" w:rsidRPr="00E51538">
        <w:rPr>
          <w:rFonts w:cstheme="minorHAnsi"/>
          <w:b/>
          <w:bCs/>
          <w:i/>
        </w:rPr>
        <w:t>If</w:t>
      </w:r>
      <w:r w:rsidR="00743E46" w:rsidRPr="00E51538">
        <w:rPr>
          <w:rFonts w:cstheme="minorHAnsi"/>
          <w:b/>
          <w:bCs/>
          <w:i/>
        </w:rPr>
        <w:t xml:space="preserve"> stratified, skip to </w:t>
      </w:r>
      <w:hyperlink w:anchor="question2b49" w:history="1">
        <w:r w:rsidR="009C7513" w:rsidRPr="00E51538">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335A9E1A" w14:textId="3530649C" w:rsidR="00C1516D" w:rsidRDefault="00743E46" w:rsidP="00625311">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B324DA">
        <w:rPr>
          <w:rFonts w:cstheme="minorHAnsi"/>
          <w:b/>
          <w:bCs/>
        </w:rPr>
        <w:t xml:space="preserve"> </w:t>
      </w:r>
    </w:p>
    <w:p w14:paraId="6F0EF2DE" w14:textId="77777777" w:rsidR="00625311" w:rsidRPr="00625311" w:rsidRDefault="00625311" w:rsidP="00625311">
      <w:pPr>
        <w:autoSpaceDE w:val="0"/>
        <w:autoSpaceDN w:val="0"/>
        <w:adjustRightInd w:val="0"/>
        <w:spacing w:after="0" w:line="240" w:lineRule="auto"/>
        <w:rPr>
          <w:rFonts w:cstheme="minorHAnsi"/>
          <w:bCs/>
          <w:color w:val="7030A0"/>
          <w:u w:val="single"/>
        </w:rPr>
      </w:pPr>
    </w:p>
    <w:p w14:paraId="7B6182AB" w14:textId="77777777" w:rsidR="00E51538" w:rsidRDefault="00E51538" w:rsidP="00625311">
      <w:pPr>
        <w:autoSpaceDE w:val="0"/>
        <w:autoSpaceDN w:val="0"/>
        <w:adjustRightInd w:val="0"/>
        <w:spacing w:after="0" w:line="240" w:lineRule="auto"/>
        <w:rPr>
          <w:rFonts w:cstheme="minorHAnsi"/>
          <w:bCs/>
          <w:color w:val="7030A0"/>
        </w:rPr>
      </w:pPr>
      <w:r>
        <w:rPr>
          <w:rFonts w:cstheme="minorHAnsi"/>
          <w:bCs/>
          <w:color w:val="7030A0"/>
          <w:u w:val="single"/>
        </w:rPr>
        <w:t xml:space="preserve">Development and </w:t>
      </w:r>
      <w:r w:rsidRPr="00E51538">
        <w:rPr>
          <w:rFonts w:cstheme="minorHAnsi"/>
          <w:bCs/>
          <w:color w:val="7030A0"/>
          <w:u w:val="single"/>
        </w:rPr>
        <w:t>Validation Dataset</w:t>
      </w:r>
      <w:r>
        <w:rPr>
          <w:rFonts w:cstheme="minorHAnsi"/>
          <w:bCs/>
          <w:color w:val="7030A0"/>
        </w:rPr>
        <w:t xml:space="preserve">: </w:t>
      </w:r>
    </w:p>
    <w:p w14:paraId="77EDB5CF" w14:textId="3D3A29C7" w:rsidR="00625311" w:rsidRPr="00625311" w:rsidRDefault="00625311" w:rsidP="003C10FC">
      <w:pPr>
        <w:autoSpaceDE w:val="0"/>
        <w:autoSpaceDN w:val="0"/>
        <w:adjustRightInd w:val="0"/>
        <w:spacing w:before="120" w:after="0" w:line="240" w:lineRule="auto"/>
        <w:rPr>
          <w:rFonts w:cstheme="minorHAnsi"/>
          <w:bCs/>
          <w:color w:val="7030A0"/>
          <w:u w:val="single"/>
        </w:rPr>
      </w:pPr>
      <w:r w:rsidRPr="003C10FC">
        <w:rPr>
          <w:rFonts w:cstheme="minorHAnsi"/>
          <w:bCs/>
          <w:color w:val="7030A0"/>
          <w:u w:val="single"/>
        </w:rPr>
        <w:t>2009 development</w:t>
      </w:r>
      <w:r w:rsidRPr="00625311">
        <w:rPr>
          <w:rFonts w:cstheme="minorHAnsi"/>
          <w:bCs/>
          <w:color w:val="7030A0"/>
          <w:u w:val="single"/>
        </w:rPr>
        <w:t xml:space="preserve"> cohort</w:t>
      </w:r>
      <w:r w:rsidRPr="003C10FC">
        <w:rPr>
          <w:rFonts w:cstheme="minorHAnsi"/>
          <w:bCs/>
          <w:color w:val="7030A0"/>
        </w:rPr>
        <w:t>:</w:t>
      </w:r>
    </w:p>
    <w:p w14:paraId="7564CC2B" w14:textId="77777777" w:rsidR="00625311" w:rsidRP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C-statistic = 0.62</w:t>
      </w:r>
    </w:p>
    <w:p w14:paraId="36F98522" w14:textId="77777777" w:rsidR="00625311" w:rsidRP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Predictive ability (lowest decile %, highest decile %): (8.7, 29.8)</w:t>
      </w:r>
    </w:p>
    <w:p w14:paraId="1D753867" w14:textId="77777777" w:rsidR="00625311" w:rsidRPr="00625311" w:rsidRDefault="00625311" w:rsidP="00625311">
      <w:pPr>
        <w:autoSpaceDE w:val="0"/>
        <w:autoSpaceDN w:val="0"/>
        <w:adjustRightInd w:val="0"/>
        <w:spacing w:after="0" w:line="240" w:lineRule="auto"/>
        <w:rPr>
          <w:rFonts w:cstheme="minorHAnsi"/>
          <w:bCs/>
          <w:color w:val="7030A0"/>
        </w:rPr>
      </w:pPr>
    </w:p>
    <w:p w14:paraId="35019319" w14:textId="77777777" w:rsidR="00625311" w:rsidRPr="00625311" w:rsidRDefault="00625311" w:rsidP="00625311">
      <w:pPr>
        <w:autoSpaceDE w:val="0"/>
        <w:autoSpaceDN w:val="0"/>
        <w:adjustRightInd w:val="0"/>
        <w:spacing w:after="0" w:line="240" w:lineRule="auto"/>
        <w:rPr>
          <w:rFonts w:cstheme="minorHAnsi"/>
          <w:bCs/>
          <w:color w:val="7030A0"/>
          <w:u w:val="single"/>
        </w:rPr>
      </w:pPr>
      <w:r w:rsidRPr="00625311">
        <w:rPr>
          <w:rFonts w:cstheme="minorHAnsi"/>
          <w:bCs/>
          <w:color w:val="7030A0"/>
          <w:u w:val="single"/>
        </w:rPr>
        <w:t>2008 validation cohort</w:t>
      </w:r>
      <w:r w:rsidRPr="003C10FC">
        <w:rPr>
          <w:rFonts w:cstheme="minorHAnsi"/>
          <w:bCs/>
          <w:color w:val="7030A0"/>
        </w:rPr>
        <w:t>:</w:t>
      </w:r>
    </w:p>
    <w:p w14:paraId="1874EB18" w14:textId="77777777" w:rsidR="00625311" w:rsidRP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C-statistic = 0.63</w:t>
      </w:r>
    </w:p>
    <w:p w14:paraId="586BB65C" w14:textId="77777777" w:rsidR="00625311" w:rsidRP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Predictive ability (lowest decile %, highest decile %): (8.8, 30.5)</w:t>
      </w:r>
    </w:p>
    <w:p w14:paraId="373FBB91" w14:textId="77777777" w:rsidR="00625311" w:rsidRPr="00625311" w:rsidRDefault="00625311" w:rsidP="00625311">
      <w:pPr>
        <w:autoSpaceDE w:val="0"/>
        <w:autoSpaceDN w:val="0"/>
        <w:adjustRightInd w:val="0"/>
        <w:spacing w:after="0" w:line="240" w:lineRule="auto"/>
        <w:rPr>
          <w:rFonts w:cstheme="minorHAnsi"/>
          <w:bCs/>
          <w:color w:val="7030A0"/>
        </w:rPr>
      </w:pPr>
    </w:p>
    <w:p w14:paraId="230B82D8" w14:textId="77777777" w:rsidR="00625311" w:rsidRPr="00625311" w:rsidRDefault="00625311" w:rsidP="00625311">
      <w:pPr>
        <w:autoSpaceDE w:val="0"/>
        <w:autoSpaceDN w:val="0"/>
        <w:adjustRightInd w:val="0"/>
        <w:spacing w:after="0" w:line="240" w:lineRule="auto"/>
        <w:rPr>
          <w:rFonts w:cstheme="minorHAnsi"/>
          <w:bCs/>
          <w:color w:val="7030A0"/>
          <w:u w:val="single"/>
        </w:rPr>
      </w:pPr>
      <w:r w:rsidRPr="00625311">
        <w:rPr>
          <w:rFonts w:cstheme="minorHAnsi"/>
          <w:bCs/>
          <w:color w:val="7030A0"/>
          <w:u w:val="single"/>
        </w:rPr>
        <w:t>2010 validation cohort</w:t>
      </w:r>
      <w:r w:rsidRPr="003C10FC">
        <w:rPr>
          <w:rFonts w:cstheme="minorHAnsi"/>
          <w:bCs/>
          <w:color w:val="7030A0"/>
        </w:rPr>
        <w:t>:</w:t>
      </w:r>
    </w:p>
    <w:p w14:paraId="0BA751CB" w14:textId="77777777" w:rsidR="00625311" w:rsidRP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C-statistic = 0.63</w:t>
      </w:r>
    </w:p>
    <w:p w14:paraId="2CF98A80" w14:textId="37E01B5D" w:rsid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Predictive ability (lowest decile %, highest decile %): (8.4, 30.3)</w:t>
      </w:r>
    </w:p>
    <w:p w14:paraId="2B869DA5" w14:textId="70159D93" w:rsidR="00E51538" w:rsidRDefault="00E51538" w:rsidP="00625311">
      <w:pPr>
        <w:autoSpaceDE w:val="0"/>
        <w:autoSpaceDN w:val="0"/>
        <w:adjustRightInd w:val="0"/>
        <w:spacing w:after="0" w:line="240" w:lineRule="auto"/>
        <w:rPr>
          <w:rFonts w:cstheme="minorHAnsi"/>
          <w:bCs/>
          <w:color w:val="7030A0"/>
        </w:rPr>
      </w:pPr>
    </w:p>
    <w:p w14:paraId="084AF975" w14:textId="26D5BDCB" w:rsidR="00E51538" w:rsidRPr="003C10FC" w:rsidRDefault="00E51538" w:rsidP="00625311">
      <w:pPr>
        <w:autoSpaceDE w:val="0"/>
        <w:autoSpaceDN w:val="0"/>
        <w:adjustRightInd w:val="0"/>
        <w:spacing w:after="0" w:line="240" w:lineRule="auto"/>
        <w:rPr>
          <w:rFonts w:cstheme="minorHAnsi"/>
          <w:bCs/>
          <w:color w:val="C00000"/>
        </w:rPr>
      </w:pPr>
      <w:r w:rsidRPr="003C10FC">
        <w:rPr>
          <w:rFonts w:cstheme="minorHAnsi"/>
          <w:bCs/>
          <w:color w:val="C00000"/>
          <w:u w:val="single"/>
        </w:rPr>
        <w:t>Results for the Testing Dataset</w:t>
      </w:r>
      <w:r w:rsidRPr="003C10FC">
        <w:rPr>
          <w:rFonts w:cstheme="minorHAnsi"/>
          <w:bCs/>
          <w:color w:val="C00000"/>
        </w:rPr>
        <w:t>:</w:t>
      </w:r>
    </w:p>
    <w:p w14:paraId="18159C78" w14:textId="3CCE4F12" w:rsidR="00E51538" w:rsidRPr="003C10FC" w:rsidRDefault="00E51538" w:rsidP="00E51538">
      <w:pPr>
        <w:autoSpaceDE w:val="0"/>
        <w:autoSpaceDN w:val="0"/>
        <w:adjustRightInd w:val="0"/>
        <w:spacing w:after="0" w:line="240" w:lineRule="auto"/>
        <w:rPr>
          <w:rFonts w:cstheme="minorHAnsi"/>
          <w:bCs/>
          <w:color w:val="C00000"/>
        </w:rPr>
      </w:pPr>
      <w:r w:rsidRPr="003C10FC">
        <w:rPr>
          <w:rFonts w:cstheme="minorHAnsi"/>
          <w:bCs/>
          <w:color w:val="C00000"/>
        </w:rPr>
        <w:t>C-statistic = 0.6</w:t>
      </w:r>
      <w:r w:rsidR="003C10FC" w:rsidRPr="003C10FC">
        <w:rPr>
          <w:rFonts w:cstheme="minorHAnsi"/>
          <w:bCs/>
          <w:color w:val="C00000"/>
        </w:rPr>
        <w:t>4</w:t>
      </w:r>
    </w:p>
    <w:p w14:paraId="10207573" w14:textId="704E73D9" w:rsidR="00E51538" w:rsidRPr="003C10FC" w:rsidRDefault="00E51538" w:rsidP="00E51538">
      <w:pPr>
        <w:autoSpaceDE w:val="0"/>
        <w:autoSpaceDN w:val="0"/>
        <w:adjustRightInd w:val="0"/>
        <w:spacing w:after="0" w:line="240" w:lineRule="auto"/>
        <w:rPr>
          <w:rFonts w:cstheme="minorHAnsi"/>
          <w:bCs/>
          <w:color w:val="C00000"/>
        </w:rPr>
      </w:pPr>
      <w:r w:rsidRPr="003C10FC">
        <w:rPr>
          <w:rFonts w:cstheme="minorHAnsi"/>
          <w:bCs/>
          <w:color w:val="C00000"/>
        </w:rPr>
        <w:t>Predictive ability (lowest d</w:t>
      </w:r>
      <w:r w:rsidR="003C10FC" w:rsidRPr="003C10FC">
        <w:rPr>
          <w:rFonts w:cstheme="minorHAnsi"/>
          <w:bCs/>
          <w:color w:val="C00000"/>
        </w:rPr>
        <w:t>ecile %, highest decile %): (6.2</w:t>
      </w:r>
      <w:r w:rsidRPr="003C10FC">
        <w:rPr>
          <w:rFonts w:cstheme="minorHAnsi"/>
          <w:bCs/>
          <w:color w:val="C00000"/>
        </w:rPr>
        <w:t xml:space="preserve">, </w:t>
      </w:r>
      <w:r w:rsidR="003C10FC" w:rsidRPr="003C10FC">
        <w:rPr>
          <w:rFonts w:cstheme="minorHAnsi"/>
          <w:bCs/>
          <w:color w:val="C00000"/>
        </w:rPr>
        <w:t>25.7</w:t>
      </w:r>
      <w:r w:rsidRPr="003C10FC">
        <w:rPr>
          <w:rFonts w:cstheme="minorHAnsi"/>
          <w:bCs/>
          <w:color w:val="C00000"/>
        </w:rPr>
        <w:t>)</w:t>
      </w:r>
    </w:p>
    <w:p w14:paraId="0CABCFFD" w14:textId="70FF8059" w:rsidR="00001D73" w:rsidRPr="00001D73" w:rsidRDefault="00001D73" w:rsidP="00092566">
      <w:pPr>
        <w:autoSpaceDE w:val="0"/>
        <w:autoSpaceDN w:val="0"/>
        <w:adjustRightInd w:val="0"/>
        <w:spacing w:after="0" w:line="240" w:lineRule="auto"/>
        <w:rPr>
          <w:rFonts w:cstheme="minorHAnsi"/>
          <w:b/>
          <w:bCs/>
        </w:rPr>
      </w:pPr>
    </w:p>
    <w:p w14:paraId="733596CF" w14:textId="6F173C03" w:rsidR="00A55A73"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w:t>
      </w:r>
      <w:r w:rsidR="00B324DA">
        <w:rPr>
          <w:rFonts w:cstheme="minorHAnsi"/>
          <w:bCs/>
        </w:rPr>
        <w:t xml:space="preserve"> </w:t>
      </w:r>
    </w:p>
    <w:p w14:paraId="7C090BAA" w14:textId="77777777" w:rsidR="00625311" w:rsidRPr="00625311" w:rsidRDefault="00625311" w:rsidP="003C10FC">
      <w:pPr>
        <w:autoSpaceDE w:val="0"/>
        <w:autoSpaceDN w:val="0"/>
        <w:adjustRightInd w:val="0"/>
        <w:spacing w:before="120" w:after="0" w:line="240" w:lineRule="auto"/>
        <w:rPr>
          <w:color w:val="7030A0"/>
        </w:rPr>
      </w:pPr>
      <w:r w:rsidRPr="00625311">
        <w:rPr>
          <w:color w:val="7030A0"/>
        </w:rPr>
        <w:lastRenderedPageBreak/>
        <w:t>2009 development cohort: Calibration (over-fitting statistics): (0, 1)</w:t>
      </w:r>
    </w:p>
    <w:p w14:paraId="0211743E" w14:textId="251E87F8" w:rsidR="00625311" w:rsidRPr="00625311" w:rsidRDefault="00625311" w:rsidP="003C10FC">
      <w:pPr>
        <w:autoSpaceDE w:val="0"/>
        <w:autoSpaceDN w:val="0"/>
        <w:adjustRightInd w:val="0"/>
        <w:spacing w:before="80" w:after="0" w:line="240" w:lineRule="auto"/>
        <w:rPr>
          <w:color w:val="7030A0"/>
        </w:rPr>
      </w:pPr>
      <w:r w:rsidRPr="00625311">
        <w:rPr>
          <w:color w:val="7030A0"/>
        </w:rPr>
        <w:t>2008 validation cohort: Calibration (over-fitting statistics): (0.02, 1.01)</w:t>
      </w:r>
    </w:p>
    <w:p w14:paraId="72A52F2F" w14:textId="4B5A9315" w:rsidR="00625311" w:rsidRPr="00625311" w:rsidRDefault="00625311" w:rsidP="003C10FC">
      <w:pPr>
        <w:autoSpaceDE w:val="0"/>
        <w:autoSpaceDN w:val="0"/>
        <w:adjustRightInd w:val="0"/>
        <w:spacing w:before="80" w:after="0" w:line="240" w:lineRule="auto"/>
        <w:rPr>
          <w:color w:val="7030A0"/>
        </w:rPr>
      </w:pPr>
      <w:r w:rsidRPr="00625311">
        <w:rPr>
          <w:color w:val="7030A0"/>
        </w:rPr>
        <w:t>2010 validation cohort: Calibration (over-fitting statistics): (-0.03, 1.00)</w:t>
      </w:r>
    </w:p>
    <w:p w14:paraId="1D3A8A72" w14:textId="77777777" w:rsidR="00710A04" w:rsidRPr="00625311" w:rsidRDefault="00710A04" w:rsidP="00092566">
      <w:pPr>
        <w:autoSpaceDE w:val="0"/>
        <w:autoSpaceDN w:val="0"/>
        <w:adjustRightInd w:val="0"/>
        <w:spacing w:after="0" w:line="240" w:lineRule="auto"/>
        <w:rPr>
          <w:rFonts w:cstheme="minorHAnsi"/>
          <w:b/>
          <w:bCs/>
          <w:color w:val="7030A0"/>
        </w:rPr>
      </w:pPr>
    </w:p>
    <w:p w14:paraId="786D05EB" w14:textId="61809755" w:rsidR="0079733D"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6879C864" w14:textId="14B8C786" w:rsidR="0079733D" w:rsidRDefault="0079733D" w:rsidP="00092566">
      <w:pPr>
        <w:autoSpaceDE w:val="0"/>
        <w:autoSpaceDN w:val="0"/>
        <w:adjustRightInd w:val="0"/>
        <w:spacing w:after="0" w:line="240" w:lineRule="auto"/>
        <w:rPr>
          <w:rFonts w:cstheme="minorHAnsi"/>
          <w:bCs/>
        </w:rPr>
      </w:pPr>
    </w:p>
    <w:p w14:paraId="5FCA12BF" w14:textId="3FC90029" w:rsidR="00625311" w:rsidRPr="00625311" w:rsidRDefault="00625311" w:rsidP="00625311">
      <w:pPr>
        <w:autoSpaceDE w:val="0"/>
        <w:autoSpaceDN w:val="0"/>
        <w:adjustRightInd w:val="0"/>
        <w:spacing w:after="0" w:line="240" w:lineRule="auto"/>
        <w:rPr>
          <w:rFonts w:cstheme="minorHAnsi"/>
          <w:bCs/>
          <w:color w:val="7030A0"/>
        </w:rPr>
      </w:pPr>
      <w:r w:rsidRPr="00625311">
        <w:rPr>
          <w:rFonts w:cstheme="minorHAnsi"/>
          <w:bCs/>
          <w:color w:val="7030A0"/>
        </w:rPr>
        <w:t xml:space="preserve">The risk decile plot </w:t>
      </w:r>
      <w:r w:rsidR="00E1127C">
        <w:rPr>
          <w:rFonts w:cstheme="minorHAnsi"/>
          <w:bCs/>
          <w:color w:val="7030A0"/>
        </w:rPr>
        <w:t>(</w:t>
      </w:r>
      <w:r w:rsidR="00E1127C" w:rsidRPr="00E1127C">
        <w:rPr>
          <w:rFonts w:cstheme="minorHAnsi"/>
          <w:bCs/>
          <w:color w:val="C00000"/>
        </w:rPr>
        <w:t>Figure 5</w:t>
      </w:r>
      <w:r w:rsidR="00E1127C">
        <w:rPr>
          <w:rFonts w:cstheme="minorHAnsi"/>
          <w:bCs/>
          <w:color w:val="7030A0"/>
        </w:rPr>
        <w:t xml:space="preserve">) </w:t>
      </w:r>
      <w:r w:rsidRPr="00625311">
        <w:rPr>
          <w:rFonts w:cstheme="minorHAnsi"/>
          <w:bCs/>
          <w:color w:val="7030A0"/>
        </w:rPr>
        <w:t xml:space="preserve">is a graphical depiction of the deciles calculated to measure predictive ability. Below, we present the risk decile plot showing the distributions for Medicare FFS data from testing dataset from </w:t>
      </w:r>
      <w:r w:rsidR="00E51538">
        <w:rPr>
          <w:rFonts w:cstheme="minorHAnsi"/>
          <w:bCs/>
          <w:color w:val="C00000"/>
        </w:rPr>
        <w:t>July 2016 – June 2019</w:t>
      </w:r>
      <w:r w:rsidRPr="00625311">
        <w:rPr>
          <w:rFonts w:cstheme="minorHAnsi"/>
          <w:bCs/>
          <w:color w:val="C00000"/>
        </w:rPr>
        <w:t xml:space="preserve"> (Testing Dataset).</w:t>
      </w:r>
    </w:p>
    <w:p w14:paraId="4A022866" w14:textId="77777777" w:rsidR="00625311" w:rsidRDefault="00625311" w:rsidP="00625311">
      <w:pPr>
        <w:autoSpaceDE w:val="0"/>
        <w:autoSpaceDN w:val="0"/>
        <w:adjustRightInd w:val="0"/>
        <w:spacing w:after="0" w:line="240" w:lineRule="auto"/>
        <w:rPr>
          <w:rFonts w:cstheme="minorHAnsi"/>
          <w:bCs/>
        </w:rPr>
      </w:pPr>
    </w:p>
    <w:p w14:paraId="6DBBDADC" w14:textId="77777777" w:rsidR="009E2ACA" w:rsidRDefault="009E2ACA">
      <w:pPr>
        <w:rPr>
          <w:rFonts w:cstheme="minorHAnsi"/>
          <w:b/>
          <w:bCs/>
          <w:color w:val="C00000"/>
        </w:rPr>
      </w:pPr>
      <w:r>
        <w:rPr>
          <w:rFonts w:cstheme="minorHAnsi"/>
          <w:b/>
          <w:bCs/>
          <w:color w:val="C00000"/>
        </w:rPr>
        <w:br w:type="page"/>
      </w:r>
    </w:p>
    <w:p w14:paraId="663E1F8C" w14:textId="70D7E758" w:rsidR="00625311" w:rsidRPr="00E51538" w:rsidRDefault="00625311" w:rsidP="00625311">
      <w:pPr>
        <w:autoSpaceDE w:val="0"/>
        <w:autoSpaceDN w:val="0"/>
        <w:adjustRightInd w:val="0"/>
        <w:spacing w:after="0" w:line="240" w:lineRule="auto"/>
        <w:rPr>
          <w:rFonts w:cstheme="minorHAnsi"/>
          <w:b/>
          <w:bCs/>
          <w:color w:val="C00000"/>
        </w:rPr>
      </w:pPr>
      <w:r w:rsidRPr="00E51538">
        <w:rPr>
          <w:rFonts w:cstheme="minorHAnsi"/>
          <w:b/>
          <w:bCs/>
          <w:color w:val="C00000"/>
        </w:rPr>
        <w:lastRenderedPageBreak/>
        <w:t xml:space="preserve">Figure </w:t>
      </w:r>
      <w:r w:rsidR="004D512C">
        <w:rPr>
          <w:rFonts w:cstheme="minorHAnsi"/>
          <w:b/>
          <w:bCs/>
          <w:color w:val="C00000"/>
        </w:rPr>
        <w:t>5</w:t>
      </w:r>
      <w:r w:rsidR="00E1127C">
        <w:rPr>
          <w:rFonts w:cstheme="minorHAnsi"/>
          <w:b/>
          <w:bCs/>
          <w:color w:val="C00000"/>
        </w:rPr>
        <w:t>. Risk Decile Plot</w:t>
      </w:r>
    </w:p>
    <w:p w14:paraId="080F14E0" w14:textId="6D5FE770" w:rsidR="00E51538" w:rsidRPr="00625311" w:rsidRDefault="00E51538" w:rsidP="00625311">
      <w:pPr>
        <w:autoSpaceDE w:val="0"/>
        <w:autoSpaceDN w:val="0"/>
        <w:adjustRightInd w:val="0"/>
        <w:spacing w:after="0" w:line="240" w:lineRule="auto"/>
        <w:rPr>
          <w:rFonts w:cstheme="minorHAnsi"/>
          <w:bCs/>
        </w:rPr>
      </w:pPr>
      <w:r>
        <w:rPr>
          <w:noProof/>
          <w:sz w:val="24"/>
          <w:szCs w:val="24"/>
        </w:rPr>
        <w:drawing>
          <wp:inline distT="0" distB="0" distL="0" distR="0" wp14:anchorId="133EAAD4" wp14:editId="1DFBCD58">
            <wp:extent cx="4432300" cy="3325958"/>
            <wp:effectExtent l="0" t="0" r="6350" b="8255"/>
            <wp:docPr id="5" name="Picture 5" descr="Figure 5 is a risk decile plot, which is a graphical depiction of the deciles calculated to measure predictive ability, ranging from near zero to more than 30% readmission rate" title="Figure 5, risk decile pl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35288" cy="3328200"/>
                    </a:xfrm>
                    <a:prstGeom prst="rect">
                      <a:avLst/>
                    </a:prstGeom>
                    <a:noFill/>
                    <a:ln>
                      <a:noFill/>
                    </a:ln>
                  </pic:spPr>
                </pic:pic>
              </a:graphicData>
            </a:graphic>
          </wp:inline>
        </w:drawing>
      </w:r>
    </w:p>
    <w:p w14:paraId="0FCB1183" w14:textId="77777777" w:rsidR="00625311" w:rsidRDefault="00625311" w:rsidP="00092566">
      <w:pPr>
        <w:autoSpaceDE w:val="0"/>
        <w:autoSpaceDN w:val="0"/>
        <w:adjustRightInd w:val="0"/>
        <w:spacing w:after="0" w:line="240" w:lineRule="auto"/>
        <w:rPr>
          <w:rFonts w:cstheme="minorHAnsi"/>
          <w:bCs/>
        </w:rPr>
      </w:pPr>
    </w:p>
    <w:p w14:paraId="0CABD000" w14:textId="1015EEC3" w:rsidR="00092566" w:rsidRDefault="009C7513" w:rsidP="00092566">
      <w:pPr>
        <w:autoSpaceDE w:val="0"/>
        <w:autoSpaceDN w:val="0"/>
        <w:adjustRightInd w:val="0"/>
        <w:spacing w:after="0" w:line="240" w:lineRule="auto"/>
        <w:rPr>
          <w:rFonts w:cstheme="minorHAnsi"/>
          <w:bCs/>
        </w:rPr>
      </w:pPr>
      <w:bookmarkStart w:id="33" w:name="IDX"/>
      <w:bookmarkStart w:id="34" w:name="question2b49"/>
      <w:bookmarkEnd w:id="33"/>
      <w:bookmarkEnd w:id="3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w:t>
      </w:r>
      <w:r w:rsidR="00B324DA">
        <w:rPr>
          <w:rFonts w:cstheme="minorHAnsi"/>
        </w:rPr>
        <w:t xml:space="preserve"> </w:t>
      </w:r>
    </w:p>
    <w:p w14:paraId="7AF7F7A0" w14:textId="6477423F" w:rsidR="0079733D" w:rsidRDefault="0079733D" w:rsidP="00092566">
      <w:pPr>
        <w:autoSpaceDE w:val="0"/>
        <w:autoSpaceDN w:val="0"/>
        <w:adjustRightInd w:val="0"/>
        <w:spacing w:after="0" w:line="240" w:lineRule="auto"/>
        <w:rPr>
          <w:rFonts w:cstheme="minorHAnsi"/>
          <w:bCs/>
        </w:rPr>
      </w:pPr>
    </w:p>
    <w:p w14:paraId="4E35611F" w14:textId="3120AB9F" w:rsidR="00625311" w:rsidRPr="00625311" w:rsidRDefault="00625311" w:rsidP="00092566">
      <w:pPr>
        <w:autoSpaceDE w:val="0"/>
        <w:autoSpaceDN w:val="0"/>
        <w:adjustRightInd w:val="0"/>
        <w:spacing w:after="0" w:line="240" w:lineRule="auto"/>
        <w:rPr>
          <w:rFonts w:cstheme="minorHAnsi"/>
          <w:bCs/>
          <w:color w:val="7030A0"/>
        </w:rPr>
      </w:pPr>
      <w:r w:rsidRPr="00625311">
        <w:rPr>
          <w:rFonts w:cstheme="minorHAnsi"/>
          <w:bCs/>
          <w:color w:val="7030A0"/>
        </w:rPr>
        <w:t>N/A</w:t>
      </w:r>
    </w:p>
    <w:p w14:paraId="2252FB16" w14:textId="77777777" w:rsidR="00625311" w:rsidRDefault="00625311" w:rsidP="00092566">
      <w:pPr>
        <w:autoSpaceDE w:val="0"/>
        <w:autoSpaceDN w:val="0"/>
        <w:adjustRightInd w:val="0"/>
        <w:spacing w:after="0" w:line="240" w:lineRule="auto"/>
        <w:rPr>
          <w:rFonts w:cstheme="minorHAnsi"/>
          <w:bCs/>
        </w:rPr>
      </w:pPr>
    </w:p>
    <w:p w14:paraId="6AA62F3D" w14:textId="77777777" w:rsidR="00625311" w:rsidRDefault="009C7513" w:rsidP="00625311">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37FF86BB" w14:textId="77777777" w:rsidR="00625311" w:rsidRPr="00625311" w:rsidRDefault="00625311" w:rsidP="00625311">
      <w:pPr>
        <w:autoSpaceDE w:val="0"/>
        <w:autoSpaceDN w:val="0"/>
        <w:adjustRightInd w:val="0"/>
        <w:spacing w:after="0" w:line="240" w:lineRule="auto"/>
        <w:rPr>
          <w:rFonts w:cstheme="minorHAnsi"/>
          <w:bCs/>
          <w:color w:val="7030A0"/>
        </w:rPr>
      </w:pPr>
    </w:p>
    <w:p w14:paraId="377E2333" w14:textId="77777777" w:rsidR="0035418A" w:rsidRDefault="00625311" w:rsidP="0035418A">
      <w:pPr>
        <w:autoSpaceDE w:val="0"/>
        <w:autoSpaceDN w:val="0"/>
        <w:adjustRightInd w:val="0"/>
        <w:spacing w:before="120" w:after="120" w:line="240" w:lineRule="auto"/>
        <w:rPr>
          <w:rFonts w:cstheme="minorHAnsi"/>
          <w:bCs/>
          <w:color w:val="7030A0"/>
        </w:rPr>
      </w:pPr>
      <w:r w:rsidRPr="00625311">
        <w:rPr>
          <w:rFonts w:cstheme="minorHAnsi"/>
          <w:b/>
          <w:bCs/>
          <w:i/>
          <w:color w:val="7030A0"/>
        </w:rPr>
        <w:t>Discrimination Statistics</w:t>
      </w:r>
    </w:p>
    <w:p w14:paraId="7A014648" w14:textId="0435955E" w:rsidR="00625311" w:rsidRPr="00625311" w:rsidRDefault="00625311" w:rsidP="0035418A">
      <w:pPr>
        <w:autoSpaceDE w:val="0"/>
        <w:autoSpaceDN w:val="0"/>
        <w:adjustRightInd w:val="0"/>
        <w:spacing w:before="120" w:after="120" w:line="240" w:lineRule="auto"/>
        <w:rPr>
          <w:rFonts w:cstheme="minorHAnsi"/>
          <w:bCs/>
          <w:color w:val="7030A0"/>
        </w:rPr>
      </w:pPr>
      <w:r w:rsidRPr="00625311">
        <w:rPr>
          <w:rFonts w:cstheme="minorHAnsi"/>
          <w:bCs/>
          <w:color w:val="7030A0"/>
        </w:rPr>
        <w:t xml:space="preserve">The </w:t>
      </w:r>
      <w:r w:rsidR="009E2ACA">
        <w:rPr>
          <w:rFonts w:cstheme="minorHAnsi"/>
          <w:bCs/>
          <w:color w:val="7030A0"/>
        </w:rPr>
        <w:t>C</w:t>
      </w:r>
      <w:r w:rsidRPr="00625311">
        <w:rPr>
          <w:rFonts w:cstheme="minorHAnsi"/>
          <w:bCs/>
          <w:color w:val="7030A0"/>
        </w:rPr>
        <w:t xml:space="preserve">-statistic of </w:t>
      </w:r>
      <w:r w:rsidRPr="00625311">
        <w:rPr>
          <w:rFonts w:cstheme="minorHAnsi"/>
          <w:bCs/>
          <w:color w:val="C00000"/>
        </w:rPr>
        <w:t xml:space="preserve">0.64 </w:t>
      </w:r>
      <w:r w:rsidRPr="00625311">
        <w:rPr>
          <w:rFonts w:cstheme="minorHAnsi"/>
          <w:bCs/>
          <w:color w:val="7030A0"/>
        </w:rPr>
        <w:t>indicate</w:t>
      </w:r>
      <w:r w:rsidR="00E51538">
        <w:rPr>
          <w:rFonts w:cstheme="minorHAnsi"/>
          <w:bCs/>
          <w:color w:val="7030A0"/>
        </w:rPr>
        <w:t>s</w:t>
      </w:r>
      <w:r w:rsidRPr="00625311">
        <w:rPr>
          <w:rFonts w:cstheme="minorHAnsi"/>
          <w:bCs/>
          <w:color w:val="7030A0"/>
        </w:rPr>
        <w:t xml:space="preserve"> fair model discrimination. The model indicated a wide range between the lowest decile and highest decile, indicating the ability to distinguish high-risk subjects from low-risk subjects.</w:t>
      </w:r>
    </w:p>
    <w:p w14:paraId="1DF23FB4" w14:textId="702919AE" w:rsidR="00625311" w:rsidRPr="00625311" w:rsidRDefault="00625311" w:rsidP="0035418A">
      <w:pPr>
        <w:autoSpaceDE w:val="0"/>
        <w:autoSpaceDN w:val="0"/>
        <w:adjustRightInd w:val="0"/>
        <w:spacing w:before="120" w:after="120" w:line="240" w:lineRule="auto"/>
        <w:rPr>
          <w:rFonts w:cstheme="minorHAnsi"/>
          <w:b/>
          <w:bCs/>
          <w:i/>
          <w:color w:val="7030A0"/>
        </w:rPr>
      </w:pPr>
      <w:r w:rsidRPr="00625311">
        <w:rPr>
          <w:rFonts w:cstheme="minorHAnsi"/>
          <w:b/>
          <w:bCs/>
          <w:i/>
          <w:color w:val="7030A0"/>
        </w:rPr>
        <w:t>Calibration Statistics</w:t>
      </w:r>
    </w:p>
    <w:p w14:paraId="7182A67E" w14:textId="1BD181B4" w:rsidR="00625311" w:rsidRPr="00625311" w:rsidRDefault="00625311" w:rsidP="0035418A">
      <w:pPr>
        <w:autoSpaceDE w:val="0"/>
        <w:autoSpaceDN w:val="0"/>
        <w:adjustRightInd w:val="0"/>
        <w:spacing w:before="120" w:after="120" w:line="240" w:lineRule="auto"/>
        <w:rPr>
          <w:rFonts w:cstheme="minorHAnsi"/>
          <w:bCs/>
          <w:i/>
          <w:color w:val="7030A0"/>
        </w:rPr>
      </w:pPr>
      <w:r w:rsidRPr="00625311">
        <w:rPr>
          <w:rFonts w:cstheme="minorHAnsi"/>
          <w:bCs/>
          <w:i/>
          <w:color w:val="7030A0"/>
        </w:rPr>
        <w:t>Ov</w:t>
      </w:r>
      <w:r w:rsidR="0035418A">
        <w:rPr>
          <w:rFonts w:cstheme="minorHAnsi"/>
          <w:bCs/>
          <w:i/>
          <w:color w:val="7030A0"/>
        </w:rPr>
        <w:t>e</w:t>
      </w:r>
      <w:r w:rsidRPr="00625311">
        <w:rPr>
          <w:rFonts w:cstheme="minorHAnsi"/>
          <w:bCs/>
          <w:i/>
          <w:color w:val="7030A0"/>
        </w:rPr>
        <w:t>r-fitting (Calibration γ0, γ1)</w:t>
      </w:r>
    </w:p>
    <w:p w14:paraId="3C3A2244" w14:textId="77777777" w:rsidR="00625311" w:rsidRPr="00625311" w:rsidRDefault="00625311" w:rsidP="0035418A">
      <w:pPr>
        <w:autoSpaceDE w:val="0"/>
        <w:autoSpaceDN w:val="0"/>
        <w:adjustRightInd w:val="0"/>
        <w:spacing w:before="120" w:after="120" w:line="240" w:lineRule="auto"/>
        <w:rPr>
          <w:rFonts w:cstheme="minorHAnsi"/>
          <w:bCs/>
          <w:color w:val="7030A0"/>
        </w:rPr>
      </w:pPr>
      <w:r w:rsidRPr="00625311">
        <w:rPr>
          <w:rFonts w:cstheme="minorHAnsi"/>
          <w:bCs/>
          <w:color w:val="7030A0"/>
        </w:rPr>
        <w:t>If the γ0 in the validation samples are substantially far from zero and the γ1 is substantially far from one, there is potential evidence of over-fitting. The calibration value of close to 0 at one end and close to 1 to the other end indicates calibration of the model.</w:t>
      </w:r>
    </w:p>
    <w:p w14:paraId="1D415329" w14:textId="7FED4CF7" w:rsidR="00625311" w:rsidRPr="00625311" w:rsidRDefault="00625311" w:rsidP="0035418A">
      <w:pPr>
        <w:autoSpaceDE w:val="0"/>
        <w:autoSpaceDN w:val="0"/>
        <w:adjustRightInd w:val="0"/>
        <w:spacing w:before="120" w:after="120" w:line="240" w:lineRule="auto"/>
        <w:rPr>
          <w:rFonts w:cstheme="minorHAnsi"/>
          <w:b/>
          <w:bCs/>
          <w:i/>
          <w:color w:val="7030A0"/>
        </w:rPr>
      </w:pPr>
      <w:r w:rsidRPr="00625311">
        <w:rPr>
          <w:rFonts w:cstheme="minorHAnsi"/>
          <w:b/>
          <w:bCs/>
          <w:i/>
          <w:color w:val="7030A0"/>
        </w:rPr>
        <w:t>Risk Decile Plots</w:t>
      </w:r>
    </w:p>
    <w:p w14:paraId="6E20182B" w14:textId="3B82AC16" w:rsidR="00625311" w:rsidRPr="00625311" w:rsidRDefault="00625311" w:rsidP="0035418A">
      <w:pPr>
        <w:autoSpaceDE w:val="0"/>
        <w:autoSpaceDN w:val="0"/>
        <w:adjustRightInd w:val="0"/>
        <w:spacing w:before="120" w:after="120" w:line="240" w:lineRule="auto"/>
        <w:rPr>
          <w:rFonts w:cstheme="minorHAnsi"/>
          <w:bCs/>
          <w:color w:val="7030A0"/>
        </w:rPr>
      </w:pPr>
      <w:r w:rsidRPr="00625311">
        <w:rPr>
          <w:rFonts w:cstheme="minorHAnsi"/>
          <w:bCs/>
          <w:color w:val="7030A0"/>
        </w:rPr>
        <w:t>Higher deciles of the predicted outcomes are associated with higher observed outcomes, which show a good calibration of the model. This plot indicates good discrimination of the model and good predictive ability.</w:t>
      </w:r>
    </w:p>
    <w:p w14:paraId="604C2660" w14:textId="40039C85" w:rsidR="00625311" w:rsidRPr="00625311" w:rsidRDefault="00625311" w:rsidP="0035418A">
      <w:pPr>
        <w:autoSpaceDE w:val="0"/>
        <w:autoSpaceDN w:val="0"/>
        <w:adjustRightInd w:val="0"/>
        <w:spacing w:before="120" w:after="120" w:line="240" w:lineRule="auto"/>
        <w:rPr>
          <w:rFonts w:cstheme="minorHAnsi"/>
          <w:b/>
          <w:bCs/>
          <w:i/>
          <w:color w:val="7030A0"/>
        </w:rPr>
      </w:pPr>
      <w:r w:rsidRPr="00625311">
        <w:rPr>
          <w:rFonts w:cstheme="minorHAnsi"/>
          <w:b/>
          <w:bCs/>
          <w:i/>
          <w:color w:val="7030A0"/>
        </w:rPr>
        <w:t>Overall Interpretation</w:t>
      </w:r>
    </w:p>
    <w:p w14:paraId="0CABD003" w14:textId="23D69ACE" w:rsidR="00092566" w:rsidRPr="00E51538" w:rsidRDefault="00625311" w:rsidP="0035418A">
      <w:pPr>
        <w:autoSpaceDE w:val="0"/>
        <w:autoSpaceDN w:val="0"/>
        <w:adjustRightInd w:val="0"/>
        <w:spacing w:before="120" w:after="120" w:line="240" w:lineRule="auto"/>
        <w:rPr>
          <w:rFonts w:cstheme="minorHAnsi"/>
          <w:b/>
          <w:bCs/>
          <w:color w:val="7030A0"/>
        </w:rPr>
      </w:pPr>
      <w:r w:rsidRPr="00625311">
        <w:rPr>
          <w:rFonts w:cstheme="minorHAnsi"/>
          <w:bCs/>
          <w:color w:val="7030A0"/>
        </w:rPr>
        <w:lastRenderedPageBreak/>
        <w:t xml:space="preserve">Interpreted together, our diagnostic results demonstrate the risk-adjustment model adequately controls for differences in patient characteristics (case mix) and is comparable to other readmission outcome </w:t>
      </w:r>
      <w:r w:rsidRPr="00E51538">
        <w:rPr>
          <w:rFonts w:cstheme="minorHAnsi"/>
          <w:bCs/>
          <w:color w:val="7030A0"/>
        </w:rPr>
        <w:t>measures.</w:t>
      </w:r>
    </w:p>
    <w:p w14:paraId="0CABD004" w14:textId="369F545B" w:rsidR="00021170" w:rsidRDefault="009C7513" w:rsidP="009B1A15">
      <w:pPr>
        <w:spacing w:after="0" w:line="240" w:lineRule="auto"/>
        <w:rPr>
          <w:rFonts w:cstheme="minorHAnsi"/>
        </w:rPr>
      </w:pPr>
      <w:r w:rsidRPr="00E51538">
        <w:rPr>
          <w:rFonts w:cstheme="minorHAnsi"/>
          <w:b/>
        </w:rPr>
        <w:t>2b3</w:t>
      </w:r>
      <w:r w:rsidR="009B1A15" w:rsidRPr="00E51538">
        <w:rPr>
          <w:rFonts w:cstheme="minorHAnsi"/>
          <w:b/>
        </w:rPr>
        <w:t>.11.</w:t>
      </w:r>
      <w:r w:rsidR="009B1A15" w:rsidRPr="00E51538">
        <w:rPr>
          <w:rFonts w:cstheme="minorHAnsi"/>
        </w:rPr>
        <w:t xml:space="preserve"> </w:t>
      </w:r>
      <w:r w:rsidR="00092566" w:rsidRPr="00E51538">
        <w:rPr>
          <w:rFonts w:cstheme="minorHAnsi"/>
          <w:b/>
        </w:rPr>
        <w:t>Optional</w:t>
      </w:r>
      <w:r w:rsidR="009B1A15" w:rsidRPr="00E51538">
        <w:rPr>
          <w:rFonts w:cstheme="minorHAnsi"/>
          <w:b/>
        </w:rPr>
        <w:t xml:space="preserve"> Additional Testing</w:t>
      </w:r>
      <w:r w:rsidR="004756E1" w:rsidRPr="00E51538">
        <w:rPr>
          <w:rFonts w:cstheme="minorHAnsi"/>
          <w:b/>
        </w:rPr>
        <w:t xml:space="preserve"> for Risk Adjustment</w:t>
      </w:r>
      <w:r w:rsidR="00092566" w:rsidRPr="00E51538">
        <w:rPr>
          <w:rFonts w:cstheme="minorHAnsi"/>
          <w:b/>
        </w:rPr>
        <w:t xml:space="preserve"> </w:t>
      </w:r>
      <w:r w:rsidR="00092566" w:rsidRPr="00E51538">
        <w:rPr>
          <w:rFonts w:cstheme="minorHAnsi"/>
        </w:rPr>
        <w:t>(</w:t>
      </w:r>
      <w:r w:rsidR="00092566" w:rsidRPr="00E51538">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1974095E" w14:textId="3CB57693" w:rsidR="00315561" w:rsidRDefault="00315561" w:rsidP="009B1A15">
      <w:pPr>
        <w:spacing w:after="0" w:line="240" w:lineRule="auto"/>
        <w:rPr>
          <w:rFonts w:cstheme="minorHAnsi"/>
        </w:rPr>
      </w:pPr>
    </w:p>
    <w:p w14:paraId="1892AEC3" w14:textId="26C9AA35" w:rsidR="00315561" w:rsidRPr="00315561" w:rsidRDefault="00315561" w:rsidP="009B1A15">
      <w:pPr>
        <w:spacing w:after="0" w:line="240" w:lineRule="auto"/>
        <w:rPr>
          <w:rFonts w:cstheme="minorHAnsi"/>
          <w:bCs/>
          <w:color w:val="C00000"/>
        </w:rPr>
      </w:pPr>
      <w:r w:rsidRPr="00315561">
        <w:rPr>
          <w:rFonts w:cstheme="minorHAnsi"/>
          <w:bCs/>
          <w:color w:val="C00000"/>
        </w:rPr>
        <w:t>N/A</w:t>
      </w:r>
    </w:p>
    <w:p w14:paraId="219381D9" w14:textId="77777777" w:rsidR="00315561" w:rsidRDefault="00315561" w:rsidP="009B1A15">
      <w:pPr>
        <w:spacing w:after="0" w:line="240" w:lineRule="auto"/>
        <w:rPr>
          <w:rFonts w:cstheme="minorHAnsi"/>
        </w:rPr>
      </w:pP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35" w:name="section2b5"/>
      <w:bookmarkEnd w:id="35"/>
      <w:r>
        <w:rPr>
          <w:rFonts w:cstheme="minorHAnsi"/>
          <w:b/>
          <w:bCs/>
        </w:rPr>
        <w:t>2b4</w:t>
      </w:r>
      <w:r w:rsidR="00D61410" w:rsidRPr="00A25024">
        <w:rPr>
          <w:rFonts w:cstheme="minorHAnsi"/>
          <w:b/>
          <w:bCs/>
        </w:rPr>
        <w:t>. IDENTIFICATION OF STATISTICALLY SIGNIFICANT &amp; MEANINGFUL DIFFERENCES IN PERFORMANCE</w:t>
      </w:r>
    </w:p>
    <w:p w14:paraId="351AD9DE" w14:textId="77777777" w:rsidR="001C655C"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3BC0D510" w14:textId="5BB4934C" w:rsidR="001C655C" w:rsidRDefault="001C655C" w:rsidP="00D61410">
      <w:pPr>
        <w:autoSpaceDE w:val="0"/>
        <w:autoSpaceDN w:val="0"/>
        <w:adjustRightInd w:val="0"/>
        <w:spacing w:after="0" w:line="240" w:lineRule="auto"/>
        <w:rPr>
          <w:rFonts w:cstheme="minorHAnsi"/>
          <w:bCs/>
          <w:i/>
        </w:rPr>
      </w:pPr>
    </w:p>
    <w:p w14:paraId="12FD55E8" w14:textId="77777777" w:rsidR="002132E6" w:rsidRPr="002132E6" w:rsidRDefault="002132E6" w:rsidP="002132E6">
      <w:pPr>
        <w:autoSpaceDE w:val="0"/>
        <w:autoSpaceDN w:val="0"/>
        <w:adjustRightInd w:val="0"/>
        <w:spacing w:after="0" w:line="240" w:lineRule="auto"/>
        <w:rPr>
          <w:rFonts w:cstheme="minorHAnsi"/>
          <w:bCs/>
          <w:color w:val="C00000"/>
        </w:rPr>
      </w:pPr>
      <w:r w:rsidRPr="002132E6">
        <w:rPr>
          <w:rFonts w:cstheme="minorHAnsi"/>
          <w:bCs/>
          <w:color w:val="C00000"/>
        </w:rPr>
        <w:t xml:space="preserve">The measure score is hospital-specific risk-standardized readmission rates. These rates are obtained as the ratio of predicted to expected readmissions, multiplied by the national unadjusted rate. The “predicted” number of readmissions (the numerator) is calculated using the coefficients estimated by regressing the risk factors and the hospital-specific intercept on the risk of readmissions. The estimated hospital-specific intercept is added to the sum of the estimated regression coefficients multiplied by the patient characteristics. The results are then transformed and summed over all patients attributed to a hospital to get a predicted value. The “expected” number of readmissions (the denominator) is obtained in the same manner, but a common intercept using all hospitals in our sample is added in place of the hospital-specific intercept. The results are then transformed and summed over all patients in the hospital to get an expected value. To assess hospital performance for each reporting period, we re-estimated the model coefficients using the years of data in that period. </w:t>
      </w:r>
    </w:p>
    <w:p w14:paraId="05030A1F" w14:textId="77777777" w:rsidR="002132E6" w:rsidRPr="002132E6" w:rsidRDefault="002132E6" w:rsidP="002132E6">
      <w:pPr>
        <w:autoSpaceDE w:val="0"/>
        <w:autoSpaceDN w:val="0"/>
        <w:adjustRightInd w:val="0"/>
        <w:spacing w:after="0" w:line="240" w:lineRule="auto"/>
        <w:rPr>
          <w:rFonts w:cstheme="minorHAnsi"/>
          <w:bCs/>
          <w:color w:val="C00000"/>
        </w:rPr>
      </w:pPr>
    </w:p>
    <w:p w14:paraId="1BD55803" w14:textId="26F0F566" w:rsidR="002132E6" w:rsidRPr="002132E6" w:rsidRDefault="002132E6" w:rsidP="002132E6">
      <w:pPr>
        <w:autoSpaceDE w:val="0"/>
        <w:autoSpaceDN w:val="0"/>
        <w:adjustRightInd w:val="0"/>
        <w:spacing w:after="0" w:line="240" w:lineRule="auto"/>
        <w:rPr>
          <w:rFonts w:cstheme="minorHAnsi"/>
          <w:bCs/>
          <w:color w:val="C00000"/>
        </w:rPr>
      </w:pPr>
      <w:r w:rsidRPr="002132E6">
        <w:rPr>
          <w:rFonts w:cstheme="minorHAnsi"/>
          <w:bCs/>
          <w:color w:val="C00000"/>
        </w:rPr>
        <w:t>We characterize the degree of variability by:</w:t>
      </w:r>
    </w:p>
    <w:p w14:paraId="781DB68B" w14:textId="77777777" w:rsidR="002132E6" w:rsidRPr="002132E6" w:rsidRDefault="002132E6" w:rsidP="002132E6">
      <w:pPr>
        <w:autoSpaceDE w:val="0"/>
        <w:autoSpaceDN w:val="0"/>
        <w:adjustRightInd w:val="0"/>
        <w:spacing w:after="0" w:line="240" w:lineRule="auto"/>
        <w:rPr>
          <w:rFonts w:cstheme="minorHAnsi"/>
          <w:bCs/>
          <w:color w:val="C00000"/>
        </w:rPr>
      </w:pPr>
    </w:p>
    <w:p w14:paraId="7B7A55A0" w14:textId="77777777" w:rsidR="0035418A" w:rsidRDefault="002132E6" w:rsidP="002132E6">
      <w:pPr>
        <w:pStyle w:val="ListParagraph"/>
        <w:numPr>
          <w:ilvl w:val="0"/>
          <w:numId w:val="37"/>
        </w:numPr>
        <w:autoSpaceDE w:val="0"/>
        <w:autoSpaceDN w:val="0"/>
        <w:adjustRightInd w:val="0"/>
        <w:spacing w:after="0" w:line="240" w:lineRule="auto"/>
        <w:rPr>
          <w:rFonts w:cstheme="minorHAnsi"/>
          <w:bCs/>
          <w:color w:val="C00000"/>
        </w:rPr>
      </w:pPr>
      <w:r w:rsidRPr="0035418A">
        <w:rPr>
          <w:rFonts w:cstheme="minorHAnsi"/>
          <w:bCs/>
          <w:color w:val="C00000"/>
        </w:rPr>
        <w:t>Repo</w:t>
      </w:r>
      <w:r w:rsidR="0035418A">
        <w:rPr>
          <w:rFonts w:cstheme="minorHAnsi"/>
          <w:bCs/>
          <w:color w:val="C00000"/>
        </w:rPr>
        <w:t>rting the distribution of RSRRs:</w:t>
      </w:r>
    </w:p>
    <w:p w14:paraId="42A96808" w14:textId="77777777" w:rsidR="0035418A" w:rsidRDefault="0035418A" w:rsidP="0035418A">
      <w:pPr>
        <w:pStyle w:val="ListParagraph"/>
        <w:autoSpaceDE w:val="0"/>
        <w:autoSpaceDN w:val="0"/>
        <w:adjustRightInd w:val="0"/>
        <w:spacing w:after="0" w:line="240" w:lineRule="auto"/>
        <w:rPr>
          <w:rFonts w:cstheme="minorHAnsi"/>
          <w:bCs/>
          <w:color w:val="C00000"/>
        </w:rPr>
      </w:pPr>
      <w:r>
        <w:rPr>
          <w:rFonts w:cstheme="minorHAnsi"/>
          <w:bCs/>
          <w:color w:val="C00000"/>
        </w:rPr>
        <w:t>F</w:t>
      </w:r>
      <w:r w:rsidRPr="0035418A">
        <w:rPr>
          <w:rFonts w:cstheme="minorHAnsi"/>
          <w:bCs/>
          <w:color w:val="C00000"/>
        </w:rPr>
        <w:t xml:space="preserve">or public reporting of the measure, CMS characterizes the uncertainty associated with the RSRR by estimating the 95% interval estimate. This is </w:t>
      </w:r>
      <w:proofErr w:type="gramStart"/>
      <w:r w:rsidRPr="0035418A">
        <w:rPr>
          <w:rFonts w:cstheme="minorHAnsi"/>
          <w:bCs/>
          <w:color w:val="C00000"/>
        </w:rPr>
        <w:t>similar to</w:t>
      </w:r>
      <w:proofErr w:type="gramEnd"/>
      <w:r w:rsidRPr="0035418A">
        <w:rPr>
          <w:rFonts w:cstheme="minorHAnsi"/>
          <w:bCs/>
          <w:color w:val="C00000"/>
        </w:rPr>
        <w:t xml:space="preserve"> a 95% confidence interval but is calculated differently. If the RSRR’s interval estimate does not include the national observed readmission rate (because it is lower or higher than the rate), then CMS is confident that the hospital’s RSRR is different from the national </w:t>
      </w:r>
      <w:proofErr w:type="gramStart"/>
      <w:r w:rsidRPr="0035418A">
        <w:rPr>
          <w:rFonts w:cstheme="minorHAnsi"/>
          <w:bCs/>
          <w:color w:val="C00000"/>
        </w:rPr>
        <w:t>rate, and</w:t>
      </w:r>
      <w:proofErr w:type="gramEnd"/>
      <w:r w:rsidRPr="0035418A">
        <w:rPr>
          <w:rFonts w:cstheme="minorHAnsi"/>
          <w:bCs/>
          <w:color w:val="C00000"/>
        </w:rPr>
        <w:t xml:space="preserve"> describes the hospital on the Hospital Compare website as “better than the U.S. national rate” or “worse than the U.S. national rate.” If the interval includes the national rate, then CMS describes the hospital’s RSRR as “no different than the U.S. national rate” or “the difference is uncertain.” CMS does not classify performance for hospitals that have fewer than 25 cases in the three-year period.</w:t>
      </w:r>
    </w:p>
    <w:p w14:paraId="66DC5449" w14:textId="0ABE5401" w:rsidR="002132E6" w:rsidRPr="0035418A" w:rsidRDefault="002132E6" w:rsidP="0035418A">
      <w:pPr>
        <w:pStyle w:val="ListParagraph"/>
        <w:autoSpaceDE w:val="0"/>
        <w:autoSpaceDN w:val="0"/>
        <w:adjustRightInd w:val="0"/>
        <w:spacing w:after="0" w:line="240" w:lineRule="auto"/>
        <w:rPr>
          <w:rFonts w:cstheme="minorHAnsi"/>
          <w:bCs/>
          <w:color w:val="C00000"/>
        </w:rPr>
      </w:pPr>
      <w:r w:rsidRPr="0035418A">
        <w:rPr>
          <w:rFonts w:cstheme="minorHAnsi"/>
          <w:bCs/>
          <w:color w:val="C00000"/>
        </w:rPr>
        <w:t xml:space="preserve"> </w:t>
      </w:r>
    </w:p>
    <w:p w14:paraId="5371E726" w14:textId="77777777" w:rsidR="0035418A" w:rsidRDefault="0035418A" w:rsidP="0035418A">
      <w:pPr>
        <w:pStyle w:val="ListParagraph"/>
        <w:numPr>
          <w:ilvl w:val="0"/>
          <w:numId w:val="37"/>
        </w:numPr>
        <w:autoSpaceDE w:val="0"/>
        <w:autoSpaceDN w:val="0"/>
        <w:adjustRightInd w:val="0"/>
        <w:spacing w:after="0" w:line="240" w:lineRule="auto"/>
        <w:rPr>
          <w:rFonts w:cstheme="minorHAnsi"/>
          <w:bCs/>
          <w:color w:val="C00000"/>
        </w:rPr>
      </w:pPr>
      <w:r w:rsidRPr="0035418A">
        <w:rPr>
          <w:rFonts w:cstheme="minorHAnsi"/>
          <w:bCs/>
          <w:color w:val="C00000"/>
        </w:rPr>
        <w:t xml:space="preserve">Providing the median odds ratio (MOR) (Merlo et al, 2006). The median odds ratio represents the median increase in the odds of a readmission within 30 days of a CABG admission date on a single patient if the admission occurred at a higher risk hospital compared to a lower risk hospital. MOR quantifies the between hospital variance in terms of odds ratio, it is comparable to the fixed effects odds ratio. </w:t>
      </w:r>
    </w:p>
    <w:p w14:paraId="2FC6C1F5" w14:textId="059ADC5B" w:rsidR="002132E6" w:rsidRPr="002132E6" w:rsidRDefault="002132E6" w:rsidP="002132E6">
      <w:pPr>
        <w:autoSpaceDE w:val="0"/>
        <w:autoSpaceDN w:val="0"/>
        <w:adjustRightInd w:val="0"/>
        <w:spacing w:after="0" w:line="240" w:lineRule="auto"/>
        <w:rPr>
          <w:rFonts w:cstheme="minorHAnsi"/>
          <w:bCs/>
          <w:color w:val="C00000"/>
          <w:u w:val="single"/>
        </w:rPr>
      </w:pPr>
    </w:p>
    <w:p w14:paraId="172F6965" w14:textId="2C72DFE4" w:rsidR="002132E6" w:rsidRPr="0035418A" w:rsidRDefault="002132E6" w:rsidP="002132E6">
      <w:pPr>
        <w:autoSpaceDE w:val="0"/>
        <w:autoSpaceDN w:val="0"/>
        <w:adjustRightInd w:val="0"/>
        <w:spacing w:after="0" w:line="240" w:lineRule="auto"/>
        <w:rPr>
          <w:rFonts w:cstheme="minorHAnsi"/>
          <w:bCs/>
          <w:color w:val="C00000"/>
        </w:rPr>
      </w:pPr>
      <w:r w:rsidRPr="002132E6">
        <w:rPr>
          <w:rFonts w:cstheme="minorHAnsi"/>
          <w:bCs/>
          <w:color w:val="C00000"/>
          <w:u w:val="single"/>
        </w:rPr>
        <w:t>Reference</w:t>
      </w:r>
      <w:r w:rsidR="0035418A">
        <w:rPr>
          <w:rFonts w:cstheme="minorHAnsi"/>
          <w:bCs/>
          <w:color w:val="C00000"/>
          <w:u w:val="single"/>
        </w:rPr>
        <w:t>s</w:t>
      </w:r>
      <w:r w:rsidR="0035418A">
        <w:rPr>
          <w:rFonts w:cstheme="minorHAnsi"/>
          <w:bCs/>
          <w:color w:val="C00000"/>
        </w:rPr>
        <w:t>:</w:t>
      </w:r>
    </w:p>
    <w:p w14:paraId="13AC2514" w14:textId="77777777" w:rsidR="002132E6" w:rsidRPr="002132E6" w:rsidRDefault="002132E6" w:rsidP="002132E6">
      <w:pPr>
        <w:autoSpaceDE w:val="0"/>
        <w:autoSpaceDN w:val="0"/>
        <w:adjustRightInd w:val="0"/>
        <w:spacing w:after="0" w:line="240" w:lineRule="auto"/>
        <w:rPr>
          <w:rFonts w:cstheme="minorHAnsi"/>
          <w:bCs/>
          <w:color w:val="C00000"/>
        </w:rPr>
      </w:pPr>
    </w:p>
    <w:p w14:paraId="10EAFB8C" w14:textId="770B9DA8" w:rsidR="002132E6" w:rsidRPr="002132E6" w:rsidRDefault="002132E6" w:rsidP="002132E6">
      <w:pPr>
        <w:autoSpaceDE w:val="0"/>
        <w:autoSpaceDN w:val="0"/>
        <w:adjustRightInd w:val="0"/>
        <w:spacing w:after="0" w:line="240" w:lineRule="auto"/>
        <w:rPr>
          <w:rFonts w:cstheme="minorHAnsi"/>
          <w:bCs/>
          <w:color w:val="C00000"/>
        </w:rPr>
      </w:pPr>
      <w:r w:rsidRPr="002132E6">
        <w:rPr>
          <w:rFonts w:cstheme="minorHAnsi"/>
          <w:bCs/>
          <w:color w:val="C00000"/>
        </w:rPr>
        <w:t xml:space="preserve">Merlo J, </w:t>
      </w:r>
      <w:proofErr w:type="spellStart"/>
      <w:r w:rsidRPr="002132E6">
        <w:rPr>
          <w:rFonts w:cstheme="minorHAnsi"/>
          <w:bCs/>
          <w:color w:val="C00000"/>
        </w:rPr>
        <w:t>Chaix</w:t>
      </w:r>
      <w:proofErr w:type="spellEnd"/>
      <w:r w:rsidRPr="002132E6">
        <w:rPr>
          <w:rFonts w:cstheme="minorHAnsi"/>
          <w:bCs/>
          <w:color w:val="C00000"/>
        </w:rPr>
        <w:t xml:space="preserve"> B, Ohlsson H, Beckman A, </w:t>
      </w:r>
      <w:proofErr w:type="spellStart"/>
      <w:r w:rsidRPr="002132E6">
        <w:rPr>
          <w:rFonts w:cstheme="minorHAnsi"/>
          <w:bCs/>
          <w:color w:val="C00000"/>
        </w:rPr>
        <w:t>Johnell</w:t>
      </w:r>
      <w:proofErr w:type="spellEnd"/>
      <w:r w:rsidRPr="002132E6">
        <w:rPr>
          <w:rFonts w:cstheme="minorHAnsi"/>
          <w:bCs/>
          <w:color w:val="C00000"/>
        </w:rPr>
        <w:t xml:space="preserve"> K, </w:t>
      </w:r>
      <w:proofErr w:type="spellStart"/>
      <w:r w:rsidRPr="002132E6">
        <w:rPr>
          <w:rFonts w:cstheme="minorHAnsi"/>
          <w:bCs/>
          <w:color w:val="C00000"/>
        </w:rPr>
        <w:t>Hjerpe</w:t>
      </w:r>
      <w:proofErr w:type="spellEnd"/>
      <w:r w:rsidRPr="002132E6">
        <w:rPr>
          <w:rFonts w:cstheme="minorHAnsi"/>
          <w:bCs/>
          <w:color w:val="C00000"/>
        </w:rPr>
        <w:t xml:space="preserve"> P, </w:t>
      </w:r>
      <w:proofErr w:type="spellStart"/>
      <w:r w:rsidRPr="002132E6">
        <w:rPr>
          <w:rFonts w:cstheme="minorHAnsi"/>
          <w:bCs/>
          <w:color w:val="C00000"/>
        </w:rPr>
        <w:t>Råstam</w:t>
      </w:r>
      <w:proofErr w:type="spellEnd"/>
      <w:r w:rsidRPr="002132E6">
        <w:rPr>
          <w:rFonts w:cstheme="minorHAnsi"/>
          <w:bCs/>
          <w:color w:val="C00000"/>
        </w:rPr>
        <w:t xml:space="preserve"> L, Larsen K. (2006) A brief conceptual tutorial of multilevel analysis in social epidemiology: Using measures of clustering in multilevel logistic regression to investigate contextual phenomena. J Epidemiol Community Health, 60(4):290-7.</w:t>
      </w:r>
    </w:p>
    <w:p w14:paraId="0CABD009" w14:textId="63724C0E" w:rsidR="00D61410" w:rsidRPr="00A25024" w:rsidRDefault="00D61410" w:rsidP="00D61410">
      <w:pPr>
        <w:autoSpaceDE w:val="0"/>
        <w:autoSpaceDN w:val="0"/>
        <w:adjustRightInd w:val="0"/>
        <w:spacing w:after="0" w:line="240" w:lineRule="auto"/>
        <w:rPr>
          <w:rFonts w:cstheme="minorHAnsi"/>
          <w:bCs/>
        </w:rPr>
      </w:pPr>
    </w:p>
    <w:p w14:paraId="14BDEA3B" w14:textId="7DBB2C62" w:rsidR="00DD129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0A298ED" w14:textId="48D1702C" w:rsidR="002132E6" w:rsidRDefault="002132E6" w:rsidP="00D61410">
      <w:pPr>
        <w:autoSpaceDE w:val="0"/>
        <w:autoSpaceDN w:val="0"/>
        <w:adjustRightInd w:val="0"/>
        <w:spacing w:after="0" w:line="240" w:lineRule="auto"/>
        <w:rPr>
          <w:rFonts w:cstheme="minorHAnsi"/>
          <w:bCs/>
        </w:rPr>
      </w:pPr>
    </w:p>
    <w:p w14:paraId="66F35ED6" w14:textId="2C4E9207" w:rsidR="002132E6" w:rsidRPr="002132E6" w:rsidRDefault="002132E6" w:rsidP="002132E6">
      <w:pPr>
        <w:autoSpaceDE w:val="0"/>
        <w:autoSpaceDN w:val="0"/>
        <w:adjustRightInd w:val="0"/>
        <w:spacing w:after="0" w:line="240" w:lineRule="auto"/>
        <w:rPr>
          <w:rFonts w:cstheme="minorHAnsi"/>
          <w:bCs/>
          <w:color w:val="7030A0"/>
        </w:rPr>
      </w:pPr>
      <w:r w:rsidRPr="002132E6">
        <w:rPr>
          <w:rFonts w:cstheme="minorHAnsi"/>
          <w:bCs/>
          <w:color w:val="7030A0"/>
        </w:rPr>
        <w:t xml:space="preserve">Analyses of Medicare FFS data show substantial variation in </w:t>
      </w:r>
      <w:r w:rsidR="0035418A">
        <w:rPr>
          <w:rFonts w:cstheme="minorHAnsi"/>
          <w:bCs/>
          <w:color w:val="7030A0"/>
        </w:rPr>
        <w:t xml:space="preserve">CABG </w:t>
      </w:r>
      <w:r w:rsidRPr="002132E6">
        <w:rPr>
          <w:rFonts w:cstheme="minorHAnsi"/>
          <w:bCs/>
          <w:color w:val="7030A0"/>
        </w:rPr>
        <w:t>RSRRs among hospitals.</w:t>
      </w:r>
    </w:p>
    <w:p w14:paraId="7FCD264E" w14:textId="77777777" w:rsidR="002132E6" w:rsidRDefault="002132E6" w:rsidP="002132E6">
      <w:pPr>
        <w:autoSpaceDE w:val="0"/>
        <w:autoSpaceDN w:val="0"/>
        <w:adjustRightInd w:val="0"/>
        <w:spacing w:after="0" w:line="240" w:lineRule="auto"/>
        <w:rPr>
          <w:rFonts w:cstheme="minorHAnsi"/>
          <w:bCs/>
        </w:rPr>
      </w:pPr>
    </w:p>
    <w:p w14:paraId="3047FE63" w14:textId="0B1952EF" w:rsidR="002132E6" w:rsidRDefault="004D512C" w:rsidP="002132E6">
      <w:pPr>
        <w:autoSpaceDE w:val="0"/>
        <w:autoSpaceDN w:val="0"/>
        <w:adjustRightInd w:val="0"/>
        <w:spacing w:after="0" w:line="240" w:lineRule="auto"/>
        <w:rPr>
          <w:rFonts w:cstheme="minorHAnsi"/>
          <w:bCs/>
          <w:color w:val="C00000"/>
        </w:rPr>
      </w:pPr>
      <w:r>
        <w:rPr>
          <w:rFonts w:cstheme="minorHAnsi"/>
          <w:bCs/>
          <w:color w:val="C00000"/>
        </w:rPr>
        <w:t>Figure 6</w:t>
      </w:r>
      <w:r w:rsidR="002132E6" w:rsidRPr="002132E6">
        <w:rPr>
          <w:rFonts w:cstheme="minorHAnsi"/>
          <w:bCs/>
          <w:color w:val="C00000"/>
        </w:rPr>
        <w:t xml:space="preserve">. Distribution (Histogram) Of Hospital-Level </w:t>
      </w:r>
      <w:r w:rsidR="00034A8A">
        <w:rPr>
          <w:rFonts w:cstheme="minorHAnsi"/>
          <w:bCs/>
          <w:color w:val="C00000"/>
        </w:rPr>
        <w:t>CABG</w:t>
      </w:r>
      <w:r w:rsidR="002132E6" w:rsidRPr="002132E6">
        <w:rPr>
          <w:rFonts w:cstheme="minorHAnsi"/>
          <w:bCs/>
          <w:color w:val="C00000"/>
        </w:rPr>
        <w:t xml:space="preserve"> RSRRs</w:t>
      </w:r>
    </w:p>
    <w:p w14:paraId="1E5DF2BF" w14:textId="77777777" w:rsidR="002132E6" w:rsidRPr="002132E6" w:rsidRDefault="002132E6" w:rsidP="002132E6">
      <w:pPr>
        <w:autoSpaceDE w:val="0"/>
        <w:autoSpaceDN w:val="0"/>
        <w:adjustRightInd w:val="0"/>
        <w:spacing w:after="0" w:line="240" w:lineRule="auto"/>
        <w:rPr>
          <w:rFonts w:cstheme="minorHAnsi"/>
          <w:bCs/>
          <w:color w:val="C00000"/>
        </w:rPr>
      </w:pPr>
    </w:p>
    <w:p w14:paraId="25C92B0B" w14:textId="648A133C" w:rsidR="002132E6" w:rsidRDefault="002132E6" w:rsidP="00D61410">
      <w:pPr>
        <w:autoSpaceDE w:val="0"/>
        <w:autoSpaceDN w:val="0"/>
        <w:adjustRightInd w:val="0"/>
        <w:spacing w:after="0" w:line="240" w:lineRule="auto"/>
        <w:rPr>
          <w:rFonts w:cstheme="minorHAnsi"/>
          <w:bCs/>
        </w:rPr>
      </w:pPr>
      <w:r>
        <w:rPr>
          <w:rFonts w:cstheme="minorHAnsi"/>
          <w:bCs/>
          <w:noProof/>
        </w:rPr>
        <w:drawing>
          <wp:inline distT="0" distB="0" distL="0" distR="0" wp14:anchorId="0EC7F2CD" wp14:editId="2C74A349">
            <wp:extent cx="4482704" cy="3365500"/>
            <wp:effectExtent l="0" t="0" r="0" b="6350"/>
            <wp:docPr id="14" name="Picture 14" descr="Figure 6 displays the Distribution Of Hospital-Level CABG RSRRs&#10;in a histogram.  Out of 1,160 hospitals in the measure cohort, 6 performed “better than the U.S. national rate,” 972 performed “no different from the U.S. national rate,” and 14 performed “worse than the U.S. national rate.” 168 were classified as “number of cases too small” (fewer than 25) to reliably tell how well the hospital is performing. The range of RSRRs in the testing dataset was 8.6% - 22.6%, demonstrating considerable variation in readmission rates." title="Figure 6. Distribution (Histogram) Of Hospital-Level CABG RS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89730" cy="3370775"/>
                    </a:xfrm>
                    <a:prstGeom prst="rect">
                      <a:avLst/>
                    </a:prstGeom>
                    <a:noFill/>
                  </pic:spPr>
                </pic:pic>
              </a:graphicData>
            </a:graphic>
          </wp:inline>
        </w:drawing>
      </w:r>
    </w:p>
    <w:p w14:paraId="3EBA8A69" w14:textId="7ACC46B9" w:rsidR="00DD1294" w:rsidRDefault="00DD1294" w:rsidP="00D61410">
      <w:pPr>
        <w:autoSpaceDE w:val="0"/>
        <w:autoSpaceDN w:val="0"/>
        <w:adjustRightInd w:val="0"/>
        <w:spacing w:after="0" w:line="240" w:lineRule="auto"/>
        <w:rPr>
          <w:rFonts w:cstheme="minorHAnsi"/>
        </w:rPr>
      </w:pPr>
    </w:p>
    <w:p w14:paraId="63C45ABC" w14:textId="1CCCADE5" w:rsidR="006044E9" w:rsidRDefault="002132E6" w:rsidP="002132E6">
      <w:pPr>
        <w:autoSpaceDE w:val="0"/>
        <w:autoSpaceDN w:val="0"/>
        <w:adjustRightInd w:val="0"/>
        <w:spacing w:after="0" w:line="240" w:lineRule="auto"/>
        <w:rPr>
          <w:rFonts w:cstheme="minorHAnsi"/>
          <w:color w:val="7030A0"/>
        </w:rPr>
      </w:pPr>
      <w:r w:rsidRPr="002132E6">
        <w:rPr>
          <w:rFonts w:cstheme="minorHAnsi"/>
          <w:color w:val="7030A0"/>
        </w:rPr>
        <w:t xml:space="preserve">Out of </w:t>
      </w:r>
      <w:r w:rsidRPr="002132E6">
        <w:rPr>
          <w:rFonts w:cstheme="minorHAnsi"/>
          <w:color w:val="C00000"/>
        </w:rPr>
        <w:t xml:space="preserve">1,160 </w:t>
      </w:r>
      <w:r w:rsidRPr="002132E6">
        <w:rPr>
          <w:rFonts w:cstheme="minorHAnsi"/>
          <w:color w:val="7030A0"/>
        </w:rPr>
        <w:t xml:space="preserve">hospitals in the measure cohort, </w:t>
      </w:r>
      <w:r w:rsidRPr="002132E6">
        <w:rPr>
          <w:rFonts w:cstheme="minorHAnsi"/>
          <w:color w:val="C00000"/>
        </w:rPr>
        <w:t>6</w:t>
      </w:r>
      <w:r w:rsidRPr="002132E6">
        <w:rPr>
          <w:rFonts w:cstheme="minorHAnsi"/>
          <w:color w:val="7030A0"/>
        </w:rPr>
        <w:t xml:space="preserve"> performed “better than the U.S. national rate,” </w:t>
      </w:r>
      <w:r w:rsidRPr="002132E6">
        <w:rPr>
          <w:rFonts w:cstheme="minorHAnsi"/>
          <w:color w:val="C00000"/>
        </w:rPr>
        <w:t>972</w:t>
      </w:r>
      <w:r w:rsidRPr="002132E6">
        <w:rPr>
          <w:rFonts w:cstheme="minorHAnsi"/>
          <w:color w:val="7030A0"/>
        </w:rPr>
        <w:t xml:space="preserve"> performed “no different from the U.S. national rate,” and </w:t>
      </w:r>
      <w:r w:rsidRPr="002132E6">
        <w:rPr>
          <w:rFonts w:cstheme="minorHAnsi"/>
          <w:color w:val="C00000"/>
        </w:rPr>
        <w:t>14</w:t>
      </w:r>
      <w:r w:rsidRPr="002132E6">
        <w:rPr>
          <w:rFonts w:cstheme="minorHAnsi"/>
          <w:color w:val="7030A0"/>
        </w:rPr>
        <w:t xml:space="preserve"> performed “worse than the U.S. national rate.” </w:t>
      </w:r>
      <w:r w:rsidRPr="002132E6">
        <w:rPr>
          <w:rFonts w:cstheme="minorHAnsi"/>
          <w:color w:val="C00000"/>
        </w:rPr>
        <w:t>168</w:t>
      </w:r>
      <w:r w:rsidRPr="002132E6">
        <w:rPr>
          <w:rFonts w:cstheme="minorHAnsi"/>
          <w:color w:val="7030A0"/>
        </w:rPr>
        <w:t xml:space="preserve"> were classified as “number of cases too small” (fewer than 25) to reliably tell how well the hospital is performing.</w:t>
      </w:r>
      <w:r w:rsidR="00F05D65">
        <w:rPr>
          <w:rFonts w:cstheme="minorHAnsi"/>
          <w:color w:val="7030A0"/>
        </w:rPr>
        <w:t xml:space="preserve"> </w:t>
      </w:r>
      <w:r w:rsidR="00F05D65" w:rsidRPr="00F05D65">
        <w:rPr>
          <w:rFonts w:cstheme="minorHAnsi"/>
          <w:color w:val="C00000"/>
        </w:rPr>
        <w:t xml:space="preserve">The range of RSRRs in the testing dataset was </w:t>
      </w:r>
      <w:r w:rsidR="00F05D65" w:rsidRPr="00F05D65">
        <w:rPr>
          <w:color w:val="C00000"/>
        </w:rPr>
        <w:t>8.6% - 22.6%</w:t>
      </w:r>
      <w:r w:rsidR="00F05D65">
        <w:rPr>
          <w:color w:val="C00000"/>
        </w:rPr>
        <w:t>, demonstrating considerable variation in readmission rates.</w:t>
      </w:r>
    </w:p>
    <w:p w14:paraId="5CB295B5" w14:textId="2C9E358E" w:rsidR="002132E6" w:rsidRPr="002132E6" w:rsidRDefault="006044E9" w:rsidP="006044E9">
      <w:pPr>
        <w:autoSpaceDE w:val="0"/>
        <w:autoSpaceDN w:val="0"/>
        <w:adjustRightInd w:val="0"/>
        <w:spacing w:before="120" w:after="0" w:line="240" w:lineRule="auto"/>
        <w:rPr>
          <w:rFonts w:cstheme="minorHAnsi"/>
          <w:color w:val="7030A0"/>
        </w:rPr>
      </w:pPr>
      <w:r>
        <w:rPr>
          <w:rFonts w:cstheme="minorHAnsi"/>
          <w:color w:val="C00000"/>
        </w:rPr>
        <w:t xml:space="preserve">The median odds ratio </w:t>
      </w:r>
      <w:r w:rsidRPr="006044E9">
        <w:rPr>
          <w:rFonts w:cstheme="minorHAnsi"/>
          <w:color w:val="C00000"/>
        </w:rPr>
        <w:t>was 1.23.</w:t>
      </w:r>
    </w:p>
    <w:p w14:paraId="0CABD00B" w14:textId="407A000B" w:rsidR="00D61410" w:rsidRPr="00927027" w:rsidRDefault="00D61410" w:rsidP="00D61410">
      <w:pPr>
        <w:autoSpaceDE w:val="0"/>
        <w:autoSpaceDN w:val="0"/>
        <w:adjustRightInd w:val="0"/>
        <w:spacing w:after="0" w:line="240" w:lineRule="auto"/>
        <w:rPr>
          <w:rFonts w:cstheme="minorHAnsi"/>
          <w:bCs/>
        </w:rPr>
      </w:pPr>
    </w:p>
    <w:p w14:paraId="16B79C4A" w14:textId="77777777" w:rsidR="00E022B3"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4238E2CB" w14:textId="77777777" w:rsidR="00E022B3" w:rsidRDefault="00E022B3" w:rsidP="00D61410">
      <w:pPr>
        <w:autoSpaceDE w:val="0"/>
        <w:autoSpaceDN w:val="0"/>
        <w:adjustRightInd w:val="0"/>
        <w:spacing w:after="0" w:line="240" w:lineRule="auto"/>
        <w:rPr>
          <w:rFonts w:cstheme="minorHAnsi"/>
          <w:bCs/>
        </w:rPr>
      </w:pPr>
    </w:p>
    <w:p w14:paraId="25D8EE41" w14:textId="10F848BA" w:rsidR="002132E6" w:rsidRPr="002132E6" w:rsidRDefault="002132E6" w:rsidP="002132E6">
      <w:pPr>
        <w:autoSpaceDE w:val="0"/>
        <w:autoSpaceDN w:val="0"/>
        <w:adjustRightInd w:val="0"/>
        <w:spacing w:after="0" w:line="240" w:lineRule="auto"/>
        <w:rPr>
          <w:rFonts w:cstheme="minorHAnsi"/>
          <w:noProof/>
          <w:color w:val="7030A0"/>
        </w:rPr>
      </w:pPr>
      <w:r w:rsidRPr="002132E6">
        <w:rPr>
          <w:rFonts w:cstheme="minorHAnsi"/>
          <w:noProof/>
          <w:color w:val="7030A0"/>
        </w:rPr>
        <w:lastRenderedPageBreak/>
        <w:t>The median odds ratio suggests a meaningful increase in the risk of readmission if a patient is admitted with CABG at a higher risk hospital compared to a lowe</w:t>
      </w:r>
      <w:r w:rsidR="006044E9">
        <w:rPr>
          <w:rFonts w:cstheme="minorHAnsi"/>
          <w:noProof/>
          <w:color w:val="7030A0"/>
        </w:rPr>
        <w:t xml:space="preserve">r risk hospital. A value of </w:t>
      </w:r>
      <w:r w:rsidR="006044E9" w:rsidRPr="001C3D38">
        <w:rPr>
          <w:rFonts w:cstheme="minorHAnsi"/>
          <w:noProof/>
          <w:color w:val="C00000"/>
        </w:rPr>
        <w:t>1.23</w:t>
      </w:r>
      <w:r w:rsidRPr="001C3D38">
        <w:rPr>
          <w:rFonts w:cstheme="minorHAnsi"/>
          <w:noProof/>
          <w:color w:val="C00000"/>
        </w:rPr>
        <w:t xml:space="preserve"> </w:t>
      </w:r>
      <w:r w:rsidRPr="002132E6">
        <w:rPr>
          <w:rFonts w:cstheme="minorHAnsi"/>
          <w:noProof/>
          <w:color w:val="7030A0"/>
        </w:rPr>
        <w:t>i</w:t>
      </w:r>
      <w:r w:rsidR="006044E9">
        <w:rPr>
          <w:rFonts w:cstheme="minorHAnsi"/>
          <w:noProof/>
          <w:color w:val="7030A0"/>
        </w:rPr>
        <w:t xml:space="preserve">ndicates that a patient has a </w:t>
      </w:r>
      <w:r w:rsidR="006044E9" w:rsidRPr="001C3D38">
        <w:rPr>
          <w:rFonts w:cstheme="minorHAnsi"/>
          <w:noProof/>
          <w:color w:val="C00000"/>
        </w:rPr>
        <w:t>23</w:t>
      </w:r>
      <w:r w:rsidRPr="001C3D38">
        <w:rPr>
          <w:rFonts w:cstheme="minorHAnsi"/>
          <w:noProof/>
          <w:color w:val="C00000"/>
        </w:rPr>
        <w:t xml:space="preserve">% </w:t>
      </w:r>
      <w:r w:rsidRPr="002132E6">
        <w:rPr>
          <w:rFonts w:cstheme="minorHAnsi"/>
          <w:noProof/>
          <w:color w:val="7030A0"/>
        </w:rPr>
        <w:t xml:space="preserve">increase in the odds of a readmission at higher risk performance hospital compared to a lower risk hospital, indicating the impact of quality on the outcome rate is substantial. </w:t>
      </w:r>
    </w:p>
    <w:p w14:paraId="0E3902F7" w14:textId="0380ABA1" w:rsidR="002132E6" w:rsidRPr="002132E6" w:rsidRDefault="002132E6" w:rsidP="006044E9">
      <w:pPr>
        <w:autoSpaceDE w:val="0"/>
        <w:autoSpaceDN w:val="0"/>
        <w:adjustRightInd w:val="0"/>
        <w:spacing w:before="120" w:after="0" w:line="240" w:lineRule="auto"/>
        <w:rPr>
          <w:rFonts w:cstheme="minorHAnsi"/>
          <w:noProof/>
          <w:color w:val="7030A0"/>
        </w:rPr>
      </w:pPr>
      <w:r w:rsidRPr="002132E6">
        <w:rPr>
          <w:rFonts w:cstheme="minorHAnsi"/>
          <w:bCs/>
          <w:noProof/>
          <w:color w:val="7030A0"/>
        </w:rPr>
        <w:t>The variation in rates and number of performance outliers suggests there remain differences in the quality of car</w:t>
      </w:r>
      <w:r w:rsidR="00034A8A">
        <w:rPr>
          <w:rFonts w:cstheme="minorHAnsi"/>
          <w:bCs/>
          <w:noProof/>
          <w:color w:val="7030A0"/>
        </w:rPr>
        <w:t>e received across hospitals performing CABG procedures on Medicare FFS patients</w:t>
      </w:r>
      <w:r w:rsidRPr="002132E6">
        <w:rPr>
          <w:rFonts w:cstheme="minorHAnsi"/>
          <w:bCs/>
          <w:noProof/>
          <w:color w:val="7030A0"/>
        </w:rPr>
        <w:t>. This evidence supports continued measurement to reduce the variation.</w:t>
      </w:r>
    </w:p>
    <w:p w14:paraId="0CABD00D" w14:textId="2484B770"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35418A" w:rsidRDefault="00021170" w:rsidP="00DB3627">
      <w:pPr>
        <w:autoSpaceDE w:val="0"/>
        <w:autoSpaceDN w:val="0"/>
        <w:adjustRightInd w:val="0"/>
        <w:spacing w:after="0" w:line="240" w:lineRule="auto"/>
        <w:rPr>
          <w:rFonts w:cstheme="minorHAnsi"/>
          <w:b/>
          <w:bCs/>
        </w:rPr>
      </w:pPr>
      <w:r w:rsidRPr="0035418A">
        <w:rPr>
          <w:rFonts w:cstheme="minorHAnsi"/>
          <w:b/>
          <w:bCs/>
        </w:rPr>
        <w:t>2</w:t>
      </w:r>
      <w:r w:rsidR="00EA5F47" w:rsidRPr="0035418A">
        <w:rPr>
          <w:rFonts w:cstheme="minorHAnsi"/>
          <w:b/>
          <w:bCs/>
        </w:rPr>
        <w:t>b</w:t>
      </w:r>
      <w:r w:rsidR="009C7513" w:rsidRPr="0035418A">
        <w:rPr>
          <w:rFonts w:cstheme="minorHAnsi"/>
          <w:b/>
          <w:bCs/>
        </w:rPr>
        <w:t>5</w:t>
      </w:r>
      <w:r w:rsidRPr="0035418A">
        <w:rPr>
          <w:rFonts w:cstheme="minorHAnsi"/>
          <w:b/>
          <w:bCs/>
        </w:rPr>
        <w:t xml:space="preserve">. COMPARABILITY OF PERFORMANCE SCORES </w:t>
      </w:r>
      <w:r w:rsidR="004C498F" w:rsidRPr="0035418A">
        <w:rPr>
          <w:rFonts w:cstheme="minorHAnsi"/>
          <w:b/>
          <w:bCs/>
        </w:rPr>
        <w:t>WHEN</w:t>
      </w:r>
      <w:r w:rsidR="002B2116" w:rsidRPr="0035418A">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35418A">
        <w:rPr>
          <w:rFonts w:cstheme="minorHAnsi"/>
          <w:b/>
          <w:bCs/>
          <w:i/>
        </w:rPr>
        <w:t xml:space="preserve">If only one set of specifications, this section can be </w:t>
      </w:r>
      <w:r w:rsidR="00BE592D" w:rsidRPr="0035418A">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15F632DA"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w:t>
      </w:r>
      <w:r w:rsidR="00B324DA">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14AC909C" w14:textId="77777777" w:rsidR="00810631"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642C54E3" w14:textId="69CF4E8D" w:rsidR="00810631" w:rsidRDefault="00810631" w:rsidP="00DB3627">
      <w:pPr>
        <w:autoSpaceDE w:val="0"/>
        <w:autoSpaceDN w:val="0"/>
        <w:adjustRightInd w:val="0"/>
        <w:spacing w:after="0" w:line="240" w:lineRule="auto"/>
        <w:rPr>
          <w:rFonts w:cstheme="minorHAnsi"/>
          <w:bCs/>
        </w:rPr>
      </w:pPr>
    </w:p>
    <w:p w14:paraId="6CD642C0" w14:textId="79A407B8" w:rsidR="002132E6" w:rsidRPr="002132E6" w:rsidRDefault="0035418A" w:rsidP="002132E6">
      <w:pPr>
        <w:autoSpaceDE w:val="0"/>
        <w:autoSpaceDN w:val="0"/>
        <w:adjustRightInd w:val="0"/>
        <w:spacing w:after="0" w:line="240" w:lineRule="auto"/>
        <w:rPr>
          <w:rFonts w:cstheme="minorHAnsi"/>
          <w:bCs/>
          <w:color w:val="7030A0"/>
        </w:rPr>
      </w:pPr>
      <w:r>
        <w:rPr>
          <w:rFonts w:cstheme="minorHAnsi"/>
          <w:bCs/>
          <w:color w:val="7030A0"/>
        </w:rPr>
        <w:t>N/A</w:t>
      </w:r>
    </w:p>
    <w:p w14:paraId="7E6DBDE5" w14:textId="77777777" w:rsidR="0035418A" w:rsidRDefault="009C7513" w:rsidP="0035418A">
      <w:pPr>
        <w:autoSpaceDE w:val="0"/>
        <w:autoSpaceDN w:val="0"/>
        <w:adjustRightInd w:val="0"/>
        <w:spacing w:before="120" w:after="12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0CABD016" w14:textId="02DED479" w:rsidR="00E1508F" w:rsidRDefault="0035418A" w:rsidP="0035418A">
      <w:pPr>
        <w:autoSpaceDE w:val="0"/>
        <w:autoSpaceDN w:val="0"/>
        <w:adjustRightInd w:val="0"/>
        <w:spacing w:before="120" w:after="120" w:line="240" w:lineRule="auto"/>
        <w:rPr>
          <w:rFonts w:cstheme="minorHAnsi"/>
          <w:bCs/>
          <w:color w:val="7030A0"/>
        </w:rPr>
      </w:pPr>
      <w:r>
        <w:rPr>
          <w:rFonts w:cstheme="minorHAnsi"/>
          <w:bCs/>
          <w:color w:val="7030A0"/>
        </w:rPr>
        <w:t>N/A</w:t>
      </w:r>
    </w:p>
    <w:p w14:paraId="6F5F4303" w14:textId="77777777" w:rsidR="00810631"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2CE00401" w14:textId="0A5E9693" w:rsidR="00810631" w:rsidRDefault="00810631" w:rsidP="00DB3627">
      <w:pPr>
        <w:autoSpaceDE w:val="0"/>
        <w:autoSpaceDN w:val="0"/>
        <w:adjustRightInd w:val="0"/>
        <w:spacing w:after="0" w:line="240" w:lineRule="auto"/>
        <w:rPr>
          <w:rFonts w:cstheme="minorHAnsi"/>
          <w:bCs/>
        </w:rPr>
      </w:pPr>
    </w:p>
    <w:p w14:paraId="69C33D26" w14:textId="636BD634" w:rsidR="002132E6" w:rsidRPr="0035418A" w:rsidRDefault="0035418A" w:rsidP="00DB3627">
      <w:pPr>
        <w:autoSpaceDE w:val="0"/>
        <w:autoSpaceDN w:val="0"/>
        <w:adjustRightInd w:val="0"/>
        <w:spacing w:after="0" w:line="240" w:lineRule="auto"/>
        <w:rPr>
          <w:rFonts w:cstheme="minorHAnsi"/>
          <w:bCs/>
          <w:color w:val="7030A0"/>
        </w:rPr>
      </w:pPr>
      <w:r>
        <w:rPr>
          <w:rFonts w:cstheme="minorHAnsi"/>
          <w:bCs/>
          <w:color w:val="7030A0"/>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B93A07E" w14:textId="77777777" w:rsidR="006044E9" w:rsidRDefault="009C7513" w:rsidP="006044E9">
      <w:pPr>
        <w:autoSpaceDE w:val="0"/>
        <w:autoSpaceDN w:val="0"/>
        <w:adjustRightInd w:val="0"/>
        <w:spacing w:before="120" w:after="12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6044E9">
        <w:rPr>
          <w:rFonts w:cstheme="minorHAnsi"/>
          <w:bCs/>
        </w:rPr>
        <w:t>)</w:t>
      </w:r>
    </w:p>
    <w:p w14:paraId="45223F15" w14:textId="2DE23EBC" w:rsidR="0035418A" w:rsidRDefault="0035418A" w:rsidP="006044E9">
      <w:pPr>
        <w:autoSpaceDE w:val="0"/>
        <w:autoSpaceDN w:val="0"/>
        <w:adjustRightInd w:val="0"/>
        <w:spacing w:before="120" w:after="120" w:line="240" w:lineRule="auto"/>
        <w:rPr>
          <w:rFonts w:eastAsia="Times New Roman" w:cstheme="minorHAnsi"/>
          <w:color w:val="7030A0"/>
        </w:rPr>
      </w:pPr>
      <w:r w:rsidRPr="00E07B70">
        <w:rPr>
          <w:rFonts w:eastAsia="Times New Roman" w:cstheme="minorHAnsi"/>
          <w:color w:val="7030A0"/>
        </w:rPr>
        <w:t xml:space="preserve">The </w:t>
      </w:r>
      <w:r>
        <w:rPr>
          <w:rFonts w:eastAsia="Times New Roman" w:cstheme="minorHAnsi"/>
          <w:color w:val="7030A0"/>
        </w:rPr>
        <w:t xml:space="preserve">CABG </w:t>
      </w:r>
      <w:r w:rsidRPr="00E07B70">
        <w:rPr>
          <w:rFonts w:eastAsia="Times New Roman" w:cstheme="minorHAnsi"/>
          <w:color w:val="7030A0"/>
        </w:rPr>
        <w:t>readmission measure used claims-based data for development and testing. There w</w:t>
      </w:r>
      <w:r w:rsidR="003971E7">
        <w:rPr>
          <w:rFonts w:eastAsia="Times New Roman" w:cstheme="minorHAnsi"/>
          <w:color w:val="7030A0"/>
        </w:rPr>
        <w:t>ere</w:t>
      </w:r>
      <w:r w:rsidRPr="00E07B70">
        <w:rPr>
          <w:rFonts w:eastAsia="Times New Roman" w:cstheme="minorHAnsi"/>
          <w:color w:val="7030A0"/>
        </w:rPr>
        <w:t xml:space="preserve"> no missing data in the development and testing data</w:t>
      </w:r>
      <w:r>
        <w:rPr>
          <w:rFonts w:eastAsia="Times New Roman" w:cstheme="minorHAnsi"/>
          <w:color w:val="7030A0"/>
        </w:rPr>
        <w:t>.</w:t>
      </w:r>
    </w:p>
    <w:p w14:paraId="0CABD01D" w14:textId="4B2CF3D7" w:rsidR="008F7E67" w:rsidRPr="002132E6" w:rsidRDefault="009C7513" w:rsidP="008F7E67">
      <w:pPr>
        <w:autoSpaceDE w:val="0"/>
        <w:autoSpaceDN w:val="0"/>
        <w:adjustRightInd w:val="0"/>
        <w:spacing w:after="0" w:line="240" w:lineRule="auto"/>
        <w:rPr>
          <w:rFonts w:cstheme="minorHAnsi"/>
          <w:bCs/>
          <w:color w:val="7030A0"/>
        </w:rPr>
      </w:pPr>
      <w:r>
        <w:rPr>
          <w:rFonts w:cstheme="minorHAnsi"/>
          <w:b/>
          <w:bCs/>
        </w:rPr>
        <w:lastRenderedPageBreak/>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CABD01E" w14:textId="27BD827A" w:rsidR="008F7E67" w:rsidRPr="002132E6" w:rsidRDefault="002132E6" w:rsidP="008F7E67">
      <w:pPr>
        <w:autoSpaceDE w:val="0"/>
        <w:autoSpaceDN w:val="0"/>
        <w:adjustRightInd w:val="0"/>
        <w:spacing w:after="0" w:line="240" w:lineRule="auto"/>
        <w:rPr>
          <w:rFonts w:cstheme="minorHAnsi"/>
          <w:bCs/>
          <w:color w:val="7030A0"/>
        </w:rPr>
      </w:pPr>
      <w:r w:rsidRPr="002132E6">
        <w:rPr>
          <w:rFonts w:cstheme="minorHAnsi"/>
          <w:bCs/>
          <w:color w:val="7030A0"/>
        </w:rPr>
        <w:t>N/A</w:t>
      </w:r>
    </w:p>
    <w:p w14:paraId="685D53CC" w14:textId="77777777" w:rsidR="002132E6" w:rsidRPr="00E1508F" w:rsidRDefault="002132E6" w:rsidP="008F7E67">
      <w:pPr>
        <w:autoSpaceDE w:val="0"/>
        <w:autoSpaceDN w:val="0"/>
        <w:adjustRightInd w:val="0"/>
        <w:spacing w:after="0" w:line="240" w:lineRule="auto"/>
        <w:rPr>
          <w:rFonts w:cstheme="minorHAnsi"/>
          <w:bCs/>
        </w:rPr>
      </w:pPr>
    </w:p>
    <w:p w14:paraId="0CABD01F" w14:textId="61627F5C"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1ABCCAC2" w14:textId="57BB4240" w:rsidR="00810631" w:rsidRDefault="00810631">
      <w:pPr>
        <w:autoSpaceDE w:val="0"/>
        <w:autoSpaceDN w:val="0"/>
        <w:adjustRightInd w:val="0"/>
        <w:spacing w:after="0" w:line="240" w:lineRule="auto"/>
        <w:rPr>
          <w:rFonts w:cstheme="minorHAnsi"/>
          <w:bCs/>
        </w:rPr>
      </w:pPr>
    </w:p>
    <w:p w14:paraId="0CABD020" w14:textId="52B8323D" w:rsidR="00BA053B" w:rsidRPr="00FF7119" w:rsidRDefault="002132E6">
      <w:pPr>
        <w:autoSpaceDE w:val="0"/>
        <w:autoSpaceDN w:val="0"/>
        <w:adjustRightInd w:val="0"/>
        <w:spacing w:after="0" w:line="240" w:lineRule="auto"/>
        <w:rPr>
          <w:rFonts w:cstheme="minorHAnsi"/>
          <w:bCs/>
          <w:color w:val="7030A0"/>
        </w:rPr>
      </w:pPr>
      <w:r w:rsidRPr="002132E6">
        <w:rPr>
          <w:rFonts w:cstheme="minorHAnsi"/>
          <w:bCs/>
          <w:color w:val="7030A0"/>
        </w:rPr>
        <w:t>N/A</w:t>
      </w:r>
    </w:p>
    <w:sectPr w:rsidR="00BA053B" w:rsidRPr="00FF7119" w:rsidSect="008505D1">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D023" w14:textId="77777777" w:rsidR="00F6040A" w:rsidRDefault="00F6040A" w:rsidP="005C73CA">
      <w:pPr>
        <w:spacing w:after="0" w:line="240" w:lineRule="auto"/>
      </w:pPr>
      <w:r>
        <w:separator/>
      </w:r>
    </w:p>
  </w:endnote>
  <w:endnote w:type="continuationSeparator" w:id="0">
    <w:p w14:paraId="0CABD024" w14:textId="77777777" w:rsidR="00F6040A" w:rsidRDefault="00F6040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DC5F60B" w:rsidR="00F6040A" w:rsidRDefault="00F6040A">
    <w:pPr>
      <w:pStyle w:val="Footer"/>
    </w:pPr>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BD021" w14:textId="77777777" w:rsidR="00F6040A" w:rsidRDefault="00F6040A" w:rsidP="005C73CA">
      <w:pPr>
        <w:spacing w:after="0" w:line="240" w:lineRule="auto"/>
      </w:pPr>
      <w:r>
        <w:separator/>
      </w:r>
    </w:p>
  </w:footnote>
  <w:footnote w:type="continuationSeparator" w:id="0">
    <w:p w14:paraId="0CABD022" w14:textId="77777777" w:rsidR="00F6040A" w:rsidRDefault="00F6040A"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F6040A" w:rsidRPr="00105D8B" w:rsidRDefault="00F6040A"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90267"/>
    <w:multiLevelType w:val="hybridMultilevel"/>
    <w:tmpl w:val="D2C0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E64E1"/>
    <w:multiLevelType w:val="hybridMultilevel"/>
    <w:tmpl w:val="D2C085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A17270"/>
    <w:multiLevelType w:val="hybridMultilevel"/>
    <w:tmpl w:val="E250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AC1FD9"/>
    <w:multiLevelType w:val="hybridMultilevel"/>
    <w:tmpl w:val="C77A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E2607A"/>
    <w:multiLevelType w:val="hybridMultilevel"/>
    <w:tmpl w:val="00120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0B666C"/>
    <w:multiLevelType w:val="hybridMultilevel"/>
    <w:tmpl w:val="030C4760"/>
    <w:lvl w:ilvl="0" w:tplc="AFE6A994">
      <w:numFmt w:val="bullet"/>
      <w:lvlText w:val="•"/>
      <w:lvlJc w:val="left"/>
      <w:pPr>
        <w:ind w:left="810" w:hanging="360"/>
      </w:pPr>
      <w:rPr>
        <w:rFonts w:ascii="Calibri" w:eastAsiaTheme="minorEastAsia" w:hAnsi="Calibri" w:cs="Calibri"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384F6C"/>
    <w:multiLevelType w:val="hybridMultilevel"/>
    <w:tmpl w:val="3B467AD6"/>
    <w:lvl w:ilvl="0" w:tplc="0409000F">
      <w:start w:val="1"/>
      <w:numFmt w:val="decimal"/>
      <w:lvlText w:val="%1."/>
      <w:lvlJc w:val="left"/>
      <w:pPr>
        <w:ind w:left="975" w:hanging="360"/>
      </w:p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6"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22D0B"/>
    <w:multiLevelType w:val="hybridMultilevel"/>
    <w:tmpl w:val="96629E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5"/>
  </w:num>
  <w:num w:numId="4">
    <w:abstractNumId w:val="9"/>
  </w:num>
  <w:num w:numId="5">
    <w:abstractNumId w:val="4"/>
  </w:num>
  <w:num w:numId="6">
    <w:abstractNumId w:val="3"/>
  </w:num>
  <w:num w:numId="7">
    <w:abstractNumId w:val="6"/>
  </w:num>
  <w:num w:numId="8">
    <w:abstractNumId w:val="26"/>
  </w:num>
  <w:num w:numId="9">
    <w:abstractNumId w:val="14"/>
  </w:num>
  <w:num w:numId="10">
    <w:abstractNumId w:val="32"/>
  </w:num>
  <w:num w:numId="11">
    <w:abstractNumId w:val="16"/>
  </w:num>
  <w:num w:numId="12">
    <w:abstractNumId w:val="30"/>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11"/>
  </w:num>
  <w:num w:numId="17">
    <w:abstractNumId w:val="31"/>
  </w:num>
  <w:num w:numId="18">
    <w:abstractNumId w:val="28"/>
  </w:num>
  <w:num w:numId="19">
    <w:abstractNumId w:val="27"/>
  </w:num>
  <w:num w:numId="20">
    <w:abstractNumId w:val="20"/>
  </w:num>
  <w:num w:numId="21">
    <w:abstractNumId w:val="25"/>
  </w:num>
  <w:num w:numId="22">
    <w:abstractNumId w:val="19"/>
  </w:num>
  <w:num w:numId="23">
    <w:abstractNumId w:val="10"/>
  </w:num>
  <w:num w:numId="24">
    <w:abstractNumId w:val="18"/>
  </w:num>
  <w:num w:numId="25">
    <w:abstractNumId w:val="17"/>
  </w:num>
  <w:num w:numId="26">
    <w:abstractNumId w:val="34"/>
  </w:num>
  <w:num w:numId="27">
    <w:abstractNumId w:val="0"/>
  </w:num>
  <w:num w:numId="28">
    <w:abstractNumId w:val="12"/>
  </w:num>
  <w:num w:numId="29">
    <w:abstractNumId w:val="22"/>
  </w:num>
  <w:num w:numId="30">
    <w:abstractNumId w:val="37"/>
  </w:num>
  <w:num w:numId="31">
    <w:abstractNumId w:val="29"/>
  </w:num>
  <w:num w:numId="32">
    <w:abstractNumId w:val="13"/>
  </w:num>
  <w:num w:numId="33">
    <w:abstractNumId w:val="8"/>
  </w:num>
  <w:num w:numId="34">
    <w:abstractNumId w:val="1"/>
  </w:num>
  <w:num w:numId="35">
    <w:abstractNumId w:val="21"/>
  </w:num>
  <w:num w:numId="36">
    <w:abstractNumId w:val="35"/>
  </w:num>
  <w:num w:numId="37">
    <w:abstractNumId w:val="2"/>
  </w:num>
  <w:num w:numId="38">
    <w:abstractNumId w:val="33"/>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3AF"/>
    <w:rsid w:val="00033D63"/>
    <w:rsid w:val="0003436F"/>
    <w:rsid w:val="00034A8A"/>
    <w:rsid w:val="000414E8"/>
    <w:rsid w:val="00042E5D"/>
    <w:rsid w:val="0004593A"/>
    <w:rsid w:val="00050A3E"/>
    <w:rsid w:val="00052A6F"/>
    <w:rsid w:val="00053F02"/>
    <w:rsid w:val="0005612B"/>
    <w:rsid w:val="000574AB"/>
    <w:rsid w:val="0006147A"/>
    <w:rsid w:val="0006234F"/>
    <w:rsid w:val="00065406"/>
    <w:rsid w:val="000775F8"/>
    <w:rsid w:val="00080CF7"/>
    <w:rsid w:val="000851B2"/>
    <w:rsid w:val="00092566"/>
    <w:rsid w:val="00096177"/>
    <w:rsid w:val="000968F8"/>
    <w:rsid w:val="00097012"/>
    <w:rsid w:val="000A5029"/>
    <w:rsid w:val="000B032A"/>
    <w:rsid w:val="000B2DF7"/>
    <w:rsid w:val="000B3880"/>
    <w:rsid w:val="000B561F"/>
    <w:rsid w:val="000B7D57"/>
    <w:rsid w:val="000C036D"/>
    <w:rsid w:val="000C06DA"/>
    <w:rsid w:val="000C0FF8"/>
    <w:rsid w:val="000C532B"/>
    <w:rsid w:val="000D0261"/>
    <w:rsid w:val="000D0BFB"/>
    <w:rsid w:val="000D2722"/>
    <w:rsid w:val="000D7948"/>
    <w:rsid w:val="000D7C84"/>
    <w:rsid w:val="000E4E13"/>
    <w:rsid w:val="000E6612"/>
    <w:rsid w:val="000E78F6"/>
    <w:rsid w:val="000F034A"/>
    <w:rsid w:val="000F06B5"/>
    <w:rsid w:val="000F0FF0"/>
    <w:rsid w:val="000F1B7A"/>
    <w:rsid w:val="000F39E9"/>
    <w:rsid w:val="00100F42"/>
    <w:rsid w:val="00104B45"/>
    <w:rsid w:val="00105D8B"/>
    <w:rsid w:val="0011342F"/>
    <w:rsid w:val="001202E9"/>
    <w:rsid w:val="0012454F"/>
    <w:rsid w:val="00125273"/>
    <w:rsid w:val="0012575E"/>
    <w:rsid w:val="00127C06"/>
    <w:rsid w:val="00145149"/>
    <w:rsid w:val="00145D4F"/>
    <w:rsid w:val="0014773C"/>
    <w:rsid w:val="0015204F"/>
    <w:rsid w:val="0017696D"/>
    <w:rsid w:val="001848FC"/>
    <w:rsid w:val="00193F21"/>
    <w:rsid w:val="001969C5"/>
    <w:rsid w:val="001A0BD3"/>
    <w:rsid w:val="001A1F9A"/>
    <w:rsid w:val="001A3F18"/>
    <w:rsid w:val="001A6CDD"/>
    <w:rsid w:val="001A7EBA"/>
    <w:rsid w:val="001B3019"/>
    <w:rsid w:val="001B324F"/>
    <w:rsid w:val="001B38EE"/>
    <w:rsid w:val="001C12EE"/>
    <w:rsid w:val="001C24BA"/>
    <w:rsid w:val="001C3D38"/>
    <w:rsid w:val="001C655C"/>
    <w:rsid w:val="001C7B02"/>
    <w:rsid w:val="001E4DD4"/>
    <w:rsid w:val="001E69DC"/>
    <w:rsid w:val="001F169D"/>
    <w:rsid w:val="001F1DA1"/>
    <w:rsid w:val="001F25AB"/>
    <w:rsid w:val="001F6F93"/>
    <w:rsid w:val="001F7A20"/>
    <w:rsid w:val="0021054A"/>
    <w:rsid w:val="002116D8"/>
    <w:rsid w:val="0021195A"/>
    <w:rsid w:val="002132E6"/>
    <w:rsid w:val="00213383"/>
    <w:rsid w:val="00220250"/>
    <w:rsid w:val="00222444"/>
    <w:rsid w:val="0022691B"/>
    <w:rsid w:val="00232163"/>
    <w:rsid w:val="002376F8"/>
    <w:rsid w:val="002408E4"/>
    <w:rsid w:val="00241591"/>
    <w:rsid w:val="00250A87"/>
    <w:rsid w:val="00250B4F"/>
    <w:rsid w:val="0025573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2F7A92"/>
    <w:rsid w:val="00304C86"/>
    <w:rsid w:val="003059EB"/>
    <w:rsid w:val="003116AC"/>
    <w:rsid w:val="00313512"/>
    <w:rsid w:val="00315561"/>
    <w:rsid w:val="00315567"/>
    <w:rsid w:val="00330144"/>
    <w:rsid w:val="00330FC6"/>
    <w:rsid w:val="00334329"/>
    <w:rsid w:val="0033493C"/>
    <w:rsid w:val="00345CBA"/>
    <w:rsid w:val="00346245"/>
    <w:rsid w:val="00350116"/>
    <w:rsid w:val="0035418A"/>
    <w:rsid w:val="00356267"/>
    <w:rsid w:val="00356BAD"/>
    <w:rsid w:val="003605B4"/>
    <w:rsid w:val="003627AC"/>
    <w:rsid w:val="00363B98"/>
    <w:rsid w:val="00366914"/>
    <w:rsid w:val="00372FE3"/>
    <w:rsid w:val="00373922"/>
    <w:rsid w:val="003755CB"/>
    <w:rsid w:val="003756CB"/>
    <w:rsid w:val="00383F85"/>
    <w:rsid w:val="00387BA1"/>
    <w:rsid w:val="003971E7"/>
    <w:rsid w:val="003A306C"/>
    <w:rsid w:val="003A7DE7"/>
    <w:rsid w:val="003B1006"/>
    <w:rsid w:val="003C10FC"/>
    <w:rsid w:val="003C292C"/>
    <w:rsid w:val="003C5F11"/>
    <w:rsid w:val="003D294B"/>
    <w:rsid w:val="003D5953"/>
    <w:rsid w:val="003D6401"/>
    <w:rsid w:val="003E1863"/>
    <w:rsid w:val="003F3B83"/>
    <w:rsid w:val="003F792D"/>
    <w:rsid w:val="00404B06"/>
    <w:rsid w:val="00410283"/>
    <w:rsid w:val="0041606D"/>
    <w:rsid w:val="00416962"/>
    <w:rsid w:val="004206A8"/>
    <w:rsid w:val="00422DF9"/>
    <w:rsid w:val="00427510"/>
    <w:rsid w:val="004348CC"/>
    <w:rsid w:val="0044494A"/>
    <w:rsid w:val="00450C58"/>
    <w:rsid w:val="0046316E"/>
    <w:rsid w:val="004658FF"/>
    <w:rsid w:val="00471D9D"/>
    <w:rsid w:val="00474ED7"/>
    <w:rsid w:val="004756E1"/>
    <w:rsid w:val="00477880"/>
    <w:rsid w:val="0048008A"/>
    <w:rsid w:val="00483E94"/>
    <w:rsid w:val="00484120"/>
    <w:rsid w:val="004853A0"/>
    <w:rsid w:val="004915B2"/>
    <w:rsid w:val="00496B5F"/>
    <w:rsid w:val="004A2E10"/>
    <w:rsid w:val="004A50C9"/>
    <w:rsid w:val="004B17FF"/>
    <w:rsid w:val="004B1BA0"/>
    <w:rsid w:val="004B6CEE"/>
    <w:rsid w:val="004C0D90"/>
    <w:rsid w:val="004C2443"/>
    <w:rsid w:val="004C498F"/>
    <w:rsid w:val="004C5D29"/>
    <w:rsid w:val="004C681A"/>
    <w:rsid w:val="004D4D8A"/>
    <w:rsid w:val="004D512C"/>
    <w:rsid w:val="004F68EE"/>
    <w:rsid w:val="005038D5"/>
    <w:rsid w:val="00511BA4"/>
    <w:rsid w:val="005149E7"/>
    <w:rsid w:val="005232D6"/>
    <w:rsid w:val="00525909"/>
    <w:rsid w:val="00532017"/>
    <w:rsid w:val="005333CC"/>
    <w:rsid w:val="005335E0"/>
    <w:rsid w:val="005363F1"/>
    <w:rsid w:val="00537C1B"/>
    <w:rsid w:val="00547354"/>
    <w:rsid w:val="0055007C"/>
    <w:rsid w:val="00554922"/>
    <w:rsid w:val="00555282"/>
    <w:rsid w:val="005560E7"/>
    <w:rsid w:val="005612CC"/>
    <w:rsid w:val="005621DE"/>
    <w:rsid w:val="00563029"/>
    <w:rsid w:val="00567D12"/>
    <w:rsid w:val="00576062"/>
    <w:rsid w:val="00593748"/>
    <w:rsid w:val="0059559F"/>
    <w:rsid w:val="005A49FF"/>
    <w:rsid w:val="005A7634"/>
    <w:rsid w:val="005B6F04"/>
    <w:rsid w:val="005C0447"/>
    <w:rsid w:val="005C739F"/>
    <w:rsid w:val="005C73CA"/>
    <w:rsid w:val="005D4768"/>
    <w:rsid w:val="005E2CAB"/>
    <w:rsid w:val="005E429E"/>
    <w:rsid w:val="00601ED4"/>
    <w:rsid w:val="006030BC"/>
    <w:rsid w:val="006044E9"/>
    <w:rsid w:val="00612866"/>
    <w:rsid w:val="00616EB5"/>
    <w:rsid w:val="00625311"/>
    <w:rsid w:val="006269D4"/>
    <w:rsid w:val="006327D8"/>
    <w:rsid w:val="00635920"/>
    <w:rsid w:val="00637994"/>
    <w:rsid w:val="0064070A"/>
    <w:rsid w:val="00643A01"/>
    <w:rsid w:val="00651D44"/>
    <w:rsid w:val="006574D2"/>
    <w:rsid w:val="00663563"/>
    <w:rsid w:val="006676D4"/>
    <w:rsid w:val="00675535"/>
    <w:rsid w:val="00681359"/>
    <w:rsid w:val="00681667"/>
    <w:rsid w:val="0069157C"/>
    <w:rsid w:val="00696262"/>
    <w:rsid w:val="006B02F4"/>
    <w:rsid w:val="006C3A4F"/>
    <w:rsid w:val="006C4845"/>
    <w:rsid w:val="006D1713"/>
    <w:rsid w:val="006D6BC1"/>
    <w:rsid w:val="006E0BFF"/>
    <w:rsid w:val="006E2BFC"/>
    <w:rsid w:val="006E5C57"/>
    <w:rsid w:val="006F22A5"/>
    <w:rsid w:val="00702C73"/>
    <w:rsid w:val="00704514"/>
    <w:rsid w:val="00710A04"/>
    <w:rsid w:val="00713394"/>
    <w:rsid w:val="00724677"/>
    <w:rsid w:val="00725AC2"/>
    <w:rsid w:val="00727B05"/>
    <w:rsid w:val="00732880"/>
    <w:rsid w:val="00735A26"/>
    <w:rsid w:val="007416B9"/>
    <w:rsid w:val="007422FD"/>
    <w:rsid w:val="00743E46"/>
    <w:rsid w:val="00747C45"/>
    <w:rsid w:val="00753305"/>
    <w:rsid w:val="00756FDB"/>
    <w:rsid w:val="007629B6"/>
    <w:rsid w:val="007665BF"/>
    <w:rsid w:val="00771B2A"/>
    <w:rsid w:val="007757CE"/>
    <w:rsid w:val="00775800"/>
    <w:rsid w:val="0077796B"/>
    <w:rsid w:val="0078505F"/>
    <w:rsid w:val="0079180E"/>
    <w:rsid w:val="007950CC"/>
    <w:rsid w:val="0079538B"/>
    <w:rsid w:val="007961B8"/>
    <w:rsid w:val="0079733D"/>
    <w:rsid w:val="00797624"/>
    <w:rsid w:val="007A4828"/>
    <w:rsid w:val="007B093D"/>
    <w:rsid w:val="007B2069"/>
    <w:rsid w:val="007C04A1"/>
    <w:rsid w:val="007C0E4E"/>
    <w:rsid w:val="007C21FA"/>
    <w:rsid w:val="007C7C9E"/>
    <w:rsid w:val="007D13B1"/>
    <w:rsid w:val="007D4351"/>
    <w:rsid w:val="007D7019"/>
    <w:rsid w:val="007E18DB"/>
    <w:rsid w:val="007E5251"/>
    <w:rsid w:val="007E6F1C"/>
    <w:rsid w:val="00804C69"/>
    <w:rsid w:val="0080711D"/>
    <w:rsid w:val="00810631"/>
    <w:rsid w:val="008155CD"/>
    <w:rsid w:val="00833325"/>
    <w:rsid w:val="00833464"/>
    <w:rsid w:val="00840A41"/>
    <w:rsid w:val="00842F3C"/>
    <w:rsid w:val="008458B8"/>
    <w:rsid w:val="008505D1"/>
    <w:rsid w:val="00852C9C"/>
    <w:rsid w:val="00855158"/>
    <w:rsid w:val="00857EE8"/>
    <w:rsid w:val="0086464B"/>
    <w:rsid w:val="008647FC"/>
    <w:rsid w:val="00864CA8"/>
    <w:rsid w:val="00865E2D"/>
    <w:rsid w:val="00870E6C"/>
    <w:rsid w:val="008715C3"/>
    <w:rsid w:val="00875846"/>
    <w:rsid w:val="00884486"/>
    <w:rsid w:val="008871A9"/>
    <w:rsid w:val="008916BA"/>
    <w:rsid w:val="00892176"/>
    <w:rsid w:val="00895D2A"/>
    <w:rsid w:val="008A1DB7"/>
    <w:rsid w:val="008A403A"/>
    <w:rsid w:val="008A4C13"/>
    <w:rsid w:val="008B4DDE"/>
    <w:rsid w:val="008B604D"/>
    <w:rsid w:val="008C54A9"/>
    <w:rsid w:val="008C793A"/>
    <w:rsid w:val="008E0FE8"/>
    <w:rsid w:val="008E2732"/>
    <w:rsid w:val="008E67C3"/>
    <w:rsid w:val="008F589F"/>
    <w:rsid w:val="008F76A9"/>
    <w:rsid w:val="008F7E67"/>
    <w:rsid w:val="00900DBF"/>
    <w:rsid w:val="009026A4"/>
    <w:rsid w:val="009048B9"/>
    <w:rsid w:val="00904E91"/>
    <w:rsid w:val="00915886"/>
    <w:rsid w:val="009214DC"/>
    <w:rsid w:val="00927027"/>
    <w:rsid w:val="009344BA"/>
    <w:rsid w:val="00946E61"/>
    <w:rsid w:val="00947F78"/>
    <w:rsid w:val="00953234"/>
    <w:rsid w:val="0095651C"/>
    <w:rsid w:val="00961EAF"/>
    <w:rsid w:val="0096278F"/>
    <w:rsid w:val="009726E1"/>
    <w:rsid w:val="00972A04"/>
    <w:rsid w:val="00977591"/>
    <w:rsid w:val="00980E75"/>
    <w:rsid w:val="00994BE0"/>
    <w:rsid w:val="009A25B1"/>
    <w:rsid w:val="009A4608"/>
    <w:rsid w:val="009A6A57"/>
    <w:rsid w:val="009A70BF"/>
    <w:rsid w:val="009B1A15"/>
    <w:rsid w:val="009B4949"/>
    <w:rsid w:val="009B5B49"/>
    <w:rsid w:val="009C0852"/>
    <w:rsid w:val="009C13CA"/>
    <w:rsid w:val="009C32C6"/>
    <w:rsid w:val="009C50E7"/>
    <w:rsid w:val="009C665F"/>
    <w:rsid w:val="009C7513"/>
    <w:rsid w:val="009D3882"/>
    <w:rsid w:val="009D7E38"/>
    <w:rsid w:val="009E095B"/>
    <w:rsid w:val="009E1846"/>
    <w:rsid w:val="009E2856"/>
    <w:rsid w:val="009E2ACA"/>
    <w:rsid w:val="009E786D"/>
    <w:rsid w:val="009E78FF"/>
    <w:rsid w:val="009F3B9B"/>
    <w:rsid w:val="00A01494"/>
    <w:rsid w:val="00A1368F"/>
    <w:rsid w:val="00A22FA9"/>
    <w:rsid w:val="00A25024"/>
    <w:rsid w:val="00A329B6"/>
    <w:rsid w:val="00A35F8F"/>
    <w:rsid w:val="00A41377"/>
    <w:rsid w:val="00A4263D"/>
    <w:rsid w:val="00A509B8"/>
    <w:rsid w:val="00A52AB9"/>
    <w:rsid w:val="00A55A73"/>
    <w:rsid w:val="00A6210B"/>
    <w:rsid w:val="00A64EBF"/>
    <w:rsid w:val="00A704AB"/>
    <w:rsid w:val="00A71200"/>
    <w:rsid w:val="00A7323A"/>
    <w:rsid w:val="00A774B1"/>
    <w:rsid w:val="00A831B4"/>
    <w:rsid w:val="00A914F3"/>
    <w:rsid w:val="00A97798"/>
    <w:rsid w:val="00AA5213"/>
    <w:rsid w:val="00AA5442"/>
    <w:rsid w:val="00AA65A6"/>
    <w:rsid w:val="00AC1D8E"/>
    <w:rsid w:val="00AC48FA"/>
    <w:rsid w:val="00AD0240"/>
    <w:rsid w:val="00AD4137"/>
    <w:rsid w:val="00AF2D68"/>
    <w:rsid w:val="00B037BA"/>
    <w:rsid w:val="00B14C25"/>
    <w:rsid w:val="00B20139"/>
    <w:rsid w:val="00B218DA"/>
    <w:rsid w:val="00B324DA"/>
    <w:rsid w:val="00B342FA"/>
    <w:rsid w:val="00B53E8B"/>
    <w:rsid w:val="00B56F40"/>
    <w:rsid w:val="00B66B6B"/>
    <w:rsid w:val="00B7404B"/>
    <w:rsid w:val="00B741B4"/>
    <w:rsid w:val="00B7458F"/>
    <w:rsid w:val="00B774D2"/>
    <w:rsid w:val="00B8015A"/>
    <w:rsid w:val="00B82A57"/>
    <w:rsid w:val="00B9438A"/>
    <w:rsid w:val="00BA053B"/>
    <w:rsid w:val="00BB35AE"/>
    <w:rsid w:val="00BC03A1"/>
    <w:rsid w:val="00BC0D25"/>
    <w:rsid w:val="00BD2505"/>
    <w:rsid w:val="00BD2818"/>
    <w:rsid w:val="00BE40B3"/>
    <w:rsid w:val="00BE592D"/>
    <w:rsid w:val="00BF0127"/>
    <w:rsid w:val="00BF52B0"/>
    <w:rsid w:val="00BF5697"/>
    <w:rsid w:val="00C014CE"/>
    <w:rsid w:val="00C13CE3"/>
    <w:rsid w:val="00C14B5A"/>
    <w:rsid w:val="00C14CCC"/>
    <w:rsid w:val="00C1516D"/>
    <w:rsid w:val="00C16607"/>
    <w:rsid w:val="00C1695E"/>
    <w:rsid w:val="00C20652"/>
    <w:rsid w:val="00C22C1C"/>
    <w:rsid w:val="00C33F2E"/>
    <w:rsid w:val="00C34936"/>
    <w:rsid w:val="00C34C14"/>
    <w:rsid w:val="00C355B9"/>
    <w:rsid w:val="00C369FD"/>
    <w:rsid w:val="00C37EF1"/>
    <w:rsid w:val="00C401C4"/>
    <w:rsid w:val="00C41680"/>
    <w:rsid w:val="00C47BE0"/>
    <w:rsid w:val="00C57258"/>
    <w:rsid w:val="00C60A25"/>
    <w:rsid w:val="00C7399B"/>
    <w:rsid w:val="00C765C5"/>
    <w:rsid w:val="00C775CE"/>
    <w:rsid w:val="00C82479"/>
    <w:rsid w:val="00C867F0"/>
    <w:rsid w:val="00C869BA"/>
    <w:rsid w:val="00C86C06"/>
    <w:rsid w:val="00CA06D8"/>
    <w:rsid w:val="00CA345A"/>
    <w:rsid w:val="00CA618E"/>
    <w:rsid w:val="00CA638B"/>
    <w:rsid w:val="00CB00F3"/>
    <w:rsid w:val="00CB49FF"/>
    <w:rsid w:val="00CB6368"/>
    <w:rsid w:val="00CB77BA"/>
    <w:rsid w:val="00CC02CF"/>
    <w:rsid w:val="00CC086A"/>
    <w:rsid w:val="00CC5A63"/>
    <w:rsid w:val="00CD0E24"/>
    <w:rsid w:val="00CD0F66"/>
    <w:rsid w:val="00CD364B"/>
    <w:rsid w:val="00CE23B8"/>
    <w:rsid w:val="00CE284E"/>
    <w:rsid w:val="00CE50D7"/>
    <w:rsid w:val="00CF2527"/>
    <w:rsid w:val="00CF3C5D"/>
    <w:rsid w:val="00CF4CBE"/>
    <w:rsid w:val="00D00344"/>
    <w:rsid w:val="00D169A1"/>
    <w:rsid w:val="00D1754D"/>
    <w:rsid w:val="00D2223F"/>
    <w:rsid w:val="00D274A4"/>
    <w:rsid w:val="00D277AF"/>
    <w:rsid w:val="00D31163"/>
    <w:rsid w:val="00D320B1"/>
    <w:rsid w:val="00D33AFD"/>
    <w:rsid w:val="00D35722"/>
    <w:rsid w:val="00D36489"/>
    <w:rsid w:val="00D369E9"/>
    <w:rsid w:val="00D42195"/>
    <w:rsid w:val="00D50704"/>
    <w:rsid w:val="00D55D26"/>
    <w:rsid w:val="00D5760A"/>
    <w:rsid w:val="00D61410"/>
    <w:rsid w:val="00D8181D"/>
    <w:rsid w:val="00D968D8"/>
    <w:rsid w:val="00DA0C3A"/>
    <w:rsid w:val="00DA2520"/>
    <w:rsid w:val="00DA563D"/>
    <w:rsid w:val="00DA7277"/>
    <w:rsid w:val="00DB3627"/>
    <w:rsid w:val="00DB4724"/>
    <w:rsid w:val="00DB6944"/>
    <w:rsid w:val="00DB6FB7"/>
    <w:rsid w:val="00DC4746"/>
    <w:rsid w:val="00DD1294"/>
    <w:rsid w:val="00DE708D"/>
    <w:rsid w:val="00DE7149"/>
    <w:rsid w:val="00E022B3"/>
    <w:rsid w:val="00E028EC"/>
    <w:rsid w:val="00E0314C"/>
    <w:rsid w:val="00E1127C"/>
    <w:rsid w:val="00E14079"/>
    <w:rsid w:val="00E1508F"/>
    <w:rsid w:val="00E22458"/>
    <w:rsid w:val="00E23410"/>
    <w:rsid w:val="00E261DF"/>
    <w:rsid w:val="00E27240"/>
    <w:rsid w:val="00E27EDD"/>
    <w:rsid w:val="00E30584"/>
    <w:rsid w:val="00E310B9"/>
    <w:rsid w:val="00E34807"/>
    <w:rsid w:val="00E37E1B"/>
    <w:rsid w:val="00E51538"/>
    <w:rsid w:val="00E562C0"/>
    <w:rsid w:val="00E57FAF"/>
    <w:rsid w:val="00E6062F"/>
    <w:rsid w:val="00E672D6"/>
    <w:rsid w:val="00E75463"/>
    <w:rsid w:val="00E76024"/>
    <w:rsid w:val="00E856A2"/>
    <w:rsid w:val="00E967AD"/>
    <w:rsid w:val="00E96884"/>
    <w:rsid w:val="00E97340"/>
    <w:rsid w:val="00EA5435"/>
    <w:rsid w:val="00EA5F47"/>
    <w:rsid w:val="00EB455E"/>
    <w:rsid w:val="00EB4DAF"/>
    <w:rsid w:val="00EC1BBB"/>
    <w:rsid w:val="00EC5527"/>
    <w:rsid w:val="00EC79DE"/>
    <w:rsid w:val="00ED4ACE"/>
    <w:rsid w:val="00EE1727"/>
    <w:rsid w:val="00EE4D35"/>
    <w:rsid w:val="00EF2DA7"/>
    <w:rsid w:val="00F05D65"/>
    <w:rsid w:val="00F1412B"/>
    <w:rsid w:val="00F15BFA"/>
    <w:rsid w:val="00F17001"/>
    <w:rsid w:val="00F2379A"/>
    <w:rsid w:val="00F27237"/>
    <w:rsid w:val="00F32721"/>
    <w:rsid w:val="00F34FAB"/>
    <w:rsid w:val="00F40F7C"/>
    <w:rsid w:val="00F42F73"/>
    <w:rsid w:val="00F435AA"/>
    <w:rsid w:val="00F52BE7"/>
    <w:rsid w:val="00F5738A"/>
    <w:rsid w:val="00F6040A"/>
    <w:rsid w:val="00F612D4"/>
    <w:rsid w:val="00F7389E"/>
    <w:rsid w:val="00F77F1D"/>
    <w:rsid w:val="00F832B4"/>
    <w:rsid w:val="00F87CCB"/>
    <w:rsid w:val="00F87E73"/>
    <w:rsid w:val="00FA48C7"/>
    <w:rsid w:val="00FB51FB"/>
    <w:rsid w:val="00FB73C1"/>
    <w:rsid w:val="00FC2FFE"/>
    <w:rsid w:val="00FD603D"/>
    <w:rsid w:val="00FF6ED6"/>
    <w:rsid w:val="00FF71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601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CM23">
    <w:name w:val="CM23"/>
    <w:basedOn w:val="Normal"/>
    <w:next w:val="Normal"/>
    <w:uiPriority w:val="99"/>
    <w:rsid w:val="00810631"/>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paragraph" w:styleId="BodyText2">
    <w:name w:val="Body Text 2"/>
    <w:basedOn w:val="Normal"/>
    <w:link w:val="BodyText2Char"/>
    <w:uiPriority w:val="99"/>
    <w:rsid w:val="00810631"/>
    <w:pPr>
      <w:spacing w:after="0" w:line="240" w:lineRule="auto"/>
    </w:pPr>
    <w:rPr>
      <w:rFonts w:ascii="Times New Roman" w:eastAsia="SimSun" w:hAnsi="Times New Roman" w:cs="Times New Roman"/>
      <w:color w:val="FF0000"/>
      <w:sz w:val="24"/>
      <w:szCs w:val="24"/>
    </w:rPr>
  </w:style>
  <w:style w:type="character" w:customStyle="1" w:styleId="BodyText2Char">
    <w:name w:val="Body Text 2 Char"/>
    <w:basedOn w:val="DefaultParagraphFont"/>
    <w:link w:val="BodyText2"/>
    <w:uiPriority w:val="99"/>
    <w:rsid w:val="00810631"/>
    <w:rPr>
      <w:rFonts w:ascii="Times New Roman" w:eastAsia="SimSun" w:hAnsi="Times New Roman" w:cs="Times New Roman"/>
      <w:color w:val="FF0000"/>
      <w:sz w:val="24"/>
      <w:szCs w:val="24"/>
    </w:rPr>
  </w:style>
  <w:style w:type="table" w:customStyle="1" w:styleId="ListTable3-Accent112">
    <w:name w:val="List Table 3 - Accent 112"/>
    <w:basedOn w:val="TableNormal"/>
    <w:next w:val="TableNormal"/>
    <w:uiPriority w:val="48"/>
    <w:rsid w:val="003C292C"/>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Default">
    <w:name w:val="Default"/>
    <w:rsid w:val="003756CB"/>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A914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8478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7879026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image" Target="media/image1.png"/><Relationship Id="rId26" Type="http://schemas.openxmlformats.org/officeDocument/2006/relationships/hyperlink" Target="http://www.qualityforum.org/Publications/2014/08/Risk_Adjustment_for_Socioeconomic_Status_or_Other_Sociodemographic_Factors.aspx" TargetMode="External"/><Relationship Id="rId3" Type="http://schemas.openxmlformats.org/officeDocument/2006/relationships/customXml" Target="../customXml/item3.xml"/><Relationship Id="rId21" Type="http://schemas.openxmlformats.org/officeDocument/2006/relationships/hyperlink" Target="https://aspe.hhs.gov/pdf-report/report-congress-social-risk-factors-and-performance-under-medicares-value-based-purchasing-programs"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hyperlink" Target="https://aspe.hhs.gov/system/files/pdf/263676/Social-Risk-in-Medicare%E2%80%99s-VBP-2nd-Report.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qualitynet.org/inpatient/public-reporting/overall-ratings/resources" TargetMode="External"/><Relationship Id="rId20" Type="http://schemas.openxmlformats.org/officeDocument/2006/relationships/hyperlink" Target="https://www.qualitynet.org/files/5d0d37dd764be766b0101c74?filename=CABG_Mort_MeasMethd_Rpt_080114.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qualitynet.org/inpatient/measures/readmission/methodology" TargetMode="External"/><Relationship Id="rId23" Type="http://schemas.openxmlformats.org/officeDocument/2006/relationships/image" Target="media/image3.png"/><Relationship Id="rId28"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system/files/pdf/263676/Social-Risk-in-Medicare%E2%80%99s-VBP-2nd-Report.pdf" TargetMode="External"/><Relationship Id="rId22" Type="http://schemas.openxmlformats.org/officeDocument/2006/relationships/hyperlink" Target="https://aspe.hhs.gov/system/files/pdf/263676/Social-Risk-in-Medicare%E2%80%99s-VBP-2nd-Report.pdf" TargetMode="External"/><Relationship Id="rId27" Type="http://schemas.openxmlformats.org/officeDocument/2006/relationships/image" Target="media/image5.emf"/><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3C93701F14C94C97B9A7490B0593EAFC"/>
        <w:category>
          <w:name w:val="General"/>
          <w:gallery w:val="placeholder"/>
        </w:category>
        <w:types>
          <w:type w:val="bbPlcHdr"/>
        </w:types>
        <w:behaviors>
          <w:behavior w:val="content"/>
        </w:behaviors>
        <w:guid w:val="{B88126E1-49B7-4574-ADDC-D31CE09AE83A}"/>
      </w:docPartPr>
      <w:docPartBody>
        <w:p w:rsidR="00CE40D1" w:rsidRDefault="00955E35" w:rsidP="00955E35">
          <w:pPr>
            <w:pStyle w:val="3C93701F14C94C97B9A7490B0593EAFC"/>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190D2E"/>
    <w:rsid w:val="00223FA3"/>
    <w:rsid w:val="002A288F"/>
    <w:rsid w:val="002C65A7"/>
    <w:rsid w:val="002F052A"/>
    <w:rsid w:val="00344E51"/>
    <w:rsid w:val="00350176"/>
    <w:rsid w:val="003840F0"/>
    <w:rsid w:val="003E23A8"/>
    <w:rsid w:val="00437537"/>
    <w:rsid w:val="00456921"/>
    <w:rsid w:val="004D785E"/>
    <w:rsid w:val="00513FC9"/>
    <w:rsid w:val="0053654E"/>
    <w:rsid w:val="00602B8B"/>
    <w:rsid w:val="00610196"/>
    <w:rsid w:val="00632A7E"/>
    <w:rsid w:val="00632AB6"/>
    <w:rsid w:val="00730B33"/>
    <w:rsid w:val="00770DC3"/>
    <w:rsid w:val="00772B2A"/>
    <w:rsid w:val="007C672A"/>
    <w:rsid w:val="007D4368"/>
    <w:rsid w:val="00822666"/>
    <w:rsid w:val="00823ECC"/>
    <w:rsid w:val="00826796"/>
    <w:rsid w:val="00866C97"/>
    <w:rsid w:val="009017AE"/>
    <w:rsid w:val="00917326"/>
    <w:rsid w:val="00955E35"/>
    <w:rsid w:val="00977E24"/>
    <w:rsid w:val="009C542D"/>
    <w:rsid w:val="009D241D"/>
    <w:rsid w:val="00A01A18"/>
    <w:rsid w:val="00A36F9E"/>
    <w:rsid w:val="00A95183"/>
    <w:rsid w:val="00AB4AF7"/>
    <w:rsid w:val="00AD7C4F"/>
    <w:rsid w:val="00B445F5"/>
    <w:rsid w:val="00BD40CB"/>
    <w:rsid w:val="00C362A2"/>
    <w:rsid w:val="00C52C12"/>
    <w:rsid w:val="00C90121"/>
    <w:rsid w:val="00C96E73"/>
    <w:rsid w:val="00CA1FE8"/>
    <w:rsid w:val="00CA344F"/>
    <w:rsid w:val="00CE40D1"/>
    <w:rsid w:val="00D13AA9"/>
    <w:rsid w:val="00D1676E"/>
    <w:rsid w:val="00DC0246"/>
    <w:rsid w:val="00E50E69"/>
    <w:rsid w:val="00E6518A"/>
    <w:rsid w:val="00F03E61"/>
    <w:rsid w:val="00F25775"/>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5E3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3C93701F14C94C97B9A7490B0593EAFC">
    <w:name w:val="3C93701F14C94C97B9A7490B0593EAFC"/>
    <w:rsid w:val="00955E3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D527D894-931E-488C-B5CD-EE0721E7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42</Pages>
  <Words>16970</Words>
  <Characters>96734</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Sigler, Anna</cp:lastModifiedBy>
  <cp:revision>7</cp:revision>
  <dcterms:created xsi:type="dcterms:W3CDTF">2020-11-02T18:18:00Z</dcterms:created>
  <dcterms:modified xsi:type="dcterms:W3CDTF">2020-11-25T18:18:00Z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