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2C4B899"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8F47FC">
            <w:rPr>
              <w:rStyle w:val="Style1"/>
            </w:rPr>
            <w:t>2548</w:t>
          </w:r>
        </w:sdtContent>
      </w:sdt>
    </w:p>
    <w:p w14:paraId="55B8DA2F" w14:textId="11E1FCFE"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Style1"/>
          </w:rPr>
        </w:sdtEndPr>
        <w:sdtContent>
          <w:r w:rsidR="00FC4E07" w:rsidRPr="00FC4E07">
            <w:rPr>
              <w:rStyle w:val="Style1"/>
            </w:rPr>
            <w:t>Child Hospital Consumer Assessment of Healthcare Providers and Systems (Child HCAHPS) Survey</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1490FF8"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4-09T00:00:00Z">
            <w:dateFormat w:val="M/d/yyyy"/>
            <w:lid w:val="en-US"/>
            <w:storeMappedDataAs w:val="dateTime"/>
            <w:calendar w:val="gregorian"/>
          </w:date>
        </w:sdtPr>
        <w:sdtEndPr>
          <w:rPr>
            <w:rStyle w:val="DefaultParagraphFont"/>
            <w:noProof/>
            <w:color w:val="auto"/>
            <w:u w:val="none"/>
          </w:rPr>
        </w:sdtEndPr>
        <w:sdtContent>
          <w:r w:rsidR="00313286">
            <w:rPr>
              <w:rStyle w:val="Style2"/>
            </w:rPr>
            <w:t>4/9/2019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30EC09EB"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EE2E2A">
        <w:trPr>
          <w:jc w:val="center"/>
        </w:trPr>
        <w:tc>
          <w:tcPr>
            <w:tcW w:w="10534" w:type="dxa"/>
          </w:tcPr>
          <w:p w14:paraId="55B8DA3E" w14:textId="5D2977EC" w:rsidR="008B652E" w:rsidRPr="00EE2E2A" w:rsidRDefault="007573F0" w:rsidP="008B652E">
            <w:pPr>
              <w:ind w:left="0" w:firstLine="0"/>
              <w:rPr>
                <w:sz w:val="20"/>
              </w:rPr>
            </w:pPr>
            <w:r w:rsidRPr="00EE2E2A">
              <w:rPr>
                <w:b/>
                <w:sz w:val="20"/>
                <w:u w:val="single"/>
              </w:rPr>
              <w:t>Note</w:t>
            </w:r>
            <w:r w:rsidRPr="00EE2E2A">
              <w:rPr>
                <w:b/>
                <w:sz w:val="20"/>
              </w:rPr>
              <w:t xml:space="preserve">: </w:t>
            </w:r>
            <w:r w:rsidR="008B652E" w:rsidRPr="00EE2E2A">
              <w:rPr>
                <w:b/>
                <w:sz w:val="20"/>
              </w:rPr>
              <w:t xml:space="preserve">The information provided in this form is intended to aid the </w:t>
            </w:r>
            <w:r w:rsidR="008B652E" w:rsidRPr="003B1CC5">
              <w:rPr>
                <w:b/>
                <w:bCs/>
                <w:sz w:val="20"/>
                <w:szCs w:val="20"/>
              </w:rPr>
              <w:t>St</w:t>
            </w:r>
            <w:r w:rsidR="00676BD4">
              <w:rPr>
                <w:b/>
                <w:bCs/>
                <w:sz w:val="20"/>
                <w:szCs w:val="20"/>
              </w:rPr>
              <w:t>and</w:t>
            </w:r>
            <w:r w:rsidR="008B652E" w:rsidRPr="003B1CC5">
              <w:rPr>
                <w:b/>
                <w:bCs/>
                <w:sz w:val="20"/>
                <w:szCs w:val="20"/>
              </w:rPr>
              <w:t>ing</w:t>
            </w:r>
            <w:r w:rsidR="008B652E" w:rsidRPr="00EE2E2A">
              <w:rPr>
                <w:b/>
                <w:sz w:val="20"/>
              </w:rPr>
              <w:t xml:space="preserve"> Committee and other stakeholders in understanding to what degree the evidence for this measure meets NQF’s evaluation criteria.</w:t>
            </w:r>
          </w:p>
          <w:p w14:paraId="55B8DA3F" w14:textId="77777777" w:rsidR="008659ED" w:rsidRPr="00EE2E2A" w:rsidRDefault="008659ED" w:rsidP="00EE2E2A">
            <w:pPr>
              <w:ind w:left="90" w:hanging="90"/>
              <w:rPr>
                <w:sz w:val="20"/>
              </w:rPr>
            </w:pPr>
            <w:bookmarkStart w:id="0" w:name="Note2"/>
            <w:bookmarkEnd w:id="0"/>
          </w:p>
          <w:p w14:paraId="55B8DA40" w14:textId="1AEA8D40" w:rsidR="008659ED" w:rsidRPr="00EE2E2A" w:rsidRDefault="008659ED" w:rsidP="00EE2E2A">
            <w:pPr>
              <w:pStyle w:val="Heading3"/>
              <w:rPr>
                <w:sz w:val="20"/>
              </w:rPr>
            </w:pPr>
            <w:r w:rsidRPr="00EE2E2A">
              <w:rPr>
                <w:rFonts w:asciiTheme="minorHAnsi" w:hAnsiTheme="minorHAnsi"/>
                <w:sz w:val="20"/>
              </w:rPr>
              <w:t>1a. Evidence to Support the Measure Focus</w:t>
            </w:r>
            <w:r w:rsidRPr="003B1CC5">
              <w:rPr>
                <w:rFonts w:asciiTheme="minorHAnsi" w:hAnsiTheme="minorHAnsi"/>
                <w:sz w:val="20"/>
                <w:szCs w:val="20"/>
              </w:rPr>
              <w:t xml:space="preserve">  </w:t>
            </w:r>
          </w:p>
          <w:p w14:paraId="55B8DA41" w14:textId="33399509" w:rsidR="008659ED" w:rsidRPr="00EE2E2A" w:rsidRDefault="008659ED" w:rsidP="008659ED">
            <w:pPr>
              <w:rPr>
                <w:sz w:val="20"/>
              </w:rPr>
            </w:pPr>
            <w:r w:rsidRPr="00EE2E2A">
              <w:rPr>
                <w:sz w:val="20"/>
              </w:rPr>
              <w:t xml:space="preserve">The measure focus is evidence-based, demonstrated as follows: </w:t>
            </w:r>
          </w:p>
          <w:p w14:paraId="55B8DA42" w14:textId="55AB05DC"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EE2E2A">
                <w:rPr>
                  <w:rStyle w:val="Hyperlink"/>
                  <w:b/>
                  <w:sz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1D0CBF76" w:rsidR="008659ED" w:rsidRPr="003B1CC5" w:rsidRDefault="008659ED" w:rsidP="008659ED">
            <w:pPr>
              <w:numPr>
                <w:ilvl w:val="0"/>
                <w:numId w:val="7"/>
              </w:numPr>
              <w:rPr>
                <w:rFonts w:eastAsia="Calibri" w:cs="Calibri"/>
                <w:sz w:val="20"/>
                <w:szCs w:val="20"/>
              </w:rPr>
            </w:pPr>
            <w:r w:rsidRPr="00EE2E2A">
              <w:rPr>
                <w:sz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0079BF13" w:rsidR="008659ED" w:rsidRPr="003B1CC5" w:rsidRDefault="008659ED" w:rsidP="008659ED">
            <w:pPr>
              <w:numPr>
                <w:ilvl w:val="0"/>
                <w:numId w:val="7"/>
              </w:numPr>
              <w:rPr>
                <w:rFonts w:eastAsia="Calibri" w:cs="Calibri"/>
                <w:sz w:val="20"/>
                <w:szCs w:val="20"/>
              </w:rPr>
            </w:pPr>
            <w:r w:rsidRPr="00EE2E2A">
              <w:rPr>
                <w:sz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E1DF0B2" w:rsidR="008659ED" w:rsidRPr="00EE2E2A" w:rsidRDefault="008659ED" w:rsidP="00EE2E2A">
            <w:pPr>
              <w:numPr>
                <w:ilvl w:val="0"/>
                <w:numId w:val="8"/>
              </w:numPr>
              <w:autoSpaceDE w:val="0"/>
              <w:autoSpaceDN w:val="0"/>
              <w:adjustRightInd w:val="0"/>
              <w:contextualSpacing/>
              <w:rPr>
                <w:sz w:val="20"/>
              </w:rPr>
            </w:pPr>
            <w:r w:rsidRPr="00EE2E2A">
              <w:rPr>
                <w:sz w:val="20"/>
                <w:u w:val="single"/>
              </w:rPr>
              <w:t>Structure</w:t>
            </w:r>
            <w:r w:rsidRPr="00EE2E2A">
              <w:rPr>
                <w:sz w:val="20"/>
              </w:rPr>
              <w:t>: a systematic assessment and grading of the quantity, quality, and consistency of the body of evidence</w:t>
            </w:r>
            <w:r w:rsidRPr="003B1CC5">
              <w:rPr>
                <w:rFonts w:eastAsia="Calibri" w:cs="Calibri"/>
                <w:sz w:val="20"/>
                <w:szCs w:val="20"/>
              </w:rPr>
              <w:t xml:space="preserv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EE2E2A">
              <w:rPr>
                <w:sz w:val="20"/>
              </w:rPr>
              <w:t xml:space="preserve"> that the </w:t>
            </w:r>
            <w:r w:rsidRPr="003B1CC5">
              <w:rPr>
                <w:rFonts w:eastAsia="Calibri" w:cs="Calibri"/>
                <w:bCs/>
                <w:sz w:val="20"/>
                <w:szCs w:val="20"/>
              </w:rPr>
              <w:t>measured structure</w:t>
            </w:r>
            <w:r w:rsidRPr="00EE2E2A">
              <w:rPr>
                <w:sz w:val="20"/>
              </w:rPr>
              <w:t xml:space="preserve"> leads to a desired health outcome.</w:t>
            </w:r>
          </w:p>
          <w:p w14:paraId="56E2DE06" w14:textId="6D5856D3"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2E2A">
              <w:rPr>
                <w:sz w:val="20"/>
                <w:u w:val="single"/>
              </w:rPr>
              <w:t>Efficiency</w:t>
            </w:r>
            <w:r w:rsidR="00E536D3" w:rsidRPr="003B1CC5">
              <w:rPr>
                <w:rFonts w:eastAsia="Calibri" w:cs="Calibri"/>
                <w:sz w:val="20"/>
                <w:szCs w:val="20"/>
              </w:rPr>
              <w:t xml:space="preserve">: </w:t>
            </w:r>
            <w:hyperlink w:anchor="Note6" w:history="1">
              <w:r w:rsidR="00E536D3" w:rsidRPr="00EE2E2A">
                <w:rPr>
                  <w:rStyle w:val="Hyperlink"/>
                  <w:b/>
                  <w:sz w:val="20"/>
                  <w:vertAlign w:val="superscript"/>
                </w:rPr>
                <w:t>6</w:t>
              </w:r>
            </w:hyperlink>
            <w:r w:rsidR="00E536D3" w:rsidRPr="00EE2E2A">
              <w:rPr>
                <w:sz w:val="20"/>
              </w:rPr>
              <w:t xml:space="preserve"> </w:t>
            </w:r>
            <w:r w:rsidRPr="00EE2E2A">
              <w:rPr>
                <w:sz w:val="20"/>
              </w:rPr>
              <w:t xml:space="preserve">evidence </w:t>
            </w:r>
            <w:r w:rsidRPr="003B1CC5">
              <w:rPr>
                <w:rFonts w:eastAsia="Calibri" w:cs="Calibri"/>
                <w:sz w:val="20"/>
                <w:szCs w:val="20"/>
              </w:rPr>
              <w:t xml:space="preserve">not required </w:t>
            </w:r>
            <w:r w:rsidRPr="00EE2E2A">
              <w:rPr>
                <w:sz w:val="20"/>
              </w:rPr>
              <w:t xml:space="preserve">for the </w:t>
            </w:r>
            <w:r w:rsidRPr="003B1CC5">
              <w:rPr>
                <w:rFonts w:eastAsia="Calibri" w:cs="Calibri"/>
                <w:sz w:val="20"/>
                <w:szCs w:val="20"/>
              </w:rPr>
              <w:t>resource use</w:t>
            </w:r>
            <w:r w:rsidRPr="00EE2E2A">
              <w:rPr>
                <w:sz w:val="20"/>
              </w:rPr>
              <w:t xml:space="preserve"> component</w:t>
            </w:r>
            <w:r w:rsidRPr="003B1CC5">
              <w:rPr>
                <w:rFonts w:eastAsia="Calibri" w:cs="Calibri"/>
                <w:sz w:val="20"/>
                <w:szCs w:val="20"/>
              </w:rPr>
              <w: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7107DF1A"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w:t>
            </w:r>
            <w:r w:rsidRPr="00EE2E2A">
              <w:rPr>
                <w:sz w:val="20"/>
              </w:rPr>
              <w:t xml:space="preserve"> as </w:t>
            </w:r>
            <w:r w:rsidRPr="006D0681">
              <w:rPr>
                <w:sz w:val="20"/>
                <w:szCs w:val="20"/>
              </w:rPr>
              <w:t xml:space="preserve">well. </w:t>
            </w:r>
          </w:p>
          <w:p w14:paraId="55B8DA47" w14:textId="77777777" w:rsidR="00CB1E41" w:rsidRPr="00EE2E2A" w:rsidRDefault="00CB1E41" w:rsidP="00EE2E2A">
            <w:pPr>
              <w:autoSpaceDE w:val="0"/>
              <w:autoSpaceDN w:val="0"/>
              <w:adjustRightInd w:val="0"/>
              <w:rPr>
                <w:b/>
                <w:sz w:val="18"/>
              </w:rPr>
            </w:pPr>
          </w:p>
          <w:p w14:paraId="55B8DA48" w14:textId="77777777" w:rsidR="008659ED" w:rsidRPr="00EE2E2A" w:rsidRDefault="008659ED" w:rsidP="008659ED">
            <w:pPr>
              <w:autoSpaceDE w:val="0"/>
              <w:autoSpaceDN w:val="0"/>
              <w:adjustRightInd w:val="0"/>
              <w:rPr>
                <w:b/>
                <w:sz w:val="20"/>
              </w:rPr>
            </w:pPr>
            <w:r w:rsidRPr="00EE2E2A">
              <w:rPr>
                <w:b/>
                <w:sz w:val="20"/>
              </w:rPr>
              <w:t>Notes</w:t>
            </w:r>
          </w:p>
          <w:p w14:paraId="55B8DA49" w14:textId="77777777" w:rsidR="008659ED" w:rsidRPr="00EE2E2A" w:rsidRDefault="008659ED" w:rsidP="00EE2E2A">
            <w:pPr>
              <w:ind w:left="0" w:firstLine="0"/>
              <w:rPr>
                <w:sz w:val="20"/>
              </w:rPr>
            </w:pPr>
            <w:bookmarkStart w:id="1" w:name="Note3"/>
            <w:bookmarkEnd w:id="1"/>
            <w:r w:rsidRPr="00EE2E2A">
              <w:rPr>
                <w:b/>
                <w:sz w:val="20"/>
              </w:rPr>
              <w:t>3.</w:t>
            </w:r>
            <w:r w:rsidRPr="00EE2E2A">
              <w:rPr>
                <w:sz w:val="20"/>
              </w:rPr>
              <w:t xml:space="preserve"> Generally, rare event outcomes do not provide adequate information for improvement or discrimination; however, serious reportable events that are compared to zero are appropriate outcomes for public reporting and quality improvement. </w:t>
            </w:r>
            <w:r w:rsidRPr="003B1CC5">
              <w:rPr>
                <w:rFonts w:eastAsia="Calibri" w:cs="Calibri"/>
                <w:sz w:val="20"/>
                <w:szCs w:val="20"/>
              </w:rPr>
              <w:t xml:space="preserve">          </w:t>
            </w:r>
          </w:p>
          <w:p w14:paraId="55B8DA4A" w14:textId="5606CB6D"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5DB6EC7D" w:rsidR="008659ED" w:rsidRPr="00EE2E2A" w:rsidRDefault="008659ED" w:rsidP="00EE2E2A">
            <w:pPr>
              <w:ind w:left="0" w:firstLine="0"/>
              <w:rPr>
                <w:sz w:val="20"/>
              </w:rPr>
            </w:pPr>
            <w:bookmarkStart w:id="3" w:name="Note5"/>
            <w:bookmarkEnd w:id="3"/>
            <w:r w:rsidRPr="003B1CC5">
              <w:rPr>
                <w:rFonts w:eastAsia="Calibri" w:cs="Calibri"/>
                <w:b/>
                <w:sz w:val="20"/>
                <w:szCs w:val="20"/>
              </w:rPr>
              <w:t>5</w:t>
            </w:r>
            <w:r w:rsidRPr="00EE2E2A">
              <w:rPr>
                <w:b/>
                <w:sz w:val="20"/>
              </w:rPr>
              <w:t>.</w:t>
            </w:r>
            <w:r w:rsidRPr="00EE2E2A">
              <w:rPr>
                <w:sz w:val="20"/>
              </w:rPr>
              <w:t xml:space="preserve"> Clinical care processes typically include multiple steps: assess </w:t>
            </w:r>
            <w:r w:rsidRPr="00EE2E2A">
              <w:rPr>
                <w:sz w:val="20"/>
              </w:rPr>
              <w:sym w:font="Symbol" w:char="F0AE"/>
            </w:r>
            <w:r w:rsidRPr="00EE2E2A">
              <w:rPr>
                <w:sz w:val="20"/>
              </w:rPr>
              <w:t xml:space="preserve"> identify problem/potential problem </w:t>
            </w:r>
            <w:r w:rsidRPr="00EE2E2A">
              <w:rPr>
                <w:sz w:val="20"/>
              </w:rPr>
              <w:sym w:font="Symbol" w:char="F0AE"/>
            </w:r>
            <w:r w:rsidRPr="00EE2E2A">
              <w:rPr>
                <w:sz w:val="20"/>
              </w:rPr>
              <w:t xml:space="preserve"> choose/plan intervention (with patient input) </w:t>
            </w:r>
            <w:r w:rsidRPr="00EE2E2A">
              <w:rPr>
                <w:sz w:val="20"/>
              </w:rPr>
              <w:sym w:font="Symbol" w:char="F0AE"/>
            </w:r>
            <w:r w:rsidRPr="00EE2E2A">
              <w:rPr>
                <w:sz w:val="20"/>
              </w:rPr>
              <w:t xml:space="preserve"> provide intervention </w:t>
            </w:r>
            <w:r w:rsidRPr="00EE2E2A">
              <w:rPr>
                <w:sz w:val="20"/>
              </w:rPr>
              <w:sym w:font="Symbol" w:char="F0AE"/>
            </w:r>
            <w:r w:rsidRPr="00EE2E2A">
              <w:rPr>
                <w:sz w:val="20"/>
              </w:rPr>
              <w:t xml:space="preserve"> evaluate impact on health status. If the measure focus is one step in such a multistep process, the step with the strongest evidence for the link to the desired outcome should be selected as the focus of measurement. </w:t>
            </w:r>
            <w:r w:rsidRPr="003B1CC5">
              <w:rPr>
                <w:rFonts w:eastAsia="Calibri" w:cs="Calibri"/>
                <w:sz w:val="20"/>
                <w:szCs w:val="20"/>
              </w:rPr>
              <w:t>Note: A measure focused only on collecting PROM data is not a PRO-PM.</w:t>
            </w:r>
          </w:p>
          <w:p w14:paraId="55B8DA4C" w14:textId="77777777" w:rsidR="008659ED" w:rsidRPr="003B1CC5" w:rsidRDefault="008659ED" w:rsidP="00EE2E2A">
            <w:pPr>
              <w:autoSpaceDE w:val="0"/>
              <w:autoSpaceDN w:val="0"/>
              <w:adjustRightInd w:val="0"/>
              <w:ind w:left="0" w:firstLine="0"/>
              <w:contextualSpacing/>
            </w:pPr>
            <w:bookmarkStart w:id="4" w:name="Note6"/>
            <w:bookmarkEnd w:id="4"/>
            <w:r w:rsidRPr="00EE2E2A">
              <w:rPr>
                <w:b/>
                <w:sz w:val="20"/>
              </w:rPr>
              <w:t xml:space="preserve">6. </w:t>
            </w:r>
            <w:r w:rsidRPr="00EE2E2A">
              <w:rPr>
                <w:sz w:val="20"/>
              </w:rPr>
              <w:t xml:space="preserve">Measures of efficiency combine the concepts of resource use </w:t>
            </w:r>
            <w:r w:rsidRPr="00EE2E2A">
              <w:rPr>
                <w:sz w:val="20"/>
                <w:u w:val="single"/>
              </w:rPr>
              <w:t>and</w:t>
            </w:r>
            <w:r w:rsidRPr="00EE2E2A">
              <w:rPr>
                <w:sz w:val="20"/>
              </w:rPr>
              <w:t xml:space="preserve"> quality (</w:t>
            </w:r>
            <w:r w:rsidRPr="003B1CC5">
              <w:rPr>
                <w:rFonts w:eastAsia="Calibri" w:cs="Calibri"/>
                <w:sz w:val="20"/>
                <w:szCs w:val="20"/>
              </w:rPr>
              <w:t xml:space="preserve">see </w:t>
            </w:r>
            <w:r w:rsidRPr="00EE2E2A">
              <w:rPr>
                <w:sz w:val="20"/>
              </w:rPr>
              <w:t xml:space="preserve">NQF’s </w:t>
            </w:r>
            <w:hyperlink r:id="rId14" w:history="1">
              <w:r w:rsidRPr="00EE2E2A">
                <w:rPr>
                  <w:color w:val="0000FF"/>
                  <w:sz w:val="20"/>
                </w:rPr>
                <w:t>Measurement Framework: Evaluating Efficiency Across Episodes of Care</w:t>
              </w:r>
            </w:hyperlink>
            <w:r w:rsidRPr="00EE2E2A">
              <w:rPr>
                <w:sz w:val="20"/>
              </w:rPr>
              <w:t xml:space="preserve">; </w:t>
            </w:r>
            <w:hyperlink r:id="rId15" w:history="1">
              <w:r w:rsidRPr="00EE2E2A">
                <w:rPr>
                  <w:color w:val="0000FF"/>
                  <w:sz w:val="20"/>
                </w:rPr>
                <w:t>AQA Principles of Efficiency Measures</w:t>
              </w:r>
            </w:hyperlink>
            <w:r w:rsidRPr="00EE2E2A">
              <w:rPr>
                <w:sz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EE2E2A" w:rsidRDefault="00E41417" w:rsidP="00015986">
      <w:pPr>
        <w:ind w:left="432" w:hanging="432"/>
      </w:pPr>
      <w:r w:rsidRPr="00EE2E2A">
        <w:t>O</w:t>
      </w:r>
      <w:r w:rsidR="00496AF8" w:rsidRPr="00EE2E2A">
        <w:t>utcome</w:t>
      </w:r>
    </w:p>
    <w:p w14:paraId="55B8DA51" w14:textId="66EECA7F" w:rsidR="00496AF8" w:rsidRPr="003B1CC5" w:rsidRDefault="005F268F"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01030C">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01030C">
            <w:rPr>
              <w:rStyle w:val="Style2"/>
              <w:rFonts w:cstheme="minorHAnsi"/>
            </w:rPr>
            <w:t>PRO</w:t>
          </w:r>
        </w:sdtContent>
      </w:sdt>
    </w:p>
    <w:p w14:paraId="55B8DA52" w14:textId="218FCF20" w:rsidR="00236F87" w:rsidRPr="003B1CC5" w:rsidRDefault="005F268F" w:rsidP="00A9011D">
      <w:pPr>
        <w:ind w:left="864" w:hanging="432"/>
        <w:rPr>
          <w:b/>
          <w:bCs/>
        </w:rPr>
      </w:pPr>
      <w:sdt>
        <w:sdtPr>
          <w:rPr>
            <w:bCs/>
            <w:color w:val="0000FF"/>
          </w:rPr>
          <w:id w:val="-1541041819"/>
          <w14:checkbox>
            <w14:checked w14:val="1"/>
            <w14:checkedState w14:val="2612" w14:font="MS Gothic"/>
            <w14:uncheckedState w14:val="2610" w14:font="MS Gothic"/>
          </w14:checkbox>
        </w:sdtPr>
        <w:sdtEndPr/>
        <w:sdtContent>
          <w:r w:rsidR="007819AF">
            <w:rPr>
              <w:rFonts w:ascii="MS Gothic" w:eastAsia="MS Gothic" w:hAnsi="MS Gothic" w:hint="eastAsia"/>
              <w:bCs/>
              <w:color w:val="0000FF"/>
            </w:rPr>
            <w:t>☒</w:t>
          </w:r>
        </w:sdtContent>
      </w:sdt>
      <w:r w:rsidR="00236F87" w:rsidRPr="00EE2E2A">
        <w:t xml:space="preserve">Patient-reported </w:t>
      </w:r>
      <w:r w:rsidR="00236F87" w:rsidRPr="001E6153">
        <w:rPr>
          <w:bCs/>
        </w:rPr>
        <w:t>outc</w:t>
      </w:r>
      <w:r w:rsidR="00C613EB" w:rsidRPr="001E6153">
        <w:rPr>
          <w:bCs/>
        </w:rPr>
        <w:t>o</w:t>
      </w:r>
      <w:r w:rsidR="00236F87" w:rsidRPr="001E6153">
        <w:rPr>
          <w:bCs/>
        </w:rPr>
        <w:t>me</w:t>
      </w:r>
      <w:r w:rsidR="009C291F" w:rsidRPr="00EE2E2A">
        <w:t xml:space="preserve"> (PRO</w:t>
      </w:r>
      <w:r w:rsidR="009C291F" w:rsidRPr="001E6153">
        <w:rPr>
          <w:bCs/>
        </w:rPr>
        <w:t>)</w:t>
      </w:r>
      <w:r w:rsidR="00236F87" w:rsidRPr="003B1CC5">
        <w:rPr>
          <w:bCs/>
        </w:rPr>
        <w:t xml:space="preserve">: </w:t>
      </w:r>
      <w:sdt>
        <w:sdtPr>
          <w:rPr>
            <w:rStyle w:val="Style2"/>
            <w:rFonts w:cstheme="minorHAnsi"/>
          </w:rPr>
          <w:id w:val="528310131"/>
        </w:sdtPr>
        <w:sdtEndPr>
          <w:rPr>
            <w:rStyle w:val="DefaultParagraphFont"/>
            <w:rFonts w:cstheme="minorBidi"/>
            <w:color w:val="auto"/>
            <w:u w:val="none"/>
          </w:rPr>
        </w:sdtEndPr>
        <w:sdtContent>
          <w:r w:rsidR="0001030C">
            <w:rPr>
              <w:rStyle w:val="Style2"/>
              <w:rFonts w:cstheme="minorHAnsi"/>
            </w:rPr>
            <w:t>Experience with care</w:t>
          </w:r>
        </w:sdtContent>
      </w:sdt>
    </w:p>
    <w:p w14:paraId="55B8DA53" w14:textId="3D5585D8" w:rsidR="00B117D0" w:rsidRPr="00EE2E2A" w:rsidRDefault="00B117D0" w:rsidP="005857F8">
      <w:pPr>
        <w:ind w:left="720" w:firstLine="0"/>
        <w:rPr>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14FC74A1" w:rsidR="00496AF8" w:rsidRPr="003B1CC5" w:rsidRDefault="005F268F" w:rsidP="00EE2E2A">
      <w:pPr>
        <w:rPr>
          <w:bCs/>
        </w:rPr>
      </w:pPr>
      <w:sdt>
        <w:sdtPr>
          <w:rPr>
            <w:bCs/>
            <w:color w:val="0000FF"/>
          </w:rPr>
          <w:id w:val="-720977531"/>
          <w14:checkbox>
            <w14:checked w14:val="0"/>
            <w14:checkedState w14:val="2612" w14:font="MS Gothic"/>
            <w14:uncheckedState w14:val="2610" w14:font="MS Gothic"/>
          </w14:checkbox>
        </w:sdtPr>
        <w:sdtEndPr>
          <w:rPr>
            <w:bCs w:val="0"/>
          </w:rPr>
        </w:sdtEndPr>
        <w:sdtContent>
          <w:r w:rsidR="00D73685" w:rsidRPr="00784653">
            <w:rPr>
              <w:rFonts w:ascii="Segoe UI Symbol" w:hAnsi="Segoe UI Symbol"/>
              <w:color w:val="0000FF"/>
            </w:rPr>
            <w:t>☐</w:t>
          </w:r>
        </w:sdtContent>
      </w:sdt>
      <w:r w:rsidR="00D73685" w:rsidRPr="00EE2E2A" w:rsidDel="00D73685">
        <w:rPr>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3DF89EA" w:rsidR="00D73685" w:rsidRDefault="005F268F"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5F268F"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562079BA" w:rsidR="00496AF8" w:rsidRPr="003B1CC5" w:rsidRDefault="005F268F"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635B909B" w14:textId="77777777" w:rsidR="003A5C00" w:rsidRPr="003B1CC5" w:rsidRDefault="003A5C00" w:rsidP="002E2177">
      <w:pPr>
        <w:ind w:left="0" w:firstLine="0"/>
        <w:rPr>
          <w:bCs/>
        </w:rPr>
      </w:pPr>
    </w:p>
    <w:p w14:paraId="7A82D5AA" w14:textId="333497C8" w:rsidR="003A5C00" w:rsidRPr="00676BD4" w:rsidRDefault="003A5C00" w:rsidP="003A5C00">
      <w:pPr>
        <w:ind w:left="432" w:hanging="432"/>
        <w:rPr>
          <w:iCs/>
        </w:rPr>
      </w:pPr>
      <w:r>
        <w:rPr>
          <w:b/>
          <w:bCs/>
          <w:color w:val="0000FF"/>
        </w:rPr>
        <w:t>1a.2</w:t>
      </w:r>
      <w:r w:rsidRPr="003B1CC5">
        <w:rPr>
          <w:bCs/>
        </w:rPr>
        <w:t xml:space="preserve"> </w:t>
      </w:r>
      <w:r w:rsidRPr="00676BD4">
        <w:rPr>
          <w:b/>
          <w:bCs/>
        </w:rPr>
        <w:t>LOGIC MODEL</w:t>
      </w:r>
      <w:r>
        <w:rPr>
          <w:bCs/>
        </w:rPr>
        <w:t xml:space="preserve"> </w:t>
      </w:r>
      <w:r w:rsidRPr="00676BD4">
        <w:rPr>
          <w:iCs/>
        </w:rPr>
        <w:t>Diagram</w:t>
      </w:r>
      <w:r w:rsidRPr="00EE2E2A">
        <w:t xml:space="preserve"> or </w:t>
      </w:r>
      <w:r w:rsidRPr="00676BD4">
        <w:rPr>
          <w:iCs/>
        </w:rPr>
        <w:t>briefly describe</w:t>
      </w:r>
      <w:r w:rsidRPr="00EE2E2A">
        <w:t xml:space="preserve"> the </w:t>
      </w:r>
      <w:r w:rsidRPr="00676BD4">
        <w:rPr>
          <w:iCs/>
        </w:rPr>
        <w:t>steps</w:t>
      </w:r>
      <w:r w:rsidRPr="00EE2E2A">
        <w:t xml:space="preserve"> between the healthcare structures</w:t>
      </w:r>
      <w:r>
        <w:rPr>
          <w:iCs/>
        </w:rPr>
        <w:t xml:space="preserve"> and</w:t>
      </w:r>
      <w:r w:rsidRPr="00EE2E2A">
        <w:t xml:space="preserve"> processes</w:t>
      </w:r>
      <w:r>
        <w:rPr>
          <w:iCs/>
        </w:rPr>
        <w:t xml:space="preserve"> (e.g.,</w:t>
      </w:r>
      <w:r w:rsidRPr="00EE2E2A">
        <w:t xml:space="preserve"> interventions, or services</w:t>
      </w:r>
      <w:r>
        <w:rPr>
          <w:iCs/>
        </w:rPr>
        <w:t>)</w:t>
      </w:r>
      <w:r w:rsidRPr="00676BD4">
        <w:rPr>
          <w:iCs/>
        </w:rPr>
        <w:t xml:space="preserve"> and the patient</w:t>
      </w:r>
      <w:r>
        <w:rPr>
          <w:iCs/>
        </w:rPr>
        <w:t>’s</w:t>
      </w:r>
      <w:r w:rsidRPr="00676BD4">
        <w:rPr>
          <w:iCs/>
        </w:rPr>
        <w:t xml:space="preserve"> health outcome</w:t>
      </w:r>
      <w:r>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structure, process o</w:t>
      </w:r>
      <w:r w:rsidRPr="00676BD4">
        <w:rPr>
          <w:iCs/>
        </w:rPr>
        <w:t>r outcome being measured</w:t>
      </w:r>
      <w:r w:rsidRPr="00EE2E2A">
        <w:t>.</w:t>
      </w:r>
    </w:p>
    <w:p w14:paraId="55B8DA5B" w14:textId="77777777" w:rsidR="002B06BD" w:rsidRPr="00EE2E2A" w:rsidRDefault="002B06BD" w:rsidP="00EE2E2A">
      <w:pPr>
        <w:ind w:left="432" w:hanging="432"/>
        <w:rPr>
          <w:color w:val="0000FF"/>
        </w:rPr>
      </w:pPr>
    </w:p>
    <w:p w14:paraId="232E4D0A" w14:textId="18DCAA9D" w:rsidR="00E8114E" w:rsidRDefault="0055067B" w:rsidP="00E8114E">
      <w:pPr>
        <w:ind w:left="432" w:hanging="432"/>
        <w:rPr>
          <w:rFonts w:cstheme="minorHAnsi"/>
        </w:rPr>
      </w:pPr>
      <w:r w:rsidRPr="00B904CC">
        <w:rPr>
          <w:rFonts w:cstheme="minorHAnsi"/>
        </w:rPr>
        <w:t xml:space="preserve">Patient- and family-centered care, as measured by patient experience, is a core domain of healthcare quality and a major focus for quality </w:t>
      </w:r>
      <w:proofErr w:type="gramStart"/>
      <w:r w:rsidRPr="00B904CC">
        <w:rPr>
          <w:rFonts w:cstheme="minorHAnsi"/>
        </w:rPr>
        <w:t>improvement.</w:t>
      </w:r>
      <w:r w:rsidR="004F4BD0">
        <w:rPr>
          <w:rFonts w:cstheme="minorHAnsi"/>
        </w:rPr>
        <w:t>[</w:t>
      </w:r>
      <w:proofErr w:type="gramEnd"/>
      <w:r w:rsidR="004F4BD0">
        <w:rPr>
          <w:rFonts w:cstheme="minorHAnsi"/>
        </w:rPr>
        <w:t>1,2]</w:t>
      </w:r>
      <w:r w:rsidRPr="00B904CC">
        <w:rPr>
          <w:rFonts w:cstheme="minorHAnsi"/>
        </w:rPr>
        <w:t xml:space="preserve"> Additionally, </w:t>
      </w:r>
      <w:r w:rsidR="00F04314" w:rsidRPr="00B904CC">
        <w:rPr>
          <w:rFonts w:cstheme="minorHAnsi"/>
        </w:rPr>
        <w:t>patient experience has been linked to other quality measures and health outcomes,</w:t>
      </w:r>
      <w:r w:rsidR="00973910" w:rsidRPr="00973910">
        <w:rPr>
          <w:rFonts w:cstheme="minorHAnsi"/>
        </w:rPr>
        <w:t xml:space="preserve"> </w:t>
      </w:r>
      <w:r w:rsidR="00973910" w:rsidRPr="00B904CC">
        <w:rPr>
          <w:rFonts w:cstheme="minorHAnsi"/>
        </w:rPr>
        <w:t xml:space="preserve">clinical processes of care, readmissions, and mortality. Evaluating patient experience is a key means of assessing patient-centered care and can motivate beneficial changes in </w:t>
      </w:r>
      <w:r w:rsidR="00973910">
        <w:rPr>
          <w:rFonts w:cstheme="minorHAnsi"/>
        </w:rPr>
        <w:t>health</w:t>
      </w:r>
      <w:r w:rsidR="00973910" w:rsidRPr="00B904CC">
        <w:rPr>
          <w:rFonts w:cstheme="minorHAnsi"/>
        </w:rPr>
        <w:t>care delivery.</w:t>
      </w:r>
    </w:p>
    <w:p w14:paraId="7FEF8B2B" w14:textId="0119884C" w:rsidR="00E8114E" w:rsidRDefault="00E8114E" w:rsidP="00C04195">
      <w:pPr>
        <w:ind w:left="432" w:hanging="432"/>
        <w:rPr>
          <w:rFonts w:cstheme="minorHAnsi"/>
        </w:rPr>
      </w:pPr>
      <w:r>
        <w:rPr>
          <w:noProof/>
        </w:rPr>
        <w:drawing>
          <wp:inline distT="0" distB="0" distL="0" distR="0" wp14:anchorId="0701B89A" wp14:editId="517338B2">
            <wp:extent cx="5167423" cy="3656053"/>
            <wp:effectExtent l="19050" t="19050" r="14605" b="20955"/>
            <wp:docPr id="1" name="Picture 1" descr="Structure and clinical quality contribute to parent-reported experience of care. Experience of care is linked to healthcare-related patient behavior and outcom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a14="http://schemas.microsoft.com/office/drawing/2010/main" val="0"/>
                        </a:ext>
                      </a:extLst>
                    </a:blip>
                    <a:srcRect l="8716" r="9277" b="1055"/>
                    <a:stretch/>
                  </pic:blipFill>
                  <pic:spPr bwMode="auto">
                    <a:xfrm>
                      <a:off x="0" y="0"/>
                      <a:ext cx="5165157" cy="3654449"/>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5A9BDCAD" w14:textId="5E42FDC8" w:rsidR="00973910" w:rsidRDefault="00973910" w:rsidP="002E2177">
      <w:pPr>
        <w:ind w:left="432" w:hanging="432"/>
        <w:rPr>
          <w:b/>
          <w:color w:val="0000FF"/>
        </w:rPr>
      </w:pPr>
    </w:p>
    <w:p w14:paraId="37DA24DB" w14:textId="640A83FB" w:rsidR="00FC4E07" w:rsidRDefault="00FC4E07" w:rsidP="00FC4E07">
      <w:pPr>
        <w:ind w:left="432" w:hanging="432"/>
      </w:pPr>
      <w:r>
        <w:rPr>
          <w:b/>
          <w:noProof/>
        </w:rPr>
        <mc:AlternateContent>
          <mc:Choice Requires="wps">
            <w:drawing>
              <wp:anchor distT="0" distB="0" distL="114300" distR="114300" simplePos="0" relativeHeight="251659264" behindDoc="0" locked="0" layoutInCell="1" allowOverlap="1" wp14:anchorId="179CE78F" wp14:editId="3A52E777">
                <wp:simplePos x="0" y="0"/>
                <wp:positionH relativeFrom="column">
                  <wp:posOffset>0</wp:posOffset>
                </wp:positionH>
                <wp:positionV relativeFrom="paragraph">
                  <wp:posOffset>51996</wp:posOffset>
                </wp:positionV>
                <wp:extent cx="892810" cy="0"/>
                <wp:effectExtent l="0" t="0" r="21590" b="19050"/>
                <wp:wrapNone/>
                <wp:docPr id="2" name="Straight Connector 2"/>
                <wp:cNvGraphicFramePr/>
                <a:graphic xmlns:a="http://schemas.openxmlformats.org/drawingml/2006/main">
                  <a:graphicData uri="http://schemas.microsoft.com/office/word/2010/wordprocessingShape">
                    <wps:wsp>
                      <wps:cNvCnPr/>
                      <wps:spPr>
                        <a:xfrm>
                          <a:off x="0" y="0"/>
                          <a:ext cx="89281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D176CEE" id="Straight Connecto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4.1pt" to="70.3pt,4.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" strokecolor="black [3213]" strokeweight="2pt"/>
            </w:pict>
          </mc:Fallback>
        </mc:AlternateContent>
      </w:r>
      <w:r>
        <w:rPr>
          <w:b/>
        </w:rPr>
        <w:t xml:space="preserve">                              </w:t>
      </w:r>
      <w:r w:rsidRPr="00D840B5">
        <w:rPr>
          <w:color w:val="FF0000"/>
        </w:rPr>
        <w:t>Hypothesized Casual Association</w:t>
      </w:r>
    </w:p>
    <w:p w14:paraId="7ACF26A4" w14:textId="6D189B4B" w:rsidR="00FC4E07" w:rsidRPr="00FC4E07" w:rsidRDefault="00FC4E07" w:rsidP="002E2177">
      <w:pPr>
        <w:ind w:left="432" w:hanging="432"/>
      </w:pPr>
      <w:r>
        <w:rPr>
          <w:b/>
          <w:noProof/>
        </w:rPr>
        <mc:AlternateContent>
          <mc:Choice Requires="wps">
            <w:drawing>
              <wp:anchor distT="0" distB="0" distL="114300" distR="114300" simplePos="0" relativeHeight="251660288" behindDoc="0" locked="0" layoutInCell="1" allowOverlap="1" wp14:anchorId="63266729" wp14:editId="27C39672">
                <wp:simplePos x="0" y="0"/>
                <wp:positionH relativeFrom="column">
                  <wp:posOffset>0</wp:posOffset>
                </wp:positionH>
                <wp:positionV relativeFrom="paragraph">
                  <wp:posOffset>51716</wp:posOffset>
                </wp:positionV>
                <wp:extent cx="892810" cy="0"/>
                <wp:effectExtent l="0" t="0" r="21590" b="19050"/>
                <wp:wrapNone/>
                <wp:docPr id="3" name="Straight Connector 3"/>
                <wp:cNvGraphicFramePr/>
                <a:graphic xmlns:a="http://schemas.openxmlformats.org/drawingml/2006/main">
                  <a:graphicData uri="http://schemas.microsoft.com/office/word/2010/wordprocessingShape">
                    <wps:wsp>
                      <wps:cNvCnPr/>
                      <wps:spPr>
                        <a:xfrm>
                          <a:off x="0" y="0"/>
                          <a:ext cx="892810" cy="0"/>
                        </a:xfrm>
                        <a:prstGeom prst="line">
                          <a:avLst/>
                        </a:prstGeom>
                        <a:ln>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27D07C"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4.05pt" to="70.3pt,4.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" strokecolor="#a5a5a5 [2092]"/>
            </w:pict>
          </mc:Fallback>
        </mc:AlternateContent>
      </w:r>
      <w:r>
        <w:rPr>
          <w:b/>
        </w:rPr>
        <w:t xml:space="preserve">                              </w:t>
      </w:r>
      <w:r w:rsidRPr="00D840B5">
        <w:rPr>
          <w:color w:val="FF0000"/>
        </w:rPr>
        <w:t xml:space="preserve">Hypothesized Association </w:t>
      </w:r>
    </w:p>
    <w:p w14:paraId="6FB57C54" w14:textId="77777777" w:rsidR="00FC4E07" w:rsidRDefault="00FC4E07" w:rsidP="00FC4E07">
      <w:pPr>
        <w:ind w:left="0" w:firstLine="0"/>
        <w:rPr>
          <w:b/>
          <w:color w:val="0000FF"/>
        </w:rPr>
      </w:pPr>
    </w:p>
    <w:p w14:paraId="33C7741B" w14:textId="271CB564" w:rsidR="004922E4" w:rsidRDefault="004922E4" w:rsidP="004922E4">
      <w:pPr>
        <w:ind w:right="140"/>
        <w:rPr>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5B8DA5F" w14:textId="3862FAF9" w:rsidR="00676BD4" w:rsidRDefault="00676BD4" w:rsidP="00A9011D">
      <w:pPr>
        <w:ind w:left="0" w:firstLine="0"/>
        <w:rPr>
          <w:b/>
          <w:iCs/>
        </w:rPr>
      </w:pPr>
    </w:p>
    <w:p w14:paraId="3DC9A29E" w14:textId="5A6F26CB" w:rsidR="007A230A" w:rsidRPr="00313286" w:rsidRDefault="00534419" w:rsidP="00C10DBE">
      <w:pPr>
        <w:ind w:left="0" w:firstLine="0"/>
      </w:pPr>
      <w:r w:rsidRPr="00313286">
        <w:t xml:space="preserve">A </w:t>
      </w:r>
      <w:r w:rsidR="0059647D" w:rsidRPr="00313286">
        <w:t>core principle of all CAHPS surveys is to assess aspects of care for which the patient is generally the only or best source of information.</w:t>
      </w:r>
      <w:r w:rsidRPr="00313286">
        <w:t xml:space="preserve"> As a patient experience measure, Child HCAHPS is meant specifically to evaluate experiences that families and </w:t>
      </w:r>
      <w:proofErr w:type="gramStart"/>
      <w:r w:rsidRPr="00313286">
        <w:t>patients</w:t>
      </w:r>
      <w:proofErr w:type="gramEnd"/>
      <w:r w:rsidRPr="00313286">
        <w:t xml:space="preserve"> value and find meaningful. </w:t>
      </w:r>
      <w:r w:rsidR="00065955" w:rsidRPr="00313286">
        <w:t xml:space="preserve">The </w:t>
      </w:r>
      <w:r w:rsidR="0059647D" w:rsidRPr="00313286">
        <w:t xml:space="preserve">Child HCAHPS development process relied heavily on patient and family input in order to ensure we were measuring outcomes important to patients </w:t>
      </w:r>
      <w:r w:rsidR="00065955" w:rsidRPr="00313286">
        <w:t>and families.</w:t>
      </w:r>
      <w:r w:rsidR="00EE0B8B" w:rsidRPr="00313286">
        <w:t xml:space="preserve"> W</w:t>
      </w:r>
      <w:r w:rsidR="00065955" w:rsidRPr="00313286">
        <w:t xml:space="preserve">e conducted focus groups, cognitive interviews, and end-user interviews with adolescents and parents of recently hospitalized children across the U.S. to gauge understandability, validity, and meaningfulness of the Child HCAHPS measure. </w:t>
      </w:r>
      <w:r w:rsidR="00EE0B8B" w:rsidRPr="00313286">
        <w:t xml:space="preserve">Eight focus </w:t>
      </w:r>
      <w:r w:rsidR="00F173A9" w:rsidRPr="00313286">
        <w:t xml:space="preserve">groups </w:t>
      </w:r>
      <w:r w:rsidR="00EE0B8B" w:rsidRPr="00313286">
        <w:t xml:space="preserve">were held in Boston, Los Angeles, and St. Louis, 109 cognitive interviews were performed in Boston, Los Angeles, Miami, and St. Louis, and an additional 23 end-user interviews were conducted in Atlanta and Washington, D.C. </w:t>
      </w:r>
      <w:r w:rsidR="00675ECE" w:rsidRPr="00313286">
        <w:t>Parent</w:t>
      </w:r>
      <w:r w:rsidR="00EE0B8B" w:rsidRPr="00313286">
        <w:t xml:space="preserve"> </w:t>
      </w:r>
      <w:r w:rsidR="00675ECE" w:rsidRPr="00313286">
        <w:t>participants</w:t>
      </w:r>
      <w:r w:rsidR="00EE0B8B" w:rsidRPr="00313286">
        <w:t xml:space="preserve"> across all parts of the Child HCAHPS dev</w:t>
      </w:r>
      <w:r w:rsidR="00AF51D0" w:rsidRPr="00313286">
        <w:t xml:space="preserve">elopment process constituted a </w:t>
      </w:r>
      <w:r w:rsidR="00EE0B8B" w:rsidRPr="00313286">
        <w:t>diverse spectrum with regard to gender, race, ethnicity, insurance status, marital status, child’s age, and child’s reason for and length of hospitalization. In addition, two focus groups were comprised of recently hospitalized adolescent patients while four</w:t>
      </w:r>
      <w:r w:rsidR="006136BD" w:rsidRPr="00313286">
        <w:t xml:space="preserve"> others</w:t>
      </w:r>
      <w:r w:rsidR="00EE0B8B" w:rsidRPr="00313286">
        <w:t xml:space="preserve"> </w:t>
      </w:r>
      <w:r w:rsidR="00675ECE" w:rsidRPr="00313286">
        <w:t>targeted specific populations: Spanish speakers, Medicaid-insured patients, and parents of children with special health care needs.</w:t>
      </w:r>
    </w:p>
    <w:p w14:paraId="3623EFDB" w14:textId="77777777" w:rsidR="00C04195" w:rsidRDefault="00C04195"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1D0129DE" w14:textId="77777777" w:rsidR="003A5C00" w:rsidRDefault="003A5C00" w:rsidP="002E2177">
      <w:pPr>
        <w:ind w:left="432" w:hanging="432"/>
        <w:rPr>
          <w:b/>
          <w:color w:val="0000FF"/>
        </w:rPr>
      </w:pPr>
    </w:p>
    <w:p w14:paraId="28353A0F" w14:textId="4EC05375" w:rsidR="003A5C00" w:rsidRPr="0006774E" w:rsidRDefault="003A5C00" w:rsidP="003A5C00">
      <w:pPr>
        <w:widowControl w:val="0"/>
        <w:autoSpaceDE w:val="0"/>
        <w:autoSpaceDN w:val="0"/>
        <w:adjustRightInd w:val="0"/>
        <w:ind w:left="0" w:firstLine="0"/>
        <w:rPr>
          <w:rFonts w:cstheme="minorHAnsi"/>
        </w:rPr>
      </w:pPr>
      <w:bookmarkStart w:id="5" w:name="Section1a3"/>
      <w:bookmarkEnd w:id="5"/>
      <w:r w:rsidRPr="003B1CC5">
        <w:rPr>
          <w:b/>
          <w:color w:val="0000FF"/>
        </w:rPr>
        <w:t>1a.2</w:t>
      </w:r>
      <w:r w:rsidRPr="003B1CC5">
        <w:rPr>
          <w:iCs/>
        </w:rPr>
        <w:t xml:space="preserve"> </w:t>
      </w:r>
      <w:r w:rsidRPr="00676BD4">
        <w:rPr>
          <w:b/>
        </w:rPr>
        <w:t>FOR OUTCOME MEASURES</w:t>
      </w:r>
      <w:r>
        <w:rPr>
          <w:b/>
        </w:rPr>
        <w:t xml:space="preserve"> including </w:t>
      </w:r>
      <w:r w:rsidRPr="00676BD4">
        <w:rPr>
          <w:b/>
        </w:rPr>
        <w:t>PATIENT REPORTED OUTCOMES</w:t>
      </w:r>
      <w:r>
        <w:rPr>
          <w:b/>
        </w:rPr>
        <w:t xml:space="preserve"> -</w:t>
      </w:r>
      <w:r w:rsidRPr="003B1CC5">
        <w:rPr>
          <w:b/>
          <w:iCs/>
        </w:rPr>
        <w:t xml:space="preserve"> </w:t>
      </w:r>
      <w:r>
        <w:rPr>
          <w:b/>
          <w:iCs/>
        </w:rPr>
        <w:t xml:space="preserve">Provide empirical data demonstrating </w:t>
      </w:r>
      <w:r w:rsidRPr="003B1CC5">
        <w:rPr>
          <w:b/>
          <w:iCs/>
        </w:rPr>
        <w:t xml:space="preserve">the </w:t>
      </w:r>
      <w:r>
        <w:rPr>
          <w:b/>
          <w:iCs/>
        </w:rPr>
        <w:t xml:space="preserve">relationship between the </w:t>
      </w:r>
      <w:r w:rsidRPr="003B1CC5">
        <w:rPr>
          <w:b/>
          <w:iCs/>
        </w:rPr>
        <w:t xml:space="preserve">outcome (or PRO) </w:t>
      </w:r>
      <w:r>
        <w:rPr>
          <w:b/>
          <w:iCs/>
        </w:rPr>
        <w:t>to</w:t>
      </w:r>
      <w:r w:rsidRPr="003B1CC5">
        <w:rPr>
          <w:b/>
          <w:iCs/>
        </w:rPr>
        <w:t xml:space="preserve"> at least one </w:t>
      </w:r>
      <w:r>
        <w:rPr>
          <w:b/>
          <w:iCs/>
        </w:rPr>
        <w:t xml:space="preserve">healthcare structure, process, </w:t>
      </w:r>
      <w:r w:rsidRPr="003B1CC5">
        <w:rPr>
          <w:b/>
          <w:iCs/>
        </w:rPr>
        <w:t>intervention, or service</w:t>
      </w:r>
      <w:r w:rsidRPr="00EE2E2A">
        <w:rPr>
          <w:b/>
        </w:rPr>
        <w:t>.</w:t>
      </w:r>
      <w:r>
        <w:rPr>
          <w:b/>
          <w:iCs/>
        </w:rPr>
        <w:t xml:space="preserve"> </w:t>
      </w:r>
    </w:p>
    <w:p w14:paraId="65B7A513" w14:textId="6BE6A56E" w:rsidR="00B76B12" w:rsidRDefault="00B76B12" w:rsidP="00094783">
      <w:pPr>
        <w:ind w:left="0" w:firstLine="0"/>
        <w:rPr>
          <w:iCs/>
        </w:rPr>
      </w:pPr>
    </w:p>
    <w:p w14:paraId="243C9553" w14:textId="77777777" w:rsidR="00236591" w:rsidRPr="00184ABD" w:rsidRDefault="00236591" w:rsidP="00236591">
      <w:pPr>
        <w:pStyle w:val="BodyText"/>
        <w:widowControl w:val="0"/>
        <w:spacing w:after="0" w:line="240" w:lineRule="auto"/>
        <w:ind w:firstLine="0"/>
        <w:rPr>
          <w:rFonts w:asciiTheme="minorHAnsi" w:hAnsiTheme="minorHAnsi" w:cstheme="minorHAnsi"/>
          <w:iCs/>
          <w:color w:val="000000" w:themeColor="text1"/>
          <w:sz w:val="22"/>
          <w:szCs w:val="22"/>
        </w:rPr>
      </w:pPr>
      <w:r w:rsidRPr="00184ABD">
        <w:rPr>
          <w:rFonts w:asciiTheme="minorHAnsi" w:hAnsiTheme="minorHAnsi" w:cstheme="minorHAnsi"/>
          <w:iCs/>
          <w:color w:val="000000" w:themeColor="text1"/>
          <w:sz w:val="22"/>
          <w:szCs w:val="22"/>
        </w:rPr>
        <w:t>PATIENT EXPERIENCE AS A MEASURE</w:t>
      </w:r>
      <w:r w:rsidRPr="0006774E">
        <w:rPr>
          <w:rFonts w:asciiTheme="minorHAnsi" w:hAnsiTheme="minorHAnsi" w:cstheme="minorHAnsi"/>
          <w:iCs/>
          <w:color w:val="000000" w:themeColor="text1"/>
          <w:sz w:val="22"/>
          <w:szCs w:val="22"/>
        </w:rPr>
        <w:t xml:space="preserve"> OF </w:t>
      </w:r>
      <w:r w:rsidRPr="00184ABD">
        <w:rPr>
          <w:rFonts w:asciiTheme="minorHAnsi" w:hAnsiTheme="minorHAnsi" w:cstheme="minorHAnsi"/>
          <w:iCs/>
          <w:color w:val="000000" w:themeColor="text1"/>
          <w:sz w:val="22"/>
          <w:szCs w:val="22"/>
        </w:rPr>
        <w:t>PATIENT-CENTEREDNESS</w:t>
      </w:r>
    </w:p>
    <w:p w14:paraId="433948D3" w14:textId="77777777" w:rsidR="00236591" w:rsidRPr="00184ABD" w:rsidRDefault="00236591" w:rsidP="00236591">
      <w:pPr>
        <w:pStyle w:val="BodyText"/>
        <w:widowControl w:val="0"/>
        <w:spacing w:after="0" w:line="240" w:lineRule="auto"/>
        <w:ind w:firstLine="0"/>
        <w:rPr>
          <w:rFonts w:asciiTheme="minorHAnsi" w:hAnsiTheme="minorHAnsi" w:cstheme="minorHAnsi"/>
          <w:iCs/>
          <w:color w:val="000000" w:themeColor="text1"/>
          <w:sz w:val="22"/>
          <w:szCs w:val="22"/>
        </w:rPr>
      </w:pPr>
      <w:r w:rsidRPr="00184ABD">
        <w:rPr>
          <w:rFonts w:asciiTheme="minorHAnsi" w:hAnsiTheme="minorHAnsi" w:cstheme="minorHAnsi"/>
          <w:iCs/>
          <w:color w:val="000000" w:themeColor="text1"/>
          <w:sz w:val="22"/>
          <w:szCs w:val="22"/>
        </w:rPr>
        <w:t xml:space="preserve">The </w:t>
      </w:r>
      <w:r w:rsidRPr="00184ABD">
        <w:rPr>
          <w:rFonts w:asciiTheme="minorHAnsi" w:hAnsiTheme="minorHAnsi" w:cstheme="minorHAnsi"/>
          <w:sz w:val="22"/>
          <w:szCs w:val="22"/>
        </w:rPr>
        <w:t>Consumer Assessment of Healthcare Providers and Systems Hospital Survey – Child Version (</w:t>
      </w:r>
      <w:r w:rsidRPr="00184ABD">
        <w:rPr>
          <w:rFonts w:asciiTheme="minorHAnsi" w:eastAsia="MS ??" w:hAnsiTheme="minorHAnsi" w:cstheme="minorHAnsi"/>
          <w:sz w:val="22"/>
          <w:szCs w:val="22"/>
        </w:rPr>
        <w:t>Child HCAHPS)</w:t>
      </w:r>
      <w:r w:rsidRPr="00184ABD">
        <w:rPr>
          <w:rFonts w:asciiTheme="minorHAnsi" w:hAnsiTheme="minorHAnsi" w:cstheme="minorHAnsi"/>
          <w:iCs/>
          <w:color w:val="000000" w:themeColor="text1"/>
          <w:sz w:val="22"/>
          <w:szCs w:val="22"/>
        </w:rPr>
        <w:t xml:space="preserve"> measures key components of patient experience, such as provider communication, that support patient-centered care. It focuses on aspects of care that consumers have identified as important and for which patients are the only or best source of information. Patient perceptions of </w:t>
      </w:r>
      <w:proofErr w:type="gramStart"/>
      <w:r w:rsidRPr="00184ABD">
        <w:rPr>
          <w:rFonts w:asciiTheme="minorHAnsi" w:hAnsiTheme="minorHAnsi" w:cstheme="minorHAnsi"/>
          <w:iCs/>
          <w:color w:val="000000" w:themeColor="text1"/>
          <w:sz w:val="22"/>
          <w:szCs w:val="22"/>
        </w:rPr>
        <w:t>high quality</w:t>
      </w:r>
      <w:proofErr w:type="gramEnd"/>
      <w:r w:rsidRPr="00184ABD">
        <w:rPr>
          <w:rFonts w:asciiTheme="minorHAnsi" w:hAnsiTheme="minorHAnsi" w:cstheme="minorHAnsi"/>
          <w:iCs/>
          <w:color w:val="000000" w:themeColor="text1"/>
          <w:sz w:val="22"/>
          <w:szCs w:val="22"/>
        </w:rPr>
        <w:t xml:space="preserve"> care improve patient engagement, leading to improved clinical outcomes. Child </w:t>
      </w:r>
      <w:r>
        <w:rPr>
          <w:rFonts w:asciiTheme="minorHAnsi" w:hAnsiTheme="minorHAnsi" w:cstheme="minorHAnsi"/>
          <w:iCs/>
          <w:color w:val="000000" w:themeColor="text1"/>
          <w:sz w:val="22"/>
          <w:szCs w:val="22"/>
        </w:rPr>
        <w:t>H</w:t>
      </w:r>
      <w:r w:rsidRPr="00184ABD">
        <w:rPr>
          <w:rFonts w:asciiTheme="minorHAnsi" w:hAnsiTheme="minorHAnsi" w:cstheme="minorHAnsi"/>
          <w:iCs/>
          <w:color w:val="000000" w:themeColor="text1"/>
          <w:sz w:val="22"/>
          <w:szCs w:val="22"/>
        </w:rPr>
        <w:t>CAHPS is an actionable measure that can help hospitals target interventions that will improve the quality and patient-centeredness of care.</w:t>
      </w:r>
    </w:p>
    <w:p w14:paraId="07AB9EEC" w14:textId="77777777" w:rsidR="00236591" w:rsidRPr="00313286" w:rsidRDefault="00236591" w:rsidP="00236591">
      <w:pPr>
        <w:pStyle w:val="BodyText"/>
        <w:widowControl w:val="0"/>
        <w:spacing w:after="0" w:line="240" w:lineRule="auto"/>
        <w:ind w:firstLine="0"/>
        <w:rPr>
          <w:rFonts w:asciiTheme="minorHAnsi" w:hAnsiTheme="minorHAnsi" w:cstheme="minorHAnsi"/>
          <w:iCs/>
          <w:sz w:val="22"/>
          <w:szCs w:val="22"/>
        </w:rPr>
      </w:pPr>
    </w:p>
    <w:p w14:paraId="5DFC7629" w14:textId="6E83426B" w:rsidR="00236591" w:rsidRPr="00184ABD" w:rsidRDefault="00236591" w:rsidP="00236591">
      <w:pPr>
        <w:pStyle w:val="BodyText"/>
        <w:widowControl w:val="0"/>
        <w:spacing w:after="0" w:line="240" w:lineRule="auto"/>
        <w:ind w:firstLine="0"/>
        <w:rPr>
          <w:rFonts w:asciiTheme="minorHAnsi" w:hAnsiTheme="minorHAnsi" w:cstheme="minorHAnsi"/>
          <w:sz w:val="22"/>
          <w:szCs w:val="22"/>
        </w:rPr>
      </w:pPr>
      <w:r w:rsidRPr="00313286">
        <w:rPr>
          <w:rFonts w:asciiTheme="minorHAnsi" w:hAnsiTheme="minorHAnsi" w:cstheme="minorHAnsi"/>
          <w:sz w:val="22"/>
          <w:szCs w:val="22"/>
        </w:rPr>
        <w:t xml:space="preserve">Studies have shown that the association between patient-centeredness and health outcomes is stronger when patient-centeredness is measured by patient report than when it is measured by provider or researcher </w:t>
      </w:r>
      <w:proofErr w:type="gramStart"/>
      <w:r w:rsidRPr="00313286">
        <w:rPr>
          <w:rFonts w:asciiTheme="minorHAnsi" w:hAnsiTheme="minorHAnsi" w:cstheme="minorHAnsi"/>
          <w:sz w:val="22"/>
          <w:szCs w:val="22"/>
        </w:rPr>
        <w:t>assessment.[</w:t>
      </w:r>
      <w:proofErr w:type="gramEnd"/>
      <w:r w:rsidRPr="00313286">
        <w:rPr>
          <w:rFonts w:asciiTheme="minorHAnsi" w:hAnsiTheme="minorHAnsi" w:cstheme="minorHAnsi"/>
          <w:sz w:val="22"/>
          <w:szCs w:val="22"/>
        </w:rPr>
        <w:t>3-</w:t>
      </w:r>
      <w:r w:rsidR="001276EA" w:rsidRPr="00313286">
        <w:rPr>
          <w:rFonts w:asciiTheme="minorHAnsi" w:hAnsiTheme="minorHAnsi" w:cstheme="minorHAnsi"/>
          <w:sz w:val="22"/>
          <w:szCs w:val="22"/>
        </w:rPr>
        <w:t>6</w:t>
      </w:r>
      <w:r w:rsidRPr="00313286">
        <w:rPr>
          <w:rFonts w:asciiTheme="minorHAnsi" w:hAnsiTheme="minorHAnsi" w:cstheme="minorHAnsi"/>
          <w:sz w:val="22"/>
          <w:szCs w:val="22"/>
        </w:rPr>
        <w:t xml:space="preserve">] As such, the </w:t>
      </w:r>
      <w:r w:rsidRPr="00313286">
        <w:rPr>
          <w:rFonts w:asciiTheme="minorHAnsi" w:eastAsia="MS ??" w:hAnsiTheme="minorHAnsi" w:cstheme="minorHAnsi"/>
          <w:sz w:val="22"/>
          <w:szCs w:val="22"/>
        </w:rPr>
        <w:t xml:space="preserve">Child HCAHPS survey has been designed to evaluate patient- and family-centeredness by measuring parents’ perspectives on their child’s inpatient experiences of care. </w:t>
      </w:r>
      <w:r w:rsidRPr="00313286">
        <w:rPr>
          <w:rFonts w:asciiTheme="minorHAnsi" w:hAnsiTheme="minorHAnsi" w:cstheme="minorHAnsi"/>
          <w:sz w:val="22"/>
          <w:szCs w:val="22"/>
        </w:rPr>
        <w:t>Specific domains have been identified by parents and patients in focus groups and interviews as important facets of patient- and family-centered care. These include clear communication, care coordination, being listened to, being treated respectfully, being kept informed,</w:t>
      </w:r>
      <w:r w:rsidR="005A0E4E" w:rsidRPr="00313286">
        <w:rPr>
          <w:rFonts w:asciiTheme="minorHAnsi" w:hAnsiTheme="minorHAnsi" w:cstheme="minorHAnsi"/>
          <w:sz w:val="22"/>
          <w:szCs w:val="22"/>
        </w:rPr>
        <w:t xml:space="preserve"> building </w:t>
      </w:r>
      <w:proofErr w:type="gramStart"/>
      <w:r w:rsidR="005A0E4E" w:rsidRPr="00313286">
        <w:rPr>
          <w:rFonts w:asciiTheme="minorHAnsi" w:hAnsiTheme="minorHAnsi" w:cstheme="minorHAnsi"/>
          <w:sz w:val="22"/>
          <w:szCs w:val="22"/>
        </w:rPr>
        <w:t xml:space="preserve">trust, </w:t>
      </w:r>
      <w:r w:rsidRPr="00313286">
        <w:rPr>
          <w:rFonts w:asciiTheme="minorHAnsi" w:hAnsiTheme="minorHAnsi" w:cstheme="minorHAnsi"/>
          <w:sz w:val="22"/>
          <w:szCs w:val="22"/>
        </w:rPr>
        <w:t xml:space="preserve"> and</w:t>
      </w:r>
      <w:proofErr w:type="gramEnd"/>
      <w:r w:rsidRPr="00313286">
        <w:rPr>
          <w:rFonts w:asciiTheme="minorHAnsi" w:hAnsiTheme="minorHAnsi" w:cstheme="minorHAnsi"/>
          <w:sz w:val="22"/>
          <w:szCs w:val="22"/>
        </w:rPr>
        <w:t xml:space="preserve"> being involved in decision-making.[</w:t>
      </w:r>
      <w:r w:rsidR="001276EA" w:rsidRPr="00313286">
        <w:rPr>
          <w:rFonts w:asciiTheme="minorHAnsi" w:hAnsiTheme="minorHAnsi" w:cstheme="minorHAnsi"/>
          <w:sz w:val="22"/>
          <w:szCs w:val="22"/>
        </w:rPr>
        <w:t>7</w:t>
      </w:r>
      <w:r w:rsidRPr="00313286">
        <w:rPr>
          <w:rFonts w:asciiTheme="minorHAnsi" w:hAnsiTheme="minorHAnsi" w:cstheme="minorHAnsi"/>
          <w:sz w:val="22"/>
          <w:szCs w:val="22"/>
        </w:rPr>
        <w:t>-</w:t>
      </w:r>
      <w:r w:rsidR="001276EA" w:rsidRPr="00313286">
        <w:rPr>
          <w:rFonts w:asciiTheme="minorHAnsi" w:hAnsiTheme="minorHAnsi" w:cstheme="minorHAnsi"/>
          <w:sz w:val="22"/>
          <w:szCs w:val="22"/>
        </w:rPr>
        <w:t>12</w:t>
      </w:r>
      <w:r w:rsidRPr="00313286">
        <w:rPr>
          <w:rFonts w:asciiTheme="minorHAnsi" w:hAnsiTheme="minorHAnsi" w:cstheme="minorHAnsi"/>
          <w:sz w:val="22"/>
          <w:szCs w:val="22"/>
        </w:rPr>
        <w:t>] These domains, which encompass aspects of care about which patients are able to reliably report their experiences,[</w:t>
      </w:r>
      <w:r w:rsidR="001276EA" w:rsidRPr="00313286">
        <w:rPr>
          <w:rFonts w:asciiTheme="minorHAnsi" w:hAnsiTheme="minorHAnsi" w:cstheme="minorHAnsi"/>
          <w:sz w:val="22"/>
          <w:szCs w:val="22"/>
        </w:rPr>
        <w:t>13</w:t>
      </w:r>
      <w:r w:rsidRPr="00313286">
        <w:rPr>
          <w:rFonts w:asciiTheme="minorHAnsi" w:hAnsiTheme="minorHAnsi" w:cstheme="minorHAnsi"/>
          <w:sz w:val="22"/>
          <w:szCs w:val="22"/>
        </w:rPr>
        <w:t xml:space="preserve">] are critical to the validity </w:t>
      </w:r>
      <w:r w:rsidRPr="00184ABD">
        <w:rPr>
          <w:rFonts w:asciiTheme="minorHAnsi" w:hAnsiTheme="minorHAnsi" w:cstheme="minorHAnsi"/>
          <w:sz w:val="22"/>
          <w:szCs w:val="22"/>
        </w:rPr>
        <w:t xml:space="preserve">of patient experience measures. Many of these domains, such as communication with nurses, pain management, and patient safety, are significantly associated with overall hospital ratings, suggesting that they are components of care quality that are highly valued by patients and </w:t>
      </w:r>
      <w:proofErr w:type="gramStart"/>
      <w:r w:rsidRPr="00184ABD">
        <w:rPr>
          <w:rFonts w:asciiTheme="minorHAnsi" w:hAnsiTheme="minorHAnsi" w:cstheme="minorHAnsi"/>
          <w:sz w:val="22"/>
          <w:szCs w:val="22"/>
        </w:rPr>
        <w:t>parents.</w:t>
      </w:r>
      <w:r>
        <w:rPr>
          <w:rFonts w:asciiTheme="minorHAnsi" w:hAnsiTheme="minorHAnsi" w:cstheme="minorHAnsi"/>
          <w:sz w:val="22"/>
          <w:szCs w:val="22"/>
        </w:rPr>
        <w:t>[</w:t>
      </w:r>
      <w:proofErr w:type="gramEnd"/>
      <w:r>
        <w:rPr>
          <w:rFonts w:asciiTheme="minorHAnsi" w:hAnsiTheme="minorHAnsi" w:cstheme="minorHAnsi"/>
          <w:sz w:val="22"/>
          <w:szCs w:val="22"/>
        </w:rPr>
        <w:t>1</w:t>
      </w:r>
      <w:r w:rsidR="001276EA">
        <w:rPr>
          <w:rFonts w:asciiTheme="minorHAnsi" w:hAnsiTheme="minorHAnsi" w:cstheme="minorHAnsi"/>
          <w:sz w:val="22"/>
          <w:szCs w:val="22"/>
        </w:rPr>
        <w:t>4-18</w:t>
      </w:r>
      <w:r>
        <w:rPr>
          <w:rFonts w:asciiTheme="minorHAnsi" w:hAnsiTheme="minorHAnsi" w:cstheme="minorHAnsi"/>
          <w:sz w:val="22"/>
          <w:szCs w:val="22"/>
        </w:rPr>
        <w:t>]</w:t>
      </w:r>
      <w:r w:rsidRPr="00184ABD">
        <w:rPr>
          <w:rFonts w:asciiTheme="minorHAnsi" w:hAnsiTheme="minorHAnsi" w:cstheme="minorHAnsi"/>
          <w:sz w:val="22"/>
          <w:szCs w:val="22"/>
        </w:rPr>
        <w:t xml:space="preserve"> </w:t>
      </w:r>
      <w:r w:rsidRPr="00184ABD">
        <w:rPr>
          <w:rFonts w:asciiTheme="minorHAnsi" w:hAnsiTheme="minorHAnsi" w:cstheme="minorHAnsi"/>
          <w:iCs/>
          <w:color w:val="000000" w:themeColor="text1"/>
          <w:sz w:val="22"/>
          <w:szCs w:val="22"/>
        </w:rPr>
        <w:t xml:space="preserve"> </w:t>
      </w:r>
    </w:p>
    <w:p w14:paraId="394DE61A" w14:textId="77777777" w:rsidR="00236591" w:rsidRPr="00184ABD" w:rsidRDefault="00236591" w:rsidP="00236591">
      <w:pPr>
        <w:pStyle w:val="BodyText"/>
        <w:widowControl w:val="0"/>
        <w:spacing w:after="0" w:line="240" w:lineRule="auto"/>
        <w:ind w:firstLine="0"/>
        <w:rPr>
          <w:rFonts w:asciiTheme="minorHAnsi" w:hAnsiTheme="minorHAnsi" w:cstheme="minorHAnsi"/>
          <w:sz w:val="22"/>
          <w:szCs w:val="22"/>
        </w:rPr>
      </w:pPr>
    </w:p>
    <w:p w14:paraId="7C8139CD" w14:textId="77777777" w:rsidR="00236591" w:rsidRPr="00184ABD" w:rsidRDefault="00236591" w:rsidP="00236591">
      <w:pPr>
        <w:ind w:left="0" w:firstLine="0"/>
        <w:rPr>
          <w:rFonts w:cstheme="minorHAnsi"/>
          <w:iCs/>
          <w:color w:val="000000" w:themeColor="text1"/>
        </w:rPr>
      </w:pPr>
      <w:r w:rsidRPr="00184ABD">
        <w:rPr>
          <w:rFonts w:cstheme="minorHAnsi"/>
          <w:iCs/>
          <w:color w:val="000000" w:themeColor="text1"/>
        </w:rPr>
        <w:t>PROVIDER COMMUNICATION AND HEALTH-RELATED PATIENT BEHAVIORS</w:t>
      </w:r>
    </w:p>
    <w:p w14:paraId="04935CD2" w14:textId="293AFB36" w:rsidR="00236591" w:rsidRPr="00313286" w:rsidRDefault="00236591" w:rsidP="00236591">
      <w:pPr>
        <w:ind w:left="0" w:firstLine="0"/>
        <w:rPr>
          <w:rFonts w:cstheme="minorHAnsi"/>
          <w:iCs/>
        </w:rPr>
      </w:pPr>
      <w:r w:rsidRPr="00184ABD">
        <w:rPr>
          <w:rFonts w:cstheme="minorHAnsi"/>
          <w:iCs/>
          <w:color w:val="000000" w:themeColor="text1"/>
        </w:rPr>
        <w:t xml:space="preserve">One dimension of the Child HCAHPS measure captures parents' perceptions of how well providers communicate with </w:t>
      </w:r>
      <w:r>
        <w:rPr>
          <w:rFonts w:cstheme="minorHAnsi"/>
          <w:iCs/>
          <w:color w:val="000000" w:themeColor="text1"/>
        </w:rPr>
        <w:t xml:space="preserve">them and their child. </w:t>
      </w:r>
      <w:r w:rsidRPr="00184ABD">
        <w:rPr>
          <w:rFonts w:cstheme="minorHAnsi"/>
          <w:iCs/>
          <w:color w:val="000000" w:themeColor="text1"/>
        </w:rPr>
        <w:t>Better patient-provider communication promotes more beneficial healthcare-related patient behavio</w:t>
      </w:r>
      <w:r>
        <w:rPr>
          <w:rFonts w:cstheme="minorHAnsi"/>
          <w:iCs/>
          <w:color w:val="000000" w:themeColor="text1"/>
        </w:rPr>
        <w:t>rs</w:t>
      </w:r>
      <w:r w:rsidRPr="00184ABD">
        <w:rPr>
          <w:rFonts w:cstheme="minorHAnsi"/>
          <w:iCs/>
          <w:color w:val="000000" w:themeColor="text1"/>
        </w:rPr>
        <w:t>.</w:t>
      </w:r>
      <w:r>
        <w:rPr>
          <w:rFonts w:cstheme="minorHAnsi"/>
          <w:iCs/>
          <w:color w:val="000000" w:themeColor="text1"/>
        </w:rPr>
        <w:t>[1</w:t>
      </w:r>
      <w:r w:rsidR="001276EA">
        <w:rPr>
          <w:rFonts w:cstheme="minorHAnsi"/>
          <w:iCs/>
          <w:color w:val="000000" w:themeColor="text1"/>
        </w:rPr>
        <w:t>9</w:t>
      </w:r>
      <w:r>
        <w:rPr>
          <w:rFonts w:cstheme="minorHAnsi"/>
          <w:iCs/>
          <w:color w:val="000000" w:themeColor="text1"/>
        </w:rPr>
        <w:t>]</w:t>
      </w:r>
      <w:r w:rsidRPr="00184ABD">
        <w:rPr>
          <w:rFonts w:cstheme="minorHAnsi"/>
          <w:iCs/>
          <w:color w:val="000000" w:themeColor="text1"/>
        </w:rPr>
        <w:t xml:space="preserve"> A 2009 meta-analysis of 127 studies assessing the link between patient treatment adherence and physician-patient communication found a 19% higher risk of non-adherence among patients whose physician communicated poor</w:t>
      </w:r>
      <w:r>
        <w:rPr>
          <w:rFonts w:cstheme="minorHAnsi"/>
          <w:iCs/>
          <w:color w:val="000000" w:themeColor="text1"/>
        </w:rPr>
        <w:t>ly</w:t>
      </w:r>
      <w:r w:rsidRPr="00184ABD">
        <w:rPr>
          <w:rFonts w:cstheme="minorHAnsi"/>
          <w:iCs/>
          <w:color w:val="000000" w:themeColor="text1"/>
        </w:rPr>
        <w:t>.</w:t>
      </w:r>
      <w:r>
        <w:rPr>
          <w:rFonts w:cstheme="minorHAnsi"/>
          <w:iCs/>
          <w:color w:val="000000" w:themeColor="text1"/>
        </w:rPr>
        <w:t>[</w:t>
      </w:r>
      <w:r w:rsidR="001276EA">
        <w:rPr>
          <w:rFonts w:cstheme="minorHAnsi"/>
          <w:iCs/>
          <w:color w:val="000000" w:themeColor="text1"/>
        </w:rPr>
        <w:t>20</w:t>
      </w:r>
      <w:r>
        <w:rPr>
          <w:rFonts w:cstheme="minorHAnsi"/>
          <w:iCs/>
          <w:color w:val="000000" w:themeColor="text1"/>
        </w:rPr>
        <w:t>]</w:t>
      </w:r>
      <w:r w:rsidRPr="00184ABD">
        <w:rPr>
          <w:rFonts w:cstheme="minorHAnsi"/>
          <w:iCs/>
          <w:color w:val="000000" w:themeColor="text1"/>
        </w:rPr>
        <w:t xml:space="preserve"> Another meta-analysis showed positive associations between the quality of clinician-patient communications and adherence to medical treatment </w:t>
      </w:r>
      <w:r>
        <w:rPr>
          <w:rFonts w:cstheme="minorHAnsi"/>
          <w:iCs/>
          <w:color w:val="000000" w:themeColor="text1"/>
        </w:rPr>
        <w:t>in 125 of 127 studies analyzed</w:t>
      </w:r>
      <w:r w:rsidRPr="00184ABD">
        <w:rPr>
          <w:rFonts w:cstheme="minorHAnsi"/>
          <w:iCs/>
          <w:color w:val="000000" w:themeColor="text1"/>
        </w:rPr>
        <w:t>.</w:t>
      </w:r>
      <w:r>
        <w:rPr>
          <w:rFonts w:cstheme="minorHAnsi"/>
          <w:iCs/>
          <w:color w:val="000000" w:themeColor="text1"/>
        </w:rPr>
        <w:t>[</w:t>
      </w:r>
      <w:r w:rsidR="001276EA">
        <w:rPr>
          <w:rFonts w:cstheme="minorHAnsi"/>
          <w:iCs/>
          <w:color w:val="000000" w:themeColor="text1"/>
        </w:rPr>
        <w:t>21</w:t>
      </w:r>
      <w:r>
        <w:rPr>
          <w:rFonts w:cstheme="minorHAnsi"/>
          <w:iCs/>
          <w:color w:val="000000" w:themeColor="text1"/>
        </w:rPr>
        <w:t>]</w:t>
      </w:r>
      <w:r w:rsidRPr="00184ABD">
        <w:rPr>
          <w:rFonts w:cstheme="minorHAnsi"/>
          <w:iCs/>
          <w:color w:val="000000" w:themeColor="text1"/>
        </w:rPr>
        <w:t xml:space="preserve"> Studies using the </w:t>
      </w:r>
      <w:r>
        <w:rPr>
          <w:rFonts w:cstheme="minorHAnsi"/>
          <w:iCs/>
          <w:color w:val="000000" w:themeColor="text1"/>
        </w:rPr>
        <w:t xml:space="preserve">Clinician and Group, and Health Plan </w:t>
      </w:r>
      <w:r w:rsidRPr="00184ABD">
        <w:rPr>
          <w:rFonts w:cstheme="minorHAnsi"/>
          <w:iCs/>
          <w:color w:val="000000" w:themeColor="text1"/>
        </w:rPr>
        <w:t xml:space="preserve">CAHPS </w:t>
      </w:r>
      <w:r w:rsidRPr="00313286">
        <w:rPr>
          <w:rFonts w:cstheme="minorHAnsi"/>
          <w:iCs/>
        </w:rPr>
        <w:t>measures have found that better provider communication is positively associated with adherence to hypoglycemic medications</w:t>
      </w:r>
      <w:r w:rsidR="00867AA0" w:rsidRPr="00313286">
        <w:rPr>
          <w:rFonts w:cstheme="minorHAnsi"/>
          <w:iCs/>
        </w:rPr>
        <w:t xml:space="preserve"> and antidepressants</w:t>
      </w:r>
      <w:r w:rsidRPr="00313286">
        <w:rPr>
          <w:rFonts w:cstheme="minorHAnsi"/>
          <w:iCs/>
        </w:rPr>
        <w:t xml:space="preserve"> among diabetics, adherence to tamoxifen among breast cancer patients, and higher rates of colorectal cancer screening among adults in the US.[</w:t>
      </w:r>
      <w:r w:rsidR="001276EA" w:rsidRPr="00313286">
        <w:rPr>
          <w:rFonts w:cstheme="minorHAnsi"/>
          <w:iCs/>
        </w:rPr>
        <w:t>22-25</w:t>
      </w:r>
      <w:r w:rsidRPr="00313286">
        <w:rPr>
          <w:rFonts w:cstheme="minorHAnsi"/>
          <w:iCs/>
        </w:rPr>
        <w:t xml:space="preserve">] </w:t>
      </w:r>
    </w:p>
    <w:p w14:paraId="245C949F" w14:textId="77777777" w:rsidR="00236591" w:rsidRPr="00313286" w:rsidRDefault="00236591" w:rsidP="00236591">
      <w:pPr>
        <w:pStyle w:val="BodyText"/>
        <w:widowControl w:val="0"/>
        <w:spacing w:after="0" w:line="240" w:lineRule="auto"/>
        <w:ind w:firstLine="0"/>
        <w:rPr>
          <w:rFonts w:asciiTheme="minorHAnsi" w:hAnsiTheme="minorHAnsi" w:cstheme="minorHAnsi"/>
          <w:sz w:val="22"/>
          <w:szCs w:val="22"/>
        </w:rPr>
      </w:pPr>
    </w:p>
    <w:p w14:paraId="0EBE514F" w14:textId="77777777" w:rsidR="00236591" w:rsidRPr="00184ABD" w:rsidRDefault="00236591" w:rsidP="00236591">
      <w:pPr>
        <w:pStyle w:val="BodyText"/>
        <w:widowControl w:val="0"/>
        <w:spacing w:after="0" w:line="240" w:lineRule="auto"/>
        <w:ind w:firstLine="0"/>
        <w:rPr>
          <w:rFonts w:asciiTheme="minorHAnsi" w:hAnsiTheme="minorHAnsi" w:cstheme="minorHAnsi"/>
          <w:sz w:val="22"/>
          <w:szCs w:val="22"/>
        </w:rPr>
      </w:pPr>
      <w:r w:rsidRPr="00184ABD">
        <w:rPr>
          <w:rFonts w:asciiTheme="minorHAnsi" w:hAnsiTheme="minorHAnsi" w:cstheme="minorHAnsi"/>
          <w:sz w:val="22"/>
          <w:szCs w:val="22"/>
        </w:rPr>
        <w:t>RELATIONSHIP BETWEEN PATIENT-CENTEREDNESS AND OTHER ASPECTS OF QUALITY</w:t>
      </w:r>
    </w:p>
    <w:p w14:paraId="36420A5C" w14:textId="1EBF5AA1" w:rsidR="00236591" w:rsidRPr="00184ABD" w:rsidRDefault="00236591" w:rsidP="00236591">
      <w:pPr>
        <w:pStyle w:val="BodyText"/>
        <w:widowControl w:val="0"/>
        <w:spacing w:after="0" w:line="240" w:lineRule="auto"/>
        <w:ind w:firstLine="0"/>
        <w:rPr>
          <w:rFonts w:asciiTheme="minorHAnsi" w:hAnsiTheme="minorHAnsi" w:cstheme="minorHAnsi"/>
          <w:sz w:val="22"/>
          <w:szCs w:val="22"/>
        </w:rPr>
      </w:pPr>
      <w:r w:rsidRPr="00184ABD">
        <w:rPr>
          <w:rFonts w:asciiTheme="minorHAnsi" w:hAnsiTheme="minorHAnsi" w:cstheme="minorHAnsi"/>
          <w:sz w:val="22"/>
          <w:szCs w:val="22"/>
        </w:rPr>
        <w:t xml:space="preserve">Although not all studies are </w:t>
      </w:r>
      <w:proofErr w:type="gramStart"/>
      <w:r w:rsidRPr="00184ABD">
        <w:rPr>
          <w:rFonts w:asciiTheme="minorHAnsi" w:hAnsiTheme="minorHAnsi" w:cstheme="minorHAnsi"/>
          <w:sz w:val="22"/>
          <w:szCs w:val="22"/>
        </w:rPr>
        <w:t>supportive,</w:t>
      </w:r>
      <w:r>
        <w:rPr>
          <w:rFonts w:asciiTheme="minorHAnsi" w:hAnsiTheme="minorHAnsi" w:cstheme="minorHAnsi"/>
          <w:sz w:val="22"/>
          <w:szCs w:val="22"/>
        </w:rPr>
        <w:t>[</w:t>
      </w:r>
      <w:proofErr w:type="gramEnd"/>
      <w:r>
        <w:rPr>
          <w:rFonts w:asciiTheme="minorHAnsi" w:hAnsiTheme="minorHAnsi" w:cstheme="minorHAnsi"/>
          <w:sz w:val="22"/>
          <w:szCs w:val="22"/>
        </w:rPr>
        <w:t>26</w:t>
      </w:r>
      <w:r w:rsidR="001276EA">
        <w:rPr>
          <w:rFonts w:asciiTheme="minorHAnsi" w:hAnsiTheme="minorHAnsi" w:cstheme="minorHAnsi"/>
          <w:sz w:val="22"/>
          <w:szCs w:val="22"/>
        </w:rPr>
        <w:t>-30</w:t>
      </w:r>
      <w:r>
        <w:rPr>
          <w:rFonts w:asciiTheme="minorHAnsi" w:hAnsiTheme="minorHAnsi" w:cstheme="minorHAnsi"/>
          <w:sz w:val="22"/>
          <w:szCs w:val="22"/>
        </w:rPr>
        <w:t>]</w:t>
      </w:r>
      <w:r w:rsidRPr="00184ABD">
        <w:rPr>
          <w:rFonts w:asciiTheme="minorHAnsi" w:hAnsiTheme="minorHAnsi" w:cstheme="minorHAnsi"/>
          <w:sz w:val="22"/>
          <w:szCs w:val="22"/>
        </w:rPr>
        <w:t xml:space="preserve"> there is growing evidence that patient-centeredness, as reflected by patient experience, is associated with other aspects of quality. </w:t>
      </w:r>
      <w:r w:rsidRPr="00184ABD">
        <w:rPr>
          <w:rFonts w:asciiTheme="minorHAnsi" w:hAnsiTheme="minorHAnsi" w:cstheme="minorHAnsi"/>
          <w:iCs/>
          <w:color w:val="000000" w:themeColor="text1"/>
          <w:sz w:val="22"/>
          <w:szCs w:val="22"/>
        </w:rPr>
        <w:t>Two major systematic reviews have examined the relationships among patient experience, clinical processes, and patient outcomes. A systematic review found that patient experience is favorably associated with adherence to recommended medications and treatments, preventive care such as screenings and immunizations, patient-reported outcomes, clinical outcomes, reduced hospitalizations and primary care visits, and reduced adv</w:t>
      </w:r>
      <w:r>
        <w:rPr>
          <w:rFonts w:asciiTheme="minorHAnsi" w:hAnsiTheme="minorHAnsi" w:cstheme="minorHAnsi"/>
          <w:iCs/>
          <w:color w:val="000000" w:themeColor="text1"/>
          <w:sz w:val="22"/>
          <w:szCs w:val="22"/>
        </w:rPr>
        <w:t>erse events</w:t>
      </w:r>
      <w:r w:rsidRPr="00184ABD">
        <w:rPr>
          <w:rFonts w:asciiTheme="minorHAnsi" w:hAnsiTheme="minorHAnsi" w:cstheme="minorHAnsi"/>
          <w:iCs/>
          <w:color w:val="000000" w:themeColor="text1"/>
          <w:sz w:val="22"/>
          <w:szCs w:val="22"/>
        </w:rPr>
        <w:t>.</w:t>
      </w:r>
      <w:r>
        <w:rPr>
          <w:rFonts w:asciiTheme="minorHAnsi" w:hAnsiTheme="minorHAnsi" w:cstheme="minorHAnsi"/>
          <w:iCs/>
          <w:color w:val="000000" w:themeColor="text1"/>
          <w:sz w:val="22"/>
          <w:szCs w:val="22"/>
        </w:rPr>
        <w:t xml:space="preserve"> [</w:t>
      </w:r>
      <w:r w:rsidR="001276EA">
        <w:rPr>
          <w:rFonts w:asciiTheme="minorHAnsi" w:hAnsiTheme="minorHAnsi" w:cstheme="minorHAnsi"/>
          <w:iCs/>
          <w:color w:val="000000" w:themeColor="text1"/>
          <w:sz w:val="22"/>
          <w:szCs w:val="22"/>
        </w:rPr>
        <w:t>21</w:t>
      </w:r>
      <w:r>
        <w:rPr>
          <w:rFonts w:asciiTheme="minorHAnsi" w:hAnsiTheme="minorHAnsi" w:cstheme="minorHAnsi"/>
          <w:iCs/>
          <w:color w:val="000000" w:themeColor="text1"/>
          <w:sz w:val="22"/>
          <w:szCs w:val="22"/>
        </w:rPr>
        <w:t>]</w:t>
      </w:r>
      <w:r w:rsidRPr="00184ABD">
        <w:rPr>
          <w:rFonts w:asciiTheme="minorHAnsi" w:hAnsiTheme="minorHAnsi" w:cstheme="minorHAnsi"/>
          <w:iCs/>
          <w:color w:val="000000" w:themeColor="text1"/>
          <w:sz w:val="22"/>
          <w:szCs w:val="22"/>
        </w:rPr>
        <w:t xml:space="preserve"> A more recent review similarly found that better patient care experiences are associated with higher levels of adherence to recommended prevention and treatment processes, better clinical outcomes, and lower health care </w:t>
      </w:r>
      <w:r>
        <w:rPr>
          <w:rFonts w:asciiTheme="minorHAnsi" w:hAnsiTheme="minorHAnsi" w:cstheme="minorHAnsi"/>
          <w:iCs/>
          <w:color w:val="000000" w:themeColor="text1"/>
          <w:sz w:val="22"/>
          <w:szCs w:val="22"/>
        </w:rPr>
        <w:t>utilization.[</w:t>
      </w:r>
      <w:r w:rsidR="001276EA">
        <w:rPr>
          <w:rFonts w:asciiTheme="minorHAnsi" w:hAnsiTheme="minorHAnsi" w:cstheme="minorHAnsi"/>
          <w:iCs/>
          <w:color w:val="000000" w:themeColor="text1"/>
          <w:sz w:val="22"/>
          <w:szCs w:val="22"/>
        </w:rPr>
        <w:t>31</w:t>
      </w:r>
      <w:r>
        <w:rPr>
          <w:rFonts w:asciiTheme="minorHAnsi" w:hAnsiTheme="minorHAnsi" w:cstheme="minorHAnsi"/>
          <w:iCs/>
          <w:color w:val="000000" w:themeColor="text1"/>
          <w:sz w:val="22"/>
          <w:szCs w:val="22"/>
        </w:rPr>
        <w:t>]</w:t>
      </w:r>
    </w:p>
    <w:p w14:paraId="1E9429EA" w14:textId="77777777" w:rsidR="00236591" w:rsidRPr="00184ABD" w:rsidRDefault="00236591" w:rsidP="00236591">
      <w:pPr>
        <w:pStyle w:val="BodyText"/>
        <w:widowControl w:val="0"/>
        <w:spacing w:after="0" w:line="240" w:lineRule="auto"/>
        <w:ind w:firstLine="0"/>
        <w:rPr>
          <w:rFonts w:asciiTheme="minorHAnsi" w:hAnsiTheme="minorHAnsi" w:cstheme="minorHAnsi"/>
          <w:sz w:val="22"/>
          <w:szCs w:val="22"/>
        </w:rPr>
      </w:pPr>
    </w:p>
    <w:p w14:paraId="3518BC37" w14:textId="7F0CE0F8" w:rsidR="00236591" w:rsidRPr="00184ABD" w:rsidRDefault="00236591" w:rsidP="00236591">
      <w:pPr>
        <w:ind w:left="0" w:firstLine="0"/>
        <w:rPr>
          <w:rFonts w:cstheme="minorHAnsi"/>
          <w:iCs/>
          <w:color w:val="000000" w:themeColor="text1"/>
        </w:rPr>
      </w:pPr>
      <w:r w:rsidRPr="00184ABD">
        <w:rPr>
          <w:rFonts w:cstheme="minorHAnsi"/>
          <w:iCs/>
          <w:color w:val="000000" w:themeColor="text1"/>
        </w:rPr>
        <w:t>Studies suggest an association between better patient experiences and lower healthcare utilization.  Children with asthma were less likely to visit the emergency department, make urgent office visits, or be hospitalized if their physicians had reviewed a long-term therapeutic plan with their par</w:t>
      </w:r>
      <w:r>
        <w:rPr>
          <w:rFonts w:cstheme="minorHAnsi"/>
          <w:iCs/>
          <w:color w:val="000000" w:themeColor="text1"/>
        </w:rPr>
        <w:t>ents</w:t>
      </w:r>
      <w:r w:rsidRPr="00184ABD">
        <w:rPr>
          <w:rFonts w:cstheme="minorHAnsi"/>
          <w:iCs/>
          <w:color w:val="000000" w:themeColor="text1"/>
        </w:rPr>
        <w:t>.</w:t>
      </w:r>
      <w:r>
        <w:rPr>
          <w:rFonts w:cstheme="minorHAnsi"/>
          <w:iCs/>
          <w:color w:val="000000" w:themeColor="text1"/>
        </w:rPr>
        <w:t>[</w:t>
      </w:r>
      <w:r w:rsidR="001276EA">
        <w:rPr>
          <w:rFonts w:cstheme="minorHAnsi"/>
          <w:iCs/>
          <w:color w:val="000000" w:themeColor="text1"/>
        </w:rPr>
        <w:t>32</w:t>
      </w:r>
      <w:r>
        <w:rPr>
          <w:rFonts w:cstheme="minorHAnsi"/>
          <w:iCs/>
          <w:color w:val="000000" w:themeColor="text1"/>
        </w:rPr>
        <w:t>]</w:t>
      </w:r>
      <w:r w:rsidRPr="00184ABD">
        <w:rPr>
          <w:rFonts w:cstheme="minorHAnsi"/>
          <w:iCs/>
          <w:color w:val="000000" w:themeColor="text1"/>
        </w:rPr>
        <w:t xml:space="preserve">  Among African-Americans with type 2 diabetes, those who reported that doctors or nurses usually listened carefully or spent enough time with them were significantly less likely to visit the emergency department in the 12 months following completion of a patient experience s</w:t>
      </w:r>
      <w:r>
        <w:rPr>
          <w:rFonts w:cstheme="minorHAnsi"/>
          <w:iCs/>
          <w:color w:val="000000" w:themeColor="text1"/>
        </w:rPr>
        <w:t>urvey</w:t>
      </w:r>
      <w:r w:rsidRPr="00184ABD">
        <w:rPr>
          <w:rFonts w:cstheme="minorHAnsi"/>
          <w:iCs/>
          <w:color w:val="000000" w:themeColor="text1"/>
        </w:rPr>
        <w:t>.</w:t>
      </w:r>
      <w:r>
        <w:rPr>
          <w:rFonts w:cstheme="minorHAnsi"/>
          <w:iCs/>
          <w:color w:val="000000" w:themeColor="text1"/>
        </w:rPr>
        <w:t>[</w:t>
      </w:r>
      <w:r w:rsidR="001276EA">
        <w:rPr>
          <w:rFonts w:cstheme="minorHAnsi"/>
          <w:iCs/>
          <w:color w:val="000000" w:themeColor="text1"/>
        </w:rPr>
        <w:t>33</w:t>
      </w:r>
      <w:r>
        <w:rPr>
          <w:rFonts w:cstheme="minorHAnsi"/>
          <w:iCs/>
          <w:color w:val="000000" w:themeColor="text1"/>
        </w:rPr>
        <w:t>]</w:t>
      </w:r>
    </w:p>
    <w:p w14:paraId="10F96B64" w14:textId="77777777" w:rsidR="00236591" w:rsidRPr="00184ABD" w:rsidRDefault="00236591" w:rsidP="00236591">
      <w:pPr>
        <w:pStyle w:val="BodyText"/>
        <w:widowControl w:val="0"/>
        <w:spacing w:after="0" w:line="240" w:lineRule="auto"/>
        <w:ind w:firstLine="0"/>
        <w:rPr>
          <w:rFonts w:asciiTheme="minorHAnsi" w:hAnsiTheme="minorHAnsi" w:cstheme="minorHAnsi"/>
          <w:sz w:val="22"/>
          <w:szCs w:val="22"/>
        </w:rPr>
      </w:pPr>
    </w:p>
    <w:p w14:paraId="4B9993E6" w14:textId="702C029A" w:rsidR="00236591" w:rsidRPr="00313286" w:rsidRDefault="00236591" w:rsidP="00236591">
      <w:pPr>
        <w:pStyle w:val="BodyText"/>
        <w:widowControl w:val="0"/>
        <w:spacing w:after="0" w:line="240" w:lineRule="auto"/>
        <w:ind w:firstLine="0"/>
        <w:rPr>
          <w:rFonts w:asciiTheme="minorHAnsi" w:hAnsiTheme="minorHAnsi" w:cstheme="minorHAnsi"/>
          <w:sz w:val="22"/>
          <w:szCs w:val="22"/>
        </w:rPr>
      </w:pPr>
      <w:r w:rsidRPr="00184ABD">
        <w:rPr>
          <w:rFonts w:asciiTheme="minorHAnsi" w:hAnsiTheme="minorHAnsi" w:cstheme="minorHAnsi"/>
          <w:sz w:val="22"/>
          <w:szCs w:val="22"/>
        </w:rPr>
        <w:t xml:space="preserve">Several studies, primarily in adults, have shown that patient experience correlates directly with a variety of quality metrics, </w:t>
      </w:r>
      <w:r w:rsidRPr="00313286">
        <w:rPr>
          <w:rFonts w:asciiTheme="minorHAnsi" w:hAnsiTheme="minorHAnsi" w:cstheme="minorHAnsi"/>
          <w:sz w:val="22"/>
          <w:szCs w:val="22"/>
        </w:rPr>
        <w:t>including performance on clinical processes of care and health outcomes.[1</w:t>
      </w:r>
      <w:r w:rsidR="001276EA" w:rsidRPr="00313286">
        <w:rPr>
          <w:rFonts w:asciiTheme="minorHAnsi" w:hAnsiTheme="minorHAnsi" w:cstheme="minorHAnsi"/>
          <w:sz w:val="22"/>
          <w:szCs w:val="22"/>
        </w:rPr>
        <w:t>5</w:t>
      </w:r>
      <w:r w:rsidRPr="00313286">
        <w:rPr>
          <w:rFonts w:asciiTheme="minorHAnsi" w:hAnsiTheme="minorHAnsi" w:cstheme="minorHAnsi"/>
          <w:sz w:val="22"/>
          <w:szCs w:val="22"/>
        </w:rPr>
        <w:t>,</w:t>
      </w:r>
      <w:r w:rsidR="001276EA" w:rsidRPr="00313286">
        <w:rPr>
          <w:rFonts w:asciiTheme="minorHAnsi" w:hAnsiTheme="minorHAnsi" w:cstheme="minorHAnsi"/>
          <w:sz w:val="22"/>
          <w:szCs w:val="22"/>
        </w:rPr>
        <w:t>21</w:t>
      </w:r>
      <w:r w:rsidRPr="00313286">
        <w:rPr>
          <w:rFonts w:asciiTheme="minorHAnsi" w:hAnsiTheme="minorHAnsi" w:cstheme="minorHAnsi"/>
          <w:sz w:val="22"/>
          <w:szCs w:val="22"/>
        </w:rPr>
        <w:t>,34</w:t>
      </w:r>
      <w:r w:rsidR="001276EA" w:rsidRPr="00313286">
        <w:rPr>
          <w:rFonts w:asciiTheme="minorHAnsi" w:hAnsiTheme="minorHAnsi" w:cstheme="minorHAnsi"/>
          <w:sz w:val="22"/>
          <w:szCs w:val="22"/>
        </w:rPr>
        <w:t>-39</w:t>
      </w:r>
      <w:r w:rsidRPr="00313286">
        <w:rPr>
          <w:rFonts w:asciiTheme="minorHAnsi" w:hAnsiTheme="minorHAnsi" w:cstheme="minorHAnsi"/>
          <w:sz w:val="22"/>
          <w:szCs w:val="22"/>
        </w:rPr>
        <w:t xml:space="preserve">] For example, one study </w:t>
      </w:r>
      <w:r w:rsidRPr="00313286">
        <w:rPr>
          <w:rFonts w:asciiTheme="minorHAnsi" w:hAnsiTheme="minorHAnsi" w:cstheme="minorHAnsi"/>
          <w:iCs/>
          <w:sz w:val="22"/>
          <w:szCs w:val="22"/>
        </w:rPr>
        <w:t>found that measures of patient experience, including doctor-patient communication, clinical team interactions, and health promotion support, were positively associated with some prevention and disease management clinical process measures in clinical practices and among individual clinicians.[</w:t>
      </w:r>
      <w:r w:rsidR="001276EA" w:rsidRPr="00313286">
        <w:rPr>
          <w:rFonts w:asciiTheme="minorHAnsi" w:hAnsiTheme="minorHAnsi" w:cstheme="minorHAnsi"/>
          <w:iCs/>
          <w:sz w:val="22"/>
          <w:szCs w:val="22"/>
        </w:rPr>
        <w:t>40</w:t>
      </w:r>
      <w:r w:rsidRPr="00313286">
        <w:rPr>
          <w:rFonts w:asciiTheme="minorHAnsi" w:hAnsiTheme="minorHAnsi" w:cstheme="minorHAnsi"/>
          <w:iCs/>
          <w:sz w:val="22"/>
          <w:szCs w:val="22"/>
        </w:rPr>
        <w:t xml:space="preserve">] </w:t>
      </w:r>
      <w:r w:rsidRPr="00313286">
        <w:rPr>
          <w:rFonts w:asciiTheme="minorHAnsi" w:hAnsiTheme="minorHAnsi" w:cstheme="minorHAnsi"/>
          <w:sz w:val="22"/>
          <w:szCs w:val="22"/>
        </w:rPr>
        <w:t>Evidence shows that hospitals whose patients report higher patient experience scores perform better on technical processes of care.[</w:t>
      </w:r>
      <w:r w:rsidR="001276EA" w:rsidRPr="00313286">
        <w:rPr>
          <w:rFonts w:asciiTheme="minorHAnsi" w:hAnsiTheme="minorHAnsi" w:cstheme="minorHAnsi"/>
          <w:sz w:val="22"/>
          <w:szCs w:val="22"/>
        </w:rPr>
        <w:t>38</w:t>
      </w:r>
      <w:r w:rsidRPr="00313286">
        <w:rPr>
          <w:rFonts w:asciiTheme="minorHAnsi" w:hAnsiTheme="minorHAnsi" w:cstheme="minorHAnsi"/>
          <w:sz w:val="22"/>
          <w:szCs w:val="22"/>
        </w:rPr>
        <w:t>] Better patient experience, as indicated by scores for individual aspects of care, patients’ willingness to recommend the hospital, and overall hospital ratings, is associated with lower mortality rates and 30-day readmission rates.[1</w:t>
      </w:r>
      <w:r w:rsidR="001276EA" w:rsidRPr="00313286">
        <w:rPr>
          <w:rFonts w:asciiTheme="minorHAnsi" w:hAnsiTheme="minorHAnsi" w:cstheme="minorHAnsi"/>
          <w:sz w:val="22"/>
          <w:szCs w:val="22"/>
        </w:rPr>
        <w:t>5</w:t>
      </w:r>
      <w:r w:rsidRPr="00313286">
        <w:rPr>
          <w:rFonts w:asciiTheme="minorHAnsi" w:hAnsiTheme="minorHAnsi" w:cstheme="minorHAnsi"/>
          <w:sz w:val="22"/>
          <w:szCs w:val="22"/>
        </w:rPr>
        <w:t>,</w:t>
      </w:r>
      <w:r w:rsidR="001276EA" w:rsidRPr="00313286">
        <w:rPr>
          <w:rFonts w:asciiTheme="minorHAnsi" w:hAnsiTheme="minorHAnsi" w:cstheme="minorHAnsi"/>
          <w:sz w:val="22"/>
          <w:szCs w:val="22"/>
        </w:rPr>
        <w:t>34-37</w:t>
      </w:r>
      <w:r w:rsidRPr="00313286">
        <w:rPr>
          <w:rFonts w:asciiTheme="minorHAnsi" w:hAnsiTheme="minorHAnsi" w:cstheme="minorHAnsi"/>
          <w:sz w:val="22"/>
          <w:szCs w:val="22"/>
        </w:rPr>
        <w:t xml:space="preserve">] </w:t>
      </w:r>
      <w:r w:rsidR="00FD0F6D" w:rsidRPr="00313286">
        <w:rPr>
          <w:rFonts w:asciiTheme="minorHAnsi" w:hAnsiTheme="minorHAnsi" w:cstheme="minorHAnsi"/>
          <w:sz w:val="22"/>
          <w:szCs w:val="22"/>
        </w:rPr>
        <w:t>Other studies have demonstrated associations between patient satisfaction/experience scores and surgical quality outcomes.</w:t>
      </w:r>
      <w:r w:rsidR="001276EA" w:rsidRPr="00313286">
        <w:rPr>
          <w:rFonts w:asciiTheme="minorHAnsi" w:hAnsiTheme="minorHAnsi" w:cstheme="minorHAnsi"/>
          <w:sz w:val="22"/>
          <w:szCs w:val="22"/>
        </w:rPr>
        <w:t>[41-42]</w:t>
      </w:r>
      <w:r w:rsidR="00FD0F6D" w:rsidRPr="00313286">
        <w:rPr>
          <w:rFonts w:asciiTheme="minorHAnsi" w:hAnsiTheme="minorHAnsi" w:cstheme="minorHAnsi"/>
          <w:sz w:val="22"/>
          <w:szCs w:val="22"/>
        </w:rPr>
        <w:t xml:space="preserve"> </w:t>
      </w:r>
      <w:r w:rsidRPr="00313286">
        <w:rPr>
          <w:rFonts w:asciiTheme="minorHAnsi" w:hAnsiTheme="minorHAnsi" w:cstheme="minorHAnsi"/>
          <w:sz w:val="22"/>
          <w:szCs w:val="22"/>
        </w:rPr>
        <w:t>Although less is known about patient experience in pediatrics, it has been shown that parents’ reports of quality of care decline when they are less involved in decisions and receive fewer explanations about their child’s care.[</w:t>
      </w:r>
      <w:r w:rsidR="001276EA" w:rsidRPr="00313286">
        <w:rPr>
          <w:rFonts w:asciiTheme="minorHAnsi" w:hAnsiTheme="minorHAnsi" w:cstheme="minorHAnsi"/>
          <w:sz w:val="22"/>
          <w:szCs w:val="22"/>
        </w:rPr>
        <w:t>43-44</w:t>
      </w:r>
      <w:r w:rsidRPr="00313286">
        <w:rPr>
          <w:rFonts w:asciiTheme="minorHAnsi" w:hAnsiTheme="minorHAnsi" w:cstheme="minorHAnsi"/>
          <w:sz w:val="22"/>
          <w:szCs w:val="22"/>
        </w:rPr>
        <w:t xml:space="preserve">] </w:t>
      </w:r>
    </w:p>
    <w:p w14:paraId="5DCBBDB6" w14:textId="77777777" w:rsidR="00236591" w:rsidRPr="00313286" w:rsidRDefault="00236591" w:rsidP="00236591">
      <w:pPr>
        <w:ind w:left="0" w:firstLine="0"/>
        <w:rPr>
          <w:rFonts w:cstheme="minorHAnsi"/>
        </w:rPr>
      </w:pPr>
      <w:r w:rsidRPr="00313286">
        <w:rPr>
          <w:rFonts w:cstheme="minorHAnsi"/>
        </w:rPr>
        <w:t xml:space="preserve">For more details regarding the association between patient experience of care and other aspects of healthcare, see </w:t>
      </w:r>
      <w:r w:rsidRPr="00313286">
        <w:rPr>
          <w:rFonts w:cstheme="minorHAnsi"/>
          <w:b/>
          <w:i/>
        </w:rPr>
        <w:t>Evidence Table (Appendix M)</w:t>
      </w:r>
      <w:r w:rsidRPr="00313286">
        <w:rPr>
          <w:rFonts w:cstheme="minorHAnsi"/>
        </w:rPr>
        <w:t xml:space="preserve">. </w:t>
      </w:r>
    </w:p>
    <w:p w14:paraId="51AAE5BE" w14:textId="77777777" w:rsidR="00236591" w:rsidRDefault="00236591" w:rsidP="00094783">
      <w:pPr>
        <w:ind w:left="0" w:firstLine="0"/>
        <w:rPr>
          <w:iCs/>
        </w:rPr>
      </w:pPr>
    </w:p>
    <w:p w14:paraId="395C0B18" w14:textId="77777777" w:rsidR="00C04195" w:rsidRDefault="00C04195" w:rsidP="00236591">
      <w:pPr>
        <w:ind w:left="0" w:firstLine="0"/>
        <w:rPr>
          <w:b/>
          <w:iCs/>
        </w:rPr>
      </w:pPr>
    </w:p>
    <w:p w14:paraId="2B48E534" w14:textId="77777777" w:rsidR="00236591" w:rsidRPr="004A666C" w:rsidRDefault="00236591" w:rsidP="00236591">
      <w:pPr>
        <w:ind w:left="0" w:firstLine="0"/>
        <w:rPr>
          <w:b/>
          <w:iCs/>
        </w:rPr>
      </w:pPr>
      <w:r w:rsidRPr="004A666C">
        <w:rPr>
          <w:b/>
          <w:iCs/>
        </w:rPr>
        <w:t>REFERENCES</w:t>
      </w:r>
    </w:p>
    <w:p w14:paraId="268DD73B" w14:textId="77777777" w:rsidR="00236591" w:rsidRPr="00CF5461" w:rsidRDefault="00236591" w:rsidP="00236591">
      <w:pPr>
        <w:pStyle w:val="Bibliography"/>
        <w:spacing w:after="0"/>
        <w:rPr>
          <w:rFonts w:cs="Calibri"/>
        </w:rPr>
      </w:pPr>
      <w:r w:rsidRPr="00CF5461">
        <w:rPr>
          <w:iCs/>
        </w:rPr>
        <w:fldChar w:fldCharType="begin"/>
      </w:r>
      <w:r w:rsidRPr="00CF5461">
        <w:rPr>
          <w:iCs/>
        </w:rPr>
        <w:instrText xml:space="preserve"> ADDIN ZOTERO_BIBL {"custom":[]} CSL_BIBLIOGRAPHY </w:instrText>
      </w:r>
      <w:r w:rsidRPr="00CF5461">
        <w:rPr>
          <w:iCs/>
        </w:rPr>
        <w:fldChar w:fldCharType="separate"/>
      </w:r>
      <w:r w:rsidRPr="00CF5461">
        <w:rPr>
          <w:rFonts w:cs="Calibri"/>
        </w:rPr>
        <w:t xml:space="preserve">1. </w:t>
      </w:r>
      <w:r w:rsidRPr="00CF5461">
        <w:rPr>
          <w:rFonts w:cs="Calibri"/>
        </w:rPr>
        <w:tab/>
        <w:t xml:space="preserve">Institute of Medicine Committee on the Quality of Health Care in America. </w:t>
      </w:r>
      <w:r w:rsidRPr="00CF5461">
        <w:rPr>
          <w:rFonts w:cs="Calibri"/>
          <w:i/>
          <w:iCs/>
        </w:rPr>
        <w:t>Crossing the Quality Chasm: A New Health System for the 21st Century</w:t>
      </w:r>
      <w:r w:rsidRPr="00CF5461">
        <w:rPr>
          <w:rFonts w:cs="Calibri"/>
        </w:rPr>
        <w:t>. Washington, D.C.: National Academy Press; 2001.</w:t>
      </w:r>
    </w:p>
    <w:p w14:paraId="2A86B605" w14:textId="77777777" w:rsidR="00236591" w:rsidRPr="00CF5461" w:rsidRDefault="00236591" w:rsidP="00236591">
      <w:pPr>
        <w:pStyle w:val="Bibliography"/>
        <w:spacing w:after="0"/>
        <w:rPr>
          <w:rFonts w:cs="Calibri"/>
        </w:rPr>
      </w:pPr>
      <w:r w:rsidRPr="00CF5461">
        <w:rPr>
          <w:rFonts w:cs="Calibri"/>
        </w:rPr>
        <w:t xml:space="preserve">2. </w:t>
      </w:r>
      <w:r w:rsidRPr="00CF5461">
        <w:rPr>
          <w:rFonts w:cs="Calibri"/>
        </w:rPr>
        <w:tab/>
        <w:t xml:space="preserve">Institute of Medicine Committee on the Quality of Health Care in America. </w:t>
      </w:r>
      <w:r w:rsidRPr="00CF5461">
        <w:rPr>
          <w:rFonts w:cs="Calibri"/>
          <w:i/>
          <w:iCs/>
        </w:rPr>
        <w:t>Future Directions for the National Healthcare Quality and Disparities  Reports</w:t>
      </w:r>
      <w:r w:rsidRPr="00CF5461">
        <w:rPr>
          <w:rFonts w:cs="Calibri"/>
        </w:rPr>
        <w:t>. Washington, D.C.: National Academy Press; 2010.</w:t>
      </w:r>
    </w:p>
    <w:p w14:paraId="0D01B184" w14:textId="77777777" w:rsidR="00236591" w:rsidRPr="00CF5461" w:rsidRDefault="00236591" w:rsidP="00236591">
      <w:pPr>
        <w:pStyle w:val="Bibliography"/>
        <w:spacing w:after="0"/>
        <w:rPr>
          <w:rFonts w:cs="Calibri"/>
        </w:rPr>
      </w:pPr>
      <w:r w:rsidRPr="00CF5461">
        <w:rPr>
          <w:rFonts w:cs="Calibri"/>
        </w:rPr>
        <w:t xml:space="preserve">3. </w:t>
      </w:r>
      <w:r w:rsidRPr="00CF5461">
        <w:rPr>
          <w:rFonts w:cs="Calibri"/>
        </w:rPr>
        <w:tab/>
        <w:t xml:space="preserve">Stewart M, Brown JB, Donner A, McWhinney IR, Oates J, Weston WW, Jordan J. The impact of patient-centered care on outcomes. </w:t>
      </w:r>
      <w:r w:rsidRPr="00CF5461">
        <w:rPr>
          <w:rFonts w:cs="Calibri"/>
          <w:i/>
          <w:iCs/>
        </w:rPr>
        <w:t>J Fam Pract</w:t>
      </w:r>
      <w:r w:rsidRPr="00CF5461">
        <w:rPr>
          <w:rFonts w:cs="Calibri"/>
        </w:rPr>
        <w:t>. 2000;49(9):796-804.</w:t>
      </w:r>
    </w:p>
    <w:p w14:paraId="1503C450" w14:textId="77777777" w:rsidR="00236591" w:rsidRPr="00313286" w:rsidRDefault="00236591" w:rsidP="00236591">
      <w:pPr>
        <w:pStyle w:val="Bibliography"/>
        <w:spacing w:after="0"/>
        <w:rPr>
          <w:rFonts w:cs="Calibri"/>
        </w:rPr>
      </w:pPr>
      <w:r w:rsidRPr="00CF5461">
        <w:rPr>
          <w:rFonts w:cs="Calibri"/>
        </w:rPr>
        <w:t xml:space="preserve">4. </w:t>
      </w:r>
      <w:r w:rsidRPr="00CF5461">
        <w:rPr>
          <w:rFonts w:cs="Calibri"/>
        </w:rPr>
        <w:tab/>
        <w:t>Kane GC, Gotto JL, Mangione S, West S, Hojat M. Jefferson Scale of Patient’s Perceptions of Physician Empathy: Pre</w:t>
      </w:r>
      <w:r w:rsidRPr="00313286">
        <w:rPr>
          <w:rFonts w:cs="Calibri"/>
        </w:rPr>
        <w:t xml:space="preserve">liminary Psychometric Data. </w:t>
      </w:r>
      <w:r w:rsidRPr="00313286">
        <w:rPr>
          <w:rFonts w:cs="Calibri"/>
          <w:i/>
          <w:iCs/>
        </w:rPr>
        <w:t>Croat Med J</w:t>
      </w:r>
      <w:r w:rsidRPr="00313286">
        <w:rPr>
          <w:rFonts w:cs="Calibri"/>
        </w:rPr>
        <w:t>. 2007;48(1):81-86.</w:t>
      </w:r>
    </w:p>
    <w:p w14:paraId="4C8EDCBF" w14:textId="77777777" w:rsidR="00236591" w:rsidRPr="00313286" w:rsidRDefault="00236591" w:rsidP="00236591">
      <w:pPr>
        <w:pStyle w:val="Bibliography"/>
        <w:spacing w:after="0"/>
        <w:rPr>
          <w:rFonts w:cs="Calibri"/>
        </w:rPr>
      </w:pPr>
      <w:r w:rsidRPr="00313286">
        <w:rPr>
          <w:rFonts w:cs="Calibri"/>
        </w:rPr>
        <w:t xml:space="preserve">5. </w:t>
      </w:r>
      <w:r w:rsidRPr="00313286">
        <w:rPr>
          <w:rFonts w:cs="Calibri"/>
        </w:rPr>
        <w:tab/>
        <w:t>Patient-Centered Care: What It Means And How To Get There – Health Affairs Blog. Available at: http://healthaffairs.org/blog/2012/01/24/patient-centered-care-what-it-means-and-how-to-get-there/. Accessed January 13, 2014.</w:t>
      </w:r>
    </w:p>
    <w:p w14:paraId="08C56EB8" w14:textId="5A3F8866" w:rsidR="00705CCE" w:rsidRPr="00313286" w:rsidRDefault="00705CCE" w:rsidP="00705CCE">
      <w:pPr>
        <w:ind w:left="540" w:hanging="540"/>
      </w:pPr>
      <w:r w:rsidRPr="00313286">
        <w:t>6.</w:t>
      </w:r>
      <w:r w:rsidRPr="00313286">
        <w:tab/>
        <w:t xml:space="preserve">Lavallee DC, Chenok KE, Love RM, et al. Incorporating Patient-Reported Outcomes Into Health Care   To Engage Patients And Enhance Care. </w:t>
      </w:r>
      <w:r w:rsidRPr="00313286">
        <w:rPr>
          <w:i/>
          <w:iCs/>
        </w:rPr>
        <w:t>Health Aff</w:t>
      </w:r>
      <w:r w:rsidRPr="00313286">
        <w:t>. 2016;35(4):575-582.  doi:</w:t>
      </w:r>
      <w:hyperlink r:id="rId17" w:history="1">
        <w:r w:rsidRPr="00313286">
          <w:rPr>
            <w:rStyle w:val="Hyperlink"/>
            <w:color w:val="auto"/>
          </w:rPr>
          <w:t>10.1377/hlthaff.2015.1362</w:t>
        </w:r>
      </w:hyperlink>
    </w:p>
    <w:p w14:paraId="1FB76142" w14:textId="5F74E591" w:rsidR="00236591" w:rsidRPr="00313286" w:rsidRDefault="00705CCE" w:rsidP="00236591">
      <w:pPr>
        <w:pStyle w:val="Bibliography"/>
        <w:spacing w:after="0"/>
        <w:rPr>
          <w:rFonts w:cs="Calibri"/>
        </w:rPr>
      </w:pPr>
      <w:r w:rsidRPr="00313286">
        <w:rPr>
          <w:rFonts w:cs="Calibri"/>
        </w:rPr>
        <w:t>7</w:t>
      </w:r>
      <w:r w:rsidR="00236591" w:rsidRPr="00313286">
        <w:rPr>
          <w:rFonts w:cs="Calibri"/>
        </w:rPr>
        <w:t xml:space="preserve">. </w:t>
      </w:r>
      <w:r w:rsidR="00236591" w:rsidRPr="00313286">
        <w:rPr>
          <w:rFonts w:cs="Calibri"/>
        </w:rPr>
        <w:tab/>
        <w:t xml:space="preserve">Uhl T, Fisher K, Docherty SL, Brandon DH. Insights into patient and family-centered care through the hospital experiences of parents. </w:t>
      </w:r>
      <w:r w:rsidR="00236591" w:rsidRPr="00313286">
        <w:rPr>
          <w:rFonts w:cs="Calibri"/>
          <w:i/>
          <w:iCs/>
        </w:rPr>
        <w:t>J Obstet Gynecol Neonatal Nurs JOGNN NAACOG</w:t>
      </w:r>
      <w:r w:rsidR="00236591" w:rsidRPr="00313286">
        <w:rPr>
          <w:rFonts w:cs="Calibri"/>
        </w:rPr>
        <w:t>. 2013;42(1):121-131. doi:10.1111/1552-6909.12001.</w:t>
      </w:r>
    </w:p>
    <w:p w14:paraId="591ADA98" w14:textId="3375AB25" w:rsidR="00236591" w:rsidRPr="00CF5461" w:rsidRDefault="00705CCE" w:rsidP="00236591">
      <w:pPr>
        <w:pStyle w:val="Bibliography"/>
        <w:spacing w:after="0"/>
        <w:rPr>
          <w:rFonts w:cs="Calibri"/>
        </w:rPr>
      </w:pPr>
      <w:r w:rsidRPr="00313286">
        <w:rPr>
          <w:rFonts w:cs="Calibri"/>
        </w:rPr>
        <w:t>8</w:t>
      </w:r>
      <w:r w:rsidR="00236591" w:rsidRPr="00313286">
        <w:rPr>
          <w:rFonts w:cs="Calibri"/>
        </w:rPr>
        <w:t xml:space="preserve">. </w:t>
      </w:r>
      <w:r w:rsidR="00236591" w:rsidRPr="00313286">
        <w:rPr>
          <w:rFonts w:cs="Calibri"/>
        </w:rPr>
        <w:tab/>
        <w:t xml:space="preserve">Hsiao JL, Evan EE, Zeltzer LK. Parent and child perspectives on physician communication in pediatric palliative care. </w:t>
      </w:r>
      <w:r w:rsidR="00236591" w:rsidRPr="00313286">
        <w:rPr>
          <w:rFonts w:cs="Calibri"/>
          <w:i/>
          <w:iCs/>
        </w:rPr>
        <w:t>Palliat Support Ca</w:t>
      </w:r>
      <w:r w:rsidR="00236591" w:rsidRPr="00CF5461">
        <w:rPr>
          <w:rFonts w:cs="Calibri"/>
          <w:i/>
          <w:iCs/>
        </w:rPr>
        <w:t>re</w:t>
      </w:r>
      <w:r w:rsidR="00236591" w:rsidRPr="00CF5461">
        <w:rPr>
          <w:rFonts w:cs="Calibri"/>
        </w:rPr>
        <w:t>. 2007;5(4):355-365.</w:t>
      </w:r>
    </w:p>
    <w:p w14:paraId="7640ED34" w14:textId="040DF65F" w:rsidR="00236591" w:rsidRPr="00CF5461" w:rsidRDefault="00705CCE" w:rsidP="00236591">
      <w:pPr>
        <w:pStyle w:val="Bibliography"/>
        <w:spacing w:after="0"/>
        <w:rPr>
          <w:rFonts w:cs="Calibri"/>
        </w:rPr>
      </w:pPr>
      <w:r w:rsidRPr="00CF5461">
        <w:rPr>
          <w:rFonts w:cs="Calibri"/>
        </w:rPr>
        <w:t>9</w:t>
      </w:r>
      <w:r w:rsidR="00236591" w:rsidRPr="00CF5461">
        <w:rPr>
          <w:rFonts w:cs="Calibri"/>
        </w:rPr>
        <w:t xml:space="preserve">. </w:t>
      </w:r>
      <w:r w:rsidR="00236591" w:rsidRPr="00CF5461">
        <w:rPr>
          <w:rFonts w:cs="Calibri"/>
        </w:rPr>
        <w:tab/>
        <w:t xml:space="preserve">Kavanaugh K, Roscigno CI, Swanson KM, Savage TA, Kimura RE, Kilpatrick SJ. Perinatal palliative care: Parent perceptions of caring in interactions surrounding counseling for risk of delivering an extremely premature infant. </w:t>
      </w:r>
      <w:r w:rsidR="00236591" w:rsidRPr="00CF5461">
        <w:rPr>
          <w:rFonts w:cs="Calibri"/>
          <w:i/>
          <w:iCs/>
        </w:rPr>
        <w:t>Palliat Support Care</w:t>
      </w:r>
      <w:r w:rsidR="00236591" w:rsidRPr="00CF5461">
        <w:rPr>
          <w:rFonts w:cs="Calibri"/>
        </w:rPr>
        <w:t>. 2013:1-11. doi:10.1017/S1478951513000874.</w:t>
      </w:r>
    </w:p>
    <w:p w14:paraId="33D8EAFD" w14:textId="7B09B494" w:rsidR="00236591" w:rsidRPr="00313286" w:rsidRDefault="00705CCE" w:rsidP="00236591">
      <w:pPr>
        <w:pStyle w:val="Bibliography"/>
        <w:spacing w:after="0"/>
        <w:rPr>
          <w:rFonts w:cs="Calibri"/>
        </w:rPr>
      </w:pPr>
      <w:r w:rsidRPr="00CF5461">
        <w:rPr>
          <w:rFonts w:cs="Calibri"/>
        </w:rPr>
        <w:t>10</w:t>
      </w:r>
      <w:r w:rsidR="00236591" w:rsidRPr="00CF5461">
        <w:rPr>
          <w:rFonts w:cs="Calibri"/>
        </w:rPr>
        <w:t xml:space="preserve">. </w:t>
      </w:r>
      <w:r w:rsidR="00236591" w:rsidRPr="00CF5461">
        <w:rPr>
          <w:rFonts w:cs="Calibri"/>
        </w:rPr>
        <w:tab/>
        <w:t>Van Staa A, Jedeloo S, van der Stege H, On Your Own Feet Research Group. “What we want”: chronically ill ado</w:t>
      </w:r>
      <w:r w:rsidR="00236591" w:rsidRPr="00313286">
        <w:rPr>
          <w:rFonts w:cs="Calibri"/>
        </w:rPr>
        <w:t xml:space="preserve">lescents’ preferences and priorities for improving health care. </w:t>
      </w:r>
      <w:r w:rsidR="00236591" w:rsidRPr="00313286">
        <w:rPr>
          <w:rFonts w:cs="Calibri"/>
          <w:i/>
          <w:iCs/>
        </w:rPr>
        <w:t>Patient Prefer Adherence</w:t>
      </w:r>
      <w:r w:rsidR="00236591" w:rsidRPr="00313286">
        <w:rPr>
          <w:rFonts w:cs="Calibri"/>
        </w:rPr>
        <w:t>. 2011;5:291-305. doi:10.2147/PPA.S17184.</w:t>
      </w:r>
    </w:p>
    <w:p w14:paraId="47AD7D87" w14:textId="72749182" w:rsidR="00705CCE" w:rsidRPr="00313286" w:rsidRDefault="00705CCE" w:rsidP="00705CCE">
      <w:pPr>
        <w:ind w:left="540" w:hanging="540"/>
        <w:rPr>
          <w:rStyle w:val="Hyperlink"/>
          <w:color w:val="auto"/>
        </w:rPr>
      </w:pPr>
      <w:r w:rsidRPr="00313286">
        <w:t>11.</w:t>
      </w:r>
      <w:r w:rsidRPr="00313286">
        <w:tab/>
        <w:t xml:space="preserve">Smith J, Swallow V, Coyne I. Involving Parents in Managing Their Child’s Long-Term Condition—A Concept Synthesis of Family-Centered Care and Partnership-in-Care. </w:t>
      </w:r>
      <w:r w:rsidRPr="00313286">
        <w:rPr>
          <w:i/>
          <w:iCs/>
        </w:rPr>
        <w:t>Journal of Pediatric Nursing: Nursing Care of Children and Families</w:t>
      </w:r>
      <w:r w:rsidRPr="00313286">
        <w:t>. 2015;30(1):143-159. doi:</w:t>
      </w:r>
      <w:hyperlink r:id="rId18" w:history="1">
        <w:r w:rsidRPr="00313286">
          <w:rPr>
            <w:rStyle w:val="Hyperlink"/>
            <w:color w:val="auto"/>
          </w:rPr>
          <w:t>10.1016/j.pedn.2014.10.014</w:t>
        </w:r>
      </w:hyperlink>
    </w:p>
    <w:p w14:paraId="7CFF188A" w14:textId="7546EA3E" w:rsidR="00705CCE" w:rsidRPr="00313286" w:rsidRDefault="00705CCE" w:rsidP="00705CCE">
      <w:pPr>
        <w:ind w:left="540" w:hanging="540"/>
      </w:pPr>
      <w:r w:rsidRPr="00313286">
        <w:rPr>
          <w:rStyle w:val="Hyperlink"/>
          <w:color w:val="auto"/>
          <w:u w:val="none"/>
        </w:rPr>
        <w:t>12.</w:t>
      </w:r>
      <w:r w:rsidRPr="00313286">
        <w:rPr>
          <w:rStyle w:val="Hyperlink"/>
          <w:color w:val="auto"/>
          <w:u w:val="none"/>
        </w:rPr>
        <w:tab/>
      </w:r>
      <w:r w:rsidRPr="00313286">
        <w:t xml:space="preserve">Davidson JE, Aslakson RA, Long AC, et al. Guidelines for Family-Centered Care in the Neonatal, Pediatric, and Adult ICU. </w:t>
      </w:r>
      <w:r w:rsidRPr="00313286">
        <w:rPr>
          <w:i/>
          <w:iCs/>
        </w:rPr>
        <w:t>Critical Care Medicine</w:t>
      </w:r>
      <w:r w:rsidRPr="00313286">
        <w:t>. 2017;45(1):103. doi:</w:t>
      </w:r>
      <w:hyperlink r:id="rId19" w:history="1">
        <w:r w:rsidRPr="00313286">
          <w:rPr>
            <w:rStyle w:val="Hyperlink"/>
            <w:color w:val="auto"/>
          </w:rPr>
          <w:t>10.1097/CCM.0000000000002169</w:t>
        </w:r>
      </w:hyperlink>
    </w:p>
    <w:p w14:paraId="23BBB292" w14:textId="47D83FDE" w:rsidR="00236591" w:rsidRPr="00313286" w:rsidRDefault="00705CCE" w:rsidP="00236591">
      <w:pPr>
        <w:pStyle w:val="Bibliography"/>
        <w:spacing w:after="0"/>
        <w:rPr>
          <w:rFonts w:cs="Calibri"/>
        </w:rPr>
      </w:pPr>
      <w:r w:rsidRPr="00313286">
        <w:rPr>
          <w:rFonts w:cs="Calibri"/>
        </w:rPr>
        <w:t>13</w:t>
      </w:r>
      <w:r w:rsidR="00236591" w:rsidRPr="00313286">
        <w:rPr>
          <w:rFonts w:cs="Calibri"/>
        </w:rPr>
        <w:t xml:space="preserve">. </w:t>
      </w:r>
      <w:r w:rsidR="00236591" w:rsidRPr="00313286">
        <w:rPr>
          <w:rFonts w:cs="Calibri"/>
        </w:rPr>
        <w:tab/>
        <w:t xml:space="preserve">Kalisch BJ, McLaughlin M, Dabney BW. Patient perceptions of missed nursing care. </w:t>
      </w:r>
      <w:r w:rsidR="00236591" w:rsidRPr="00313286">
        <w:rPr>
          <w:rFonts w:cs="Calibri"/>
          <w:i/>
          <w:iCs/>
        </w:rPr>
        <w:t>Jt Comm J Qual Patient Saf Jt Comm Resour</w:t>
      </w:r>
      <w:r w:rsidR="00236591" w:rsidRPr="00313286">
        <w:rPr>
          <w:rFonts w:cs="Calibri"/>
        </w:rPr>
        <w:t>. 2012;38(4):161-167.</w:t>
      </w:r>
    </w:p>
    <w:p w14:paraId="72BE4987" w14:textId="639E0A36" w:rsidR="00236591" w:rsidRPr="00CF5461" w:rsidRDefault="00236591" w:rsidP="00236591">
      <w:pPr>
        <w:pStyle w:val="Bibliography"/>
        <w:spacing w:after="0"/>
        <w:rPr>
          <w:rFonts w:cs="Calibri"/>
        </w:rPr>
      </w:pPr>
      <w:r w:rsidRPr="00CF5461">
        <w:rPr>
          <w:rFonts w:cs="Calibri"/>
        </w:rPr>
        <w:t>1</w:t>
      </w:r>
      <w:r w:rsidR="00705CCE" w:rsidRPr="00CF5461">
        <w:rPr>
          <w:rFonts w:cs="Calibri"/>
        </w:rPr>
        <w:t>4</w:t>
      </w:r>
      <w:r w:rsidRPr="00CF5461">
        <w:rPr>
          <w:rFonts w:cs="Calibri"/>
        </w:rPr>
        <w:t xml:space="preserve">. </w:t>
      </w:r>
      <w:r w:rsidRPr="00CF5461">
        <w:rPr>
          <w:rFonts w:cs="Calibri"/>
        </w:rPr>
        <w:tab/>
        <w:t xml:space="preserve">Miceli PJ, Clark PA. Your patient--my child: seven priorities for improving pediatric care from the parent’s perspective. </w:t>
      </w:r>
      <w:r w:rsidRPr="00CF5461">
        <w:rPr>
          <w:rFonts w:cs="Calibri"/>
          <w:i/>
          <w:iCs/>
        </w:rPr>
        <w:t>J Nurs Care Qual</w:t>
      </w:r>
      <w:r w:rsidRPr="00CF5461">
        <w:rPr>
          <w:rFonts w:cs="Calibri"/>
        </w:rPr>
        <w:t>. 2005;20(1):43-53; quiz 54-55.</w:t>
      </w:r>
    </w:p>
    <w:p w14:paraId="0917AC9E" w14:textId="4234F961" w:rsidR="00236591" w:rsidRPr="00CF5461" w:rsidRDefault="00705CCE" w:rsidP="00236591">
      <w:pPr>
        <w:pStyle w:val="Bibliography"/>
        <w:spacing w:after="0"/>
        <w:rPr>
          <w:rFonts w:cs="Calibri"/>
        </w:rPr>
      </w:pPr>
      <w:r w:rsidRPr="00CF5461">
        <w:rPr>
          <w:rFonts w:cs="Calibri"/>
        </w:rPr>
        <w:t>15</w:t>
      </w:r>
      <w:r w:rsidR="00236591" w:rsidRPr="00CF5461">
        <w:rPr>
          <w:rFonts w:cs="Calibri"/>
        </w:rPr>
        <w:t xml:space="preserve">. </w:t>
      </w:r>
      <w:r w:rsidR="00236591" w:rsidRPr="00CF5461">
        <w:rPr>
          <w:rFonts w:cs="Calibri"/>
        </w:rPr>
        <w:tab/>
        <w:t xml:space="preserve">Glickman SW, Boulding W, Manary M, Staelin R, Roe MT, Wolosin RJ, Ohman EM, Peterson ED, Schulman KA. Patient satisfaction and its relationship with clinical quality and inpatient mortality in acute myocardial infarction. </w:t>
      </w:r>
      <w:r w:rsidR="00236591" w:rsidRPr="00CF5461">
        <w:rPr>
          <w:rFonts w:cs="Calibri"/>
          <w:i/>
          <w:iCs/>
        </w:rPr>
        <w:t>Circ Cardiovasc Qual Outcomes</w:t>
      </w:r>
      <w:r w:rsidR="00236591" w:rsidRPr="00CF5461">
        <w:rPr>
          <w:rFonts w:cs="Calibri"/>
        </w:rPr>
        <w:t>. 2010;3(2):188-195. doi:10.1161/CIRCOUTCOMES.109.900597.</w:t>
      </w:r>
    </w:p>
    <w:p w14:paraId="6C45E484" w14:textId="53B932BC" w:rsidR="00236591" w:rsidRPr="00CF5461" w:rsidRDefault="00705CCE" w:rsidP="00236591">
      <w:pPr>
        <w:pStyle w:val="Bibliography"/>
        <w:spacing w:after="0"/>
        <w:rPr>
          <w:rFonts w:cs="Calibri"/>
        </w:rPr>
      </w:pPr>
      <w:r w:rsidRPr="00CF5461">
        <w:rPr>
          <w:rFonts w:cs="Calibri"/>
        </w:rPr>
        <w:t>16</w:t>
      </w:r>
      <w:r w:rsidR="00236591" w:rsidRPr="00CF5461">
        <w:rPr>
          <w:rFonts w:cs="Calibri"/>
        </w:rPr>
        <w:t xml:space="preserve">. </w:t>
      </w:r>
      <w:r w:rsidR="00236591" w:rsidRPr="00CF5461">
        <w:rPr>
          <w:rFonts w:cs="Calibri"/>
        </w:rPr>
        <w:tab/>
        <w:t xml:space="preserve">Wolosin R, Ayala L, Fulton BR. Nursing care, inpatient satisfaction, and value-based purchasing: vital connections. </w:t>
      </w:r>
      <w:r w:rsidR="00236591" w:rsidRPr="00CF5461">
        <w:rPr>
          <w:rFonts w:cs="Calibri"/>
          <w:i/>
          <w:iCs/>
        </w:rPr>
        <w:t>J Nurs Adm</w:t>
      </w:r>
      <w:r w:rsidR="00236591" w:rsidRPr="00CF5461">
        <w:rPr>
          <w:rFonts w:cs="Calibri"/>
        </w:rPr>
        <w:t>. 2012;42(6):321-325. doi:10.1097/NNA.0b013e318257392b.</w:t>
      </w:r>
    </w:p>
    <w:p w14:paraId="505C81DB" w14:textId="5081351A" w:rsidR="00236591" w:rsidRPr="00CF5461" w:rsidRDefault="00705CCE" w:rsidP="00236591">
      <w:pPr>
        <w:pStyle w:val="Bibliography"/>
        <w:spacing w:after="0"/>
        <w:rPr>
          <w:rFonts w:cs="Calibri"/>
        </w:rPr>
      </w:pPr>
      <w:r w:rsidRPr="00CF5461">
        <w:rPr>
          <w:rFonts w:cs="Calibri"/>
        </w:rPr>
        <w:t>17</w:t>
      </w:r>
      <w:r w:rsidR="00236591" w:rsidRPr="00CF5461">
        <w:rPr>
          <w:rFonts w:cs="Calibri"/>
        </w:rPr>
        <w:t xml:space="preserve">. </w:t>
      </w:r>
      <w:r w:rsidR="00236591" w:rsidRPr="00CF5461">
        <w:rPr>
          <w:rFonts w:cs="Calibri"/>
        </w:rPr>
        <w:tab/>
        <w:t xml:space="preserve">Rathert C, May DR, Williams ES. Beyond service quality: the mediating role of patient safety perceptions in the patient experience-satisfaction relationship. </w:t>
      </w:r>
      <w:r w:rsidR="00236591" w:rsidRPr="00CF5461">
        <w:rPr>
          <w:rFonts w:cs="Calibri"/>
          <w:i/>
          <w:iCs/>
        </w:rPr>
        <w:t>Health Care Manage Rev</w:t>
      </w:r>
      <w:r w:rsidR="00236591" w:rsidRPr="00CF5461">
        <w:rPr>
          <w:rFonts w:cs="Calibri"/>
        </w:rPr>
        <w:t>. 2011;36(4):359-368. doi:10.1097/HMR.0b013e318219cda1.</w:t>
      </w:r>
    </w:p>
    <w:p w14:paraId="07EE899A" w14:textId="7DA04F3D" w:rsidR="00236591" w:rsidRPr="00CF5461" w:rsidRDefault="00705CCE" w:rsidP="00236591">
      <w:pPr>
        <w:pStyle w:val="Bibliography"/>
        <w:spacing w:after="0"/>
        <w:rPr>
          <w:rFonts w:cs="Calibri"/>
        </w:rPr>
      </w:pPr>
      <w:r w:rsidRPr="00CF5461">
        <w:rPr>
          <w:rFonts w:cs="Calibri"/>
        </w:rPr>
        <w:t>18</w:t>
      </w:r>
      <w:r w:rsidR="00236591" w:rsidRPr="00CF5461">
        <w:rPr>
          <w:rFonts w:cs="Calibri"/>
        </w:rPr>
        <w:t xml:space="preserve">. </w:t>
      </w:r>
      <w:r w:rsidR="00236591" w:rsidRPr="00CF5461">
        <w:rPr>
          <w:rFonts w:cs="Calibri"/>
        </w:rPr>
        <w:tab/>
        <w:t xml:space="preserve">Gupta A, Daigle S, Mojica J, Hurley RW. Patient perception of pain care in hospitals in the United States. </w:t>
      </w:r>
      <w:r w:rsidR="00236591" w:rsidRPr="00CF5461">
        <w:rPr>
          <w:rFonts w:cs="Calibri"/>
          <w:i/>
          <w:iCs/>
        </w:rPr>
        <w:t>J Pain Res</w:t>
      </w:r>
      <w:r w:rsidR="00236591" w:rsidRPr="00CF5461">
        <w:rPr>
          <w:rFonts w:cs="Calibri"/>
        </w:rPr>
        <w:t>. 2009;2:157-164.</w:t>
      </w:r>
    </w:p>
    <w:p w14:paraId="652180A8" w14:textId="61FF7CF1" w:rsidR="00236591" w:rsidRPr="00CF5461" w:rsidRDefault="00705CCE" w:rsidP="00236591">
      <w:pPr>
        <w:pStyle w:val="Bibliography"/>
        <w:spacing w:after="0"/>
        <w:rPr>
          <w:rFonts w:cs="Calibri"/>
        </w:rPr>
      </w:pPr>
      <w:r w:rsidRPr="00CF5461">
        <w:rPr>
          <w:rFonts w:cs="Calibri"/>
        </w:rPr>
        <w:t>19</w:t>
      </w:r>
      <w:r w:rsidR="00236591" w:rsidRPr="00CF5461">
        <w:rPr>
          <w:rFonts w:cs="Calibri"/>
        </w:rPr>
        <w:t xml:space="preserve">. </w:t>
      </w:r>
      <w:r w:rsidR="00236591" w:rsidRPr="00CF5461">
        <w:rPr>
          <w:rFonts w:cs="Calibri"/>
        </w:rPr>
        <w:tab/>
        <w:t xml:space="preserve">Fuertes JN, Boylan LS, Fontanella JA. Behavioral Indices in Medical Care Outcome: The Working Alliance, Adherence, and Related Factors. </w:t>
      </w:r>
      <w:r w:rsidR="00236591" w:rsidRPr="00CF5461">
        <w:rPr>
          <w:rFonts w:cs="Calibri"/>
          <w:i/>
          <w:iCs/>
        </w:rPr>
        <w:t>J Gen Intern Med</w:t>
      </w:r>
      <w:r w:rsidR="00236591" w:rsidRPr="00CF5461">
        <w:rPr>
          <w:rFonts w:cs="Calibri"/>
        </w:rPr>
        <w:t>. 2009;24(1):80-85. doi:10.1007/s11606-008-0841-4.</w:t>
      </w:r>
    </w:p>
    <w:p w14:paraId="51519136" w14:textId="7097C27D" w:rsidR="00236591" w:rsidRPr="00CF5461" w:rsidRDefault="00705CCE" w:rsidP="00236591">
      <w:pPr>
        <w:pStyle w:val="Bibliography"/>
        <w:spacing w:after="0"/>
        <w:rPr>
          <w:rFonts w:cs="Calibri"/>
        </w:rPr>
      </w:pPr>
      <w:r w:rsidRPr="00CF5461">
        <w:rPr>
          <w:rFonts w:cs="Calibri"/>
        </w:rPr>
        <w:t>20</w:t>
      </w:r>
      <w:r w:rsidR="00236591" w:rsidRPr="00CF5461">
        <w:rPr>
          <w:rFonts w:cs="Calibri"/>
        </w:rPr>
        <w:t xml:space="preserve">. </w:t>
      </w:r>
      <w:r w:rsidR="00236591" w:rsidRPr="00CF5461">
        <w:rPr>
          <w:rFonts w:cs="Calibri"/>
        </w:rPr>
        <w:tab/>
        <w:t xml:space="preserve">Haskard Zolnierek KB, DiMatteo MR. Physician Communication and Patient Adherence to Treatment: A Meta-analysis. </w:t>
      </w:r>
      <w:r w:rsidR="00236591" w:rsidRPr="00CF5461">
        <w:rPr>
          <w:rFonts w:cs="Calibri"/>
          <w:i/>
          <w:iCs/>
        </w:rPr>
        <w:t>Med Care</w:t>
      </w:r>
      <w:r w:rsidR="00236591" w:rsidRPr="00CF5461">
        <w:rPr>
          <w:rFonts w:cs="Calibri"/>
        </w:rPr>
        <w:t>. 2009;47(8):826-834. doi:10.1097/MLR.0b013e31819a5acc.</w:t>
      </w:r>
    </w:p>
    <w:p w14:paraId="413C98D6" w14:textId="2229680C" w:rsidR="00236591" w:rsidRPr="00CF5461" w:rsidRDefault="00705CCE" w:rsidP="00236591">
      <w:pPr>
        <w:pStyle w:val="Bibliography"/>
        <w:spacing w:after="0"/>
        <w:rPr>
          <w:rFonts w:cs="Calibri"/>
        </w:rPr>
      </w:pPr>
      <w:r w:rsidRPr="00CF5461">
        <w:rPr>
          <w:rFonts w:cs="Calibri"/>
        </w:rPr>
        <w:t>21</w:t>
      </w:r>
      <w:r w:rsidR="00236591" w:rsidRPr="00CF5461">
        <w:rPr>
          <w:rFonts w:cs="Calibri"/>
        </w:rPr>
        <w:t xml:space="preserve">. </w:t>
      </w:r>
      <w:r w:rsidR="00236591" w:rsidRPr="00CF5461">
        <w:rPr>
          <w:rFonts w:cs="Calibri"/>
        </w:rPr>
        <w:tab/>
        <w:t xml:space="preserve">Doyle C, Lennox L, Bell D. A systematic review of evidence on the links between patient experience and clinical safety and effectiveness. </w:t>
      </w:r>
      <w:r w:rsidR="00236591" w:rsidRPr="00CF5461">
        <w:rPr>
          <w:rFonts w:cs="Calibri"/>
          <w:i/>
          <w:iCs/>
        </w:rPr>
        <w:t>BMJ Open</w:t>
      </w:r>
      <w:r w:rsidR="00236591" w:rsidRPr="00CF5461">
        <w:rPr>
          <w:rFonts w:cs="Calibri"/>
        </w:rPr>
        <w:t>. 2013;3(1). doi:10.1136/bmjopen-2012-001570.</w:t>
      </w:r>
    </w:p>
    <w:p w14:paraId="4CC029E0" w14:textId="3B883B5A" w:rsidR="00236591" w:rsidRPr="00CF5461" w:rsidRDefault="00705CCE" w:rsidP="00236591">
      <w:pPr>
        <w:pStyle w:val="Bibliography"/>
        <w:spacing w:after="0"/>
        <w:rPr>
          <w:rFonts w:cs="Calibri"/>
        </w:rPr>
      </w:pPr>
      <w:r w:rsidRPr="00CF5461">
        <w:rPr>
          <w:rFonts w:cs="Calibri"/>
        </w:rPr>
        <w:t>22</w:t>
      </w:r>
      <w:r w:rsidR="00236591" w:rsidRPr="00CF5461">
        <w:rPr>
          <w:rFonts w:cs="Calibri"/>
        </w:rPr>
        <w:t xml:space="preserve">. </w:t>
      </w:r>
      <w:r w:rsidR="00236591" w:rsidRPr="00CF5461">
        <w:rPr>
          <w:rFonts w:cs="Calibri"/>
        </w:rPr>
        <w:tab/>
        <w:t xml:space="preserve">Ratanawongsa N, Karter AJ, Parker MM, Lyles CR, Heisler M, Moffet HH, Adler N, Warton EM, Schillinger D. Communication and Medication Adherence: The Diabetes Study of Northern California. </w:t>
      </w:r>
      <w:r w:rsidR="00236591" w:rsidRPr="00CF5461">
        <w:rPr>
          <w:rFonts w:cs="Calibri"/>
          <w:i/>
          <w:iCs/>
        </w:rPr>
        <w:t>JAMA Intern Med</w:t>
      </w:r>
      <w:r w:rsidR="00236591" w:rsidRPr="00CF5461">
        <w:rPr>
          <w:rFonts w:cs="Calibri"/>
        </w:rPr>
        <w:t>. 2013;173(3):210-218. doi:10.1001/jamainternmed.2013.1216.</w:t>
      </w:r>
    </w:p>
    <w:p w14:paraId="031351F1" w14:textId="42645750" w:rsidR="00236591" w:rsidRPr="00CF5461" w:rsidRDefault="00705CCE" w:rsidP="00236591">
      <w:pPr>
        <w:pStyle w:val="Bibliography"/>
        <w:spacing w:after="0"/>
        <w:rPr>
          <w:rFonts w:cs="Calibri"/>
        </w:rPr>
      </w:pPr>
      <w:r w:rsidRPr="00CF5461">
        <w:rPr>
          <w:rFonts w:cs="Calibri"/>
        </w:rPr>
        <w:t>23</w:t>
      </w:r>
      <w:r w:rsidR="00236591" w:rsidRPr="00CF5461">
        <w:rPr>
          <w:rFonts w:cs="Calibri"/>
        </w:rPr>
        <w:t xml:space="preserve">. </w:t>
      </w:r>
      <w:r w:rsidR="00236591" w:rsidRPr="00CF5461">
        <w:rPr>
          <w:rFonts w:cs="Calibri"/>
        </w:rPr>
        <w:tab/>
        <w:t xml:space="preserve">Liu Y, Malin JL, Diamant AL, Thind A, Maly RC. Adherence to Adjuvant Hormone Therapy in Low-income Women with Breast Cancer: The Role of Provider-Patient Communication. </w:t>
      </w:r>
      <w:r w:rsidR="00236591" w:rsidRPr="00CF5461">
        <w:rPr>
          <w:rFonts w:cs="Calibri"/>
          <w:i/>
          <w:iCs/>
        </w:rPr>
        <w:t>Breast Cancer Res Treat</w:t>
      </w:r>
      <w:r w:rsidR="00236591" w:rsidRPr="00CF5461">
        <w:rPr>
          <w:rFonts w:cs="Calibri"/>
        </w:rPr>
        <w:t>. 2013;137(3):829-836. doi:10.1007/s10549-012-2387-8.</w:t>
      </w:r>
    </w:p>
    <w:p w14:paraId="173B3CAE" w14:textId="2D57A103" w:rsidR="00236591" w:rsidRPr="00313286" w:rsidRDefault="00705CCE" w:rsidP="00236591">
      <w:pPr>
        <w:pStyle w:val="Bibliography"/>
        <w:spacing w:after="0"/>
        <w:rPr>
          <w:rFonts w:cs="Calibri"/>
        </w:rPr>
      </w:pPr>
      <w:r w:rsidRPr="00CF5461">
        <w:rPr>
          <w:rFonts w:cs="Calibri"/>
        </w:rPr>
        <w:t>24</w:t>
      </w:r>
      <w:r w:rsidR="00236591" w:rsidRPr="00CF5461">
        <w:rPr>
          <w:rFonts w:cs="Calibri"/>
        </w:rPr>
        <w:t xml:space="preserve">. </w:t>
      </w:r>
      <w:r w:rsidR="00236591" w:rsidRPr="00CF5461">
        <w:rPr>
          <w:rFonts w:cs="Calibri"/>
        </w:rPr>
        <w:tab/>
        <w:t>Carcaise-Edinboro P, Bradley CJ. Influence of Patient-Provider Communication on Colorectal Cancer Screening</w:t>
      </w:r>
      <w:r w:rsidR="00236591" w:rsidRPr="00313286">
        <w:rPr>
          <w:rFonts w:cs="Calibri"/>
        </w:rPr>
        <w:t xml:space="preserve">. </w:t>
      </w:r>
      <w:r w:rsidR="00236591" w:rsidRPr="00313286">
        <w:rPr>
          <w:rFonts w:cs="Calibri"/>
          <w:i/>
          <w:iCs/>
        </w:rPr>
        <w:t>Med Care July 2008</w:t>
      </w:r>
      <w:r w:rsidR="00236591" w:rsidRPr="00313286">
        <w:rPr>
          <w:rFonts w:cs="Calibri"/>
        </w:rPr>
        <w:t>. 2008;46(7):738-745. doi:10.1097/MLR.0b013e318178935a.</w:t>
      </w:r>
    </w:p>
    <w:p w14:paraId="15C8BBB2" w14:textId="69FD45F4" w:rsidR="00705CCE" w:rsidRPr="00313286" w:rsidRDefault="00705CCE" w:rsidP="00705CCE">
      <w:pPr>
        <w:ind w:left="504" w:hanging="504"/>
      </w:pPr>
      <w:r w:rsidRPr="00313286">
        <w:t>25.</w:t>
      </w:r>
      <w:r w:rsidRPr="00313286">
        <w:tab/>
        <w:t xml:space="preserve">Bauer AM, Parker MM, Schillinger D, et al. Associations Between Antidepressant Adherence and Shared Decision-Making, Patient–Provider Trust, and Communication Among Adults with Diabetes: Diabetes Study of Northern California (DISTANCE). </w:t>
      </w:r>
      <w:r w:rsidRPr="00313286">
        <w:rPr>
          <w:i/>
          <w:iCs/>
        </w:rPr>
        <w:t>J GEN INTERN MED</w:t>
      </w:r>
      <w:r w:rsidRPr="00313286">
        <w:t>. 2014;29(8):1139-1147. doi:</w:t>
      </w:r>
      <w:hyperlink r:id="rId20" w:history="1">
        <w:r w:rsidRPr="00313286">
          <w:rPr>
            <w:rStyle w:val="Hyperlink"/>
            <w:color w:val="auto"/>
          </w:rPr>
          <w:t>10.1007/s11606-014-2845-6</w:t>
        </w:r>
      </w:hyperlink>
    </w:p>
    <w:p w14:paraId="5693A68B" w14:textId="69B00036" w:rsidR="00236591" w:rsidRPr="00CF5461" w:rsidRDefault="00705CCE" w:rsidP="00236591">
      <w:pPr>
        <w:pStyle w:val="Bibliography"/>
        <w:spacing w:after="0"/>
        <w:rPr>
          <w:rFonts w:cs="Calibri"/>
        </w:rPr>
      </w:pPr>
      <w:r w:rsidRPr="00CF5461">
        <w:rPr>
          <w:rFonts w:cs="Calibri"/>
        </w:rPr>
        <w:t>26</w:t>
      </w:r>
      <w:r w:rsidR="00236591" w:rsidRPr="00CF5461">
        <w:rPr>
          <w:rFonts w:cs="Calibri"/>
        </w:rPr>
        <w:t xml:space="preserve">. </w:t>
      </w:r>
      <w:r w:rsidR="00236591" w:rsidRPr="00CF5461">
        <w:rPr>
          <w:rFonts w:cs="Calibri"/>
        </w:rPr>
        <w:tab/>
        <w:t xml:space="preserve">Fenton JJ, Jerant AF, Bertakis KD, Franks P. The cost of satisfaction: a national study of patient satisfaction, health care utilization, expenditures, and mortality. </w:t>
      </w:r>
      <w:r w:rsidR="00236591" w:rsidRPr="00CF5461">
        <w:rPr>
          <w:rFonts w:cs="Calibri"/>
          <w:i/>
          <w:iCs/>
        </w:rPr>
        <w:t>Arch Intern Med</w:t>
      </w:r>
      <w:r w:rsidR="00236591" w:rsidRPr="00CF5461">
        <w:rPr>
          <w:rFonts w:cs="Calibri"/>
        </w:rPr>
        <w:t>. 2012;172(5):405-411. doi:10.1001/archinternmed.2011.1662.</w:t>
      </w:r>
    </w:p>
    <w:p w14:paraId="79691056" w14:textId="16448176" w:rsidR="00236591" w:rsidRPr="00CF5461" w:rsidRDefault="00705CCE" w:rsidP="00236591">
      <w:pPr>
        <w:pStyle w:val="Bibliography"/>
        <w:spacing w:after="0"/>
        <w:rPr>
          <w:rFonts w:cs="Calibri"/>
        </w:rPr>
      </w:pPr>
      <w:r w:rsidRPr="00CF5461">
        <w:rPr>
          <w:rFonts w:cs="Calibri"/>
        </w:rPr>
        <w:t>27</w:t>
      </w:r>
      <w:r w:rsidR="00236591" w:rsidRPr="00CF5461">
        <w:rPr>
          <w:rFonts w:cs="Calibri"/>
        </w:rPr>
        <w:t xml:space="preserve">. </w:t>
      </w:r>
      <w:r w:rsidR="00236591" w:rsidRPr="00CF5461">
        <w:rPr>
          <w:rFonts w:cs="Calibri"/>
        </w:rPr>
        <w:tab/>
        <w:t xml:space="preserve">Chesney M, Lindeke L, Johnson L, Jukkala A, Lynch S. Comparison of child and parent satisfaction ratings of ambulatory pediatric subspecialty care. </w:t>
      </w:r>
      <w:r w:rsidR="00236591" w:rsidRPr="00CF5461">
        <w:rPr>
          <w:rFonts w:cs="Calibri"/>
          <w:i/>
          <w:iCs/>
        </w:rPr>
        <w:t>J Pediatr Health Care Off Publ Natl Assoc Pediatr Nurse Assoc Pract</w:t>
      </w:r>
      <w:r w:rsidR="00236591" w:rsidRPr="00CF5461">
        <w:rPr>
          <w:rFonts w:cs="Calibri"/>
        </w:rPr>
        <w:t>. 2005;19(4):221-229. doi:10.1016/j.pedhc.2005.02.003.</w:t>
      </w:r>
    </w:p>
    <w:p w14:paraId="4EA4BE62" w14:textId="191FFD72" w:rsidR="00236591" w:rsidRPr="00CF5461" w:rsidRDefault="00705CCE" w:rsidP="00236591">
      <w:pPr>
        <w:pStyle w:val="Bibliography"/>
        <w:spacing w:after="0"/>
        <w:rPr>
          <w:rFonts w:cs="Calibri"/>
        </w:rPr>
      </w:pPr>
      <w:r w:rsidRPr="00CF5461">
        <w:rPr>
          <w:rFonts w:cs="Calibri"/>
        </w:rPr>
        <w:t>28</w:t>
      </w:r>
      <w:r w:rsidR="00236591" w:rsidRPr="00CF5461">
        <w:rPr>
          <w:rFonts w:cs="Calibri"/>
        </w:rPr>
        <w:t xml:space="preserve">. </w:t>
      </w:r>
      <w:r w:rsidR="00236591" w:rsidRPr="00CF5461">
        <w:rPr>
          <w:rFonts w:cs="Calibri"/>
        </w:rPr>
        <w:tab/>
        <w:t xml:space="preserve">Girotra S, Cram P, Popescu I. Patient satisfaction at America’s lowest performing hospitals. </w:t>
      </w:r>
      <w:r w:rsidR="00236591" w:rsidRPr="00CF5461">
        <w:rPr>
          <w:rFonts w:cs="Calibri"/>
          <w:i/>
          <w:iCs/>
        </w:rPr>
        <w:t>Circ Cardiovasc Qual Outcomes</w:t>
      </w:r>
      <w:r w:rsidR="00236591" w:rsidRPr="00CF5461">
        <w:rPr>
          <w:rFonts w:cs="Calibri"/>
        </w:rPr>
        <w:t>. 2012;5(3):365-372. doi:10.1161/CIRCOUTCOMES.111.964361.</w:t>
      </w:r>
    </w:p>
    <w:p w14:paraId="21289B48" w14:textId="7BBF5642" w:rsidR="00236591" w:rsidRPr="00CF5461" w:rsidRDefault="00705CCE" w:rsidP="00236591">
      <w:pPr>
        <w:pStyle w:val="Bibliography"/>
        <w:spacing w:after="0"/>
        <w:rPr>
          <w:rFonts w:cs="Calibri"/>
        </w:rPr>
      </w:pPr>
      <w:r w:rsidRPr="00CF5461">
        <w:rPr>
          <w:rFonts w:cs="Calibri"/>
        </w:rPr>
        <w:t>29</w:t>
      </w:r>
      <w:r w:rsidR="00236591" w:rsidRPr="00CF5461">
        <w:rPr>
          <w:rFonts w:cs="Calibri"/>
        </w:rPr>
        <w:t xml:space="preserve">. </w:t>
      </w:r>
      <w:r w:rsidR="00236591" w:rsidRPr="00CF5461">
        <w:rPr>
          <w:rFonts w:cs="Calibri"/>
        </w:rPr>
        <w:tab/>
        <w:t xml:space="preserve">Hoff RA, Rosenheck RA, Meterko M, Wilson NJ. Mental illness as a predictor of satisfaction with inpatient care at Veterans Affairs hospitals. </w:t>
      </w:r>
      <w:r w:rsidR="00236591" w:rsidRPr="00CF5461">
        <w:rPr>
          <w:rFonts w:cs="Calibri"/>
          <w:i/>
          <w:iCs/>
        </w:rPr>
        <w:t>Psychiatr Serv Wash DC</w:t>
      </w:r>
      <w:r w:rsidR="00236591" w:rsidRPr="00CF5461">
        <w:rPr>
          <w:rFonts w:cs="Calibri"/>
        </w:rPr>
        <w:t>. 1999;50(5):680-685.</w:t>
      </w:r>
    </w:p>
    <w:p w14:paraId="2DD9DF4A" w14:textId="26CE5F90" w:rsidR="00236591" w:rsidRPr="00CF5461" w:rsidRDefault="00705CCE" w:rsidP="00236591">
      <w:pPr>
        <w:pStyle w:val="Bibliography"/>
        <w:spacing w:after="0"/>
        <w:rPr>
          <w:rFonts w:cs="Calibri"/>
        </w:rPr>
      </w:pPr>
      <w:r w:rsidRPr="00CF5461">
        <w:rPr>
          <w:rFonts w:cs="Calibri"/>
        </w:rPr>
        <w:t>30</w:t>
      </w:r>
      <w:r w:rsidR="00236591" w:rsidRPr="00CF5461">
        <w:rPr>
          <w:rFonts w:cs="Calibri"/>
        </w:rPr>
        <w:t xml:space="preserve">. </w:t>
      </w:r>
      <w:r w:rsidR="00236591" w:rsidRPr="00CF5461">
        <w:rPr>
          <w:rFonts w:cs="Calibri"/>
        </w:rPr>
        <w:tab/>
        <w:t xml:space="preserve">Elliott MN, Haviland AM, Cleary PD, Zaslavsky AM, Farley DO, Klein DJ, Edwards CA, Beckett MK, Orr N, Saliba D. Care experiences of managed care Medicare enrollees near the end of life. </w:t>
      </w:r>
      <w:r w:rsidR="00236591" w:rsidRPr="00CF5461">
        <w:rPr>
          <w:rFonts w:cs="Calibri"/>
          <w:i/>
          <w:iCs/>
        </w:rPr>
        <w:t>J Am Geriatr Soc</w:t>
      </w:r>
      <w:r w:rsidR="00236591" w:rsidRPr="00CF5461">
        <w:rPr>
          <w:rFonts w:cs="Calibri"/>
        </w:rPr>
        <w:t>. 2013;61(3):407-412. doi:10.1111/jgs.12121.</w:t>
      </w:r>
    </w:p>
    <w:p w14:paraId="1A57F453" w14:textId="33AA0DC5" w:rsidR="00236591" w:rsidRPr="00CF5461" w:rsidRDefault="00705CCE" w:rsidP="00236591">
      <w:pPr>
        <w:pStyle w:val="Bibliography"/>
        <w:spacing w:after="0"/>
        <w:rPr>
          <w:rFonts w:cs="Calibri"/>
        </w:rPr>
      </w:pPr>
      <w:r w:rsidRPr="00CF5461">
        <w:rPr>
          <w:rFonts w:cs="Calibri"/>
        </w:rPr>
        <w:t>31</w:t>
      </w:r>
      <w:r w:rsidR="00236591" w:rsidRPr="00CF5461">
        <w:rPr>
          <w:rFonts w:cs="Calibri"/>
        </w:rPr>
        <w:t xml:space="preserve">. </w:t>
      </w:r>
      <w:r w:rsidR="00236591" w:rsidRPr="00CF5461">
        <w:rPr>
          <w:rFonts w:cs="Calibri"/>
        </w:rPr>
        <w:tab/>
        <w:t xml:space="preserve">Price RA, Elliott MN, Zaslavsky AM, Hays RD, Lehrman WG, Rybowski L, Edgman-Levitan S, Cleary PD. </w:t>
      </w:r>
      <w:r w:rsidR="00236591" w:rsidRPr="00CF5461">
        <w:rPr>
          <w:iCs/>
          <w:color w:val="000000" w:themeColor="text1"/>
        </w:rPr>
        <w:t xml:space="preserve">Examining the Basis for Including Patient Experience Measures in Health Care Accountability Programs. </w:t>
      </w:r>
      <w:r w:rsidR="00236591" w:rsidRPr="00CF5461">
        <w:rPr>
          <w:i/>
          <w:iCs/>
          <w:color w:val="000000" w:themeColor="text1"/>
        </w:rPr>
        <w:t>In Press</w:t>
      </w:r>
      <w:r w:rsidR="00236591" w:rsidRPr="00CF5461">
        <w:rPr>
          <w:iCs/>
          <w:color w:val="000000" w:themeColor="text1"/>
        </w:rPr>
        <w:t xml:space="preserve">. </w:t>
      </w:r>
    </w:p>
    <w:p w14:paraId="3B44D0D8" w14:textId="0B08C424" w:rsidR="00236591" w:rsidRPr="00CF5461" w:rsidRDefault="00705CCE" w:rsidP="00236591">
      <w:pPr>
        <w:pStyle w:val="Bibliography"/>
        <w:spacing w:after="0"/>
        <w:rPr>
          <w:rFonts w:cs="Calibri"/>
        </w:rPr>
      </w:pPr>
      <w:r w:rsidRPr="00CF5461">
        <w:rPr>
          <w:rFonts w:cs="Calibri"/>
        </w:rPr>
        <w:t>32</w:t>
      </w:r>
      <w:r w:rsidR="00236591" w:rsidRPr="00CF5461">
        <w:rPr>
          <w:rFonts w:cs="Calibri"/>
        </w:rPr>
        <w:t xml:space="preserve">. </w:t>
      </w:r>
      <w:r w:rsidR="00236591" w:rsidRPr="00CF5461">
        <w:rPr>
          <w:rFonts w:cs="Calibri"/>
        </w:rPr>
        <w:tab/>
        <w:t xml:space="preserve">Clark NM, Cabana MD, Nan B, Gong ZM, Slish KK, Birk NA, Kaciroti N. The Clinician-Patient Partnership Paradigm: Outcomes Associated With Physician Communication Behavior. </w:t>
      </w:r>
      <w:r w:rsidR="00236591" w:rsidRPr="00CF5461">
        <w:rPr>
          <w:rFonts w:cs="Calibri"/>
          <w:i/>
          <w:iCs/>
        </w:rPr>
        <w:t>Clin Pediatr (Phila)</w:t>
      </w:r>
      <w:r w:rsidR="00236591" w:rsidRPr="00CF5461">
        <w:rPr>
          <w:rFonts w:cs="Calibri"/>
        </w:rPr>
        <w:t>. 2008;47(1):49-57. doi:10.1177/0009922807305650.</w:t>
      </w:r>
    </w:p>
    <w:p w14:paraId="5A0CCD40" w14:textId="4CFE17C7" w:rsidR="00236591" w:rsidRPr="00CF5461" w:rsidRDefault="00705CCE" w:rsidP="00236591">
      <w:pPr>
        <w:pStyle w:val="Bibliography"/>
        <w:spacing w:after="0"/>
        <w:rPr>
          <w:rFonts w:cs="Calibri"/>
        </w:rPr>
      </w:pPr>
      <w:r w:rsidRPr="00CF5461">
        <w:rPr>
          <w:rFonts w:cs="Calibri"/>
        </w:rPr>
        <w:t>33</w:t>
      </w:r>
      <w:r w:rsidR="00236591" w:rsidRPr="00CF5461">
        <w:rPr>
          <w:rFonts w:cs="Calibri"/>
        </w:rPr>
        <w:t xml:space="preserve">. </w:t>
      </w:r>
      <w:r w:rsidR="00236591" w:rsidRPr="00CF5461">
        <w:rPr>
          <w:rFonts w:cs="Calibri"/>
        </w:rPr>
        <w:tab/>
        <w:t xml:space="preserve">Gary T, Maiese E, Batts-Turner M, Wang N, Brancati F. Patient satisfaction, preventive services, and emergency room use among African-Americans with type 2 diabetes. </w:t>
      </w:r>
      <w:r w:rsidR="00236591" w:rsidRPr="00CF5461">
        <w:rPr>
          <w:rFonts w:cs="Calibri"/>
          <w:i/>
          <w:iCs/>
        </w:rPr>
        <w:t>Dis Manag</w:t>
      </w:r>
      <w:r w:rsidR="00236591" w:rsidRPr="00CF5461">
        <w:rPr>
          <w:rFonts w:cs="Calibri"/>
        </w:rPr>
        <w:t>. 2005;8(6):361-371.</w:t>
      </w:r>
    </w:p>
    <w:p w14:paraId="382B07D6" w14:textId="607FA6A9" w:rsidR="00236591" w:rsidRPr="00CF5461" w:rsidRDefault="00705CCE" w:rsidP="00236591">
      <w:pPr>
        <w:pStyle w:val="Bibliography"/>
        <w:spacing w:after="0"/>
        <w:rPr>
          <w:rFonts w:cs="Calibri"/>
        </w:rPr>
      </w:pPr>
      <w:r w:rsidRPr="00CF5461">
        <w:rPr>
          <w:rFonts w:cs="Calibri"/>
        </w:rPr>
        <w:t>34</w:t>
      </w:r>
      <w:r w:rsidR="00236591" w:rsidRPr="00CF5461">
        <w:rPr>
          <w:rFonts w:cs="Calibri"/>
        </w:rPr>
        <w:t xml:space="preserve">. </w:t>
      </w:r>
      <w:r w:rsidR="00236591" w:rsidRPr="00CF5461">
        <w:rPr>
          <w:rFonts w:cs="Calibri"/>
        </w:rPr>
        <w:tab/>
        <w:t xml:space="preserve">Boulding W, Glickman SW, Manary MP, Schulman KA, Staelin R. Relationship between patient satisfaction with inpatient care and hospital readmission within 30 days. </w:t>
      </w:r>
      <w:r w:rsidR="00236591" w:rsidRPr="00CF5461">
        <w:rPr>
          <w:rFonts w:cs="Calibri"/>
          <w:i/>
          <w:iCs/>
        </w:rPr>
        <w:t>Am J Manag Care</w:t>
      </w:r>
      <w:r w:rsidR="00236591" w:rsidRPr="00CF5461">
        <w:rPr>
          <w:rFonts w:cs="Calibri"/>
        </w:rPr>
        <w:t>. 2011;17(1):41-48.</w:t>
      </w:r>
    </w:p>
    <w:p w14:paraId="65D872AF" w14:textId="320F47F1" w:rsidR="00236591" w:rsidRPr="00CF5461" w:rsidRDefault="00705CCE" w:rsidP="00236591">
      <w:pPr>
        <w:pStyle w:val="Bibliography"/>
        <w:spacing w:after="0"/>
        <w:rPr>
          <w:rFonts w:cs="Calibri"/>
        </w:rPr>
      </w:pPr>
      <w:r w:rsidRPr="00CF5461">
        <w:rPr>
          <w:rFonts w:cs="Calibri"/>
        </w:rPr>
        <w:t>35</w:t>
      </w:r>
      <w:r w:rsidR="00236591" w:rsidRPr="00CF5461">
        <w:rPr>
          <w:rFonts w:cs="Calibri"/>
        </w:rPr>
        <w:t xml:space="preserve">. </w:t>
      </w:r>
      <w:r w:rsidR="00236591" w:rsidRPr="00CF5461">
        <w:rPr>
          <w:rFonts w:cs="Calibri"/>
        </w:rPr>
        <w:tab/>
        <w:t xml:space="preserve">Jaipaul CK, Rosenthal GE. Do Hospitals With Lower Mortality Have Higher Patient Satisfaction? A Regional Analysis of Patients With Medical Diagnoses. </w:t>
      </w:r>
      <w:r w:rsidR="00236591" w:rsidRPr="00CF5461">
        <w:rPr>
          <w:rFonts w:cs="Calibri"/>
          <w:i/>
          <w:iCs/>
        </w:rPr>
        <w:t>Am J Med Qual</w:t>
      </w:r>
      <w:r w:rsidR="00236591" w:rsidRPr="00CF5461">
        <w:rPr>
          <w:rFonts w:cs="Calibri"/>
        </w:rPr>
        <w:t>. 2003;18(2):59-65. doi:10.1177/106286060301800203.</w:t>
      </w:r>
    </w:p>
    <w:p w14:paraId="3BB48A87" w14:textId="0FE10621" w:rsidR="00236591" w:rsidRPr="00CF5461" w:rsidRDefault="00705CCE" w:rsidP="00236591">
      <w:pPr>
        <w:pStyle w:val="Bibliography"/>
        <w:spacing w:after="0"/>
        <w:rPr>
          <w:rFonts w:cs="Calibri"/>
        </w:rPr>
      </w:pPr>
      <w:r w:rsidRPr="00CF5461">
        <w:rPr>
          <w:rFonts w:cs="Calibri"/>
        </w:rPr>
        <w:t>36</w:t>
      </w:r>
      <w:r w:rsidR="00236591" w:rsidRPr="00CF5461">
        <w:rPr>
          <w:rFonts w:cs="Calibri"/>
        </w:rPr>
        <w:t xml:space="preserve">. </w:t>
      </w:r>
      <w:r w:rsidR="00236591" w:rsidRPr="00CF5461">
        <w:rPr>
          <w:rFonts w:cs="Calibri"/>
        </w:rPr>
        <w:tab/>
        <w:t xml:space="preserve">Meterko M, Wright S, Lin H, Lowy E, Cleary PD. Mortality among patients with acute myocardial infarction: the influences of patient-centered care and evidence-based medicine. </w:t>
      </w:r>
      <w:r w:rsidR="00236591" w:rsidRPr="00CF5461">
        <w:rPr>
          <w:rFonts w:cs="Calibri"/>
          <w:i/>
          <w:iCs/>
        </w:rPr>
        <w:t>Health Serv Res</w:t>
      </w:r>
      <w:r w:rsidR="00236591" w:rsidRPr="00CF5461">
        <w:rPr>
          <w:rFonts w:cs="Calibri"/>
        </w:rPr>
        <w:t>. 2010;45(5 Pt 1):1188-1204. doi:10.1111/j.1475-6773.2010.01138.x.</w:t>
      </w:r>
    </w:p>
    <w:p w14:paraId="1833268D" w14:textId="334C8B05" w:rsidR="00236591" w:rsidRPr="00CF5461" w:rsidRDefault="00705CCE" w:rsidP="00236591">
      <w:pPr>
        <w:pStyle w:val="Bibliography"/>
        <w:spacing w:after="0"/>
        <w:rPr>
          <w:rFonts w:cs="Calibri"/>
        </w:rPr>
      </w:pPr>
      <w:r w:rsidRPr="00CF5461">
        <w:rPr>
          <w:rFonts w:cs="Calibri"/>
        </w:rPr>
        <w:t>37</w:t>
      </w:r>
      <w:r w:rsidR="00236591" w:rsidRPr="00CF5461">
        <w:rPr>
          <w:rFonts w:cs="Calibri"/>
        </w:rPr>
        <w:t xml:space="preserve">. </w:t>
      </w:r>
      <w:r w:rsidR="00236591" w:rsidRPr="00CF5461">
        <w:rPr>
          <w:rFonts w:cs="Calibri"/>
        </w:rPr>
        <w:tab/>
        <w:t xml:space="preserve">Berry JG, Ziniel SI, Freeman L, Kaplan W, Antonelli R, Gay J, Coleman EA, Porter S, Goldmann D. Hospital readmission and parent perceptions of their child’s hospital discharge. </w:t>
      </w:r>
      <w:r w:rsidR="00236591" w:rsidRPr="00CF5461">
        <w:rPr>
          <w:rFonts w:cs="Calibri"/>
          <w:i/>
          <w:iCs/>
        </w:rPr>
        <w:t>Int J Qual Health Care</w:t>
      </w:r>
      <w:r w:rsidR="00236591" w:rsidRPr="00CF5461">
        <w:rPr>
          <w:rFonts w:cs="Calibri"/>
        </w:rPr>
        <w:t>. 2013;25(5):573-581. doi:10.1093/intqhc/mzt051.</w:t>
      </w:r>
    </w:p>
    <w:p w14:paraId="7D5AA9F7" w14:textId="4D06C93E" w:rsidR="00236591" w:rsidRPr="00313286" w:rsidRDefault="00705CCE" w:rsidP="00236591">
      <w:pPr>
        <w:pStyle w:val="Bibliography"/>
        <w:spacing w:after="0"/>
        <w:rPr>
          <w:rFonts w:cs="Calibri"/>
        </w:rPr>
      </w:pPr>
      <w:r w:rsidRPr="00CF5461">
        <w:rPr>
          <w:rFonts w:cs="Calibri"/>
        </w:rPr>
        <w:t>38</w:t>
      </w:r>
      <w:r w:rsidR="00236591" w:rsidRPr="00CF5461">
        <w:rPr>
          <w:rFonts w:cs="Calibri"/>
        </w:rPr>
        <w:t xml:space="preserve">. </w:t>
      </w:r>
      <w:r w:rsidR="00236591" w:rsidRPr="00CF5461">
        <w:rPr>
          <w:rFonts w:cs="Calibri"/>
        </w:rPr>
        <w:tab/>
        <w:t>Isaac T, Zaslavsky AM, Cleary</w:t>
      </w:r>
      <w:r w:rsidR="00236591" w:rsidRPr="00313286">
        <w:rPr>
          <w:rFonts w:cs="Calibri"/>
        </w:rPr>
        <w:t xml:space="preserve"> PD, Landon BE. The relationship between patients’ perception of care and measures of hospital quality and safety. </w:t>
      </w:r>
      <w:r w:rsidR="00236591" w:rsidRPr="00313286">
        <w:rPr>
          <w:rFonts w:cs="Calibri"/>
          <w:i/>
          <w:iCs/>
        </w:rPr>
        <w:t>Health Serv Res</w:t>
      </w:r>
      <w:r w:rsidR="00236591" w:rsidRPr="00313286">
        <w:rPr>
          <w:rFonts w:cs="Calibri"/>
        </w:rPr>
        <w:t>. 2010;45(4):1024-1040. doi:10.1111/j.1475-6773.2010.01122.x.</w:t>
      </w:r>
    </w:p>
    <w:p w14:paraId="18633FD8" w14:textId="20808B43" w:rsidR="00705CCE" w:rsidRPr="00313286" w:rsidRDefault="00705CCE" w:rsidP="00705CCE">
      <w:pPr>
        <w:ind w:left="504" w:hanging="504"/>
      </w:pPr>
      <w:r w:rsidRPr="00313286">
        <w:t xml:space="preserve">39. </w:t>
      </w:r>
      <w:r w:rsidRPr="00313286">
        <w:tab/>
        <w:t xml:space="preserve">Etingen B, Miskevics S, LaVela SL. Assessing the Associations of Patient-Reported Perceptions of Patient-Centered Care as Supplemental Measures of Health Care Quality in VA. </w:t>
      </w:r>
      <w:r w:rsidRPr="00313286">
        <w:rPr>
          <w:i/>
          <w:iCs/>
        </w:rPr>
        <w:t>J Gen Intern Med</w:t>
      </w:r>
      <w:r w:rsidRPr="00313286">
        <w:t>. March 2016. doi:</w:t>
      </w:r>
      <w:hyperlink r:id="rId21" w:history="1">
        <w:r w:rsidRPr="00313286">
          <w:rPr>
            <w:rStyle w:val="Hyperlink"/>
            <w:color w:val="auto"/>
          </w:rPr>
          <w:t>10.1007/s11606-015-3557-2</w:t>
        </w:r>
      </w:hyperlink>
    </w:p>
    <w:p w14:paraId="1A375228" w14:textId="2D358CFA" w:rsidR="00236591" w:rsidRPr="00313286" w:rsidRDefault="00705CCE" w:rsidP="00236591">
      <w:pPr>
        <w:pStyle w:val="Bibliography"/>
        <w:spacing w:after="0"/>
        <w:rPr>
          <w:rFonts w:cs="Calibri"/>
        </w:rPr>
      </w:pPr>
      <w:r w:rsidRPr="00313286">
        <w:rPr>
          <w:rFonts w:cs="Calibri"/>
        </w:rPr>
        <w:t>40</w:t>
      </w:r>
      <w:r w:rsidR="00236591" w:rsidRPr="00313286">
        <w:rPr>
          <w:rFonts w:cs="Calibri"/>
        </w:rPr>
        <w:t xml:space="preserve">. </w:t>
      </w:r>
      <w:r w:rsidR="00236591" w:rsidRPr="00313286">
        <w:rPr>
          <w:rFonts w:cs="Calibri"/>
        </w:rPr>
        <w:tab/>
        <w:t xml:space="preserve">Sequist TD, Schneider EC, Anastario M, Odigie EG, Marshall R, Rogers WH, Safran DG. Quality monitoring of physicians: linking patients’ experiences of care to clinical quality and outcomes. </w:t>
      </w:r>
      <w:r w:rsidR="00236591" w:rsidRPr="00313286">
        <w:rPr>
          <w:rFonts w:cs="Calibri"/>
          <w:i/>
          <w:iCs/>
        </w:rPr>
        <w:t>J Gen Intern Med</w:t>
      </w:r>
      <w:r w:rsidR="00236591" w:rsidRPr="00313286">
        <w:rPr>
          <w:rFonts w:cs="Calibri"/>
        </w:rPr>
        <w:t>. 2008;23(11):1784-1790. doi:10.1007/s11606-008-0760-4.</w:t>
      </w:r>
    </w:p>
    <w:p w14:paraId="65C10A27" w14:textId="60BBC35C" w:rsidR="00705CCE" w:rsidRPr="00313286" w:rsidRDefault="00705CCE" w:rsidP="00705CCE">
      <w:pPr>
        <w:pStyle w:val="CommentText"/>
        <w:ind w:left="504" w:hanging="504"/>
        <w:rPr>
          <w:sz w:val="22"/>
          <w:szCs w:val="22"/>
        </w:rPr>
      </w:pPr>
      <w:r w:rsidRPr="00313286">
        <w:rPr>
          <w:sz w:val="22"/>
          <w:szCs w:val="22"/>
        </w:rPr>
        <w:t xml:space="preserve">41. </w:t>
      </w:r>
      <w:r w:rsidRPr="00313286">
        <w:rPr>
          <w:sz w:val="22"/>
          <w:szCs w:val="22"/>
        </w:rPr>
        <w:tab/>
        <w:t xml:space="preserve">Tsai TC, Orav EJ, Jha AK. Patient Satisfaction and Quality of Surgical Care in US Hospitals. </w:t>
      </w:r>
      <w:r w:rsidRPr="00313286">
        <w:rPr>
          <w:i/>
          <w:iCs/>
          <w:sz w:val="22"/>
          <w:szCs w:val="22"/>
        </w:rPr>
        <w:t>Ann Surg</w:t>
      </w:r>
      <w:r w:rsidRPr="00313286">
        <w:rPr>
          <w:sz w:val="22"/>
          <w:szCs w:val="22"/>
        </w:rPr>
        <w:t>. 2015;261(1):2-8. doi:</w:t>
      </w:r>
      <w:hyperlink r:id="rId22" w:history="1">
        <w:r w:rsidRPr="00313286">
          <w:rPr>
            <w:rStyle w:val="Hyperlink"/>
            <w:color w:val="auto"/>
            <w:sz w:val="22"/>
            <w:szCs w:val="22"/>
          </w:rPr>
          <w:t>10.1097/SLA.0000000000000765</w:t>
        </w:r>
      </w:hyperlink>
    </w:p>
    <w:p w14:paraId="39AF6ED5" w14:textId="77777777" w:rsidR="00705CCE" w:rsidRPr="00313286" w:rsidRDefault="00705CCE" w:rsidP="00705CCE">
      <w:pPr>
        <w:pStyle w:val="CommentText"/>
        <w:rPr>
          <w:sz w:val="22"/>
          <w:szCs w:val="22"/>
        </w:rPr>
      </w:pPr>
    </w:p>
    <w:p w14:paraId="1A3BB41A" w14:textId="1E4293BD" w:rsidR="00705CCE" w:rsidRPr="00313286" w:rsidRDefault="00705CCE" w:rsidP="00705CCE">
      <w:pPr>
        <w:ind w:left="504" w:hanging="504"/>
      </w:pPr>
      <w:r w:rsidRPr="00313286">
        <w:t xml:space="preserve">42. </w:t>
      </w:r>
      <w:r w:rsidRPr="00313286">
        <w:tab/>
        <w:t xml:space="preserve">Sacks GD, Lawson EH, Dawes AJ, et al. Relationship Between Hospital Performance on a Patient Satisfaction Survey and Surgical Quality. </w:t>
      </w:r>
      <w:r w:rsidRPr="00313286">
        <w:rPr>
          <w:i/>
          <w:iCs/>
        </w:rPr>
        <w:t>JAMA Surg</w:t>
      </w:r>
      <w:r w:rsidRPr="00313286">
        <w:t>. 2015;150(9):858-864. doi:</w:t>
      </w:r>
      <w:hyperlink r:id="rId23" w:history="1">
        <w:r w:rsidRPr="00313286">
          <w:rPr>
            <w:rStyle w:val="Hyperlink"/>
            <w:color w:val="auto"/>
          </w:rPr>
          <w:t>10.1001/jamasurg.2015.1108</w:t>
        </w:r>
      </w:hyperlink>
    </w:p>
    <w:p w14:paraId="575791E3" w14:textId="134BFDBB" w:rsidR="00236591" w:rsidRPr="00CF5461" w:rsidRDefault="00705CCE" w:rsidP="00705CCE">
      <w:pPr>
        <w:pStyle w:val="Bibliography"/>
        <w:spacing w:after="0"/>
        <w:rPr>
          <w:rFonts w:cs="Calibri"/>
        </w:rPr>
      </w:pPr>
      <w:r w:rsidRPr="00313286">
        <w:rPr>
          <w:rFonts w:cs="Calibri"/>
        </w:rPr>
        <w:t>43</w:t>
      </w:r>
      <w:r w:rsidR="00236591" w:rsidRPr="00313286">
        <w:rPr>
          <w:rFonts w:cs="Calibri"/>
        </w:rPr>
        <w:t xml:space="preserve">. </w:t>
      </w:r>
      <w:r w:rsidR="00236591" w:rsidRPr="00313286">
        <w:rPr>
          <w:rFonts w:cs="Calibri"/>
        </w:rPr>
        <w:tab/>
        <w:t>Homer CJ, Marino B, Cleary PD, Alpert HR, Smith B, Crowley Ganser CM, Brustowicz RM, Goldmann DA. Quality of care at a children’s hospital: the parent’s perspect</w:t>
      </w:r>
      <w:r w:rsidR="00236591" w:rsidRPr="00CF5461">
        <w:rPr>
          <w:rFonts w:cs="Calibri"/>
        </w:rPr>
        <w:t xml:space="preserve">ive. </w:t>
      </w:r>
      <w:r w:rsidR="00236591" w:rsidRPr="00CF5461">
        <w:rPr>
          <w:rFonts w:cs="Calibri"/>
          <w:i/>
          <w:iCs/>
        </w:rPr>
        <w:t>Arch Pediatr Adolesc Med</w:t>
      </w:r>
      <w:r w:rsidR="00236591" w:rsidRPr="00CF5461">
        <w:rPr>
          <w:rFonts w:cs="Calibri"/>
        </w:rPr>
        <w:t>. 1999;153(11):1123-1129.</w:t>
      </w:r>
    </w:p>
    <w:p w14:paraId="558484A2" w14:textId="4F14A6BB" w:rsidR="00236591" w:rsidRPr="00CF5461" w:rsidRDefault="00705CCE" w:rsidP="00236591">
      <w:pPr>
        <w:pStyle w:val="Bibliography"/>
        <w:spacing w:after="0"/>
        <w:rPr>
          <w:rFonts w:cs="Calibri"/>
        </w:rPr>
      </w:pPr>
      <w:r w:rsidRPr="00CF5461">
        <w:rPr>
          <w:rFonts w:cs="Calibri"/>
        </w:rPr>
        <w:t>44</w:t>
      </w:r>
      <w:r w:rsidR="00236591" w:rsidRPr="00CF5461">
        <w:rPr>
          <w:rFonts w:cs="Calibri"/>
        </w:rPr>
        <w:t xml:space="preserve">. </w:t>
      </w:r>
      <w:r w:rsidR="00236591" w:rsidRPr="00CF5461">
        <w:rPr>
          <w:rFonts w:cs="Calibri"/>
        </w:rPr>
        <w:tab/>
        <w:t xml:space="preserve">Mack JW, Hilden JM, Watterson J, Moore C, Turner B, Grier HE, Weeks JC, Wolfe J. Parent and physician perspectives on quality of care at the end of life in children with cancer. </w:t>
      </w:r>
      <w:r w:rsidR="00236591" w:rsidRPr="00CF5461">
        <w:rPr>
          <w:rFonts w:cs="Calibri"/>
          <w:i/>
          <w:iCs/>
        </w:rPr>
        <w:t>J Clin Oncol Off J Am Soc Clin Oncol</w:t>
      </w:r>
      <w:r w:rsidR="00236591" w:rsidRPr="00CF5461">
        <w:rPr>
          <w:rFonts w:cs="Calibri"/>
        </w:rPr>
        <w:t>. 2005;23(36):9155-9161. doi:10.1200/JCO.2005.04.010.</w:t>
      </w:r>
    </w:p>
    <w:p w14:paraId="57E12C84" w14:textId="77777777" w:rsidR="00236591" w:rsidRDefault="00236591" w:rsidP="00236591">
      <w:pPr>
        <w:ind w:left="0" w:firstLine="0"/>
        <w:rPr>
          <w:b/>
        </w:rPr>
      </w:pPr>
      <w:r w:rsidRPr="00CF5461">
        <w:rPr>
          <w:iCs/>
        </w:rPr>
        <w:fldChar w:fldCharType="end"/>
      </w:r>
    </w:p>
    <w:p w14:paraId="56C82274" w14:textId="77777777" w:rsidR="009558D7" w:rsidRPr="00E51798" w:rsidRDefault="009558D7" w:rsidP="002E2177">
      <w:pPr>
        <w:ind w:left="0" w:firstLine="0"/>
        <w:rPr>
          <w:iCs/>
        </w:rPr>
      </w:pPr>
    </w:p>
    <w:p w14:paraId="56DEA796" w14:textId="77777777" w:rsidR="00496AF8" w:rsidRPr="00DA7FA2" w:rsidRDefault="00496AF8" w:rsidP="002E2177">
      <w:pPr>
        <w:ind w:left="0" w:firstLine="0"/>
        <w:rPr>
          <w:i/>
          <w:iCs/>
        </w:rPr>
      </w:pPr>
      <w:r w:rsidRPr="00313286">
        <w:rPr>
          <w:i/>
          <w:iCs/>
          <w:u w:val="single"/>
        </w:rPr>
        <w:t>Note</w:t>
      </w:r>
      <w:r w:rsidR="009B5BEA" w:rsidRPr="00313286">
        <w:rPr>
          <w:i/>
          <w:iCs/>
        </w:rPr>
        <w:t>:  F</w:t>
      </w:r>
      <w:r w:rsidRPr="00313286">
        <w:rPr>
          <w:i/>
          <w:iCs/>
        </w:rPr>
        <w:t xml:space="preserve">or health outcome </w:t>
      </w:r>
      <w:r w:rsidR="005857F8" w:rsidRPr="00313286">
        <w:rPr>
          <w:i/>
          <w:iCs/>
        </w:rPr>
        <w:t xml:space="preserve">performance </w:t>
      </w:r>
      <w:r w:rsidRPr="00313286">
        <w:rPr>
          <w:i/>
          <w:iCs/>
        </w:rPr>
        <w:t>measures, no further information is require</w:t>
      </w:r>
      <w:r w:rsidR="005857F8" w:rsidRPr="00313286">
        <w:rPr>
          <w:i/>
          <w:iCs/>
        </w:rPr>
        <w:t xml:space="preserve">d; however, you may provide evidence for any of the structures, processes, interventions, or service identified above. </w:t>
      </w:r>
    </w:p>
    <w:p w14:paraId="30E2F4C4" w14:textId="77777777" w:rsidR="0006774E" w:rsidRDefault="0006774E" w:rsidP="00C41794">
      <w:pPr>
        <w:ind w:left="0" w:firstLine="0"/>
        <w:rPr>
          <w:b/>
          <w:iCs/>
          <w:caps/>
        </w:rPr>
      </w:pPr>
    </w:p>
    <w:p w14:paraId="6CDF0221" w14:textId="302A0A38" w:rsidR="00641F0C" w:rsidRPr="00236591" w:rsidRDefault="0006774E" w:rsidP="002E2177">
      <w:pPr>
        <w:ind w:left="0" w:firstLine="0"/>
        <w:rPr>
          <w:b/>
          <w:iCs/>
        </w:rPr>
      </w:pPr>
      <w:r w:rsidRPr="003B1CC5">
        <w:rPr>
          <w:b/>
          <w:iCs/>
          <w:color w:val="0000FF"/>
        </w:rPr>
        <w:t>1a.3.</w:t>
      </w:r>
      <w:r w:rsidRPr="003B1CC5">
        <w:rPr>
          <w:i/>
          <w:iCs/>
          <w:color w:val="0000FF"/>
        </w:rPr>
        <w:t xml:space="preserve"> </w:t>
      </w:r>
      <w:r>
        <w:rPr>
          <w:b/>
          <w:iCs/>
          <w:color w:val="0000FF"/>
        </w:rPr>
        <w:t xml:space="preserve">SYSTEMATIC REVIEW(SR) OF THE EVIDENCE </w:t>
      </w:r>
      <w:r w:rsidR="00C41794">
        <w:rPr>
          <w:b/>
          <w:iCs/>
          <w:color w:val="0000FF"/>
        </w:rPr>
        <w:t>(</w:t>
      </w:r>
      <w:proofErr w:type="gramStart"/>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w:t>
      </w:r>
      <w:proofErr w:type="gramEnd"/>
      <w:r w:rsidR="00C41794" w:rsidRPr="003B1CC5">
        <w:rPr>
          <w:b/>
          <w:iCs/>
          <w:caps/>
        </w:rPr>
        <w:t xml:space="preserv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38F0F925" w:rsidR="00496AF8" w:rsidRDefault="00496AF8" w:rsidP="002E2177">
      <w:pPr>
        <w:ind w:left="0" w:firstLine="0"/>
        <w:rPr>
          <w:i/>
          <w:iCs/>
        </w:rPr>
      </w:pPr>
    </w:p>
    <w:p w14:paraId="55B8DA68" w14:textId="77777777" w:rsidR="00A9011D" w:rsidRPr="00EE2E2A" w:rsidRDefault="00A9011D" w:rsidP="00A9011D">
      <w:pPr>
        <w:ind w:left="0" w:firstLine="0"/>
        <w:rPr>
          <w:rFonts w:ascii="Calibri" w:hAnsi="Calibri"/>
          <w:b/>
        </w:rPr>
      </w:pPr>
      <w:r w:rsidRPr="00EE2E2A">
        <w:rPr>
          <w:rFonts w:ascii="Calibri" w:hAnsi="Calibri"/>
          <w:b/>
        </w:rPr>
        <w:t xml:space="preserve">What is the source of the </w:t>
      </w:r>
      <w:r w:rsidRPr="00EE2E2A">
        <w:rPr>
          <w:rFonts w:ascii="Calibri" w:hAnsi="Calibri"/>
          <w:b/>
          <w:u w:val="single"/>
        </w:rPr>
        <w:t>systematic review of the body of evidence</w:t>
      </w:r>
      <w:r w:rsidRPr="00EE2E2A">
        <w:rPr>
          <w:rFonts w:ascii="Calibri" w:hAnsi="Calibri"/>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62366F0B" w:rsidR="00A9011D" w:rsidRPr="00EE2E2A" w:rsidRDefault="00EC1225" w:rsidP="00A9011D">
      <w:pPr>
        <w:ind w:left="0" w:firstLine="0"/>
        <w:rPr>
          <w:rFonts w:ascii="Calibri" w:hAnsi="Calibri"/>
        </w:rPr>
      </w:pPr>
      <w:r w:rsidRPr="00A9011D">
        <w:rPr>
          <w:rFonts w:ascii="Times New Roman" w:eastAsia="Arial Unicode MS" w:hAnsi="Times New Roman" w:cs="Mangal" w:hint="eastAsia"/>
          <w:color w:val="0000FF"/>
          <w:kern w:val="1"/>
          <w:sz w:val="24"/>
          <w:szCs w:val="24"/>
          <w:lang w:eastAsia="hi-IN" w:bidi="hi-IN"/>
        </w:rPr>
        <w:t>☐</w:t>
      </w:r>
      <w:r w:rsidRPr="00EE2E2A">
        <w:rPr>
          <w:rFonts w:ascii="Times New Roman" w:hAnsi="Times New Roman"/>
          <w:color w:val="0000FF"/>
          <w:kern w:val="1"/>
          <w:sz w:val="24"/>
        </w:rPr>
        <w:t xml:space="preserve"> </w:t>
      </w:r>
      <w:r w:rsidR="00A9011D" w:rsidRPr="00EE2E2A">
        <w:rPr>
          <w:rFonts w:ascii="Calibri" w:hAnsi="Calibri"/>
        </w:rPr>
        <w:t xml:space="preserve">Clinical Practice Guideline recommendation </w:t>
      </w:r>
      <w:r>
        <w:rPr>
          <w:rFonts w:ascii="Calibri" w:eastAsia="Calibri" w:hAnsi="Calibri" w:cs="Times New Roman"/>
        </w:rPr>
        <w:t xml:space="preserve"> (with evidence review)</w:t>
      </w:r>
    </w:p>
    <w:p w14:paraId="55B8DA6A" w14:textId="0DEF52C5" w:rsidR="00A9011D" w:rsidRPr="00EE2E2A" w:rsidRDefault="00A9011D" w:rsidP="00A9011D">
      <w:pPr>
        <w:ind w:left="0" w:firstLine="0"/>
        <w:rPr>
          <w:rFonts w:ascii="Calibri" w:hAnsi="Calibri"/>
          <w:b/>
          <w:i/>
        </w:rPr>
      </w:pPr>
      <w:r w:rsidRPr="00A9011D">
        <w:rPr>
          <w:rFonts w:ascii="Times New Roman" w:eastAsia="Arial Unicode MS" w:hAnsi="Times New Roman" w:cs="Mangal" w:hint="eastAsia"/>
          <w:color w:val="0000FF"/>
          <w:kern w:val="1"/>
          <w:sz w:val="24"/>
          <w:szCs w:val="24"/>
          <w:lang w:eastAsia="hi-IN" w:bidi="hi-IN"/>
        </w:rPr>
        <w:t>☐</w:t>
      </w:r>
      <w:r w:rsidRPr="00EE2E2A">
        <w:rPr>
          <w:rFonts w:ascii="Calibri" w:hAnsi="Calibri"/>
        </w:rPr>
        <w:t xml:space="preserve"> US Preventive Services Task Force Recommendation</w:t>
      </w:r>
    </w:p>
    <w:p w14:paraId="55B8DA6B" w14:textId="4E4D2A77" w:rsidR="00A9011D" w:rsidRPr="00EE2E2A" w:rsidRDefault="00A9011D" w:rsidP="00A9011D">
      <w:pPr>
        <w:ind w:left="0" w:firstLine="0"/>
        <w:rPr>
          <w:rFonts w:ascii="Calibri" w:hAnsi="Calibri"/>
        </w:rPr>
      </w:pPr>
      <w:r w:rsidRPr="00A9011D">
        <w:rPr>
          <w:rFonts w:ascii="Times New Roman" w:eastAsia="Arial Unicode MS" w:hAnsi="Times New Roman" w:cs="Mangal" w:hint="eastAsia"/>
          <w:color w:val="0000FF"/>
          <w:kern w:val="1"/>
          <w:sz w:val="24"/>
          <w:szCs w:val="24"/>
          <w:lang w:eastAsia="hi-IN" w:bidi="hi-IN"/>
        </w:rPr>
        <w:t>☐</w:t>
      </w:r>
      <w:r w:rsidRPr="00EE2E2A">
        <w:rPr>
          <w:rFonts w:ascii="Calibri" w:hAnsi="Calibri"/>
        </w:rPr>
        <w:t xml:space="preserve"> Other systematic review and grading of the body of evidence (</w:t>
      </w:r>
      <w:r w:rsidRPr="00EE2E2A">
        <w:rPr>
          <w:rFonts w:ascii="Calibri" w:hAnsi="Calibri"/>
          <w:i/>
        </w:rPr>
        <w:t>e.g., Cochrane Collaboration, AHRQ Evidence Practice Center</w:t>
      </w:r>
      <w:r w:rsidRPr="00EE2E2A">
        <w:rPr>
          <w:rFonts w:ascii="Calibri" w:hAnsi="Calibri"/>
        </w:rPr>
        <w:t xml:space="preserve">) </w:t>
      </w:r>
    </w:p>
    <w:p w14:paraId="55B8DA6C" w14:textId="1170C46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439ACB83" w14:textId="77777777" w:rsidR="00676BD4" w:rsidRPr="00EE2E2A" w:rsidRDefault="000E5C93" w:rsidP="002E2177">
      <w:pPr>
        <w:ind w:left="0" w:firstLine="0"/>
        <w:rPr>
          <w:i/>
          <w:highlight w:val="green"/>
          <w:u w:val="single"/>
        </w:rPr>
      </w:pPr>
      <w:bookmarkStart w:id="6" w:name="Section1a8"/>
      <w:bookmarkEnd w:id="6"/>
      <w:r>
        <w:rPr>
          <w:b/>
          <w:color w:val="0000FF"/>
        </w:rPr>
        <w:t>1a.4</w:t>
      </w:r>
    </w:p>
    <w:p w14:paraId="55B8DA96" w14:textId="16FBD4BA" w:rsidR="00837121" w:rsidRPr="003B1CC5" w:rsidRDefault="00837121" w:rsidP="002E2177">
      <w:pPr>
        <w:ind w:left="0" w:firstLine="0"/>
        <w:rPr>
          <w:b/>
        </w:rPr>
      </w:pPr>
      <w:bookmarkStart w:id="7" w:name="Section1a4"/>
      <w:bookmarkStart w:id="8" w:name="Section1a5"/>
      <w:bookmarkStart w:id="9" w:name="Section1a6"/>
      <w:bookmarkStart w:id="10" w:name="Section1a7"/>
      <w:bookmarkEnd w:id="7"/>
      <w:bookmarkEnd w:id="8"/>
      <w:bookmarkEnd w:id="9"/>
      <w:bookmarkEnd w:id="10"/>
      <w:r w:rsidRPr="003B1CC5">
        <w:rPr>
          <w:b/>
          <w:color w:val="0000FF"/>
        </w:rPr>
        <w:t xml:space="preserve"> </w:t>
      </w:r>
      <w:r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1CD5990A" w14:textId="77777777" w:rsidR="00A63C61" w:rsidRPr="00EE2E2A" w:rsidRDefault="00A63C61" w:rsidP="002E2177">
      <w:pPr>
        <w:ind w:left="0" w:firstLine="0"/>
        <w:rPr>
          <w:b/>
        </w:rPr>
      </w:pPr>
    </w:p>
    <w:p w14:paraId="55B8DA9B" w14:textId="57D6C6B5" w:rsidR="00837121" w:rsidRPr="003B1CC5" w:rsidRDefault="000E5C93" w:rsidP="002E2177">
      <w:pPr>
        <w:ind w:left="0" w:firstLine="0"/>
      </w:pPr>
      <w:r w:rsidRPr="00EE2E2A">
        <w:rPr>
          <w:b/>
          <w:color w:val="244061" w:themeColor="accent1" w:themeShade="80"/>
        </w:rPr>
        <w:t>1a.4.</w:t>
      </w:r>
      <w:r w:rsidRPr="000E5C93">
        <w:rPr>
          <w:b/>
          <w:color w:val="244061" w:themeColor="accent1" w:themeShade="80"/>
        </w:rPr>
        <w:t>2</w:t>
      </w:r>
      <w:r w:rsidRPr="00EE2E2A">
        <w:rPr>
          <w:b/>
          <w:color w:val="244061" w:themeColor="accent1" w:themeShade="80"/>
        </w:rPr>
        <w:t xml:space="preserve"> </w:t>
      </w:r>
      <w:r w:rsidR="00837121" w:rsidRPr="003B1CC5">
        <w:rPr>
          <w:b/>
        </w:rPr>
        <w:t>What process was used to identify the evidence?</w:t>
      </w:r>
    </w:p>
    <w:p w14:paraId="55B8DA9C" w14:textId="77777777" w:rsidR="00837121" w:rsidRDefault="00837121" w:rsidP="002E2177">
      <w:pPr>
        <w:ind w:left="0" w:firstLine="0"/>
      </w:pPr>
    </w:p>
    <w:p w14:paraId="3152EA87" w14:textId="77777777" w:rsidR="00643022" w:rsidRPr="003B1CC5" w:rsidRDefault="00643022" w:rsidP="002E2177">
      <w:pPr>
        <w:ind w:left="0" w:firstLine="0"/>
      </w:pPr>
    </w:p>
    <w:p w14:paraId="150ACB4C" w14:textId="493FED2C" w:rsidR="00B757DE" w:rsidRDefault="000E5C93" w:rsidP="00A63C61">
      <w:pPr>
        <w:ind w:left="0" w:firstLine="0"/>
        <w:rPr>
          <w:b/>
          <w:iCs/>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w:t>
      </w:r>
      <w:r w:rsidR="00B757DE" w:rsidRPr="003B1CC5">
        <w:rPr>
          <w:b/>
        </w:rPr>
        <w:t>evidence.</w:t>
      </w:r>
      <w:r w:rsidR="00B757DE" w:rsidRPr="004A666C">
        <w:rPr>
          <w:b/>
          <w:iCs/>
        </w:rPr>
        <w:t xml:space="preserve"> </w:t>
      </w:r>
    </w:p>
    <w:p w14:paraId="7A2B094C" w14:textId="77777777" w:rsidR="00B757DE" w:rsidRDefault="00B757DE" w:rsidP="00A63C61">
      <w:pPr>
        <w:ind w:left="0" w:firstLine="0"/>
        <w:rPr>
          <w:b/>
          <w:iCs/>
        </w:rPr>
      </w:pPr>
    </w:p>
    <w:p w14:paraId="55B8DA9D" w14:textId="7BF706D2" w:rsidR="00837121" w:rsidRPr="001B772D" w:rsidRDefault="00837121" w:rsidP="002E2177">
      <w:pPr>
        <w:ind w:left="0" w:firstLine="0"/>
      </w:pPr>
    </w:p>
    <w:sectPr w:rsidR="00837121" w:rsidRPr="001B772D">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7444E" w14:textId="77777777" w:rsidR="005F268F" w:rsidRDefault="005F268F" w:rsidP="007E37A5">
      <w:r>
        <w:separator/>
      </w:r>
    </w:p>
  </w:endnote>
  <w:endnote w:type="continuationSeparator" w:id="0">
    <w:p w14:paraId="7039A811" w14:textId="77777777" w:rsidR="005F268F" w:rsidRDefault="005F268F" w:rsidP="007E37A5">
      <w:r>
        <w:continuationSeparator/>
      </w:r>
    </w:p>
  </w:endnote>
  <w:endnote w:type="continuationNotice" w:id="1">
    <w:p w14:paraId="424F5C29" w14:textId="77777777" w:rsidR="005F268F" w:rsidRDefault="005F26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8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604020202020204"/>
    <w:charset w:val="00"/>
    <w:family w:val="swiss"/>
    <w:pitch w:val="variable"/>
    <w:sig w:usb0="8000006F" w:usb1="1200FBEF" w:usb2="0064C000" w:usb3="00000000" w:csb0="00000001" w:csb1="00000000"/>
  </w:font>
  <w:font w:name="MS ??">
    <w:altName w:val="Arial Unicode MS"/>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798E053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CA5D69">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7D2F6" w14:textId="77777777" w:rsidR="005F268F" w:rsidRDefault="005F268F" w:rsidP="007E37A5">
      <w:r>
        <w:separator/>
      </w:r>
    </w:p>
  </w:footnote>
  <w:footnote w:type="continuationSeparator" w:id="0">
    <w:p w14:paraId="0511BEA3" w14:textId="77777777" w:rsidR="005F268F" w:rsidRDefault="005F268F" w:rsidP="007E37A5">
      <w:r>
        <w:continuationSeparator/>
      </w:r>
    </w:p>
  </w:footnote>
  <w:footnote w:type="continuationNotice" w:id="1">
    <w:p w14:paraId="5335E7D7" w14:textId="77777777" w:rsidR="005F268F" w:rsidRDefault="005F26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5BC7354C"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4F7B"/>
    <w:multiLevelType w:val="hybridMultilevel"/>
    <w:tmpl w:val="C63A4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453028"/>
    <w:multiLevelType w:val="hybridMultilevel"/>
    <w:tmpl w:val="318C4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3B09E0"/>
    <w:multiLevelType w:val="hybridMultilevel"/>
    <w:tmpl w:val="0CA2F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EF0C31"/>
    <w:multiLevelType w:val="hybridMultilevel"/>
    <w:tmpl w:val="D9A8A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0561DF"/>
    <w:multiLevelType w:val="hybridMultilevel"/>
    <w:tmpl w:val="E702C64C"/>
    <w:lvl w:ilvl="0" w:tplc="C57223B8">
      <w:start w:val="1"/>
      <w:numFmt w:val="bullet"/>
      <w:lvlText w:val=""/>
      <w:lvlJc w:val="left"/>
      <w:pPr>
        <w:tabs>
          <w:tab w:val="num" w:pos="360"/>
        </w:tabs>
        <w:ind w:left="360" w:hanging="360"/>
      </w:pPr>
      <w:rPr>
        <w:rFonts w:ascii="Symbol" w:hAnsi="Symbol" w:hint="default"/>
      </w:rPr>
    </w:lvl>
    <w:lvl w:ilvl="1" w:tplc="8EFCEA06" w:tentative="1">
      <w:start w:val="1"/>
      <w:numFmt w:val="bullet"/>
      <w:lvlText w:val=""/>
      <w:lvlJc w:val="left"/>
      <w:pPr>
        <w:tabs>
          <w:tab w:val="num" w:pos="1080"/>
        </w:tabs>
        <w:ind w:left="1080" w:hanging="360"/>
      </w:pPr>
      <w:rPr>
        <w:rFonts w:ascii="Symbol" w:hAnsi="Symbol" w:hint="default"/>
      </w:rPr>
    </w:lvl>
    <w:lvl w:ilvl="2" w:tplc="A780895C" w:tentative="1">
      <w:start w:val="1"/>
      <w:numFmt w:val="bullet"/>
      <w:lvlText w:val=""/>
      <w:lvlJc w:val="left"/>
      <w:pPr>
        <w:tabs>
          <w:tab w:val="num" w:pos="1800"/>
        </w:tabs>
        <w:ind w:left="1800" w:hanging="360"/>
      </w:pPr>
      <w:rPr>
        <w:rFonts w:ascii="Symbol" w:hAnsi="Symbol" w:hint="default"/>
      </w:rPr>
    </w:lvl>
    <w:lvl w:ilvl="3" w:tplc="10A84752" w:tentative="1">
      <w:start w:val="1"/>
      <w:numFmt w:val="bullet"/>
      <w:lvlText w:val=""/>
      <w:lvlJc w:val="left"/>
      <w:pPr>
        <w:tabs>
          <w:tab w:val="num" w:pos="2520"/>
        </w:tabs>
        <w:ind w:left="2520" w:hanging="360"/>
      </w:pPr>
      <w:rPr>
        <w:rFonts w:ascii="Symbol" w:hAnsi="Symbol" w:hint="default"/>
      </w:rPr>
    </w:lvl>
    <w:lvl w:ilvl="4" w:tplc="947CC790" w:tentative="1">
      <w:start w:val="1"/>
      <w:numFmt w:val="bullet"/>
      <w:lvlText w:val=""/>
      <w:lvlJc w:val="left"/>
      <w:pPr>
        <w:tabs>
          <w:tab w:val="num" w:pos="3240"/>
        </w:tabs>
        <w:ind w:left="3240" w:hanging="360"/>
      </w:pPr>
      <w:rPr>
        <w:rFonts w:ascii="Symbol" w:hAnsi="Symbol" w:hint="default"/>
      </w:rPr>
    </w:lvl>
    <w:lvl w:ilvl="5" w:tplc="5612863C" w:tentative="1">
      <w:start w:val="1"/>
      <w:numFmt w:val="bullet"/>
      <w:lvlText w:val=""/>
      <w:lvlJc w:val="left"/>
      <w:pPr>
        <w:tabs>
          <w:tab w:val="num" w:pos="3960"/>
        </w:tabs>
        <w:ind w:left="3960" w:hanging="360"/>
      </w:pPr>
      <w:rPr>
        <w:rFonts w:ascii="Symbol" w:hAnsi="Symbol" w:hint="default"/>
      </w:rPr>
    </w:lvl>
    <w:lvl w:ilvl="6" w:tplc="41CED2AA" w:tentative="1">
      <w:start w:val="1"/>
      <w:numFmt w:val="bullet"/>
      <w:lvlText w:val=""/>
      <w:lvlJc w:val="left"/>
      <w:pPr>
        <w:tabs>
          <w:tab w:val="num" w:pos="4680"/>
        </w:tabs>
        <w:ind w:left="4680" w:hanging="360"/>
      </w:pPr>
      <w:rPr>
        <w:rFonts w:ascii="Symbol" w:hAnsi="Symbol" w:hint="default"/>
      </w:rPr>
    </w:lvl>
    <w:lvl w:ilvl="7" w:tplc="67CC7BBA" w:tentative="1">
      <w:start w:val="1"/>
      <w:numFmt w:val="bullet"/>
      <w:lvlText w:val=""/>
      <w:lvlJc w:val="left"/>
      <w:pPr>
        <w:tabs>
          <w:tab w:val="num" w:pos="5400"/>
        </w:tabs>
        <w:ind w:left="5400" w:hanging="360"/>
      </w:pPr>
      <w:rPr>
        <w:rFonts w:ascii="Symbol" w:hAnsi="Symbol" w:hint="default"/>
      </w:rPr>
    </w:lvl>
    <w:lvl w:ilvl="8" w:tplc="301CEC04" w:tentative="1">
      <w:start w:val="1"/>
      <w:numFmt w:val="bullet"/>
      <w:lvlText w:val=""/>
      <w:lvlJc w:val="left"/>
      <w:pPr>
        <w:tabs>
          <w:tab w:val="num" w:pos="6120"/>
        </w:tabs>
        <w:ind w:left="6120" w:hanging="360"/>
      </w:pPr>
      <w:rPr>
        <w:rFonts w:ascii="Symbol" w:hAnsi="Symbol" w:hint="default"/>
      </w:rPr>
    </w:lvl>
  </w:abstractNum>
  <w:num w:numId="1">
    <w:abstractNumId w:val="7"/>
  </w:num>
  <w:num w:numId="2">
    <w:abstractNumId w:val="10"/>
  </w:num>
  <w:num w:numId="3">
    <w:abstractNumId w:val="2"/>
  </w:num>
  <w:num w:numId="4">
    <w:abstractNumId w:val="4"/>
  </w:num>
  <w:num w:numId="5">
    <w:abstractNumId w:val="6"/>
  </w:num>
  <w:num w:numId="6">
    <w:abstractNumId w:val="5"/>
  </w:num>
  <w:num w:numId="7">
    <w:abstractNumId w:val="13"/>
  </w:num>
  <w:num w:numId="8">
    <w:abstractNumId w:val="12"/>
  </w:num>
  <w:num w:numId="9">
    <w:abstractNumId w:val="14"/>
  </w:num>
  <w:num w:numId="10">
    <w:abstractNumId w:val="1"/>
  </w:num>
  <w:num w:numId="11">
    <w:abstractNumId w:val="9"/>
  </w:num>
  <w:num w:numId="12">
    <w:abstractNumId w:val="3"/>
  </w:num>
  <w:num w:numId="13">
    <w:abstractNumId w:val="8"/>
  </w:num>
  <w:num w:numId="14">
    <w:abstractNumId w:val="11"/>
  </w:num>
  <w:num w:numId="15">
    <w:abstractNumId w:val="1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AF8"/>
    <w:rsid w:val="00005D1F"/>
    <w:rsid w:val="0001030C"/>
    <w:rsid w:val="00015986"/>
    <w:rsid w:val="000160E6"/>
    <w:rsid w:val="00017242"/>
    <w:rsid w:val="00024526"/>
    <w:rsid w:val="00030F43"/>
    <w:rsid w:val="00033BCD"/>
    <w:rsid w:val="00040DCF"/>
    <w:rsid w:val="00052C0B"/>
    <w:rsid w:val="00061CF3"/>
    <w:rsid w:val="00063601"/>
    <w:rsid w:val="00065955"/>
    <w:rsid w:val="0006774E"/>
    <w:rsid w:val="00073079"/>
    <w:rsid w:val="0007593F"/>
    <w:rsid w:val="0008560D"/>
    <w:rsid w:val="000864DB"/>
    <w:rsid w:val="00094783"/>
    <w:rsid w:val="00095EC9"/>
    <w:rsid w:val="00096A37"/>
    <w:rsid w:val="000973A9"/>
    <w:rsid w:val="000A0810"/>
    <w:rsid w:val="000A5E14"/>
    <w:rsid w:val="000B3E50"/>
    <w:rsid w:val="000B627F"/>
    <w:rsid w:val="000C4776"/>
    <w:rsid w:val="000C5427"/>
    <w:rsid w:val="000D649E"/>
    <w:rsid w:val="000D65B5"/>
    <w:rsid w:val="000D6D06"/>
    <w:rsid w:val="000E0F22"/>
    <w:rsid w:val="000E5C93"/>
    <w:rsid w:val="000F1FBC"/>
    <w:rsid w:val="000F2581"/>
    <w:rsid w:val="000F4A7F"/>
    <w:rsid w:val="001053CD"/>
    <w:rsid w:val="00111AD6"/>
    <w:rsid w:val="00114848"/>
    <w:rsid w:val="00120934"/>
    <w:rsid w:val="00123514"/>
    <w:rsid w:val="001276EA"/>
    <w:rsid w:val="00132070"/>
    <w:rsid w:val="0014050D"/>
    <w:rsid w:val="00140B13"/>
    <w:rsid w:val="00141875"/>
    <w:rsid w:val="0014347E"/>
    <w:rsid w:val="00154438"/>
    <w:rsid w:val="001551F6"/>
    <w:rsid w:val="0015535B"/>
    <w:rsid w:val="00157F39"/>
    <w:rsid w:val="00162036"/>
    <w:rsid w:val="001632DD"/>
    <w:rsid w:val="00170FF1"/>
    <w:rsid w:val="0017345C"/>
    <w:rsid w:val="00176E60"/>
    <w:rsid w:val="00177F13"/>
    <w:rsid w:val="00184ABD"/>
    <w:rsid w:val="00194913"/>
    <w:rsid w:val="00194D9A"/>
    <w:rsid w:val="001A196B"/>
    <w:rsid w:val="001A3BA6"/>
    <w:rsid w:val="001A6D05"/>
    <w:rsid w:val="001B38BF"/>
    <w:rsid w:val="001B772D"/>
    <w:rsid w:val="001D5B5D"/>
    <w:rsid w:val="001E6153"/>
    <w:rsid w:val="001F2E0B"/>
    <w:rsid w:val="001F5DC5"/>
    <w:rsid w:val="00201FF9"/>
    <w:rsid w:val="00205857"/>
    <w:rsid w:val="00207943"/>
    <w:rsid w:val="00235ADC"/>
    <w:rsid w:val="00236591"/>
    <w:rsid w:val="00236F87"/>
    <w:rsid w:val="0026410F"/>
    <w:rsid w:val="00265702"/>
    <w:rsid w:val="002662B2"/>
    <w:rsid w:val="00266503"/>
    <w:rsid w:val="002717C7"/>
    <w:rsid w:val="0027297C"/>
    <w:rsid w:val="00283BAF"/>
    <w:rsid w:val="002875E9"/>
    <w:rsid w:val="00287EB3"/>
    <w:rsid w:val="00292FE9"/>
    <w:rsid w:val="002A47BA"/>
    <w:rsid w:val="002A6777"/>
    <w:rsid w:val="002B06BD"/>
    <w:rsid w:val="002C0E48"/>
    <w:rsid w:val="002C6F04"/>
    <w:rsid w:val="002D09BE"/>
    <w:rsid w:val="002E2177"/>
    <w:rsid w:val="002E2E41"/>
    <w:rsid w:val="002E78CD"/>
    <w:rsid w:val="002F20A7"/>
    <w:rsid w:val="002F2E9D"/>
    <w:rsid w:val="003008F4"/>
    <w:rsid w:val="00302B1D"/>
    <w:rsid w:val="00307FA5"/>
    <w:rsid w:val="003103AF"/>
    <w:rsid w:val="00313286"/>
    <w:rsid w:val="00321B75"/>
    <w:rsid w:val="00324D64"/>
    <w:rsid w:val="00350BA4"/>
    <w:rsid w:val="00352B52"/>
    <w:rsid w:val="0035760D"/>
    <w:rsid w:val="00360E66"/>
    <w:rsid w:val="00363ECC"/>
    <w:rsid w:val="00364A95"/>
    <w:rsid w:val="00374EC9"/>
    <w:rsid w:val="00380B82"/>
    <w:rsid w:val="0039020B"/>
    <w:rsid w:val="00393829"/>
    <w:rsid w:val="00395263"/>
    <w:rsid w:val="003956E0"/>
    <w:rsid w:val="0039609A"/>
    <w:rsid w:val="00397500"/>
    <w:rsid w:val="003A5C00"/>
    <w:rsid w:val="003B1CC5"/>
    <w:rsid w:val="003B65CE"/>
    <w:rsid w:val="003D2D18"/>
    <w:rsid w:val="003D6721"/>
    <w:rsid w:val="003E039E"/>
    <w:rsid w:val="003E3F33"/>
    <w:rsid w:val="003F6FA1"/>
    <w:rsid w:val="0040230E"/>
    <w:rsid w:val="0041662F"/>
    <w:rsid w:val="0042235B"/>
    <w:rsid w:val="00422917"/>
    <w:rsid w:val="00433BEC"/>
    <w:rsid w:val="00440687"/>
    <w:rsid w:val="0044131D"/>
    <w:rsid w:val="00441ADA"/>
    <w:rsid w:val="004477E4"/>
    <w:rsid w:val="00457E46"/>
    <w:rsid w:val="00460647"/>
    <w:rsid w:val="0047135E"/>
    <w:rsid w:val="00472046"/>
    <w:rsid w:val="0048055A"/>
    <w:rsid w:val="004839D7"/>
    <w:rsid w:val="00491A6C"/>
    <w:rsid w:val="004922E4"/>
    <w:rsid w:val="00496AF8"/>
    <w:rsid w:val="004A575D"/>
    <w:rsid w:val="004A666C"/>
    <w:rsid w:val="004B635A"/>
    <w:rsid w:val="004B65C6"/>
    <w:rsid w:val="004B70A7"/>
    <w:rsid w:val="004C538D"/>
    <w:rsid w:val="004D1DC7"/>
    <w:rsid w:val="004E7215"/>
    <w:rsid w:val="004F4BD0"/>
    <w:rsid w:val="004F7D7E"/>
    <w:rsid w:val="00500B0C"/>
    <w:rsid w:val="00502F19"/>
    <w:rsid w:val="00515AA7"/>
    <w:rsid w:val="00530280"/>
    <w:rsid w:val="00534419"/>
    <w:rsid w:val="00537150"/>
    <w:rsid w:val="00540984"/>
    <w:rsid w:val="00543851"/>
    <w:rsid w:val="00547419"/>
    <w:rsid w:val="00547B65"/>
    <w:rsid w:val="0055067B"/>
    <w:rsid w:val="0055559D"/>
    <w:rsid w:val="00555C0C"/>
    <w:rsid w:val="0055673E"/>
    <w:rsid w:val="005569AE"/>
    <w:rsid w:val="00560C35"/>
    <w:rsid w:val="005857F8"/>
    <w:rsid w:val="00594961"/>
    <w:rsid w:val="00595490"/>
    <w:rsid w:val="0059647D"/>
    <w:rsid w:val="005A0E4E"/>
    <w:rsid w:val="005B0D18"/>
    <w:rsid w:val="005B12C3"/>
    <w:rsid w:val="005B409D"/>
    <w:rsid w:val="005B5699"/>
    <w:rsid w:val="005D0FDB"/>
    <w:rsid w:val="005D25E9"/>
    <w:rsid w:val="005D6D59"/>
    <w:rsid w:val="005E0054"/>
    <w:rsid w:val="005E26E5"/>
    <w:rsid w:val="005F268F"/>
    <w:rsid w:val="0061327A"/>
    <w:rsid w:val="006136BD"/>
    <w:rsid w:val="00617390"/>
    <w:rsid w:val="00623420"/>
    <w:rsid w:val="00634768"/>
    <w:rsid w:val="0063596F"/>
    <w:rsid w:val="00640AD9"/>
    <w:rsid w:val="00641EBD"/>
    <w:rsid w:val="00641F0C"/>
    <w:rsid w:val="00643022"/>
    <w:rsid w:val="006653C1"/>
    <w:rsid w:val="006709EB"/>
    <w:rsid w:val="00672824"/>
    <w:rsid w:val="00674444"/>
    <w:rsid w:val="00675ECE"/>
    <w:rsid w:val="00676BD4"/>
    <w:rsid w:val="0068184A"/>
    <w:rsid w:val="006841FE"/>
    <w:rsid w:val="00687729"/>
    <w:rsid w:val="006A0249"/>
    <w:rsid w:val="006A76B8"/>
    <w:rsid w:val="006B32F3"/>
    <w:rsid w:val="006B5C51"/>
    <w:rsid w:val="006C23E6"/>
    <w:rsid w:val="006C4814"/>
    <w:rsid w:val="006C6428"/>
    <w:rsid w:val="006C7711"/>
    <w:rsid w:val="006C7F30"/>
    <w:rsid w:val="006D43FF"/>
    <w:rsid w:val="006D6C36"/>
    <w:rsid w:val="006E6FDD"/>
    <w:rsid w:val="006F1DD1"/>
    <w:rsid w:val="006F4B7F"/>
    <w:rsid w:val="006F6965"/>
    <w:rsid w:val="006F7526"/>
    <w:rsid w:val="006F760B"/>
    <w:rsid w:val="00701CC3"/>
    <w:rsid w:val="00705CCE"/>
    <w:rsid w:val="00721875"/>
    <w:rsid w:val="00724801"/>
    <w:rsid w:val="00734949"/>
    <w:rsid w:val="00736AEC"/>
    <w:rsid w:val="00736E0F"/>
    <w:rsid w:val="007434FA"/>
    <w:rsid w:val="007573F0"/>
    <w:rsid w:val="00765156"/>
    <w:rsid w:val="00767669"/>
    <w:rsid w:val="00773485"/>
    <w:rsid w:val="00773EAE"/>
    <w:rsid w:val="00776E8F"/>
    <w:rsid w:val="00776F6D"/>
    <w:rsid w:val="007779AA"/>
    <w:rsid w:val="007819AF"/>
    <w:rsid w:val="00784653"/>
    <w:rsid w:val="00784CC0"/>
    <w:rsid w:val="00797B72"/>
    <w:rsid w:val="007A010E"/>
    <w:rsid w:val="007A230A"/>
    <w:rsid w:val="007A6A60"/>
    <w:rsid w:val="007B709E"/>
    <w:rsid w:val="007C0297"/>
    <w:rsid w:val="007C1887"/>
    <w:rsid w:val="007D4775"/>
    <w:rsid w:val="007D5DC6"/>
    <w:rsid w:val="007E37A5"/>
    <w:rsid w:val="007F0036"/>
    <w:rsid w:val="007F3DE6"/>
    <w:rsid w:val="007F49D8"/>
    <w:rsid w:val="0080225D"/>
    <w:rsid w:val="00805940"/>
    <w:rsid w:val="0081599C"/>
    <w:rsid w:val="00820AB0"/>
    <w:rsid w:val="00823886"/>
    <w:rsid w:val="00835C9D"/>
    <w:rsid w:val="00837121"/>
    <w:rsid w:val="0083742B"/>
    <w:rsid w:val="008471E5"/>
    <w:rsid w:val="00850C35"/>
    <w:rsid w:val="00851466"/>
    <w:rsid w:val="00863E43"/>
    <w:rsid w:val="008647C3"/>
    <w:rsid w:val="00864B49"/>
    <w:rsid w:val="008659ED"/>
    <w:rsid w:val="00867AA0"/>
    <w:rsid w:val="008708DC"/>
    <w:rsid w:val="00870987"/>
    <w:rsid w:val="008732B3"/>
    <w:rsid w:val="00874A0F"/>
    <w:rsid w:val="00874A51"/>
    <w:rsid w:val="0087564A"/>
    <w:rsid w:val="00881160"/>
    <w:rsid w:val="0088371C"/>
    <w:rsid w:val="00886E92"/>
    <w:rsid w:val="00895429"/>
    <w:rsid w:val="008A45F3"/>
    <w:rsid w:val="008B51D9"/>
    <w:rsid w:val="008B652E"/>
    <w:rsid w:val="008B7EE0"/>
    <w:rsid w:val="008C7410"/>
    <w:rsid w:val="008D05B7"/>
    <w:rsid w:val="008D5C77"/>
    <w:rsid w:val="008F1DC6"/>
    <w:rsid w:val="008F304B"/>
    <w:rsid w:val="008F3AE6"/>
    <w:rsid w:val="008F47FC"/>
    <w:rsid w:val="008F6F51"/>
    <w:rsid w:val="00905C5B"/>
    <w:rsid w:val="00923295"/>
    <w:rsid w:val="00925F11"/>
    <w:rsid w:val="009346DD"/>
    <w:rsid w:val="00935265"/>
    <w:rsid w:val="0093747D"/>
    <w:rsid w:val="0094689F"/>
    <w:rsid w:val="009477D6"/>
    <w:rsid w:val="009500E6"/>
    <w:rsid w:val="00953ED3"/>
    <w:rsid w:val="009558D7"/>
    <w:rsid w:val="009653FF"/>
    <w:rsid w:val="00965FF6"/>
    <w:rsid w:val="00973910"/>
    <w:rsid w:val="009846D6"/>
    <w:rsid w:val="0098657F"/>
    <w:rsid w:val="00995A41"/>
    <w:rsid w:val="009A3236"/>
    <w:rsid w:val="009A66CB"/>
    <w:rsid w:val="009B3712"/>
    <w:rsid w:val="009B38DF"/>
    <w:rsid w:val="009B5A93"/>
    <w:rsid w:val="009B5BEA"/>
    <w:rsid w:val="009C291F"/>
    <w:rsid w:val="009C37F3"/>
    <w:rsid w:val="009D189E"/>
    <w:rsid w:val="009D6FC8"/>
    <w:rsid w:val="009E1CAC"/>
    <w:rsid w:val="009E37BD"/>
    <w:rsid w:val="009E6B86"/>
    <w:rsid w:val="00A03301"/>
    <w:rsid w:val="00A12762"/>
    <w:rsid w:val="00A13867"/>
    <w:rsid w:val="00A26FED"/>
    <w:rsid w:val="00A421D4"/>
    <w:rsid w:val="00A44FF0"/>
    <w:rsid w:val="00A50E55"/>
    <w:rsid w:val="00A54F9D"/>
    <w:rsid w:val="00A63C61"/>
    <w:rsid w:val="00A67EB1"/>
    <w:rsid w:val="00A73297"/>
    <w:rsid w:val="00A7606A"/>
    <w:rsid w:val="00A9011D"/>
    <w:rsid w:val="00A91A47"/>
    <w:rsid w:val="00A93DA9"/>
    <w:rsid w:val="00A95D2B"/>
    <w:rsid w:val="00AA539E"/>
    <w:rsid w:val="00AA5587"/>
    <w:rsid w:val="00AB1231"/>
    <w:rsid w:val="00AB4ECE"/>
    <w:rsid w:val="00AB7EBF"/>
    <w:rsid w:val="00AC1E53"/>
    <w:rsid w:val="00AD5132"/>
    <w:rsid w:val="00AD7521"/>
    <w:rsid w:val="00AD79C8"/>
    <w:rsid w:val="00AE6CE0"/>
    <w:rsid w:val="00AF51D0"/>
    <w:rsid w:val="00B058A6"/>
    <w:rsid w:val="00B058E1"/>
    <w:rsid w:val="00B10CF8"/>
    <w:rsid w:val="00B117D0"/>
    <w:rsid w:val="00B13998"/>
    <w:rsid w:val="00B13A90"/>
    <w:rsid w:val="00B35C5F"/>
    <w:rsid w:val="00B439DD"/>
    <w:rsid w:val="00B52E0F"/>
    <w:rsid w:val="00B56F2D"/>
    <w:rsid w:val="00B74629"/>
    <w:rsid w:val="00B757DE"/>
    <w:rsid w:val="00B76B12"/>
    <w:rsid w:val="00B904CC"/>
    <w:rsid w:val="00B91F58"/>
    <w:rsid w:val="00BA579E"/>
    <w:rsid w:val="00BB0FFF"/>
    <w:rsid w:val="00BD35BE"/>
    <w:rsid w:val="00BE0D87"/>
    <w:rsid w:val="00BE2295"/>
    <w:rsid w:val="00BE6373"/>
    <w:rsid w:val="00BF533A"/>
    <w:rsid w:val="00C04195"/>
    <w:rsid w:val="00C05D8A"/>
    <w:rsid w:val="00C0618C"/>
    <w:rsid w:val="00C10DBE"/>
    <w:rsid w:val="00C200F7"/>
    <w:rsid w:val="00C31E2D"/>
    <w:rsid w:val="00C41794"/>
    <w:rsid w:val="00C46677"/>
    <w:rsid w:val="00C50C45"/>
    <w:rsid w:val="00C5180E"/>
    <w:rsid w:val="00C54DD7"/>
    <w:rsid w:val="00C54E40"/>
    <w:rsid w:val="00C55F56"/>
    <w:rsid w:val="00C57BA4"/>
    <w:rsid w:val="00C613EB"/>
    <w:rsid w:val="00C673EE"/>
    <w:rsid w:val="00C71C1A"/>
    <w:rsid w:val="00C768EE"/>
    <w:rsid w:val="00C84117"/>
    <w:rsid w:val="00C84623"/>
    <w:rsid w:val="00CA5D69"/>
    <w:rsid w:val="00CA7C01"/>
    <w:rsid w:val="00CB06C9"/>
    <w:rsid w:val="00CB1E41"/>
    <w:rsid w:val="00CB271C"/>
    <w:rsid w:val="00CC0F87"/>
    <w:rsid w:val="00CE4F96"/>
    <w:rsid w:val="00CE663F"/>
    <w:rsid w:val="00CF002D"/>
    <w:rsid w:val="00CF0AB1"/>
    <w:rsid w:val="00CF3B77"/>
    <w:rsid w:val="00CF4B9B"/>
    <w:rsid w:val="00CF5461"/>
    <w:rsid w:val="00CF55E6"/>
    <w:rsid w:val="00CF772F"/>
    <w:rsid w:val="00D01C7F"/>
    <w:rsid w:val="00D02157"/>
    <w:rsid w:val="00D04694"/>
    <w:rsid w:val="00D048DB"/>
    <w:rsid w:val="00D14F0B"/>
    <w:rsid w:val="00D178CA"/>
    <w:rsid w:val="00D22F1E"/>
    <w:rsid w:val="00D23D9A"/>
    <w:rsid w:val="00D24243"/>
    <w:rsid w:val="00D3311C"/>
    <w:rsid w:val="00D339C3"/>
    <w:rsid w:val="00D53405"/>
    <w:rsid w:val="00D5457B"/>
    <w:rsid w:val="00D61B88"/>
    <w:rsid w:val="00D63C5E"/>
    <w:rsid w:val="00D72995"/>
    <w:rsid w:val="00D72C7E"/>
    <w:rsid w:val="00D73685"/>
    <w:rsid w:val="00D74E70"/>
    <w:rsid w:val="00D840B5"/>
    <w:rsid w:val="00D86E55"/>
    <w:rsid w:val="00DA7513"/>
    <w:rsid w:val="00DA7FA2"/>
    <w:rsid w:val="00DB4CFF"/>
    <w:rsid w:val="00DB6446"/>
    <w:rsid w:val="00DB70E4"/>
    <w:rsid w:val="00DC2D8D"/>
    <w:rsid w:val="00DC7F67"/>
    <w:rsid w:val="00DE1F5D"/>
    <w:rsid w:val="00DE3C79"/>
    <w:rsid w:val="00DE50D8"/>
    <w:rsid w:val="00DF1848"/>
    <w:rsid w:val="00DF278A"/>
    <w:rsid w:val="00DF5E1C"/>
    <w:rsid w:val="00DF793E"/>
    <w:rsid w:val="00E1664B"/>
    <w:rsid w:val="00E2251D"/>
    <w:rsid w:val="00E30D12"/>
    <w:rsid w:val="00E3394E"/>
    <w:rsid w:val="00E35241"/>
    <w:rsid w:val="00E41417"/>
    <w:rsid w:val="00E42FAA"/>
    <w:rsid w:val="00E536D3"/>
    <w:rsid w:val="00E56986"/>
    <w:rsid w:val="00E57BE2"/>
    <w:rsid w:val="00E62A95"/>
    <w:rsid w:val="00E71113"/>
    <w:rsid w:val="00E746A2"/>
    <w:rsid w:val="00E8114E"/>
    <w:rsid w:val="00E81DFC"/>
    <w:rsid w:val="00E90D06"/>
    <w:rsid w:val="00E97BB9"/>
    <w:rsid w:val="00E97E59"/>
    <w:rsid w:val="00EA79C9"/>
    <w:rsid w:val="00EB4AC3"/>
    <w:rsid w:val="00EB66AC"/>
    <w:rsid w:val="00EC1225"/>
    <w:rsid w:val="00EC2247"/>
    <w:rsid w:val="00ED732D"/>
    <w:rsid w:val="00EE0B8B"/>
    <w:rsid w:val="00EE1F87"/>
    <w:rsid w:val="00EE2E2A"/>
    <w:rsid w:val="00EE3931"/>
    <w:rsid w:val="00EE5AF6"/>
    <w:rsid w:val="00EF2CEF"/>
    <w:rsid w:val="00EF42C4"/>
    <w:rsid w:val="00F04314"/>
    <w:rsid w:val="00F1092D"/>
    <w:rsid w:val="00F173A9"/>
    <w:rsid w:val="00F26D21"/>
    <w:rsid w:val="00F31FE4"/>
    <w:rsid w:val="00F321CB"/>
    <w:rsid w:val="00F42C20"/>
    <w:rsid w:val="00F431D8"/>
    <w:rsid w:val="00F4732D"/>
    <w:rsid w:val="00F63E8D"/>
    <w:rsid w:val="00F67706"/>
    <w:rsid w:val="00F753FB"/>
    <w:rsid w:val="00F81FE3"/>
    <w:rsid w:val="00F90F82"/>
    <w:rsid w:val="00F92D75"/>
    <w:rsid w:val="00F97327"/>
    <w:rsid w:val="00FA296F"/>
    <w:rsid w:val="00FA338C"/>
    <w:rsid w:val="00FA7323"/>
    <w:rsid w:val="00FB1299"/>
    <w:rsid w:val="00FB62E0"/>
    <w:rsid w:val="00FB7F7D"/>
    <w:rsid w:val="00FC32D3"/>
    <w:rsid w:val="00FC4E07"/>
    <w:rsid w:val="00FD0F6D"/>
    <w:rsid w:val="00FD1006"/>
    <w:rsid w:val="00FD4D82"/>
    <w:rsid w:val="00FE083D"/>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0646742C-D65C-1E4A-BB77-B09ED88D9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BodyText">
    <w:name w:val="Body Text"/>
    <w:basedOn w:val="Normal"/>
    <w:link w:val="BodyTextChar"/>
    <w:uiPriority w:val="99"/>
    <w:rsid w:val="00784653"/>
    <w:pPr>
      <w:spacing w:after="240" w:line="276" w:lineRule="auto"/>
      <w:ind w:left="0" w:firstLine="720"/>
    </w:pPr>
    <w:rPr>
      <w:rFonts w:ascii="Arial" w:eastAsia="Times New Roman" w:hAnsi="Arial" w:cs="Times New Roman"/>
      <w:sz w:val="20"/>
      <w:szCs w:val="20"/>
      <w:lang w:eastAsia="ja-JP"/>
    </w:rPr>
  </w:style>
  <w:style w:type="character" w:customStyle="1" w:styleId="BodyTextChar">
    <w:name w:val="Body Text Char"/>
    <w:basedOn w:val="DefaultParagraphFont"/>
    <w:link w:val="BodyText"/>
    <w:uiPriority w:val="99"/>
    <w:rsid w:val="00784653"/>
    <w:rPr>
      <w:rFonts w:ascii="Arial" w:eastAsia="Times New Roman" w:hAnsi="Arial" w:cs="Times New Roman"/>
      <w:sz w:val="20"/>
      <w:szCs w:val="20"/>
      <w:lang w:eastAsia="ja-JP"/>
    </w:rPr>
  </w:style>
  <w:style w:type="paragraph" w:styleId="NormalWeb">
    <w:name w:val="Normal (Web)"/>
    <w:basedOn w:val="Normal"/>
    <w:uiPriority w:val="99"/>
    <w:rsid w:val="00784653"/>
    <w:pPr>
      <w:spacing w:before="100" w:beforeAutospacing="1" w:after="100" w:afterAutospacing="1"/>
      <w:ind w:left="0" w:firstLine="0"/>
    </w:pPr>
    <w:rPr>
      <w:rFonts w:ascii="Times New Roman" w:eastAsia="Times New Roman" w:hAnsi="Times New Roman" w:cs="Times New Roman"/>
      <w:sz w:val="24"/>
      <w:szCs w:val="24"/>
    </w:rPr>
  </w:style>
  <w:style w:type="paragraph" w:styleId="Bibliography">
    <w:name w:val="Bibliography"/>
    <w:basedOn w:val="Normal"/>
    <w:next w:val="Normal"/>
    <w:uiPriority w:val="37"/>
    <w:unhideWhenUsed/>
    <w:rsid w:val="00784653"/>
    <w:pPr>
      <w:tabs>
        <w:tab w:val="left" w:pos="504"/>
      </w:tabs>
      <w:spacing w:after="240"/>
      <w:ind w:left="504" w:hanging="5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77221">
      <w:bodyDiv w:val="1"/>
      <w:marLeft w:val="0"/>
      <w:marRight w:val="0"/>
      <w:marTop w:val="0"/>
      <w:marBottom w:val="0"/>
      <w:divBdr>
        <w:top w:val="none" w:sz="0" w:space="0" w:color="auto"/>
        <w:left w:val="none" w:sz="0" w:space="0" w:color="auto"/>
        <w:bottom w:val="none" w:sz="0" w:space="0" w:color="auto"/>
        <w:right w:val="none" w:sz="0" w:space="0" w:color="auto"/>
      </w:divBdr>
    </w:div>
    <w:div w:id="727461124">
      <w:bodyDiv w:val="1"/>
      <w:marLeft w:val="0"/>
      <w:marRight w:val="0"/>
      <w:marTop w:val="0"/>
      <w:marBottom w:val="0"/>
      <w:divBdr>
        <w:top w:val="none" w:sz="0" w:space="0" w:color="auto"/>
        <w:left w:val="none" w:sz="0" w:space="0" w:color="auto"/>
        <w:bottom w:val="none" w:sz="0" w:space="0" w:color="auto"/>
        <w:right w:val="none" w:sz="0" w:space="0" w:color="auto"/>
      </w:divBdr>
      <w:divsChild>
        <w:div w:id="1742488185">
          <w:marLeft w:val="0"/>
          <w:marRight w:val="0"/>
          <w:marTop w:val="0"/>
          <w:marBottom w:val="0"/>
          <w:divBdr>
            <w:top w:val="none" w:sz="0" w:space="0" w:color="auto"/>
            <w:left w:val="none" w:sz="0" w:space="0" w:color="auto"/>
            <w:bottom w:val="none" w:sz="0" w:space="0" w:color="auto"/>
            <w:right w:val="none" w:sz="0" w:space="0" w:color="auto"/>
          </w:divBdr>
          <w:divsChild>
            <w:div w:id="616064750">
              <w:marLeft w:val="0"/>
              <w:marRight w:val="0"/>
              <w:marTop w:val="0"/>
              <w:marBottom w:val="0"/>
              <w:divBdr>
                <w:top w:val="none" w:sz="0" w:space="0" w:color="auto"/>
                <w:left w:val="none" w:sz="0" w:space="0" w:color="auto"/>
                <w:bottom w:val="none" w:sz="0" w:space="0" w:color="auto"/>
                <w:right w:val="none" w:sz="0" w:space="0" w:color="auto"/>
              </w:divBdr>
              <w:divsChild>
                <w:div w:id="933441497">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838158287">
      <w:bodyDiv w:val="1"/>
      <w:marLeft w:val="0"/>
      <w:marRight w:val="0"/>
      <w:marTop w:val="0"/>
      <w:marBottom w:val="0"/>
      <w:divBdr>
        <w:top w:val="none" w:sz="0" w:space="0" w:color="auto"/>
        <w:left w:val="none" w:sz="0" w:space="0" w:color="auto"/>
        <w:bottom w:val="none" w:sz="0" w:space="0" w:color="auto"/>
        <w:right w:val="none" w:sz="0" w:space="0" w:color="auto"/>
      </w:divBdr>
      <w:divsChild>
        <w:div w:id="1256205059">
          <w:marLeft w:val="0"/>
          <w:marRight w:val="0"/>
          <w:marTop w:val="0"/>
          <w:marBottom w:val="0"/>
          <w:divBdr>
            <w:top w:val="none" w:sz="0" w:space="0" w:color="auto"/>
            <w:left w:val="none" w:sz="0" w:space="0" w:color="auto"/>
            <w:bottom w:val="none" w:sz="0" w:space="0" w:color="auto"/>
            <w:right w:val="none" w:sz="0" w:space="0" w:color="auto"/>
          </w:divBdr>
          <w:divsChild>
            <w:div w:id="1643585300">
              <w:marLeft w:val="0"/>
              <w:marRight w:val="0"/>
              <w:marTop w:val="0"/>
              <w:marBottom w:val="0"/>
              <w:divBdr>
                <w:top w:val="none" w:sz="0" w:space="0" w:color="auto"/>
                <w:left w:val="none" w:sz="0" w:space="0" w:color="auto"/>
                <w:bottom w:val="none" w:sz="0" w:space="0" w:color="auto"/>
                <w:right w:val="none" w:sz="0" w:space="0" w:color="auto"/>
              </w:divBdr>
              <w:divsChild>
                <w:div w:id="179355399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848837753">
      <w:bodyDiv w:val="1"/>
      <w:marLeft w:val="0"/>
      <w:marRight w:val="0"/>
      <w:marTop w:val="0"/>
      <w:marBottom w:val="0"/>
      <w:divBdr>
        <w:top w:val="none" w:sz="0" w:space="0" w:color="auto"/>
        <w:left w:val="none" w:sz="0" w:space="0" w:color="auto"/>
        <w:bottom w:val="none" w:sz="0" w:space="0" w:color="auto"/>
        <w:right w:val="none" w:sz="0" w:space="0" w:color="auto"/>
      </w:divBdr>
      <w:divsChild>
        <w:div w:id="1808930956">
          <w:marLeft w:val="0"/>
          <w:marRight w:val="0"/>
          <w:marTop w:val="0"/>
          <w:marBottom w:val="0"/>
          <w:divBdr>
            <w:top w:val="none" w:sz="0" w:space="0" w:color="auto"/>
            <w:left w:val="none" w:sz="0" w:space="0" w:color="auto"/>
            <w:bottom w:val="none" w:sz="0" w:space="0" w:color="auto"/>
            <w:right w:val="none" w:sz="0" w:space="0" w:color="auto"/>
          </w:divBdr>
          <w:divsChild>
            <w:div w:id="1066731623">
              <w:marLeft w:val="0"/>
              <w:marRight w:val="0"/>
              <w:marTop w:val="0"/>
              <w:marBottom w:val="0"/>
              <w:divBdr>
                <w:top w:val="none" w:sz="0" w:space="0" w:color="auto"/>
                <w:left w:val="none" w:sz="0" w:space="0" w:color="auto"/>
                <w:bottom w:val="none" w:sz="0" w:space="0" w:color="auto"/>
                <w:right w:val="none" w:sz="0" w:space="0" w:color="auto"/>
              </w:divBdr>
              <w:divsChild>
                <w:div w:id="795754942">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907956366">
      <w:bodyDiv w:val="1"/>
      <w:marLeft w:val="0"/>
      <w:marRight w:val="0"/>
      <w:marTop w:val="0"/>
      <w:marBottom w:val="0"/>
      <w:divBdr>
        <w:top w:val="none" w:sz="0" w:space="0" w:color="auto"/>
        <w:left w:val="none" w:sz="0" w:space="0" w:color="auto"/>
        <w:bottom w:val="none" w:sz="0" w:space="0" w:color="auto"/>
        <w:right w:val="none" w:sz="0" w:space="0" w:color="auto"/>
      </w:divBdr>
      <w:divsChild>
        <w:div w:id="945232082">
          <w:marLeft w:val="0"/>
          <w:marRight w:val="0"/>
          <w:marTop w:val="0"/>
          <w:marBottom w:val="0"/>
          <w:divBdr>
            <w:top w:val="none" w:sz="0" w:space="0" w:color="auto"/>
            <w:left w:val="none" w:sz="0" w:space="0" w:color="auto"/>
            <w:bottom w:val="none" w:sz="0" w:space="0" w:color="auto"/>
            <w:right w:val="none" w:sz="0" w:space="0" w:color="auto"/>
          </w:divBdr>
          <w:divsChild>
            <w:div w:id="1214852084">
              <w:marLeft w:val="0"/>
              <w:marRight w:val="0"/>
              <w:marTop w:val="0"/>
              <w:marBottom w:val="0"/>
              <w:divBdr>
                <w:top w:val="none" w:sz="0" w:space="0" w:color="auto"/>
                <w:left w:val="none" w:sz="0" w:space="0" w:color="auto"/>
                <w:bottom w:val="none" w:sz="0" w:space="0" w:color="auto"/>
                <w:right w:val="none" w:sz="0" w:space="0" w:color="auto"/>
              </w:divBdr>
              <w:divsChild>
                <w:div w:id="62947155">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958293738">
      <w:bodyDiv w:val="1"/>
      <w:marLeft w:val="0"/>
      <w:marRight w:val="0"/>
      <w:marTop w:val="0"/>
      <w:marBottom w:val="0"/>
      <w:divBdr>
        <w:top w:val="none" w:sz="0" w:space="0" w:color="auto"/>
        <w:left w:val="none" w:sz="0" w:space="0" w:color="auto"/>
        <w:bottom w:val="none" w:sz="0" w:space="0" w:color="auto"/>
        <w:right w:val="none" w:sz="0" w:space="0" w:color="auto"/>
      </w:divBdr>
      <w:divsChild>
        <w:div w:id="1106147995">
          <w:marLeft w:val="0"/>
          <w:marRight w:val="0"/>
          <w:marTop w:val="0"/>
          <w:marBottom w:val="0"/>
          <w:divBdr>
            <w:top w:val="none" w:sz="0" w:space="0" w:color="auto"/>
            <w:left w:val="none" w:sz="0" w:space="0" w:color="auto"/>
            <w:bottom w:val="none" w:sz="0" w:space="0" w:color="auto"/>
            <w:right w:val="none" w:sz="0" w:space="0" w:color="auto"/>
          </w:divBdr>
          <w:divsChild>
            <w:div w:id="156465152">
              <w:marLeft w:val="0"/>
              <w:marRight w:val="0"/>
              <w:marTop w:val="0"/>
              <w:marBottom w:val="0"/>
              <w:divBdr>
                <w:top w:val="none" w:sz="0" w:space="0" w:color="auto"/>
                <w:left w:val="none" w:sz="0" w:space="0" w:color="auto"/>
                <w:bottom w:val="none" w:sz="0" w:space="0" w:color="auto"/>
                <w:right w:val="none" w:sz="0" w:space="0" w:color="auto"/>
              </w:divBdr>
              <w:divsChild>
                <w:div w:id="379212275">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051616962">
      <w:bodyDiv w:val="1"/>
      <w:marLeft w:val="0"/>
      <w:marRight w:val="0"/>
      <w:marTop w:val="0"/>
      <w:marBottom w:val="0"/>
      <w:divBdr>
        <w:top w:val="none" w:sz="0" w:space="0" w:color="auto"/>
        <w:left w:val="none" w:sz="0" w:space="0" w:color="auto"/>
        <w:bottom w:val="none" w:sz="0" w:space="0" w:color="auto"/>
        <w:right w:val="none" w:sz="0" w:space="0" w:color="auto"/>
      </w:divBdr>
      <w:divsChild>
        <w:div w:id="724985351">
          <w:marLeft w:val="0"/>
          <w:marRight w:val="0"/>
          <w:marTop w:val="0"/>
          <w:marBottom w:val="0"/>
          <w:divBdr>
            <w:top w:val="none" w:sz="0" w:space="0" w:color="auto"/>
            <w:left w:val="none" w:sz="0" w:space="0" w:color="auto"/>
            <w:bottom w:val="none" w:sz="0" w:space="0" w:color="auto"/>
            <w:right w:val="none" w:sz="0" w:space="0" w:color="auto"/>
          </w:divBdr>
          <w:divsChild>
            <w:div w:id="1179733779">
              <w:marLeft w:val="0"/>
              <w:marRight w:val="0"/>
              <w:marTop w:val="0"/>
              <w:marBottom w:val="0"/>
              <w:divBdr>
                <w:top w:val="none" w:sz="0" w:space="0" w:color="auto"/>
                <w:left w:val="none" w:sz="0" w:space="0" w:color="auto"/>
                <w:bottom w:val="none" w:sz="0" w:space="0" w:color="auto"/>
                <w:right w:val="none" w:sz="0" w:space="0" w:color="auto"/>
              </w:divBdr>
              <w:divsChild>
                <w:div w:id="1766026523">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438256120">
      <w:bodyDiv w:val="1"/>
      <w:marLeft w:val="0"/>
      <w:marRight w:val="0"/>
      <w:marTop w:val="0"/>
      <w:marBottom w:val="0"/>
      <w:divBdr>
        <w:top w:val="none" w:sz="0" w:space="0" w:color="auto"/>
        <w:left w:val="none" w:sz="0" w:space="0" w:color="auto"/>
        <w:bottom w:val="none" w:sz="0" w:space="0" w:color="auto"/>
        <w:right w:val="none" w:sz="0" w:space="0" w:color="auto"/>
      </w:divBdr>
      <w:divsChild>
        <w:div w:id="842667011">
          <w:marLeft w:val="0"/>
          <w:marRight w:val="0"/>
          <w:marTop w:val="0"/>
          <w:marBottom w:val="0"/>
          <w:divBdr>
            <w:top w:val="none" w:sz="0" w:space="0" w:color="auto"/>
            <w:left w:val="none" w:sz="0" w:space="0" w:color="auto"/>
            <w:bottom w:val="none" w:sz="0" w:space="0" w:color="auto"/>
            <w:right w:val="none" w:sz="0" w:space="0" w:color="auto"/>
          </w:divBdr>
          <w:divsChild>
            <w:div w:id="102389233">
              <w:marLeft w:val="0"/>
              <w:marRight w:val="0"/>
              <w:marTop w:val="0"/>
              <w:marBottom w:val="0"/>
              <w:divBdr>
                <w:top w:val="none" w:sz="0" w:space="0" w:color="auto"/>
                <w:left w:val="none" w:sz="0" w:space="0" w:color="auto"/>
                <w:bottom w:val="none" w:sz="0" w:space="0" w:color="auto"/>
                <w:right w:val="none" w:sz="0" w:space="0" w:color="auto"/>
              </w:divBdr>
              <w:divsChild>
                <w:div w:id="214320657">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663659155">
      <w:bodyDiv w:val="1"/>
      <w:marLeft w:val="0"/>
      <w:marRight w:val="0"/>
      <w:marTop w:val="0"/>
      <w:marBottom w:val="0"/>
      <w:divBdr>
        <w:top w:val="none" w:sz="0" w:space="0" w:color="auto"/>
        <w:left w:val="none" w:sz="0" w:space="0" w:color="auto"/>
        <w:bottom w:val="none" w:sz="0" w:space="0" w:color="auto"/>
        <w:right w:val="none" w:sz="0" w:space="0" w:color="auto"/>
      </w:divBdr>
      <w:divsChild>
        <w:div w:id="140465954">
          <w:marLeft w:val="0"/>
          <w:marRight w:val="0"/>
          <w:marTop w:val="0"/>
          <w:marBottom w:val="0"/>
          <w:divBdr>
            <w:top w:val="none" w:sz="0" w:space="0" w:color="auto"/>
            <w:left w:val="none" w:sz="0" w:space="0" w:color="auto"/>
            <w:bottom w:val="none" w:sz="0" w:space="0" w:color="auto"/>
            <w:right w:val="none" w:sz="0" w:space="0" w:color="auto"/>
          </w:divBdr>
          <w:divsChild>
            <w:div w:id="1818108046">
              <w:marLeft w:val="0"/>
              <w:marRight w:val="0"/>
              <w:marTop w:val="0"/>
              <w:marBottom w:val="0"/>
              <w:divBdr>
                <w:top w:val="none" w:sz="0" w:space="0" w:color="auto"/>
                <w:left w:val="none" w:sz="0" w:space="0" w:color="auto"/>
                <w:bottom w:val="none" w:sz="0" w:space="0" w:color="auto"/>
                <w:right w:val="none" w:sz="0" w:space="0" w:color="auto"/>
              </w:divBdr>
              <w:divsChild>
                <w:div w:id="1857814751">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2098481474">
      <w:bodyDiv w:val="1"/>
      <w:marLeft w:val="0"/>
      <w:marRight w:val="0"/>
      <w:marTop w:val="0"/>
      <w:marBottom w:val="0"/>
      <w:divBdr>
        <w:top w:val="none" w:sz="0" w:space="0" w:color="auto"/>
        <w:left w:val="none" w:sz="0" w:space="0" w:color="auto"/>
        <w:bottom w:val="none" w:sz="0" w:space="0" w:color="auto"/>
        <w:right w:val="none" w:sz="0" w:space="0" w:color="auto"/>
      </w:divBdr>
      <w:divsChild>
        <w:div w:id="446967761">
          <w:marLeft w:val="0"/>
          <w:marRight w:val="0"/>
          <w:marTop w:val="0"/>
          <w:marBottom w:val="0"/>
          <w:divBdr>
            <w:top w:val="none" w:sz="0" w:space="0" w:color="auto"/>
            <w:left w:val="none" w:sz="0" w:space="0" w:color="auto"/>
            <w:bottom w:val="none" w:sz="0" w:space="0" w:color="auto"/>
            <w:right w:val="none" w:sz="0" w:space="0" w:color="auto"/>
          </w:divBdr>
          <w:divsChild>
            <w:div w:id="490754768">
              <w:marLeft w:val="0"/>
              <w:marRight w:val="0"/>
              <w:marTop w:val="0"/>
              <w:marBottom w:val="0"/>
              <w:divBdr>
                <w:top w:val="none" w:sz="0" w:space="0" w:color="auto"/>
                <w:left w:val="none" w:sz="0" w:space="0" w:color="auto"/>
                <w:bottom w:val="none" w:sz="0" w:space="0" w:color="auto"/>
                <w:right w:val="none" w:sz="0" w:space="0" w:color="auto"/>
              </w:divBdr>
              <w:divsChild>
                <w:div w:id="1486555394">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s://doi.org/10.1016/j.pedn.2014.10.014"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oi.org/10.1007/s11606-015-3557-2"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doi.org/10.1377/hlthaff.2015.136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doi.org/10.1007/s11606-014-2845-6"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hyperlink" Target="https://doi.org/10.1001/jamasurg.2015.1108"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doi.org/10.1097/CCM.000000000000216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yperlink" Target="https://doi.org/10.1097/SLA.0000000000000765"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8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604020202020204"/>
    <w:charset w:val="00"/>
    <w:family w:val="swiss"/>
    <w:pitch w:val="variable"/>
    <w:sig w:usb0="8000006F" w:usb1="1200FBEF" w:usb2="0064C000" w:usb3="00000000" w:csb0="00000001" w:csb1="00000000"/>
  </w:font>
  <w:font w:name="MS ??">
    <w:altName w:val="Arial Unicode MS"/>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6A18DD"/>
    <w:rsid w:val="008E0B41"/>
    <w:rsid w:val="008F6A9B"/>
    <w:rsid w:val="00A77B15"/>
    <w:rsid w:val="00AB32F9"/>
    <w:rsid w:val="00BE0F2D"/>
    <w:rsid w:val="00C03643"/>
    <w:rsid w:val="00C253D4"/>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BFE7A9D4330E47E39B375DABD97B438D">
    <w:name w:val="BFE7A9D4330E47E39B375DABD97B438D"/>
  </w:style>
  <w:style w:type="paragraph" w:customStyle="1" w:styleId="361542AABE9D49888D4E47F54A0635D2">
    <w:name w:val="361542AABE9D49888D4E47F54A0635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745DEC19-72D8-8446-BCCD-B33CF9953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4001</Words>
  <Characters>22810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Sara Toomey</cp:lastModifiedBy>
  <cp:revision>5</cp:revision>
  <cp:lastPrinted>2018-04-04T13:52:00Z</cp:lastPrinted>
  <dcterms:created xsi:type="dcterms:W3CDTF">2019-04-24T17:42:00Z</dcterms:created>
  <dcterms:modified xsi:type="dcterms:W3CDTF">2019-04-24T17:47:00Z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y fmtid="{D5CDD505-2E9C-101B-9397-08002B2CF9AE}" pid="3" name="ZOTERO_PREF_1">
    <vt:lpwstr>&lt;data data-version="3" zotero-version="4.0.19"&gt;&lt;session id="f4YYj050"/&gt;&lt;style id="http://www.zotero.org/styles/american-medical-association-no-et-al" hasBibliography="1" bibliographyStyleHasBeenSet="1"/&gt;&lt;prefs&gt;&lt;pref name="fieldType" value="Field"/&gt;&lt;pref n</vt:lpwstr>
  </property>
  <property fmtid="{D5CDD505-2E9C-101B-9397-08002B2CF9AE}" pid="4" name="ZOTERO_PREF_2">
    <vt:lpwstr>ame="storeReferences" value="true"/&gt;&lt;pref name="automaticJournalAbbreviations" value="true"/&gt;&lt;pref name="noteType" value="0"/&gt;&lt;/prefs&gt;&lt;/data&gt;</vt:lpwstr>
  </property>
</Properties>
</file>