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67D24" w14:textId="6C47199D"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105D8B">
      <w:pPr>
        <w:contextualSpacing/>
        <w:rPr>
          <w:rFonts w:cstheme="minorHAnsi"/>
          <w:b/>
          <w:noProof/>
        </w:rPr>
      </w:pPr>
    </w:p>
    <w:p w14:paraId="0FB67D26" w14:textId="498084FD"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70855">
            <w:rPr>
              <w:rStyle w:val="Style1"/>
            </w:rPr>
            <w:t>2563</w:t>
          </w:r>
        </w:sdtContent>
      </w:sdt>
    </w:p>
    <w:p w14:paraId="0FB67D27" w14:textId="54E0F166" w:rsidR="00105D8B" w:rsidRPr="00A25024" w:rsidRDefault="0074027A" w:rsidP="00105D8B">
      <w:pPr>
        <w:contextualSpacing/>
        <w:rPr>
          <w:rFonts w:cstheme="minorHAnsi"/>
          <w:noProof/>
        </w:rPr>
      </w:pPr>
      <w:r>
        <w:rPr>
          <w:rFonts w:cstheme="minorHAnsi"/>
          <w:b/>
          <w:noProof/>
        </w:rPr>
        <w:t xml:space="preserve">Composite </w:t>
      </w:r>
      <w:r w:rsidR="00105D8B" w:rsidRPr="00A25024">
        <w:rPr>
          <w:rFonts w:cstheme="minorHAnsi"/>
          <w:b/>
          <w:noProof/>
        </w:rPr>
        <w:t>Measure Title</w:t>
      </w:r>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069924846"/>
              <w:placeholder>
                <w:docPart w:val="D0699D7BCA984A5893178068864EEB90"/>
              </w:placeholder>
            </w:sdtPr>
            <w:sdtEndPr>
              <w:rPr>
                <w:rStyle w:val="DefaultParagraphFont"/>
                <w:noProof/>
                <w:color w:val="auto"/>
              </w:rPr>
            </w:sdtEndPr>
            <w:sdtContent>
              <w:r w:rsidR="00F70855" w:rsidRPr="009168B4">
                <w:rPr>
                  <w:rStyle w:val="Style1"/>
                  <w:rFonts w:cstheme="minorHAnsi"/>
                </w:rPr>
                <w:t>STS AVR</w:t>
              </w:r>
              <w:r w:rsidR="00F70855">
                <w:rPr>
                  <w:rStyle w:val="Style1"/>
                  <w:rFonts w:cstheme="minorHAnsi"/>
                </w:rPr>
                <w:t xml:space="preserve"> + CABG</w:t>
              </w:r>
              <w:r w:rsidR="00F70855" w:rsidRPr="009168B4">
                <w:rPr>
                  <w:rStyle w:val="Style1"/>
                  <w:rFonts w:cstheme="minorHAnsi"/>
                </w:rPr>
                <w:t xml:space="preserve"> Composite Score</w:t>
              </w:r>
            </w:sdtContent>
          </w:sdt>
          <w:r w:rsidR="00F70855">
            <w:rPr>
              <w:rFonts w:cstheme="minorHAnsi"/>
              <w:noProof/>
            </w:rPr>
            <w:tab/>
          </w:r>
        </w:sdtContent>
      </w:sdt>
    </w:p>
    <w:p w14:paraId="0FB67D28" w14:textId="0C63CC76" w:rsidR="005C73CA" w:rsidRPr="00E33FEF" w:rsidRDefault="00105D8B" w:rsidP="009E1846">
      <w:pPr>
        <w:spacing w:after="0"/>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date w:fullDate="2018-04-27T00:00:00Z">
            <w:dateFormat w:val="M/d/yyyy"/>
            <w:lid w:val="en-US"/>
            <w:storeMappedDataAs w:val="dateTime"/>
            <w:calendar w:val="gregorian"/>
          </w:date>
        </w:sdtPr>
        <w:sdtEndPr>
          <w:rPr>
            <w:rStyle w:val="DefaultParagraphFont"/>
            <w:noProof/>
            <w:color w:val="auto"/>
            <w:u w:val="none"/>
          </w:rPr>
        </w:sdtEndPr>
        <w:sdtContent>
          <w:r w:rsidR="008441DB">
            <w:rPr>
              <w:rStyle w:val="Style2"/>
              <w:rFonts w:cstheme="minorHAnsi"/>
            </w:rPr>
            <w:t>4/27/2018</w:t>
          </w:r>
        </w:sdtContent>
      </w:sdt>
      <w:r w:rsidR="008441DB">
        <w:rPr>
          <w:rFonts w:cstheme="minorHAnsi"/>
          <w:noProof/>
        </w:rPr>
        <w:t xml:space="preserve">  </w:t>
      </w:r>
      <w:r w:rsidR="008441DB">
        <w:rPr>
          <w:rFonts w:cstheme="minorHAnsi"/>
          <w:b/>
          <w:noProof/>
        </w:rPr>
        <w:t>(revised/re-submitted 8/1/2018)</w:t>
      </w:r>
    </w:p>
    <w:p w14:paraId="0FB67D29" w14:textId="77777777"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008F5EA1" w:rsidR="0063652A" w:rsidRPr="00FC5DE1" w:rsidRDefault="00860325" w:rsidP="0063652A">
      <w:pPr>
        <w:spacing w:after="0" w:line="240" w:lineRule="auto"/>
        <w:rPr>
          <w:rFonts w:cstheme="minorHAnsi"/>
          <w:noProof/>
        </w:rPr>
      </w:pPr>
      <w:sdt>
        <w:sdtPr>
          <w:rPr>
            <w:rFonts w:cstheme="minorHAnsi"/>
            <w:noProof/>
            <w:color w:val="0000FF"/>
          </w:rPr>
          <w:id w:val="864175725"/>
          <w14:checkbox>
            <w14:checked w14:val="1"/>
            <w14:checkedState w14:val="2612" w14:font="MS Gothic"/>
            <w14:uncheckedState w14:val="2610" w14:font="MS Gothic"/>
          </w14:checkbox>
        </w:sdtPr>
        <w:sdtEndPr/>
        <w:sdtContent>
          <w:r w:rsidR="001C67BA">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77777777" w:rsidR="0063652A" w:rsidRPr="00FC5DE1" w:rsidRDefault="00860325" w:rsidP="0063652A">
      <w:pPr>
        <w:spacing w:after="0" w:line="240" w:lineRule="auto"/>
        <w:rPr>
          <w:rFonts w:cstheme="minorHAnsi"/>
          <w:noProof/>
        </w:rPr>
      </w:pPr>
      <w:sdt>
        <w:sdtPr>
          <w:rPr>
            <w:rFonts w:cstheme="minorHAnsi"/>
            <w:noProof/>
            <w:color w:val="0000FF"/>
          </w:rPr>
          <w:id w:val="1463305102"/>
          <w14:checkbox>
            <w14:checked w14:val="0"/>
            <w14:checkedState w14:val="2612" w14:font="MS Gothic"/>
            <w14:uncheckedState w14:val="2610" w14:font="MS Gothic"/>
          </w14:checkbox>
        </w:sdtPr>
        <w:sdtEnd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 xml:space="preserve"> 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904E91">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904E91">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904E91">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8F589F">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FB67D37" w14:textId="506792AC" w:rsidR="00A64EBF" w:rsidRDefault="00A64EBF" w:rsidP="006C4E45">
            <w:pPr>
              <w:pStyle w:val="ListParagraph"/>
              <w:numPr>
                <w:ilvl w:val="0"/>
                <w:numId w:val="6"/>
              </w:numPr>
              <w:rPr>
                <w:rFonts w:cstheme="minorHAnsi"/>
                <w:noProof/>
              </w:rPr>
            </w:pPr>
            <w:r>
              <w:t xml:space="preserve">For information on the most updated guidance on how to address </w:t>
            </w:r>
            <w:r w:rsidR="00894989">
              <w:t xml:space="preserve">social risk </w:t>
            </w:r>
            <w:r w:rsidR="00894989" w:rsidRPr="00196129">
              <w:rPr>
                <w:highlight w:val="yellow"/>
              </w:rPr>
              <w:t>factors</w:t>
            </w:r>
            <w:r w:rsidR="00894989">
              <w:t xml:space="preserve"> </w:t>
            </w:r>
            <w:r w:rsidRPr="00196129">
              <w:rPr>
                <w:highlight w:val="yellow"/>
              </w:rPr>
              <w:t>variables</w:t>
            </w:r>
            <w:r>
              <w:t xml:space="preserve"> and testing in this form refer to the release notes for version </w:t>
            </w:r>
            <w:r w:rsidR="005C19D8">
              <w:t>7</w:t>
            </w:r>
            <w:r w:rsidR="00861D72">
              <w:t>.</w:t>
            </w:r>
            <w:r w:rsidR="00894989">
              <w:t xml:space="preserve">1 </w:t>
            </w:r>
            <w:r>
              <w:t>of the Measure Testing Attachment</w:t>
            </w:r>
            <w:r w:rsidR="00AE1CE6">
              <w:t>.</w:t>
            </w:r>
            <w:r w:rsidR="005C19D8">
              <w:t xml:space="preserve"> </w:t>
            </w:r>
            <w:proofErr w:type="gramStart"/>
            <w:r w:rsidR="005C19D8">
              <w:t>and</w:t>
            </w:r>
            <w:proofErr w:type="gramEnd"/>
            <w:r w:rsidR="005C19D8">
              <w:t xml:space="preserve">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r w:rsidRPr="00547E84">
              <w:rPr>
                <w:rFonts w:cstheme="minorHAnsi"/>
                <w:b/>
                <w:bCs/>
                <w:iCs/>
              </w:rPr>
              <w:t>instrument based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68940DDC" w:rsidR="00145149" w:rsidRPr="00542758" w:rsidRDefault="00547E84" w:rsidP="00145149">
            <w:pPr>
              <w:rPr>
                <w:rFonts w:cstheme="minorHAnsi"/>
              </w:rPr>
            </w:pPr>
            <w:r w:rsidRPr="00542758">
              <w:rPr>
                <w:rFonts w:cstheme="minorHAnsi"/>
                <w:b/>
                <w:bCs/>
              </w:rPr>
              <w:lastRenderedPageBreak/>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145149">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145149">
            <w:pPr>
              <w:numPr>
                <w:ilvl w:val="0"/>
                <w:numId w:val="26"/>
              </w:numPr>
              <w:ind w:left="0" w:firstLine="0"/>
              <w:rPr>
                <w:rFonts w:cstheme="minorHAnsi"/>
              </w:rPr>
            </w:pPr>
            <w:proofErr w:type="gramStart"/>
            <w:r w:rsidRPr="00542758">
              <w:rPr>
                <w:rFonts w:cstheme="minorHAnsi"/>
              </w:rPr>
              <w:t>rationale/data</w:t>
            </w:r>
            <w:proofErr w:type="gramEnd"/>
            <w:r w:rsidRPr="00542758">
              <w:rPr>
                <w:rFonts w:cstheme="minorHAnsi"/>
              </w:rPr>
              <w:t xml:space="preserve">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proofErr w:type="gramStart"/>
            <w:r w:rsidRPr="00542758">
              <w:rPr>
                <w:rFonts w:cstheme="minorHAnsi"/>
              </w:rPr>
              <w:t>there</w:t>
            </w:r>
            <w:proofErr w:type="gramEnd"/>
            <w:r w:rsidRPr="00542758">
              <w:rPr>
                <w:rFonts w:cstheme="minorHAnsi"/>
              </w:rPr>
              <w:t xml:space="preserv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w:t>
            </w:r>
            <w:r w:rsidRPr="00542758">
              <w:rPr>
                <w:rFonts w:cstheme="minorHAnsi"/>
                <w:sz w:val="20"/>
                <w:szCs w:val="20"/>
              </w:rPr>
              <w:lastRenderedPageBreak/>
              <w:t>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702C73">
      <w:pPr>
        <w:spacing w:after="0" w:line="240" w:lineRule="auto"/>
        <w:rPr>
          <w:rFonts w:cstheme="minorHAnsi"/>
          <w:noProof/>
        </w:rPr>
      </w:pPr>
    </w:p>
    <w:p w14:paraId="0FB67D60" w14:textId="77777777" w:rsidR="00702C73" w:rsidRPr="00702C73" w:rsidRDefault="00702C73"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8A403A">
      <w:pPr>
        <w:spacing w:after="0" w:line="240" w:lineRule="auto"/>
        <w:rPr>
          <w:rFonts w:cstheme="minorHAnsi"/>
          <w:noProof/>
        </w:rPr>
      </w:pP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10E77DE2" w:rsidR="00A01494" w:rsidRPr="00A01494" w:rsidRDefault="00860325"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860325"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2589CF16" w:rsidR="00A01494" w:rsidRPr="00A01494" w:rsidRDefault="00860325" w:rsidP="00A024A6">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1C67BA">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32C72232" w:rsidR="00A01494" w:rsidRPr="00A01494" w:rsidRDefault="00860325" w:rsidP="00A024A6">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1C67BA">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860325"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860325"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FB67D7D" w14:textId="36EA5030" w:rsidR="009E1846" w:rsidRDefault="001C67BA" w:rsidP="00DB3627">
      <w:pPr>
        <w:autoSpaceDE w:val="0"/>
        <w:autoSpaceDN w:val="0"/>
        <w:adjustRightInd w:val="0"/>
        <w:spacing w:after="0" w:line="240" w:lineRule="auto"/>
        <w:rPr>
          <w:rFonts w:cstheme="minorHAnsi"/>
          <w:bCs/>
        </w:rPr>
      </w:pPr>
      <w:r w:rsidRPr="00CC4CB2">
        <w:rPr>
          <w:rFonts w:cstheme="minorHAnsi"/>
          <w:bCs/>
        </w:rPr>
        <w:t>STS Adult Cardiac Surgery Database Version 2.73</w:t>
      </w:r>
    </w:p>
    <w:p w14:paraId="561300D3" w14:textId="77777777" w:rsidR="001C67BA" w:rsidRDefault="001C67BA" w:rsidP="00DB3627">
      <w:pPr>
        <w:autoSpaceDE w:val="0"/>
        <w:autoSpaceDN w:val="0"/>
        <w:adjustRightInd w:val="0"/>
        <w:spacing w:after="0" w:line="240" w:lineRule="auto"/>
        <w:rPr>
          <w:rFonts w:cstheme="minorHAnsi"/>
          <w:b/>
        </w:rPr>
      </w:pPr>
    </w:p>
    <w:p w14:paraId="0FB67D7E" w14:textId="69029C8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bCs/>
          </w:rPr>
          <w:id w:val="950514773"/>
          <w:text/>
        </w:sdtPr>
        <w:sdtEndPr/>
        <w:sdtContent>
          <w:r w:rsidR="00CE2BA8" w:rsidRPr="00CE2BA8">
            <w:rPr>
              <w:rFonts w:cstheme="minorHAnsi"/>
              <w:bCs/>
            </w:rPr>
            <w:t>July 2010 – June 2013</w:t>
          </w:r>
        </w:sdtContent>
      </w:sdt>
    </w:p>
    <w:p w14:paraId="0FB67D7F" w14:textId="77777777" w:rsidR="000574AB" w:rsidRDefault="000574AB" w:rsidP="00DB3627">
      <w:pPr>
        <w:autoSpaceDE w:val="0"/>
        <w:autoSpaceDN w:val="0"/>
        <w:adjustRightInd w:val="0"/>
        <w:spacing w:after="0" w:line="240" w:lineRule="auto"/>
        <w:rPr>
          <w:rFonts w:cstheme="minorHAnsi"/>
          <w:bCs/>
        </w:rPr>
      </w:pPr>
    </w:p>
    <w:p w14:paraId="0FB67D8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05FF1E7B" w:rsidR="000414E8" w:rsidRPr="00A01494" w:rsidRDefault="00860325"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CE2BA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6F3FEAD7" w:rsidR="000414E8" w:rsidRPr="00A01494" w:rsidRDefault="00860325"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CE2BA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34F0BF05" w:rsidR="000414E8" w:rsidRPr="00A01494" w:rsidRDefault="00860325"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CE2BA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FB67D8C" w14:textId="6EA2863A" w:rsidR="000414E8" w:rsidRPr="00A01494" w:rsidRDefault="00860325"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CE2BA8">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860325"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0FB67D9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F6BF266" w14:textId="77777777" w:rsidR="00CE2BA8" w:rsidRDefault="00CE2BA8" w:rsidP="00DB3627">
      <w:pPr>
        <w:autoSpaceDE w:val="0"/>
        <w:autoSpaceDN w:val="0"/>
        <w:adjustRightInd w:val="0"/>
        <w:spacing w:after="0" w:line="240" w:lineRule="auto"/>
        <w:rPr>
          <w:rFonts w:cstheme="minorHAnsi"/>
          <w:bCs/>
        </w:rPr>
      </w:pPr>
    </w:p>
    <w:p w14:paraId="12B9B45A" w14:textId="77777777" w:rsidR="00CE2BA8" w:rsidRDefault="00CE2BA8" w:rsidP="00CE2BA8">
      <w:pPr>
        <w:autoSpaceDE w:val="0"/>
        <w:autoSpaceDN w:val="0"/>
        <w:adjustRightInd w:val="0"/>
        <w:spacing w:after="0" w:line="240" w:lineRule="auto"/>
        <w:rPr>
          <w:rFonts w:cstheme="minorHAnsi"/>
          <w:bCs/>
          <w:highlight w:val="darkCyan"/>
        </w:rPr>
      </w:pPr>
      <w:r w:rsidRPr="00CC4CB2">
        <w:rPr>
          <w:rFonts w:cstheme="minorHAnsi"/>
          <w:bCs/>
        </w:rPr>
        <w:t xml:space="preserve">The most recent AVR + CABG </w:t>
      </w:r>
      <w:r>
        <w:rPr>
          <w:rFonts w:cstheme="minorHAnsi"/>
          <w:bCs/>
        </w:rPr>
        <w:t xml:space="preserve">composite </w:t>
      </w:r>
      <w:r w:rsidRPr="00CC4CB2">
        <w:rPr>
          <w:rFonts w:cstheme="minorHAnsi"/>
          <w:bCs/>
        </w:rPr>
        <w:t>measure used 53,743 operations from 933 STS participants with surgery dates between July 2010 and June 2013, i.e., a total of three years of data. All AVR + CABG operations were included. The composite measures were calculated and reported for all participants who had more than 10 eligible cases during the three-year span. Below is the distribution of sample sizes of all included participants. Frequency of included participants by geographic region is summarized in section 1b.4.</w:t>
      </w:r>
    </w:p>
    <w:p w14:paraId="7948A8B3" w14:textId="77777777" w:rsidR="00CE2BA8" w:rsidRPr="00D355E9" w:rsidRDefault="00CE2BA8" w:rsidP="00CE2BA8">
      <w:pPr>
        <w:autoSpaceDE w:val="0"/>
        <w:autoSpaceDN w:val="0"/>
        <w:adjustRightInd w:val="0"/>
        <w:spacing w:after="0" w:line="240" w:lineRule="auto"/>
        <w:rPr>
          <w:rFonts w:cstheme="minorHAnsi"/>
          <w:bCs/>
          <w:highlight w:val="darkCyan"/>
        </w:rPr>
      </w:pPr>
    </w:p>
    <w:p w14:paraId="737CCA38" w14:textId="77777777" w:rsidR="00CE2BA8" w:rsidRPr="00CC4CB2" w:rsidRDefault="00CE2BA8" w:rsidP="00CE2BA8">
      <w:pPr>
        <w:spacing w:after="0" w:line="240" w:lineRule="auto"/>
        <w:outlineLvl w:val="4"/>
        <w:rPr>
          <w:rFonts w:ascii="Calibri" w:eastAsia="Times New Roman" w:hAnsi="Calibri" w:cs="Times New Roman"/>
          <w:b/>
          <w:bCs/>
          <w:iCs/>
        </w:rPr>
      </w:pPr>
      <w:bookmarkStart w:id="11" w:name="distribution-of-participant-sample-sizes"/>
      <w:r w:rsidRPr="00CC4CB2">
        <w:rPr>
          <w:rFonts w:ascii="Calibri" w:eastAsia="Times New Roman" w:hAnsi="Calibri" w:cs="Times New Roman"/>
          <w:b/>
          <w:bCs/>
          <w:iCs/>
        </w:rPr>
        <w:t>Distribution of participant sample sizes (denominator), and event rates</w:t>
      </w:r>
    </w:p>
    <w:tbl>
      <w:tblPr>
        <w:tblW w:w="0" w:type="auto"/>
        <w:tblInd w:w="198" w:type="dxa"/>
        <w:tblBorders>
          <w:top w:val="single" w:sz="8" w:space="0" w:color="000000"/>
          <w:bottom w:val="single" w:sz="8" w:space="0" w:color="000000"/>
        </w:tblBorders>
        <w:tblLook w:val="04A0" w:firstRow="1" w:lastRow="0" w:firstColumn="1" w:lastColumn="0" w:noHBand="0" w:noVBand="1"/>
      </w:tblPr>
      <w:tblGrid>
        <w:gridCol w:w="1260"/>
        <w:gridCol w:w="1890"/>
        <w:gridCol w:w="1350"/>
        <w:gridCol w:w="1530"/>
      </w:tblGrid>
      <w:tr w:rsidR="00CE2BA8" w14:paraId="46AB3B11" w14:textId="77777777" w:rsidTr="00753282">
        <w:tc>
          <w:tcPr>
            <w:tcW w:w="1260" w:type="dxa"/>
            <w:tcBorders>
              <w:top w:val="single" w:sz="8" w:space="0" w:color="000000"/>
              <w:bottom w:val="single" w:sz="8" w:space="0" w:color="000000"/>
            </w:tcBorders>
            <w:shd w:val="clear" w:color="auto" w:fill="auto"/>
          </w:tcPr>
          <w:bookmarkEnd w:id="11"/>
          <w:p w14:paraId="1566B577" w14:textId="77777777" w:rsidR="00CE2BA8" w:rsidRPr="00082F41" w:rsidRDefault="00CE2BA8" w:rsidP="00753282">
            <w:pPr>
              <w:spacing w:after="0" w:line="240" w:lineRule="auto"/>
              <w:rPr>
                <w:b/>
                <w:bCs/>
                <w:color w:val="000000"/>
              </w:rPr>
            </w:pPr>
            <w:r w:rsidRPr="00082F41">
              <w:rPr>
                <w:b/>
                <w:bCs/>
                <w:color w:val="000000"/>
              </w:rPr>
              <w:t>Stat</w:t>
            </w:r>
          </w:p>
        </w:tc>
        <w:tc>
          <w:tcPr>
            <w:tcW w:w="1890" w:type="dxa"/>
            <w:tcBorders>
              <w:top w:val="single" w:sz="8" w:space="0" w:color="000000"/>
              <w:bottom w:val="single" w:sz="8" w:space="0" w:color="000000"/>
            </w:tcBorders>
            <w:shd w:val="clear" w:color="auto" w:fill="auto"/>
          </w:tcPr>
          <w:p w14:paraId="204C5818" w14:textId="77777777" w:rsidR="00CE2BA8" w:rsidRPr="00082F41" w:rsidRDefault="00CE2BA8" w:rsidP="00753282">
            <w:pPr>
              <w:spacing w:after="0" w:line="240" w:lineRule="auto"/>
              <w:rPr>
                <w:b/>
                <w:bCs/>
                <w:color w:val="000000"/>
              </w:rPr>
            </w:pPr>
            <w:r w:rsidRPr="00082F41">
              <w:rPr>
                <w:b/>
                <w:bCs/>
                <w:color w:val="000000"/>
              </w:rPr>
              <w:t>N (Denominator)</w:t>
            </w:r>
          </w:p>
        </w:tc>
        <w:tc>
          <w:tcPr>
            <w:tcW w:w="1350" w:type="dxa"/>
            <w:tcBorders>
              <w:top w:val="single" w:sz="8" w:space="0" w:color="000000"/>
              <w:bottom w:val="single" w:sz="8" w:space="0" w:color="000000"/>
            </w:tcBorders>
            <w:shd w:val="clear" w:color="auto" w:fill="auto"/>
          </w:tcPr>
          <w:p w14:paraId="2BDC5D99" w14:textId="77777777" w:rsidR="00CE2BA8" w:rsidRPr="00082F41" w:rsidRDefault="00CE2BA8" w:rsidP="00753282">
            <w:pPr>
              <w:spacing w:after="0" w:line="240" w:lineRule="auto"/>
              <w:rPr>
                <w:b/>
                <w:bCs/>
                <w:color w:val="000000"/>
              </w:rPr>
            </w:pPr>
            <w:r w:rsidRPr="00082F41">
              <w:rPr>
                <w:b/>
                <w:bCs/>
                <w:color w:val="000000"/>
              </w:rPr>
              <w:t>% Mortality</w:t>
            </w:r>
          </w:p>
        </w:tc>
        <w:tc>
          <w:tcPr>
            <w:tcW w:w="1530" w:type="dxa"/>
            <w:tcBorders>
              <w:top w:val="single" w:sz="8" w:space="0" w:color="000000"/>
              <w:bottom w:val="single" w:sz="8" w:space="0" w:color="000000"/>
            </w:tcBorders>
            <w:shd w:val="clear" w:color="auto" w:fill="auto"/>
          </w:tcPr>
          <w:p w14:paraId="3FFF77FF" w14:textId="77777777" w:rsidR="00CE2BA8" w:rsidRPr="00082F41" w:rsidRDefault="00CE2BA8" w:rsidP="00753282">
            <w:pPr>
              <w:spacing w:after="0" w:line="240" w:lineRule="auto"/>
              <w:rPr>
                <w:b/>
                <w:bCs/>
                <w:color w:val="000000"/>
              </w:rPr>
            </w:pPr>
            <w:r w:rsidRPr="00082F41">
              <w:rPr>
                <w:b/>
                <w:bCs/>
                <w:color w:val="000000"/>
              </w:rPr>
              <w:t>% Morbidity</w:t>
            </w:r>
          </w:p>
        </w:tc>
      </w:tr>
      <w:tr w:rsidR="00CE2BA8" w14:paraId="6CCF3070" w14:textId="77777777" w:rsidTr="00753282">
        <w:tc>
          <w:tcPr>
            <w:tcW w:w="1260" w:type="dxa"/>
            <w:shd w:val="clear" w:color="auto" w:fill="C0C0C0"/>
          </w:tcPr>
          <w:p w14:paraId="3205D551" w14:textId="77777777" w:rsidR="00CE2BA8" w:rsidRPr="00082F41" w:rsidRDefault="00CE2BA8" w:rsidP="00753282">
            <w:pPr>
              <w:spacing w:after="0" w:line="240" w:lineRule="auto"/>
              <w:rPr>
                <w:b/>
                <w:bCs/>
                <w:color w:val="000000"/>
              </w:rPr>
            </w:pPr>
            <w:r w:rsidRPr="00082F41">
              <w:rPr>
                <w:b/>
                <w:bCs/>
                <w:color w:val="000000"/>
              </w:rPr>
              <w:t>Mean</w:t>
            </w:r>
          </w:p>
        </w:tc>
        <w:tc>
          <w:tcPr>
            <w:tcW w:w="1890" w:type="dxa"/>
            <w:tcBorders>
              <w:left w:val="nil"/>
              <w:right w:val="nil"/>
            </w:tcBorders>
            <w:shd w:val="clear" w:color="auto" w:fill="C0C0C0"/>
          </w:tcPr>
          <w:p w14:paraId="24D54B9C" w14:textId="77777777" w:rsidR="00CE2BA8" w:rsidRDefault="00CE2BA8" w:rsidP="00753282">
            <w:pPr>
              <w:spacing w:after="0" w:line="240" w:lineRule="auto"/>
            </w:pPr>
            <w:r>
              <w:t>57.6</w:t>
            </w:r>
          </w:p>
        </w:tc>
        <w:tc>
          <w:tcPr>
            <w:tcW w:w="1350" w:type="dxa"/>
            <w:shd w:val="clear" w:color="auto" w:fill="C0C0C0"/>
          </w:tcPr>
          <w:p w14:paraId="25C26894" w14:textId="77777777" w:rsidR="00CE2BA8" w:rsidRDefault="00CE2BA8" w:rsidP="00753282">
            <w:pPr>
              <w:spacing w:after="0" w:line="240" w:lineRule="auto"/>
            </w:pPr>
            <w:r>
              <w:t>4.7</w:t>
            </w:r>
          </w:p>
        </w:tc>
        <w:tc>
          <w:tcPr>
            <w:tcW w:w="1530" w:type="dxa"/>
            <w:tcBorders>
              <w:left w:val="nil"/>
              <w:right w:val="nil"/>
            </w:tcBorders>
            <w:shd w:val="clear" w:color="auto" w:fill="C0C0C0"/>
          </w:tcPr>
          <w:p w14:paraId="2E32C57E" w14:textId="77777777" w:rsidR="00CE2BA8" w:rsidRDefault="00CE2BA8" w:rsidP="00753282">
            <w:pPr>
              <w:spacing w:after="0" w:line="240" w:lineRule="auto"/>
            </w:pPr>
            <w:r>
              <w:t>23.8</w:t>
            </w:r>
          </w:p>
        </w:tc>
      </w:tr>
      <w:tr w:rsidR="00CE2BA8" w14:paraId="75A589EF" w14:textId="77777777" w:rsidTr="00753282">
        <w:tc>
          <w:tcPr>
            <w:tcW w:w="1260" w:type="dxa"/>
            <w:shd w:val="clear" w:color="auto" w:fill="auto"/>
          </w:tcPr>
          <w:p w14:paraId="63822555" w14:textId="77777777" w:rsidR="00CE2BA8" w:rsidRPr="00082F41" w:rsidRDefault="00CE2BA8" w:rsidP="00753282">
            <w:pPr>
              <w:spacing w:after="0" w:line="240" w:lineRule="auto"/>
              <w:rPr>
                <w:b/>
                <w:bCs/>
                <w:color w:val="000000"/>
              </w:rPr>
            </w:pPr>
            <w:r w:rsidRPr="00082F41">
              <w:rPr>
                <w:b/>
                <w:bCs/>
                <w:color w:val="000000"/>
              </w:rPr>
              <w:t>STD</w:t>
            </w:r>
          </w:p>
        </w:tc>
        <w:tc>
          <w:tcPr>
            <w:tcW w:w="1890" w:type="dxa"/>
            <w:shd w:val="clear" w:color="auto" w:fill="auto"/>
          </w:tcPr>
          <w:p w14:paraId="12DF1668" w14:textId="77777777" w:rsidR="00CE2BA8" w:rsidRDefault="00CE2BA8" w:rsidP="00753282">
            <w:pPr>
              <w:spacing w:after="0" w:line="240" w:lineRule="auto"/>
            </w:pPr>
            <w:r>
              <w:t>54.8</w:t>
            </w:r>
          </w:p>
        </w:tc>
        <w:tc>
          <w:tcPr>
            <w:tcW w:w="1350" w:type="dxa"/>
            <w:shd w:val="clear" w:color="auto" w:fill="auto"/>
          </w:tcPr>
          <w:p w14:paraId="136B562C" w14:textId="77777777" w:rsidR="00CE2BA8" w:rsidRDefault="00CE2BA8" w:rsidP="00753282">
            <w:pPr>
              <w:spacing w:after="0" w:line="240" w:lineRule="auto"/>
            </w:pPr>
            <w:r>
              <w:t>4.4</w:t>
            </w:r>
          </w:p>
        </w:tc>
        <w:tc>
          <w:tcPr>
            <w:tcW w:w="1530" w:type="dxa"/>
            <w:shd w:val="clear" w:color="auto" w:fill="auto"/>
          </w:tcPr>
          <w:p w14:paraId="17D586EA" w14:textId="77777777" w:rsidR="00CE2BA8" w:rsidRDefault="00CE2BA8" w:rsidP="00753282">
            <w:pPr>
              <w:spacing w:after="0" w:line="240" w:lineRule="auto"/>
            </w:pPr>
            <w:r>
              <w:t>10.4</w:t>
            </w:r>
          </w:p>
        </w:tc>
      </w:tr>
      <w:tr w:rsidR="00CE2BA8" w14:paraId="1C361FB9" w14:textId="77777777" w:rsidTr="00753282">
        <w:tc>
          <w:tcPr>
            <w:tcW w:w="1260" w:type="dxa"/>
            <w:shd w:val="clear" w:color="auto" w:fill="C0C0C0"/>
          </w:tcPr>
          <w:p w14:paraId="6AA9883D" w14:textId="77777777" w:rsidR="00CE2BA8" w:rsidRPr="00082F41" w:rsidRDefault="00CE2BA8" w:rsidP="00753282">
            <w:pPr>
              <w:spacing w:after="0" w:line="240" w:lineRule="auto"/>
              <w:rPr>
                <w:b/>
                <w:bCs/>
                <w:color w:val="000000"/>
              </w:rPr>
            </w:pPr>
            <w:r w:rsidRPr="00082F41">
              <w:rPr>
                <w:b/>
                <w:bCs/>
                <w:color w:val="000000"/>
              </w:rPr>
              <w:t>IQR</w:t>
            </w:r>
          </w:p>
        </w:tc>
        <w:tc>
          <w:tcPr>
            <w:tcW w:w="1890" w:type="dxa"/>
            <w:tcBorders>
              <w:left w:val="nil"/>
              <w:right w:val="nil"/>
            </w:tcBorders>
            <w:shd w:val="clear" w:color="auto" w:fill="C0C0C0"/>
          </w:tcPr>
          <w:p w14:paraId="04DC7417" w14:textId="77777777" w:rsidR="00CE2BA8" w:rsidRDefault="00CE2BA8" w:rsidP="00753282">
            <w:pPr>
              <w:spacing w:after="0" w:line="240" w:lineRule="auto"/>
            </w:pPr>
            <w:r>
              <w:t>47.0</w:t>
            </w:r>
          </w:p>
        </w:tc>
        <w:tc>
          <w:tcPr>
            <w:tcW w:w="1350" w:type="dxa"/>
            <w:shd w:val="clear" w:color="auto" w:fill="C0C0C0"/>
          </w:tcPr>
          <w:p w14:paraId="185E475C" w14:textId="77777777" w:rsidR="00CE2BA8" w:rsidRDefault="00CE2BA8" w:rsidP="00753282">
            <w:pPr>
              <w:spacing w:after="0" w:line="240" w:lineRule="auto"/>
            </w:pPr>
            <w:r>
              <w:t>5.3</w:t>
            </w:r>
          </w:p>
        </w:tc>
        <w:tc>
          <w:tcPr>
            <w:tcW w:w="1530" w:type="dxa"/>
            <w:tcBorders>
              <w:left w:val="nil"/>
              <w:right w:val="nil"/>
            </w:tcBorders>
            <w:shd w:val="clear" w:color="auto" w:fill="C0C0C0"/>
          </w:tcPr>
          <w:p w14:paraId="73E46651" w14:textId="77777777" w:rsidR="00CE2BA8" w:rsidRDefault="00CE2BA8" w:rsidP="00753282">
            <w:pPr>
              <w:spacing w:after="0" w:line="240" w:lineRule="auto"/>
            </w:pPr>
            <w:r>
              <w:t>12.7</w:t>
            </w:r>
          </w:p>
        </w:tc>
      </w:tr>
      <w:tr w:rsidR="00CE2BA8" w14:paraId="4CEFAC6A" w14:textId="77777777" w:rsidTr="00753282">
        <w:tc>
          <w:tcPr>
            <w:tcW w:w="1260" w:type="dxa"/>
            <w:shd w:val="clear" w:color="auto" w:fill="auto"/>
          </w:tcPr>
          <w:p w14:paraId="636BBE11" w14:textId="77777777" w:rsidR="00CE2BA8" w:rsidRPr="00082F41" w:rsidRDefault="00CE2BA8" w:rsidP="00753282">
            <w:pPr>
              <w:spacing w:after="0" w:line="240" w:lineRule="auto"/>
              <w:rPr>
                <w:b/>
                <w:bCs/>
                <w:color w:val="000000"/>
              </w:rPr>
            </w:pPr>
            <w:r w:rsidRPr="00082F41">
              <w:rPr>
                <w:b/>
                <w:bCs/>
                <w:color w:val="000000"/>
              </w:rPr>
              <w:t xml:space="preserve">Percentiles </w:t>
            </w:r>
          </w:p>
        </w:tc>
        <w:tc>
          <w:tcPr>
            <w:tcW w:w="1890" w:type="dxa"/>
            <w:shd w:val="clear" w:color="auto" w:fill="auto"/>
          </w:tcPr>
          <w:p w14:paraId="3767856B" w14:textId="77777777" w:rsidR="00CE2BA8" w:rsidRPr="00082F41" w:rsidRDefault="00CE2BA8" w:rsidP="00753282">
            <w:pPr>
              <w:spacing w:after="0" w:line="240" w:lineRule="auto"/>
              <w:rPr>
                <w:color w:val="000000"/>
              </w:rPr>
            </w:pPr>
          </w:p>
        </w:tc>
        <w:tc>
          <w:tcPr>
            <w:tcW w:w="1350" w:type="dxa"/>
            <w:shd w:val="clear" w:color="auto" w:fill="auto"/>
          </w:tcPr>
          <w:p w14:paraId="19761B49" w14:textId="77777777" w:rsidR="00CE2BA8" w:rsidRPr="00082F41" w:rsidRDefault="00CE2BA8" w:rsidP="00753282">
            <w:pPr>
              <w:spacing w:after="0" w:line="240" w:lineRule="auto"/>
              <w:rPr>
                <w:color w:val="000000"/>
              </w:rPr>
            </w:pPr>
          </w:p>
        </w:tc>
        <w:tc>
          <w:tcPr>
            <w:tcW w:w="1530" w:type="dxa"/>
            <w:shd w:val="clear" w:color="auto" w:fill="auto"/>
          </w:tcPr>
          <w:p w14:paraId="630188F3" w14:textId="77777777" w:rsidR="00CE2BA8" w:rsidRPr="00082F41" w:rsidRDefault="00CE2BA8" w:rsidP="00753282">
            <w:pPr>
              <w:spacing w:after="0" w:line="240" w:lineRule="auto"/>
              <w:rPr>
                <w:color w:val="000000"/>
              </w:rPr>
            </w:pPr>
          </w:p>
        </w:tc>
      </w:tr>
      <w:tr w:rsidR="00CE2BA8" w14:paraId="55A16067" w14:textId="77777777" w:rsidTr="00753282">
        <w:tc>
          <w:tcPr>
            <w:tcW w:w="1260" w:type="dxa"/>
            <w:shd w:val="clear" w:color="auto" w:fill="C0C0C0"/>
          </w:tcPr>
          <w:p w14:paraId="21B64C0E" w14:textId="77777777" w:rsidR="00CE2BA8" w:rsidRPr="00082F41" w:rsidRDefault="00CE2BA8" w:rsidP="00753282">
            <w:pPr>
              <w:spacing w:after="0" w:line="240" w:lineRule="auto"/>
              <w:rPr>
                <w:b/>
                <w:bCs/>
                <w:color w:val="000000"/>
              </w:rPr>
            </w:pPr>
            <w:r w:rsidRPr="00082F41">
              <w:rPr>
                <w:b/>
                <w:bCs/>
                <w:color w:val="000000"/>
              </w:rPr>
              <w:t>0%</w:t>
            </w:r>
          </w:p>
        </w:tc>
        <w:tc>
          <w:tcPr>
            <w:tcW w:w="1890" w:type="dxa"/>
            <w:tcBorders>
              <w:left w:val="nil"/>
              <w:right w:val="nil"/>
            </w:tcBorders>
            <w:shd w:val="clear" w:color="auto" w:fill="C0C0C0"/>
          </w:tcPr>
          <w:p w14:paraId="69907DFD" w14:textId="77777777" w:rsidR="00CE2BA8" w:rsidRDefault="00CE2BA8" w:rsidP="00753282">
            <w:pPr>
              <w:spacing w:after="0" w:line="240" w:lineRule="auto"/>
            </w:pPr>
            <w:r>
              <w:t>10.0</w:t>
            </w:r>
          </w:p>
        </w:tc>
        <w:tc>
          <w:tcPr>
            <w:tcW w:w="1350" w:type="dxa"/>
            <w:shd w:val="clear" w:color="auto" w:fill="C0C0C0"/>
          </w:tcPr>
          <w:p w14:paraId="673E48FF" w14:textId="77777777" w:rsidR="00CE2BA8" w:rsidRDefault="00CE2BA8" w:rsidP="00753282">
            <w:pPr>
              <w:spacing w:after="0" w:line="240" w:lineRule="auto"/>
            </w:pPr>
            <w:r>
              <w:t>0.0</w:t>
            </w:r>
          </w:p>
        </w:tc>
        <w:tc>
          <w:tcPr>
            <w:tcW w:w="1530" w:type="dxa"/>
            <w:tcBorders>
              <w:left w:val="nil"/>
              <w:right w:val="nil"/>
            </w:tcBorders>
            <w:shd w:val="clear" w:color="auto" w:fill="C0C0C0"/>
          </w:tcPr>
          <w:p w14:paraId="5B8342AA" w14:textId="77777777" w:rsidR="00CE2BA8" w:rsidRDefault="00CE2BA8" w:rsidP="00753282">
            <w:pPr>
              <w:spacing w:after="0" w:line="240" w:lineRule="auto"/>
            </w:pPr>
            <w:r>
              <w:t>0.0</w:t>
            </w:r>
          </w:p>
        </w:tc>
      </w:tr>
      <w:tr w:rsidR="00CE2BA8" w14:paraId="2BEEC12B" w14:textId="77777777" w:rsidTr="00753282">
        <w:tc>
          <w:tcPr>
            <w:tcW w:w="1260" w:type="dxa"/>
            <w:shd w:val="clear" w:color="auto" w:fill="auto"/>
          </w:tcPr>
          <w:p w14:paraId="2AFC37CB" w14:textId="77777777" w:rsidR="00CE2BA8" w:rsidRPr="00082F41" w:rsidRDefault="00CE2BA8" w:rsidP="00753282">
            <w:pPr>
              <w:spacing w:after="0" w:line="240" w:lineRule="auto"/>
              <w:rPr>
                <w:b/>
                <w:bCs/>
                <w:color w:val="000000"/>
              </w:rPr>
            </w:pPr>
            <w:r w:rsidRPr="00082F41">
              <w:rPr>
                <w:b/>
                <w:bCs/>
                <w:color w:val="000000"/>
              </w:rPr>
              <w:t>10%</w:t>
            </w:r>
          </w:p>
        </w:tc>
        <w:tc>
          <w:tcPr>
            <w:tcW w:w="1890" w:type="dxa"/>
            <w:shd w:val="clear" w:color="auto" w:fill="auto"/>
          </w:tcPr>
          <w:p w14:paraId="28F54190" w14:textId="77777777" w:rsidR="00CE2BA8" w:rsidRDefault="00CE2BA8" w:rsidP="00753282">
            <w:pPr>
              <w:spacing w:after="0" w:line="240" w:lineRule="auto"/>
            </w:pPr>
            <w:r>
              <w:t>14.0</w:t>
            </w:r>
          </w:p>
        </w:tc>
        <w:tc>
          <w:tcPr>
            <w:tcW w:w="1350" w:type="dxa"/>
            <w:shd w:val="clear" w:color="auto" w:fill="auto"/>
          </w:tcPr>
          <w:p w14:paraId="63E0EA7B" w14:textId="77777777" w:rsidR="00CE2BA8" w:rsidRDefault="00CE2BA8" w:rsidP="00753282">
            <w:pPr>
              <w:spacing w:after="0" w:line="240" w:lineRule="auto"/>
            </w:pPr>
            <w:r>
              <w:t>0.0</w:t>
            </w:r>
          </w:p>
        </w:tc>
        <w:tc>
          <w:tcPr>
            <w:tcW w:w="1530" w:type="dxa"/>
            <w:shd w:val="clear" w:color="auto" w:fill="auto"/>
          </w:tcPr>
          <w:p w14:paraId="4690613A" w14:textId="77777777" w:rsidR="00CE2BA8" w:rsidRDefault="00CE2BA8" w:rsidP="00753282">
            <w:pPr>
              <w:spacing w:after="0" w:line="240" w:lineRule="auto"/>
            </w:pPr>
            <w:r>
              <w:t>12.0</w:t>
            </w:r>
          </w:p>
        </w:tc>
      </w:tr>
      <w:tr w:rsidR="00CE2BA8" w14:paraId="7B5DDA51" w14:textId="77777777" w:rsidTr="00753282">
        <w:tc>
          <w:tcPr>
            <w:tcW w:w="1260" w:type="dxa"/>
            <w:shd w:val="clear" w:color="auto" w:fill="C0C0C0"/>
          </w:tcPr>
          <w:p w14:paraId="017552F6" w14:textId="77777777" w:rsidR="00CE2BA8" w:rsidRPr="00082F41" w:rsidRDefault="00CE2BA8" w:rsidP="00753282">
            <w:pPr>
              <w:spacing w:after="0" w:line="240" w:lineRule="auto"/>
              <w:rPr>
                <w:b/>
                <w:bCs/>
                <w:color w:val="000000"/>
              </w:rPr>
            </w:pPr>
            <w:r w:rsidRPr="00082F41">
              <w:rPr>
                <w:b/>
                <w:bCs/>
                <w:color w:val="000000"/>
              </w:rPr>
              <w:t>20%</w:t>
            </w:r>
          </w:p>
        </w:tc>
        <w:tc>
          <w:tcPr>
            <w:tcW w:w="1890" w:type="dxa"/>
            <w:tcBorders>
              <w:left w:val="nil"/>
              <w:right w:val="nil"/>
            </w:tcBorders>
            <w:shd w:val="clear" w:color="auto" w:fill="C0C0C0"/>
          </w:tcPr>
          <w:p w14:paraId="0CFC4DA9" w14:textId="77777777" w:rsidR="00CE2BA8" w:rsidRDefault="00CE2BA8" w:rsidP="00753282">
            <w:pPr>
              <w:spacing w:after="0" w:line="240" w:lineRule="auto"/>
            </w:pPr>
            <w:r>
              <w:t>21.0</w:t>
            </w:r>
          </w:p>
        </w:tc>
        <w:tc>
          <w:tcPr>
            <w:tcW w:w="1350" w:type="dxa"/>
            <w:shd w:val="clear" w:color="auto" w:fill="C0C0C0"/>
          </w:tcPr>
          <w:p w14:paraId="463BF8E7" w14:textId="77777777" w:rsidR="00CE2BA8" w:rsidRDefault="00CE2BA8" w:rsidP="00753282">
            <w:pPr>
              <w:spacing w:after="0" w:line="240" w:lineRule="auto"/>
            </w:pPr>
            <w:r>
              <w:t>0.0</w:t>
            </w:r>
          </w:p>
        </w:tc>
        <w:tc>
          <w:tcPr>
            <w:tcW w:w="1530" w:type="dxa"/>
            <w:tcBorders>
              <w:left w:val="nil"/>
              <w:right w:val="nil"/>
            </w:tcBorders>
            <w:shd w:val="clear" w:color="auto" w:fill="C0C0C0"/>
          </w:tcPr>
          <w:p w14:paraId="05C89737" w14:textId="77777777" w:rsidR="00CE2BA8" w:rsidRDefault="00CE2BA8" w:rsidP="00753282">
            <w:pPr>
              <w:spacing w:after="0" w:line="240" w:lineRule="auto"/>
            </w:pPr>
            <w:r>
              <w:t>15.5</w:t>
            </w:r>
          </w:p>
        </w:tc>
      </w:tr>
      <w:tr w:rsidR="00CE2BA8" w14:paraId="771692F4" w14:textId="77777777" w:rsidTr="00753282">
        <w:tc>
          <w:tcPr>
            <w:tcW w:w="1260" w:type="dxa"/>
            <w:shd w:val="clear" w:color="auto" w:fill="auto"/>
          </w:tcPr>
          <w:p w14:paraId="5A8D3E40" w14:textId="77777777" w:rsidR="00CE2BA8" w:rsidRPr="00082F41" w:rsidRDefault="00CE2BA8" w:rsidP="00753282">
            <w:pPr>
              <w:spacing w:after="0" w:line="240" w:lineRule="auto"/>
              <w:rPr>
                <w:b/>
                <w:bCs/>
                <w:color w:val="000000"/>
              </w:rPr>
            </w:pPr>
            <w:r w:rsidRPr="00082F41">
              <w:rPr>
                <w:b/>
                <w:bCs/>
                <w:color w:val="000000"/>
              </w:rPr>
              <w:t>30%</w:t>
            </w:r>
          </w:p>
        </w:tc>
        <w:tc>
          <w:tcPr>
            <w:tcW w:w="1890" w:type="dxa"/>
            <w:shd w:val="clear" w:color="auto" w:fill="auto"/>
          </w:tcPr>
          <w:p w14:paraId="7799FB95" w14:textId="77777777" w:rsidR="00CE2BA8" w:rsidRDefault="00CE2BA8" w:rsidP="00753282">
            <w:pPr>
              <w:spacing w:after="0" w:line="240" w:lineRule="auto"/>
            </w:pPr>
            <w:r>
              <w:t>27.6</w:t>
            </w:r>
          </w:p>
        </w:tc>
        <w:tc>
          <w:tcPr>
            <w:tcW w:w="1350" w:type="dxa"/>
            <w:shd w:val="clear" w:color="auto" w:fill="auto"/>
          </w:tcPr>
          <w:p w14:paraId="69557744" w14:textId="77777777" w:rsidR="00CE2BA8" w:rsidRDefault="00CE2BA8" w:rsidP="00753282">
            <w:pPr>
              <w:spacing w:after="0" w:line="240" w:lineRule="auto"/>
            </w:pPr>
            <w:r>
              <w:t>2.2</w:t>
            </w:r>
          </w:p>
        </w:tc>
        <w:tc>
          <w:tcPr>
            <w:tcW w:w="1530" w:type="dxa"/>
            <w:shd w:val="clear" w:color="auto" w:fill="auto"/>
          </w:tcPr>
          <w:p w14:paraId="0ECD5A87" w14:textId="77777777" w:rsidR="00CE2BA8" w:rsidRDefault="00CE2BA8" w:rsidP="00753282">
            <w:pPr>
              <w:spacing w:after="0" w:line="240" w:lineRule="auto"/>
            </w:pPr>
            <w:r>
              <w:t>17.9</w:t>
            </w:r>
          </w:p>
        </w:tc>
      </w:tr>
      <w:tr w:rsidR="00CE2BA8" w14:paraId="6D953E45" w14:textId="77777777" w:rsidTr="00753282">
        <w:tc>
          <w:tcPr>
            <w:tcW w:w="1260" w:type="dxa"/>
            <w:shd w:val="clear" w:color="auto" w:fill="C0C0C0"/>
          </w:tcPr>
          <w:p w14:paraId="38109766" w14:textId="77777777" w:rsidR="00CE2BA8" w:rsidRPr="00082F41" w:rsidRDefault="00CE2BA8" w:rsidP="00753282">
            <w:pPr>
              <w:spacing w:after="0" w:line="240" w:lineRule="auto"/>
              <w:rPr>
                <w:b/>
                <w:bCs/>
                <w:color w:val="000000"/>
              </w:rPr>
            </w:pPr>
            <w:r w:rsidRPr="00082F41">
              <w:rPr>
                <w:b/>
                <w:bCs/>
                <w:color w:val="000000"/>
              </w:rPr>
              <w:t>40%</w:t>
            </w:r>
          </w:p>
        </w:tc>
        <w:tc>
          <w:tcPr>
            <w:tcW w:w="1890" w:type="dxa"/>
            <w:tcBorders>
              <w:left w:val="nil"/>
              <w:right w:val="nil"/>
            </w:tcBorders>
            <w:shd w:val="clear" w:color="auto" w:fill="C0C0C0"/>
          </w:tcPr>
          <w:p w14:paraId="6F8CE829" w14:textId="77777777" w:rsidR="00CE2BA8" w:rsidRDefault="00CE2BA8" w:rsidP="00753282">
            <w:pPr>
              <w:spacing w:after="0" w:line="240" w:lineRule="auto"/>
            </w:pPr>
            <w:r>
              <w:t>35.0</w:t>
            </w:r>
          </w:p>
        </w:tc>
        <w:tc>
          <w:tcPr>
            <w:tcW w:w="1350" w:type="dxa"/>
            <w:shd w:val="clear" w:color="auto" w:fill="C0C0C0"/>
          </w:tcPr>
          <w:p w14:paraId="0BB3715F" w14:textId="77777777" w:rsidR="00CE2BA8" w:rsidRDefault="00CE2BA8" w:rsidP="00753282">
            <w:pPr>
              <w:spacing w:after="0" w:line="240" w:lineRule="auto"/>
            </w:pPr>
            <w:r>
              <w:t>2.9</w:t>
            </w:r>
          </w:p>
        </w:tc>
        <w:tc>
          <w:tcPr>
            <w:tcW w:w="1530" w:type="dxa"/>
            <w:tcBorders>
              <w:left w:val="nil"/>
              <w:right w:val="nil"/>
            </w:tcBorders>
            <w:shd w:val="clear" w:color="auto" w:fill="C0C0C0"/>
          </w:tcPr>
          <w:p w14:paraId="7E110261" w14:textId="77777777" w:rsidR="00CE2BA8" w:rsidRDefault="00CE2BA8" w:rsidP="00753282">
            <w:pPr>
              <w:spacing w:after="0" w:line="240" w:lineRule="auto"/>
            </w:pPr>
            <w:r>
              <w:t>20.0</w:t>
            </w:r>
          </w:p>
        </w:tc>
      </w:tr>
      <w:tr w:rsidR="00CE2BA8" w14:paraId="02DE5718" w14:textId="77777777" w:rsidTr="00753282">
        <w:tc>
          <w:tcPr>
            <w:tcW w:w="1260" w:type="dxa"/>
            <w:shd w:val="clear" w:color="auto" w:fill="auto"/>
          </w:tcPr>
          <w:p w14:paraId="1182C0CD" w14:textId="77777777" w:rsidR="00CE2BA8" w:rsidRPr="00082F41" w:rsidRDefault="00CE2BA8" w:rsidP="00753282">
            <w:pPr>
              <w:spacing w:after="0" w:line="240" w:lineRule="auto"/>
              <w:rPr>
                <w:b/>
                <w:bCs/>
                <w:color w:val="000000"/>
              </w:rPr>
            </w:pPr>
            <w:r w:rsidRPr="00082F41">
              <w:rPr>
                <w:b/>
                <w:bCs/>
                <w:color w:val="000000"/>
              </w:rPr>
              <w:t>50%</w:t>
            </w:r>
          </w:p>
        </w:tc>
        <w:tc>
          <w:tcPr>
            <w:tcW w:w="1890" w:type="dxa"/>
            <w:shd w:val="clear" w:color="auto" w:fill="auto"/>
          </w:tcPr>
          <w:p w14:paraId="602B22F5" w14:textId="77777777" w:rsidR="00CE2BA8" w:rsidRDefault="00CE2BA8" w:rsidP="00753282">
            <w:pPr>
              <w:spacing w:after="0" w:line="240" w:lineRule="auto"/>
            </w:pPr>
            <w:r>
              <w:t>41.0</w:t>
            </w:r>
          </w:p>
        </w:tc>
        <w:tc>
          <w:tcPr>
            <w:tcW w:w="1350" w:type="dxa"/>
            <w:shd w:val="clear" w:color="auto" w:fill="auto"/>
          </w:tcPr>
          <w:p w14:paraId="71E8EA77" w14:textId="77777777" w:rsidR="00CE2BA8" w:rsidRDefault="00CE2BA8" w:rsidP="00753282">
            <w:pPr>
              <w:spacing w:after="0" w:line="240" w:lineRule="auto"/>
            </w:pPr>
            <w:r>
              <w:t>3.9</w:t>
            </w:r>
          </w:p>
        </w:tc>
        <w:tc>
          <w:tcPr>
            <w:tcW w:w="1530" w:type="dxa"/>
            <w:shd w:val="clear" w:color="auto" w:fill="auto"/>
          </w:tcPr>
          <w:p w14:paraId="0F77D2CA" w14:textId="77777777" w:rsidR="00CE2BA8" w:rsidRDefault="00CE2BA8" w:rsidP="00753282">
            <w:pPr>
              <w:spacing w:after="0" w:line="240" w:lineRule="auto"/>
            </w:pPr>
            <w:r>
              <w:t>22.6</w:t>
            </w:r>
          </w:p>
        </w:tc>
      </w:tr>
      <w:tr w:rsidR="00CE2BA8" w14:paraId="260CF7DA" w14:textId="77777777" w:rsidTr="00753282">
        <w:tc>
          <w:tcPr>
            <w:tcW w:w="1260" w:type="dxa"/>
            <w:shd w:val="clear" w:color="auto" w:fill="C0C0C0"/>
          </w:tcPr>
          <w:p w14:paraId="26BFE0AD" w14:textId="77777777" w:rsidR="00CE2BA8" w:rsidRPr="00082F41" w:rsidRDefault="00CE2BA8" w:rsidP="00753282">
            <w:pPr>
              <w:spacing w:after="0" w:line="240" w:lineRule="auto"/>
              <w:rPr>
                <w:b/>
                <w:bCs/>
                <w:color w:val="000000"/>
              </w:rPr>
            </w:pPr>
            <w:r w:rsidRPr="00082F41">
              <w:rPr>
                <w:b/>
                <w:bCs/>
                <w:color w:val="000000"/>
              </w:rPr>
              <w:t>60%</w:t>
            </w:r>
          </w:p>
        </w:tc>
        <w:tc>
          <w:tcPr>
            <w:tcW w:w="1890" w:type="dxa"/>
            <w:tcBorders>
              <w:left w:val="nil"/>
              <w:right w:val="nil"/>
            </w:tcBorders>
            <w:shd w:val="clear" w:color="auto" w:fill="C0C0C0"/>
          </w:tcPr>
          <w:p w14:paraId="2A1B2617" w14:textId="77777777" w:rsidR="00CE2BA8" w:rsidRDefault="00CE2BA8" w:rsidP="00753282">
            <w:pPr>
              <w:spacing w:after="0" w:line="240" w:lineRule="auto"/>
            </w:pPr>
            <w:r>
              <w:t>49.0</w:t>
            </w:r>
          </w:p>
        </w:tc>
        <w:tc>
          <w:tcPr>
            <w:tcW w:w="1350" w:type="dxa"/>
            <w:shd w:val="clear" w:color="auto" w:fill="C0C0C0"/>
          </w:tcPr>
          <w:p w14:paraId="6E9117A5" w14:textId="77777777" w:rsidR="00CE2BA8" w:rsidRDefault="00CE2BA8" w:rsidP="00753282">
            <w:pPr>
              <w:spacing w:after="0" w:line="240" w:lineRule="auto"/>
            </w:pPr>
            <w:r>
              <w:t>5.0</w:t>
            </w:r>
          </w:p>
        </w:tc>
        <w:tc>
          <w:tcPr>
            <w:tcW w:w="1530" w:type="dxa"/>
            <w:tcBorders>
              <w:left w:val="nil"/>
              <w:right w:val="nil"/>
            </w:tcBorders>
            <w:shd w:val="clear" w:color="auto" w:fill="C0C0C0"/>
          </w:tcPr>
          <w:p w14:paraId="4F45063B" w14:textId="77777777" w:rsidR="00CE2BA8" w:rsidRDefault="00CE2BA8" w:rsidP="00753282">
            <w:pPr>
              <w:spacing w:after="0" w:line="240" w:lineRule="auto"/>
            </w:pPr>
            <w:r>
              <w:t>25.0</w:t>
            </w:r>
          </w:p>
        </w:tc>
      </w:tr>
      <w:tr w:rsidR="00CE2BA8" w14:paraId="55D7CA1F" w14:textId="77777777" w:rsidTr="00753282">
        <w:tc>
          <w:tcPr>
            <w:tcW w:w="1260" w:type="dxa"/>
            <w:shd w:val="clear" w:color="auto" w:fill="auto"/>
          </w:tcPr>
          <w:p w14:paraId="5A8D27AE" w14:textId="77777777" w:rsidR="00CE2BA8" w:rsidRPr="00082F41" w:rsidRDefault="00CE2BA8" w:rsidP="00753282">
            <w:pPr>
              <w:spacing w:after="0" w:line="240" w:lineRule="auto"/>
              <w:rPr>
                <w:b/>
                <w:bCs/>
                <w:color w:val="000000"/>
              </w:rPr>
            </w:pPr>
            <w:r w:rsidRPr="00082F41">
              <w:rPr>
                <w:b/>
                <w:bCs/>
                <w:color w:val="000000"/>
              </w:rPr>
              <w:t>70%</w:t>
            </w:r>
          </w:p>
        </w:tc>
        <w:tc>
          <w:tcPr>
            <w:tcW w:w="1890" w:type="dxa"/>
            <w:shd w:val="clear" w:color="auto" w:fill="auto"/>
          </w:tcPr>
          <w:p w14:paraId="743834F8" w14:textId="77777777" w:rsidR="00CE2BA8" w:rsidRDefault="00CE2BA8" w:rsidP="00753282">
            <w:pPr>
              <w:spacing w:after="0" w:line="240" w:lineRule="auto"/>
            </w:pPr>
            <w:r>
              <w:t>61.0</w:t>
            </w:r>
          </w:p>
        </w:tc>
        <w:tc>
          <w:tcPr>
            <w:tcW w:w="1350" w:type="dxa"/>
            <w:shd w:val="clear" w:color="auto" w:fill="auto"/>
          </w:tcPr>
          <w:p w14:paraId="2B550A7A" w14:textId="77777777" w:rsidR="00CE2BA8" w:rsidRDefault="00CE2BA8" w:rsidP="00753282">
            <w:pPr>
              <w:spacing w:after="0" w:line="240" w:lineRule="auto"/>
            </w:pPr>
            <w:r>
              <w:t>6.2</w:t>
            </w:r>
          </w:p>
        </w:tc>
        <w:tc>
          <w:tcPr>
            <w:tcW w:w="1530" w:type="dxa"/>
            <w:shd w:val="clear" w:color="auto" w:fill="auto"/>
          </w:tcPr>
          <w:p w14:paraId="787FB1E0" w14:textId="77777777" w:rsidR="00CE2BA8" w:rsidRDefault="00CE2BA8" w:rsidP="00753282">
            <w:pPr>
              <w:spacing w:after="0" w:line="240" w:lineRule="auto"/>
            </w:pPr>
            <w:r>
              <w:t>27.8</w:t>
            </w:r>
          </w:p>
        </w:tc>
      </w:tr>
      <w:tr w:rsidR="00CE2BA8" w14:paraId="1278E92C" w14:textId="77777777" w:rsidTr="00753282">
        <w:tc>
          <w:tcPr>
            <w:tcW w:w="1260" w:type="dxa"/>
            <w:shd w:val="clear" w:color="auto" w:fill="C0C0C0"/>
          </w:tcPr>
          <w:p w14:paraId="5271E8E4" w14:textId="77777777" w:rsidR="00CE2BA8" w:rsidRPr="00082F41" w:rsidRDefault="00CE2BA8" w:rsidP="00753282">
            <w:pPr>
              <w:spacing w:after="0" w:line="240" w:lineRule="auto"/>
              <w:rPr>
                <w:b/>
                <w:bCs/>
                <w:color w:val="000000"/>
              </w:rPr>
            </w:pPr>
            <w:r w:rsidRPr="00082F41">
              <w:rPr>
                <w:b/>
                <w:bCs/>
                <w:color w:val="000000"/>
              </w:rPr>
              <w:t>80%</w:t>
            </w:r>
          </w:p>
        </w:tc>
        <w:tc>
          <w:tcPr>
            <w:tcW w:w="1890" w:type="dxa"/>
            <w:tcBorders>
              <w:left w:val="nil"/>
              <w:right w:val="nil"/>
            </w:tcBorders>
            <w:shd w:val="clear" w:color="auto" w:fill="C0C0C0"/>
          </w:tcPr>
          <w:p w14:paraId="770066AA" w14:textId="77777777" w:rsidR="00CE2BA8" w:rsidRDefault="00CE2BA8" w:rsidP="00753282">
            <w:pPr>
              <w:spacing w:after="0" w:line="240" w:lineRule="auto"/>
            </w:pPr>
            <w:r>
              <w:t>83.0</w:t>
            </w:r>
          </w:p>
        </w:tc>
        <w:tc>
          <w:tcPr>
            <w:tcW w:w="1350" w:type="dxa"/>
            <w:shd w:val="clear" w:color="auto" w:fill="C0C0C0"/>
          </w:tcPr>
          <w:p w14:paraId="656F80EA" w14:textId="77777777" w:rsidR="00CE2BA8" w:rsidRDefault="00CE2BA8" w:rsidP="00753282">
            <w:pPr>
              <w:spacing w:after="0" w:line="240" w:lineRule="auto"/>
            </w:pPr>
            <w:r>
              <w:t>7.7</w:t>
            </w:r>
          </w:p>
        </w:tc>
        <w:tc>
          <w:tcPr>
            <w:tcW w:w="1530" w:type="dxa"/>
            <w:tcBorders>
              <w:left w:val="nil"/>
              <w:right w:val="nil"/>
            </w:tcBorders>
            <w:shd w:val="clear" w:color="auto" w:fill="C0C0C0"/>
          </w:tcPr>
          <w:p w14:paraId="01B18646" w14:textId="77777777" w:rsidR="00CE2BA8" w:rsidRDefault="00CE2BA8" w:rsidP="00753282">
            <w:pPr>
              <w:spacing w:after="0" w:line="240" w:lineRule="auto"/>
            </w:pPr>
            <w:r>
              <w:t>31.6</w:t>
            </w:r>
          </w:p>
        </w:tc>
      </w:tr>
      <w:tr w:rsidR="00CE2BA8" w14:paraId="57E2AE38" w14:textId="77777777" w:rsidTr="00753282">
        <w:tc>
          <w:tcPr>
            <w:tcW w:w="1260" w:type="dxa"/>
            <w:shd w:val="clear" w:color="auto" w:fill="auto"/>
          </w:tcPr>
          <w:p w14:paraId="43960A3D" w14:textId="77777777" w:rsidR="00CE2BA8" w:rsidRPr="00082F41" w:rsidRDefault="00CE2BA8" w:rsidP="00753282">
            <w:pPr>
              <w:spacing w:after="0" w:line="240" w:lineRule="auto"/>
              <w:rPr>
                <w:b/>
                <w:bCs/>
                <w:color w:val="000000"/>
              </w:rPr>
            </w:pPr>
            <w:r w:rsidRPr="00082F41">
              <w:rPr>
                <w:b/>
                <w:bCs/>
                <w:color w:val="000000"/>
              </w:rPr>
              <w:t>90%</w:t>
            </w:r>
          </w:p>
        </w:tc>
        <w:tc>
          <w:tcPr>
            <w:tcW w:w="1890" w:type="dxa"/>
            <w:shd w:val="clear" w:color="auto" w:fill="auto"/>
          </w:tcPr>
          <w:p w14:paraId="6E139B0D" w14:textId="77777777" w:rsidR="00CE2BA8" w:rsidRDefault="00CE2BA8" w:rsidP="00753282">
            <w:pPr>
              <w:spacing w:after="0" w:line="240" w:lineRule="auto"/>
            </w:pPr>
            <w:r>
              <w:t>118.8</w:t>
            </w:r>
          </w:p>
        </w:tc>
        <w:tc>
          <w:tcPr>
            <w:tcW w:w="1350" w:type="dxa"/>
            <w:shd w:val="clear" w:color="auto" w:fill="auto"/>
          </w:tcPr>
          <w:p w14:paraId="01303A36" w14:textId="77777777" w:rsidR="00CE2BA8" w:rsidRDefault="00CE2BA8" w:rsidP="00753282">
            <w:pPr>
              <w:spacing w:after="0" w:line="240" w:lineRule="auto"/>
            </w:pPr>
            <w:r>
              <w:t>10.0</w:t>
            </w:r>
          </w:p>
        </w:tc>
        <w:tc>
          <w:tcPr>
            <w:tcW w:w="1530" w:type="dxa"/>
            <w:shd w:val="clear" w:color="auto" w:fill="auto"/>
          </w:tcPr>
          <w:p w14:paraId="3235E017" w14:textId="77777777" w:rsidR="00CE2BA8" w:rsidRDefault="00CE2BA8" w:rsidP="00753282">
            <w:pPr>
              <w:spacing w:after="0" w:line="240" w:lineRule="auto"/>
            </w:pPr>
            <w:r>
              <w:t>38.0</w:t>
            </w:r>
          </w:p>
        </w:tc>
      </w:tr>
      <w:tr w:rsidR="00CE2BA8" w14:paraId="4A867102" w14:textId="77777777" w:rsidTr="00753282">
        <w:tc>
          <w:tcPr>
            <w:tcW w:w="1260" w:type="dxa"/>
            <w:shd w:val="clear" w:color="auto" w:fill="C0C0C0"/>
          </w:tcPr>
          <w:p w14:paraId="2E4273D9" w14:textId="77777777" w:rsidR="00CE2BA8" w:rsidRPr="00082F41" w:rsidRDefault="00CE2BA8" w:rsidP="00753282">
            <w:pPr>
              <w:spacing w:after="0" w:line="240" w:lineRule="auto"/>
              <w:rPr>
                <w:b/>
                <w:bCs/>
                <w:color w:val="000000"/>
              </w:rPr>
            </w:pPr>
            <w:r w:rsidRPr="00082F41">
              <w:rPr>
                <w:b/>
                <w:bCs/>
                <w:color w:val="000000"/>
              </w:rPr>
              <w:t>100%</w:t>
            </w:r>
          </w:p>
        </w:tc>
        <w:tc>
          <w:tcPr>
            <w:tcW w:w="1890" w:type="dxa"/>
            <w:tcBorders>
              <w:left w:val="nil"/>
              <w:right w:val="nil"/>
            </w:tcBorders>
            <w:shd w:val="clear" w:color="auto" w:fill="C0C0C0"/>
          </w:tcPr>
          <w:p w14:paraId="4663115E" w14:textId="77777777" w:rsidR="00CE2BA8" w:rsidRDefault="00CE2BA8" w:rsidP="00753282">
            <w:pPr>
              <w:spacing w:after="0" w:line="240" w:lineRule="auto"/>
            </w:pPr>
            <w:r>
              <w:t>735.0</w:t>
            </w:r>
          </w:p>
        </w:tc>
        <w:tc>
          <w:tcPr>
            <w:tcW w:w="1350" w:type="dxa"/>
            <w:shd w:val="clear" w:color="auto" w:fill="C0C0C0"/>
          </w:tcPr>
          <w:p w14:paraId="619E0C34" w14:textId="77777777" w:rsidR="00CE2BA8" w:rsidRDefault="00CE2BA8" w:rsidP="00753282">
            <w:pPr>
              <w:spacing w:after="0" w:line="240" w:lineRule="auto"/>
            </w:pPr>
            <w:r>
              <w:t>33.3</w:t>
            </w:r>
          </w:p>
        </w:tc>
        <w:tc>
          <w:tcPr>
            <w:tcW w:w="1530" w:type="dxa"/>
            <w:tcBorders>
              <w:left w:val="nil"/>
              <w:right w:val="nil"/>
            </w:tcBorders>
            <w:shd w:val="clear" w:color="auto" w:fill="C0C0C0"/>
          </w:tcPr>
          <w:p w14:paraId="0747048E" w14:textId="77777777" w:rsidR="00CE2BA8" w:rsidRDefault="00CE2BA8" w:rsidP="00753282">
            <w:pPr>
              <w:spacing w:after="0" w:line="240" w:lineRule="auto"/>
            </w:pPr>
            <w:r>
              <w:t>68.8</w:t>
            </w:r>
          </w:p>
        </w:tc>
      </w:tr>
    </w:tbl>
    <w:p w14:paraId="22AA4720" w14:textId="77777777" w:rsidR="00CE2BA8" w:rsidRPr="00D355E9" w:rsidRDefault="00CE2BA8" w:rsidP="00CE2BA8">
      <w:pPr>
        <w:autoSpaceDE w:val="0"/>
        <w:autoSpaceDN w:val="0"/>
        <w:adjustRightInd w:val="0"/>
        <w:spacing w:after="0" w:line="240" w:lineRule="auto"/>
        <w:ind w:left="360"/>
        <w:rPr>
          <w:rFonts w:ascii="Calibri" w:eastAsia="Calibri" w:hAnsi="Calibri" w:cs="Calibri"/>
          <w:bCs/>
          <w:highlight w:val="darkCyan"/>
        </w:rPr>
      </w:pPr>
    </w:p>
    <w:p w14:paraId="0FB67D96" w14:textId="77777777" w:rsidR="002B5016" w:rsidRPr="00A25024" w:rsidRDefault="002B5016" w:rsidP="00DB3627">
      <w:pPr>
        <w:autoSpaceDE w:val="0"/>
        <w:autoSpaceDN w:val="0"/>
        <w:adjustRightInd w:val="0"/>
        <w:spacing w:after="0" w:line="240" w:lineRule="auto"/>
        <w:rPr>
          <w:rFonts w:cstheme="minorHAnsi"/>
          <w:bCs/>
        </w:rPr>
      </w:pPr>
    </w:p>
    <w:p w14:paraId="7CA91233" w14:textId="77777777" w:rsidR="00CE2BA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FB3D42B" w14:textId="77777777" w:rsidR="00CE2BA8" w:rsidRDefault="00CE2BA8" w:rsidP="00DB3627">
      <w:pPr>
        <w:autoSpaceDE w:val="0"/>
        <w:autoSpaceDN w:val="0"/>
        <w:adjustRightInd w:val="0"/>
        <w:spacing w:after="0" w:line="240" w:lineRule="auto"/>
        <w:rPr>
          <w:rFonts w:cstheme="minorHAnsi"/>
          <w:bCs/>
        </w:rPr>
      </w:pPr>
    </w:p>
    <w:p w14:paraId="205A1813" w14:textId="77777777" w:rsidR="00CE2BA8" w:rsidRPr="00CC4CB2" w:rsidRDefault="00CE2BA8" w:rsidP="00CE2BA8">
      <w:pPr>
        <w:autoSpaceDE w:val="0"/>
        <w:autoSpaceDN w:val="0"/>
        <w:adjustRightInd w:val="0"/>
        <w:spacing w:after="0" w:line="240" w:lineRule="auto"/>
        <w:rPr>
          <w:bCs/>
        </w:rPr>
      </w:pPr>
      <w:r w:rsidRPr="00CC4CB2">
        <w:rPr>
          <w:bCs/>
        </w:rPr>
        <w:t>All eligible patients were included except those missing a few key variables (age, gender), which STS never imputes in its risk adjustment algorithms.</w:t>
      </w:r>
    </w:p>
    <w:p w14:paraId="3B5A66EC" w14:textId="77777777" w:rsidR="00CE2BA8" w:rsidRPr="00D355E9" w:rsidRDefault="00CE2BA8" w:rsidP="00CE2BA8">
      <w:pPr>
        <w:autoSpaceDE w:val="0"/>
        <w:autoSpaceDN w:val="0"/>
        <w:adjustRightInd w:val="0"/>
        <w:spacing w:after="0" w:line="240" w:lineRule="auto"/>
        <w:rPr>
          <w:rFonts w:cstheme="minorHAnsi"/>
          <w:bCs/>
          <w:highlight w:val="darkCyan"/>
        </w:rPr>
      </w:pPr>
    </w:p>
    <w:tbl>
      <w:tblPr>
        <w:tblW w:w="0" w:type="auto"/>
        <w:tblInd w:w="67" w:type="dxa"/>
        <w:tblLayout w:type="fixed"/>
        <w:tblCellMar>
          <w:left w:w="0" w:type="dxa"/>
          <w:right w:w="0" w:type="dxa"/>
        </w:tblCellMar>
        <w:tblLook w:val="0000" w:firstRow="0" w:lastRow="0" w:firstColumn="0" w:lastColumn="0" w:noHBand="0" w:noVBand="0"/>
      </w:tblPr>
      <w:tblGrid>
        <w:gridCol w:w="5403"/>
        <w:gridCol w:w="1498"/>
      </w:tblGrid>
      <w:tr w:rsidR="00CE2BA8" w:rsidRPr="0068079B" w14:paraId="5CBBC6F8" w14:textId="77777777" w:rsidTr="00753282">
        <w:trPr>
          <w:cantSplit/>
          <w:tblHeader/>
        </w:trPr>
        <w:tc>
          <w:tcPr>
            <w:tcW w:w="5403" w:type="dxa"/>
            <w:tcBorders>
              <w:top w:val="single" w:sz="4" w:space="0" w:color="000000"/>
              <w:left w:val="nil"/>
              <w:bottom w:val="single" w:sz="3" w:space="0" w:color="000000"/>
              <w:right w:val="nil"/>
            </w:tcBorders>
            <w:shd w:val="clear" w:color="auto" w:fill="FFFFFF"/>
            <w:tcMar>
              <w:left w:w="67" w:type="dxa"/>
              <w:right w:w="67" w:type="dxa"/>
            </w:tcMar>
            <w:vAlign w:val="bottom"/>
          </w:tcPr>
          <w:p w14:paraId="162B334B"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125B89A2"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 xml:space="preserve">Overall </w:t>
            </w:r>
            <w:r w:rsidRPr="00CC4CB2">
              <w:rPr>
                <w:rFonts w:eastAsia="Times New Roman" w:cstheme="minorHAnsi"/>
                <w:b/>
                <w:bCs/>
                <w:color w:val="000000"/>
              </w:rPr>
              <w:br/>
              <w:t>N=53743</w:t>
            </w:r>
          </w:p>
        </w:tc>
      </w:tr>
      <w:tr w:rsidR="00CE2BA8" w:rsidRPr="0068079B" w14:paraId="45F58CE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ACCFDFF"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Age (years)</w:t>
            </w:r>
          </w:p>
        </w:tc>
        <w:tc>
          <w:tcPr>
            <w:tcW w:w="1498" w:type="dxa"/>
            <w:tcBorders>
              <w:top w:val="nil"/>
              <w:left w:val="nil"/>
              <w:bottom w:val="nil"/>
              <w:right w:val="nil"/>
            </w:tcBorders>
            <w:shd w:val="clear" w:color="auto" w:fill="FFFFFF"/>
            <w:tcMar>
              <w:left w:w="67" w:type="dxa"/>
              <w:right w:w="67" w:type="dxa"/>
            </w:tcMar>
            <w:vAlign w:val="bottom"/>
          </w:tcPr>
          <w:p w14:paraId="1538FAAD"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74.0 (67.0, 80.0)</w:t>
            </w:r>
          </w:p>
        </w:tc>
      </w:tr>
      <w:tr w:rsidR="00CE2BA8" w:rsidRPr="0068079B" w14:paraId="2685873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82C1DE9"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Sex </w:t>
            </w:r>
            <w:r w:rsidRPr="00CC4CB2">
              <w:rPr>
                <w:rFonts w:eastAsia="Times New Roman" w:cstheme="minorHAnsi"/>
                <w:color w:val="000000"/>
              </w:rPr>
              <w:br/>
            </w:r>
            <w:r w:rsidRPr="00CC4CB2">
              <w:rPr>
                <w:rFonts w:eastAsia="Times New Roman" w:cstheme="minorHAnsi"/>
                <w:color w:val="000000"/>
              </w:rPr>
              <w:tab/>
              <w:t>Male</w:t>
            </w:r>
          </w:p>
        </w:tc>
        <w:tc>
          <w:tcPr>
            <w:tcW w:w="1498" w:type="dxa"/>
            <w:tcBorders>
              <w:top w:val="nil"/>
              <w:left w:val="nil"/>
              <w:bottom w:val="nil"/>
              <w:right w:val="nil"/>
            </w:tcBorders>
            <w:shd w:val="clear" w:color="auto" w:fill="FFFFFF"/>
            <w:tcMar>
              <w:left w:w="67" w:type="dxa"/>
              <w:right w:w="67" w:type="dxa"/>
            </w:tcMar>
            <w:vAlign w:val="bottom"/>
          </w:tcPr>
          <w:p w14:paraId="4F846E3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37,825 (70.4%)</w:t>
            </w:r>
          </w:p>
        </w:tc>
      </w:tr>
      <w:tr w:rsidR="00CE2BA8" w:rsidRPr="0068079B" w14:paraId="2494194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BA0B173"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Female</w:t>
            </w:r>
          </w:p>
        </w:tc>
        <w:tc>
          <w:tcPr>
            <w:tcW w:w="1498" w:type="dxa"/>
            <w:tcBorders>
              <w:top w:val="nil"/>
              <w:left w:val="nil"/>
              <w:bottom w:val="nil"/>
              <w:right w:val="nil"/>
            </w:tcBorders>
            <w:shd w:val="clear" w:color="auto" w:fill="FFFFFF"/>
            <w:tcMar>
              <w:left w:w="67" w:type="dxa"/>
              <w:right w:w="67" w:type="dxa"/>
            </w:tcMar>
            <w:vAlign w:val="bottom"/>
          </w:tcPr>
          <w:p w14:paraId="0EC487A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15,918 (29.6%)</w:t>
            </w:r>
          </w:p>
        </w:tc>
      </w:tr>
      <w:tr w:rsidR="00CE2BA8" w:rsidRPr="0068079B" w14:paraId="72C24C2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099D6C9"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Race - Asian</w:t>
            </w:r>
          </w:p>
        </w:tc>
        <w:tc>
          <w:tcPr>
            <w:tcW w:w="1498" w:type="dxa"/>
            <w:tcBorders>
              <w:top w:val="nil"/>
              <w:left w:val="nil"/>
              <w:bottom w:val="nil"/>
              <w:right w:val="nil"/>
            </w:tcBorders>
            <w:shd w:val="clear" w:color="auto" w:fill="FFFFFF"/>
            <w:tcMar>
              <w:left w:w="67" w:type="dxa"/>
              <w:right w:w="67" w:type="dxa"/>
            </w:tcMar>
            <w:vAlign w:val="bottom"/>
          </w:tcPr>
          <w:p w14:paraId="08D1C6B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603 (1.1%)</w:t>
            </w:r>
          </w:p>
        </w:tc>
      </w:tr>
      <w:tr w:rsidR="00CE2BA8" w:rsidRPr="0068079B" w14:paraId="1AD2566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2F13C6E"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Race - Black / African American</w:t>
            </w:r>
          </w:p>
        </w:tc>
        <w:tc>
          <w:tcPr>
            <w:tcW w:w="1498" w:type="dxa"/>
            <w:tcBorders>
              <w:top w:val="nil"/>
              <w:left w:val="nil"/>
              <w:bottom w:val="nil"/>
              <w:right w:val="nil"/>
            </w:tcBorders>
            <w:shd w:val="clear" w:color="auto" w:fill="FFFFFF"/>
            <w:tcMar>
              <w:left w:w="67" w:type="dxa"/>
              <w:right w:w="67" w:type="dxa"/>
            </w:tcMar>
            <w:vAlign w:val="bottom"/>
          </w:tcPr>
          <w:p w14:paraId="1BA818F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2,004 (3.7%)</w:t>
            </w:r>
          </w:p>
        </w:tc>
      </w:tr>
      <w:tr w:rsidR="00CE2BA8" w:rsidRPr="0068079B" w14:paraId="242E1C8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249A0BC"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Race - White</w:t>
            </w:r>
          </w:p>
        </w:tc>
        <w:tc>
          <w:tcPr>
            <w:tcW w:w="1498" w:type="dxa"/>
            <w:tcBorders>
              <w:top w:val="nil"/>
              <w:left w:val="nil"/>
              <w:bottom w:val="nil"/>
              <w:right w:val="nil"/>
            </w:tcBorders>
            <w:shd w:val="clear" w:color="auto" w:fill="FFFFFF"/>
            <w:tcMar>
              <w:left w:w="67" w:type="dxa"/>
              <w:right w:w="67" w:type="dxa"/>
            </w:tcMar>
            <w:vAlign w:val="bottom"/>
          </w:tcPr>
          <w:p w14:paraId="2DA814AE"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49,633 (92.4%)</w:t>
            </w:r>
          </w:p>
        </w:tc>
      </w:tr>
      <w:tr w:rsidR="00CE2BA8" w:rsidRPr="0068079B" w14:paraId="236F814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808F4D5"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Race - American Indian / Alaskan Native</w:t>
            </w:r>
          </w:p>
        </w:tc>
        <w:tc>
          <w:tcPr>
            <w:tcW w:w="1498" w:type="dxa"/>
            <w:tcBorders>
              <w:top w:val="nil"/>
              <w:left w:val="nil"/>
              <w:bottom w:val="nil"/>
              <w:right w:val="nil"/>
            </w:tcBorders>
            <w:shd w:val="clear" w:color="auto" w:fill="FFFFFF"/>
            <w:tcMar>
              <w:left w:w="67" w:type="dxa"/>
              <w:right w:w="67" w:type="dxa"/>
            </w:tcMar>
            <w:vAlign w:val="bottom"/>
          </w:tcPr>
          <w:p w14:paraId="2AA5530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238 (0.4%)</w:t>
            </w:r>
          </w:p>
        </w:tc>
      </w:tr>
      <w:tr w:rsidR="00CE2BA8" w:rsidRPr="0068079B" w14:paraId="57BBB83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7C01236"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Race - Other</w:t>
            </w:r>
          </w:p>
        </w:tc>
        <w:tc>
          <w:tcPr>
            <w:tcW w:w="1498" w:type="dxa"/>
            <w:tcBorders>
              <w:top w:val="nil"/>
              <w:left w:val="nil"/>
              <w:bottom w:val="nil"/>
              <w:right w:val="nil"/>
            </w:tcBorders>
            <w:shd w:val="clear" w:color="auto" w:fill="FFFFFF"/>
            <w:tcMar>
              <w:left w:w="67" w:type="dxa"/>
              <w:right w:w="67" w:type="dxa"/>
            </w:tcMar>
            <w:vAlign w:val="bottom"/>
          </w:tcPr>
          <w:p w14:paraId="6E874DA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1,227 (2.3%)</w:t>
            </w:r>
          </w:p>
        </w:tc>
      </w:tr>
      <w:tr w:rsidR="00CE2BA8" w:rsidRPr="0068079B" w14:paraId="1D208FA7"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796219E"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Native Hawaiian / Pacific Islander</w:t>
            </w:r>
          </w:p>
        </w:tc>
        <w:tc>
          <w:tcPr>
            <w:tcW w:w="1498" w:type="dxa"/>
            <w:tcBorders>
              <w:top w:val="nil"/>
              <w:left w:val="nil"/>
              <w:bottom w:val="nil"/>
              <w:right w:val="nil"/>
            </w:tcBorders>
            <w:shd w:val="clear" w:color="auto" w:fill="FFFFFF"/>
            <w:tcMar>
              <w:left w:w="67" w:type="dxa"/>
              <w:right w:w="67" w:type="dxa"/>
            </w:tcMar>
            <w:vAlign w:val="bottom"/>
          </w:tcPr>
          <w:p w14:paraId="359480DE"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104 (0.2%)</w:t>
            </w:r>
          </w:p>
        </w:tc>
      </w:tr>
      <w:tr w:rsidR="00CE2BA8" w:rsidRPr="0068079B" w14:paraId="53A2F3E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533CCB1"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Hispanic or Latino Ethnicity</w:t>
            </w:r>
          </w:p>
        </w:tc>
        <w:tc>
          <w:tcPr>
            <w:tcW w:w="1498" w:type="dxa"/>
            <w:tcBorders>
              <w:top w:val="nil"/>
              <w:left w:val="nil"/>
              <w:bottom w:val="nil"/>
              <w:right w:val="nil"/>
            </w:tcBorders>
            <w:shd w:val="clear" w:color="auto" w:fill="FFFFFF"/>
            <w:tcMar>
              <w:left w:w="67" w:type="dxa"/>
              <w:right w:w="67" w:type="dxa"/>
            </w:tcMar>
            <w:vAlign w:val="bottom"/>
          </w:tcPr>
          <w:p w14:paraId="2F405FAB"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2,073 (3.9%)</w:t>
            </w:r>
          </w:p>
        </w:tc>
      </w:tr>
      <w:tr w:rsidR="00CE2BA8" w:rsidRPr="0068079B" w14:paraId="45AC73DF"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D736AB0"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Body Surface Area (m) </w:t>
            </w:r>
            <w:r w:rsidRPr="00CC4CB2">
              <w:rPr>
                <w:rFonts w:eastAsia="Times New Roman" w:cstheme="minorHAnsi"/>
                <w:color w:val="000000"/>
              </w:rPr>
              <w:br/>
            </w:r>
            <w:r w:rsidRPr="00CC4CB2">
              <w:rPr>
                <w:rFonts w:eastAsia="Times New Roman" w:cstheme="minorHAnsi"/>
                <w:color w:val="000000"/>
              </w:rPr>
              <w:tab/>
              <w:t>&lt;1.5</w:t>
            </w:r>
          </w:p>
        </w:tc>
        <w:tc>
          <w:tcPr>
            <w:tcW w:w="1498" w:type="dxa"/>
            <w:tcBorders>
              <w:top w:val="nil"/>
              <w:left w:val="nil"/>
              <w:bottom w:val="nil"/>
              <w:right w:val="nil"/>
            </w:tcBorders>
            <w:shd w:val="clear" w:color="auto" w:fill="FFFFFF"/>
            <w:tcMar>
              <w:left w:w="67" w:type="dxa"/>
              <w:right w:w="67" w:type="dxa"/>
            </w:tcMar>
            <w:vAlign w:val="bottom"/>
          </w:tcPr>
          <w:p w14:paraId="3FD0BB41"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1,243 (2.3%)</w:t>
            </w:r>
          </w:p>
        </w:tc>
      </w:tr>
      <w:tr w:rsidR="00CE2BA8" w:rsidRPr="0068079B" w14:paraId="0B44C99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3E601E4"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&gt;=1.5 and &lt;1.75</w:t>
            </w:r>
          </w:p>
        </w:tc>
        <w:tc>
          <w:tcPr>
            <w:tcW w:w="1498" w:type="dxa"/>
            <w:tcBorders>
              <w:top w:val="nil"/>
              <w:left w:val="nil"/>
              <w:bottom w:val="nil"/>
              <w:right w:val="nil"/>
            </w:tcBorders>
            <w:shd w:val="clear" w:color="auto" w:fill="FFFFFF"/>
            <w:tcMar>
              <w:left w:w="67" w:type="dxa"/>
              <w:right w:w="67" w:type="dxa"/>
            </w:tcMar>
            <w:vAlign w:val="bottom"/>
          </w:tcPr>
          <w:p w14:paraId="29E32D1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8,439 (15.7%)</w:t>
            </w:r>
          </w:p>
        </w:tc>
      </w:tr>
      <w:tr w:rsidR="00CE2BA8" w:rsidRPr="0068079B" w14:paraId="3514434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8F61BE3"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&gt;=1.75 and &lt;2</w:t>
            </w:r>
          </w:p>
        </w:tc>
        <w:tc>
          <w:tcPr>
            <w:tcW w:w="1498" w:type="dxa"/>
            <w:tcBorders>
              <w:top w:val="nil"/>
              <w:left w:val="nil"/>
              <w:bottom w:val="nil"/>
              <w:right w:val="nil"/>
            </w:tcBorders>
            <w:shd w:val="clear" w:color="auto" w:fill="FFFFFF"/>
            <w:tcMar>
              <w:left w:w="67" w:type="dxa"/>
              <w:right w:w="67" w:type="dxa"/>
            </w:tcMar>
            <w:vAlign w:val="bottom"/>
          </w:tcPr>
          <w:p w14:paraId="4498CD99"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20,055 (37.3%)</w:t>
            </w:r>
          </w:p>
        </w:tc>
      </w:tr>
      <w:tr w:rsidR="00CE2BA8" w:rsidRPr="0068079B" w14:paraId="583EC56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5657BF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&gt;=2</w:t>
            </w:r>
          </w:p>
        </w:tc>
        <w:tc>
          <w:tcPr>
            <w:tcW w:w="1498" w:type="dxa"/>
            <w:tcBorders>
              <w:top w:val="nil"/>
              <w:left w:val="nil"/>
              <w:bottom w:val="nil"/>
              <w:right w:val="nil"/>
            </w:tcBorders>
            <w:shd w:val="clear" w:color="auto" w:fill="FFFFFF"/>
            <w:tcMar>
              <w:left w:w="67" w:type="dxa"/>
              <w:right w:w="67" w:type="dxa"/>
            </w:tcMar>
            <w:vAlign w:val="bottom"/>
          </w:tcPr>
          <w:p w14:paraId="0152958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23,978 (44.6%)</w:t>
            </w:r>
          </w:p>
        </w:tc>
      </w:tr>
      <w:tr w:rsidR="00CE2BA8" w:rsidRPr="0068079B" w14:paraId="1E0D64F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B2852E4"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Diabetes </w:t>
            </w:r>
            <w:r w:rsidRPr="00CC4CB2">
              <w:rPr>
                <w:rFonts w:eastAsia="Times New Roman" w:cstheme="minorHAnsi"/>
                <w:color w:val="000000"/>
              </w:rPr>
              <w:br/>
            </w:r>
            <w:r w:rsidRPr="00CC4CB2">
              <w:rPr>
                <w:rFonts w:eastAsia="Times New Roman" w:cstheme="minorHAnsi"/>
                <w:color w:val="000000"/>
              </w:rPr>
              <w:tab/>
              <w:t>No Diabetes</w:t>
            </w:r>
          </w:p>
        </w:tc>
        <w:tc>
          <w:tcPr>
            <w:tcW w:w="1498" w:type="dxa"/>
            <w:tcBorders>
              <w:top w:val="nil"/>
              <w:left w:val="nil"/>
              <w:bottom w:val="nil"/>
              <w:right w:val="nil"/>
            </w:tcBorders>
            <w:shd w:val="clear" w:color="auto" w:fill="FFFFFF"/>
            <w:tcMar>
              <w:left w:w="67" w:type="dxa"/>
              <w:right w:w="67" w:type="dxa"/>
            </w:tcMar>
            <w:vAlign w:val="bottom"/>
          </w:tcPr>
          <w:p w14:paraId="5500E2E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32,458 (60.4%)</w:t>
            </w:r>
          </w:p>
        </w:tc>
      </w:tr>
      <w:tr w:rsidR="00CE2BA8" w:rsidRPr="0068079B" w14:paraId="0CF34B2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2E69E7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Diabetes - Noninsulin</w:t>
            </w:r>
          </w:p>
        </w:tc>
        <w:tc>
          <w:tcPr>
            <w:tcW w:w="1498" w:type="dxa"/>
            <w:tcBorders>
              <w:top w:val="nil"/>
              <w:left w:val="nil"/>
              <w:bottom w:val="nil"/>
              <w:right w:val="nil"/>
            </w:tcBorders>
            <w:shd w:val="clear" w:color="auto" w:fill="FFFFFF"/>
            <w:tcMar>
              <w:left w:w="67" w:type="dxa"/>
              <w:right w:w="67" w:type="dxa"/>
            </w:tcMar>
            <w:vAlign w:val="bottom"/>
          </w:tcPr>
          <w:p w14:paraId="645ADD9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14,760 (27.5%)</w:t>
            </w:r>
          </w:p>
        </w:tc>
      </w:tr>
      <w:tr w:rsidR="00CE2BA8" w:rsidRPr="0068079B" w14:paraId="2F56045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C965C6C"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Diabetes - Insulin</w:t>
            </w:r>
          </w:p>
        </w:tc>
        <w:tc>
          <w:tcPr>
            <w:tcW w:w="1498" w:type="dxa"/>
            <w:tcBorders>
              <w:top w:val="nil"/>
              <w:left w:val="nil"/>
              <w:bottom w:val="nil"/>
              <w:right w:val="nil"/>
            </w:tcBorders>
            <w:shd w:val="clear" w:color="auto" w:fill="FFFFFF"/>
            <w:tcMar>
              <w:left w:w="67" w:type="dxa"/>
              <w:right w:w="67" w:type="dxa"/>
            </w:tcMar>
            <w:vAlign w:val="bottom"/>
          </w:tcPr>
          <w:p w14:paraId="5F648BD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6,398 (11.9%)</w:t>
            </w:r>
          </w:p>
        </w:tc>
      </w:tr>
      <w:tr w:rsidR="00CE2BA8" w:rsidRPr="0068079B" w14:paraId="429E989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1F11E6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Diabetes - Other</w:t>
            </w:r>
          </w:p>
        </w:tc>
        <w:tc>
          <w:tcPr>
            <w:tcW w:w="1498" w:type="dxa"/>
            <w:tcBorders>
              <w:top w:val="nil"/>
              <w:left w:val="nil"/>
              <w:bottom w:val="nil"/>
              <w:right w:val="nil"/>
            </w:tcBorders>
            <w:shd w:val="clear" w:color="auto" w:fill="FFFFFF"/>
            <w:tcMar>
              <w:left w:w="67" w:type="dxa"/>
              <w:right w:w="67" w:type="dxa"/>
            </w:tcMar>
            <w:vAlign w:val="bottom"/>
          </w:tcPr>
          <w:p w14:paraId="6A29048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59 (0.1%)</w:t>
            </w:r>
          </w:p>
        </w:tc>
      </w:tr>
      <w:tr w:rsidR="00CE2BA8" w:rsidRPr="0068079B" w14:paraId="5F80BDB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950968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Diabetes - Missing Treatment</w:t>
            </w:r>
          </w:p>
        </w:tc>
        <w:tc>
          <w:tcPr>
            <w:tcW w:w="1498" w:type="dxa"/>
            <w:tcBorders>
              <w:top w:val="nil"/>
              <w:left w:val="nil"/>
              <w:bottom w:val="nil"/>
              <w:right w:val="nil"/>
            </w:tcBorders>
            <w:shd w:val="clear" w:color="auto" w:fill="FFFFFF"/>
            <w:tcMar>
              <w:left w:w="67" w:type="dxa"/>
              <w:right w:w="67" w:type="dxa"/>
            </w:tcMar>
            <w:vAlign w:val="bottom"/>
          </w:tcPr>
          <w:p w14:paraId="03AB58F7"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36 (0.1%)</w:t>
            </w:r>
          </w:p>
        </w:tc>
      </w:tr>
      <w:tr w:rsidR="00CE2BA8" w:rsidRPr="0068079B" w14:paraId="2115D6F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8FBFCD6"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Hypertension</w:t>
            </w:r>
          </w:p>
        </w:tc>
        <w:tc>
          <w:tcPr>
            <w:tcW w:w="1498" w:type="dxa"/>
            <w:tcBorders>
              <w:top w:val="nil"/>
              <w:left w:val="nil"/>
              <w:bottom w:val="nil"/>
              <w:right w:val="nil"/>
            </w:tcBorders>
            <w:shd w:val="clear" w:color="auto" w:fill="FFFFFF"/>
            <w:tcMar>
              <w:left w:w="67" w:type="dxa"/>
              <w:right w:w="67" w:type="dxa"/>
            </w:tcMar>
            <w:vAlign w:val="bottom"/>
          </w:tcPr>
          <w:p w14:paraId="261F7D47"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47,497 (88.4%)</w:t>
            </w:r>
          </w:p>
        </w:tc>
      </w:tr>
      <w:tr w:rsidR="00CE2BA8" w:rsidRPr="0068079B" w14:paraId="1601D26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DE4E18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Renal Function </w:t>
            </w:r>
            <w:r w:rsidRPr="00CC4CB2">
              <w:rPr>
                <w:rFonts w:eastAsia="Times New Roman" w:cstheme="minorHAnsi"/>
                <w:color w:val="000000"/>
              </w:rPr>
              <w:br/>
            </w:r>
            <w:r w:rsidRPr="00CC4CB2">
              <w:rPr>
                <w:rFonts w:eastAsia="Times New Roman" w:cstheme="minorHAnsi"/>
                <w:color w:val="000000"/>
              </w:rPr>
              <w:tab/>
              <w:t>Creatinine &lt;1 mg/</w:t>
            </w:r>
            <w:proofErr w:type="spellStart"/>
            <w:r w:rsidRPr="00CC4CB2">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30ADC8E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21,462 (39.9%)</w:t>
            </w:r>
          </w:p>
        </w:tc>
      </w:tr>
      <w:tr w:rsidR="00CE2BA8" w:rsidRPr="0068079B" w14:paraId="20934DC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EF0F2D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Creatinine 1-1.5 mg/</w:t>
            </w:r>
            <w:proofErr w:type="spellStart"/>
            <w:r w:rsidRPr="00CC4CB2">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5CA0D189"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24,299 (45.2%)</w:t>
            </w:r>
          </w:p>
        </w:tc>
      </w:tr>
      <w:tr w:rsidR="00CE2BA8" w:rsidRPr="0068079B" w14:paraId="04C4326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E1BE9C4"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Creatinine 1.5-2 mg/</w:t>
            </w:r>
            <w:proofErr w:type="spellStart"/>
            <w:r w:rsidRPr="00CC4CB2">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1FE3E49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4,779 (8.9%)</w:t>
            </w:r>
          </w:p>
        </w:tc>
      </w:tr>
      <w:tr w:rsidR="00CE2BA8" w:rsidRPr="0068079B" w14:paraId="673C33D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5CEFEF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Creatinine 2-2.5 mg/</w:t>
            </w:r>
            <w:proofErr w:type="spellStart"/>
            <w:r w:rsidRPr="00CC4CB2">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21196B7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981 (1.8%)</w:t>
            </w:r>
          </w:p>
        </w:tc>
      </w:tr>
      <w:tr w:rsidR="00CE2BA8" w:rsidRPr="0068079B" w14:paraId="1746DDD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B9E35EC"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Creatinine &gt;2.5 mg/</w:t>
            </w:r>
            <w:proofErr w:type="spellStart"/>
            <w:r w:rsidRPr="00CC4CB2">
              <w:rPr>
                <w:rFonts w:eastAsia="Times New Roman" w:cstheme="minorHAnsi"/>
                <w:color w:val="000000"/>
              </w:rPr>
              <w:t>dL</w:t>
            </w:r>
            <w:proofErr w:type="spellEnd"/>
          </w:p>
        </w:tc>
        <w:tc>
          <w:tcPr>
            <w:tcW w:w="1498" w:type="dxa"/>
            <w:tcBorders>
              <w:top w:val="nil"/>
              <w:left w:val="nil"/>
              <w:bottom w:val="nil"/>
              <w:right w:val="nil"/>
            </w:tcBorders>
            <w:shd w:val="clear" w:color="auto" w:fill="FFFFFF"/>
            <w:tcMar>
              <w:left w:w="67" w:type="dxa"/>
              <w:right w:w="67" w:type="dxa"/>
            </w:tcMar>
            <w:vAlign w:val="bottom"/>
          </w:tcPr>
          <w:p w14:paraId="4F875EA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645 (1.2%)</w:t>
            </w:r>
          </w:p>
        </w:tc>
      </w:tr>
      <w:tr w:rsidR="00CE2BA8" w:rsidRPr="0068079B" w14:paraId="3DEDCE0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4B8A120"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Dialysis</w:t>
            </w:r>
          </w:p>
        </w:tc>
        <w:tc>
          <w:tcPr>
            <w:tcW w:w="1498" w:type="dxa"/>
            <w:tcBorders>
              <w:top w:val="nil"/>
              <w:left w:val="nil"/>
              <w:bottom w:val="nil"/>
              <w:right w:val="nil"/>
            </w:tcBorders>
            <w:shd w:val="clear" w:color="auto" w:fill="FFFFFF"/>
            <w:tcMar>
              <w:left w:w="67" w:type="dxa"/>
              <w:right w:w="67" w:type="dxa"/>
            </w:tcMar>
            <w:vAlign w:val="bottom"/>
          </w:tcPr>
          <w:p w14:paraId="0A0A0851"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1,465 (2.7%)</w:t>
            </w:r>
          </w:p>
        </w:tc>
      </w:tr>
      <w:tr w:rsidR="00CE2BA8" w:rsidRPr="0068079B" w14:paraId="0F92B71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7061B7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Chronic Lung Disease (CLD)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70588928"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39,518 (73.5%)</w:t>
            </w:r>
          </w:p>
        </w:tc>
      </w:tr>
      <w:tr w:rsidR="00CE2BA8" w:rsidRPr="0068079B" w14:paraId="2015CFC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A860AFA"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535FDFB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7,576 (14.1%)</w:t>
            </w:r>
          </w:p>
        </w:tc>
      </w:tr>
      <w:tr w:rsidR="00CE2BA8" w:rsidRPr="0068079B" w14:paraId="40F6916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FD13239"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1780BD9B"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3,894 (7.2%)</w:t>
            </w:r>
          </w:p>
        </w:tc>
      </w:tr>
      <w:tr w:rsidR="00CE2BA8" w:rsidRPr="0068079B" w14:paraId="06FFA6E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E34780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4DEC8D9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2,662 (5.0%)</w:t>
            </w:r>
          </w:p>
        </w:tc>
      </w:tr>
      <w:tr w:rsidR="00CE2BA8" w:rsidRPr="0068079B" w14:paraId="430206C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8B3B53B"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Peripheral Vascular Disease (PVD)</w:t>
            </w:r>
          </w:p>
        </w:tc>
        <w:tc>
          <w:tcPr>
            <w:tcW w:w="1498" w:type="dxa"/>
            <w:tcBorders>
              <w:top w:val="nil"/>
              <w:left w:val="nil"/>
              <w:bottom w:val="nil"/>
              <w:right w:val="nil"/>
            </w:tcBorders>
            <w:shd w:val="clear" w:color="auto" w:fill="FFFFFF"/>
            <w:tcMar>
              <w:left w:w="67" w:type="dxa"/>
              <w:right w:w="67" w:type="dxa"/>
            </w:tcMar>
            <w:vAlign w:val="bottom"/>
          </w:tcPr>
          <w:p w14:paraId="413C57D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8,881 (16.5%)</w:t>
            </w:r>
          </w:p>
        </w:tc>
      </w:tr>
      <w:tr w:rsidR="00CE2BA8" w:rsidRPr="0068079B" w14:paraId="0C9ECA9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FC9F06E"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Cerebrovascular Disease (CVD)</w:t>
            </w:r>
          </w:p>
        </w:tc>
        <w:tc>
          <w:tcPr>
            <w:tcW w:w="1498" w:type="dxa"/>
            <w:tcBorders>
              <w:top w:val="nil"/>
              <w:left w:val="nil"/>
              <w:bottom w:val="nil"/>
              <w:right w:val="nil"/>
            </w:tcBorders>
            <w:shd w:val="clear" w:color="auto" w:fill="FFFFFF"/>
            <w:tcMar>
              <w:left w:w="67" w:type="dxa"/>
              <w:right w:w="67" w:type="dxa"/>
            </w:tcMar>
            <w:vAlign w:val="bottom"/>
          </w:tcPr>
          <w:p w14:paraId="41198F6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10,473 (19.5%)</w:t>
            </w:r>
          </w:p>
        </w:tc>
      </w:tr>
      <w:tr w:rsidR="00CE2BA8" w:rsidRPr="0068079B" w14:paraId="338BB54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2CEE5D6"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Cerebrovascular Accident (CVA) </w:t>
            </w:r>
            <w:r w:rsidRPr="00CC4CB2">
              <w:rPr>
                <w:rFonts w:eastAsia="Times New Roman" w:cstheme="minorHAnsi"/>
                <w:color w:val="000000"/>
              </w:rPr>
              <w:br/>
            </w:r>
            <w:r w:rsidRPr="00CC4CB2">
              <w:rPr>
                <w:rFonts w:eastAsia="Times New Roman" w:cstheme="minorHAnsi"/>
                <w:color w:val="000000"/>
              </w:rPr>
              <w:tab/>
              <w:t>No CVA</w:t>
            </w:r>
          </w:p>
        </w:tc>
        <w:tc>
          <w:tcPr>
            <w:tcW w:w="1498" w:type="dxa"/>
            <w:tcBorders>
              <w:top w:val="nil"/>
              <w:left w:val="nil"/>
              <w:bottom w:val="nil"/>
              <w:right w:val="nil"/>
            </w:tcBorders>
            <w:shd w:val="clear" w:color="auto" w:fill="FFFFFF"/>
            <w:tcMar>
              <w:left w:w="67" w:type="dxa"/>
              <w:right w:w="67" w:type="dxa"/>
            </w:tcMar>
            <w:vAlign w:val="bottom"/>
          </w:tcPr>
          <w:p w14:paraId="16541A9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49,200 (91.5%)</w:t>
            </w:r>
          </w:p>
        </w:tc>
      </w:tr>
      <w:tr w:rsidR="00CE2BA8" w:rsidRPr="0068079B" w14:paraId="54A8E06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1B6D3D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Remote CVA (&gt; 2 weeks)</w:t>
            </w:r>
          </w:p>
        </w:tc>
        <w:tc>
          <w:tcPr>
            <w:tcW w:w="1498" w:type="dxa"/>
            <w:tcBorders>
              <w:top w:val="nil"/>
              <w:left w:val="nil"/>
              <w:bottom w:val="nil"/>
              <w:right w:val="nil"/>
            </w:tcBorders>
            <w:shd w:val="clear" w:color="auto" w:fill="FFFFFF"/>
            <w:tcMar>
              <w:left w:w="67" w:type="dxa"/>
              <w:right w:w="67" w:type="dxa"/>
            </w:tcMar>
            <w:vAlign w:val="bottom"/>
          </w:tcPr>
          <w:p w14:paraId="2DE8BD09"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4,341 (8.1%)</w:t>
            </w:r>
          </w:p>
        </w:tc>
      </w:tr>
      <w:tr w:rsidR="00CE2BA8" w:rsidRPr="0068079B" w14:paraId="608143D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DB4C878"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Recent CVA (&lt; 2 weeks)</w:t>
            </w:r>
          </w:p>
        </w:tc>
        <w:tc>
          <w:tcPr>
            <w:tcW w:w="1498" w:type="dxa"/>
            <w:tcBorders>
              <w:top w:val="nil"/>
              <w:left w:val="nil"/>
              <w:bottom w:val="nil"/>
              <w:right w:val="nil"/>
            </w:tcBorders>
            <w:shd w:val="clear" w:color="auto" w:fill="FFFFFF"/>
            <w:tcMar>
              <w:left w:w="67" w:type="dxa"/>
              <w:right w:w="67" w:type="dxa"/>
            </w:tcMar>
            <w:vAlign w:val="bottom"/>
          </w:tcPr>
          <w:p w14:paraId="4B7B9EA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117 (0.2%)</w:t>
            </w:r>
          </w:p>
        </w:tc>
      </w:tr>
      <w:tr w:rsidR="00CE2BA8" w:rsidRPr="0068079B" w14:paraId="3BEAB03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A14F954"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CVA - Missing Timing</w:t>
            </w:r>
          </w:p>
        </w:tc>
        <w:tc>
          <w:tcPr>
            <w:tcW w:w="1498" w:type="dxa"/>
            <w:tcBorders>
              <w:top w:val="nil"/>
              <w:left w:val="nil"/>
              <w:bottom w:val="nil"/>
              <w:right w:val="nil"/>
            </w:tcBorders>
            <w:shd w:val="clear" w:color="auto" w:fill="FFFFFF"/>
            <w:tcMar>
              <w:left w:w="67" w:type="dxa"/>
              <w:right w:w="67" w:type="dxa"/>
            </w:tcMar>
            <w:vAlign w:val="bottom"/>
          </w:tcPr>
          <w:p w14:paraId="71AE045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 (0.0%)</w:t>
            </w:r>
          </w:p>
        </w:tc>
      </w:tr>
      <w:tr w:rsidR="00CE2BA8" w:rsidRPr="0068079B" w14:paraId="7F9075C0"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5760F0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Acuity Status </w:t>
            </w:r>
            <w:r w:rsidRPr="00CC4CB2">
              <w:rPr>
                <w:rFonts w:eastAsia="Times New Roman" w:cstheme="minorHAnsi"/>
                <w:color w:val="000000"/>
              </w:rPr>
              <w:br/>
            </w:r>
            <w:r w:rsidRPr="00CC4CB2">
              <w:rPr>
                <w:rFonts w:eastAsia="Times New Roman" w:cstheme="minorHAnsi"/>
                <w:color w:val="000000"/>
              </w:rPr>
              <w:tab/>
              <w:t>Elective</w:t>
            </w:r>
          </w:p>
        </w:tc>
        <w:tc>
          <w:tcPr>
            <w:tcW w:w="1498" w:type="dxa"/>
            <w:tcBorders>
              <w:top w:val="nil"/>
              <w:left w:val="nil"/>
              <w:bottom w:val="nil"/>
              <w:right w:val="nil"/>
            </w:tcBorders>
            <w:shd w:val="clear" w:color="auto" w:fill="FFFFFF"/>
            <w:tcMar>
              <w:left w:w="67" w:type="dxa"/>
              <w:right w:w="67" w:type="dxa"/>
            </w:tcMar>
            <w:vAlign w:val="bottom"/>
          </w:tcPr>
          <w:p w14:paraId="0D2C825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34,830 (64.8%)</w:t>
            </w:r>
          </w:p>
        </w:tc>
      </w:tr>
      <w:tr w:rsidR="00CE2BA8" w:rsidRPr="0068079B" w14:paraId="7AD4B90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4025184"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Urgent</w:t>
            </w:r>
          </w:p>
        </w:tc>
        <w:tc>
          <w:tcPr>
            <w:tcW w:w="1498" w:type="dxa"/>
            <w:tcBorders>
              <w:top w:val="nil"/>
              <w:left w:val="nil"/>
              <w:bottom w:val="nil"/>
              <w:right w:val="nil"/>
            </w:tcBorders>
            <w:shd w:val="clear" w:color="auto" w:fill="FFFFFF"/>
            <w:tcMar>
              <w:left w:w="67" w:type="dxa"/>
              <w:right w:w="67" w:type="dxa"/>
            </w:tcMar>
            <w:vAlign w:val="bottom"/>
          </w:tcPr>
          <w:p w14:paraId="47FE1E1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18,316 (34.1%)</w:t>
            </w:r>
          </w:p>
        </w:tc>
      </w:tr>
      <w:tr w:rsidR="00CE2BA8" w:rsidRPr="0068079B" w14:paraId="2DC08E9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DCB6AF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lastRenderedPageBreak/>
              <w:tab/>
              <w:t>Emergent</w:t>
            </w:r>
          </w:p>
        </w:tc>
        <w:tc>
          <w:tcPr>
            <w:tcW w:w="1498" w:type="dxa"/>
            <w:tcBorders>
              <w:top w:val="nil"/>
              <w:left w:val="nil"/>
              <w:bottom w:val="nil"/>
              <w:right w:val="nil"/>
            </w:tcBorders>
            <w:shd w:val="clear" w:color="auto" w:fill="FFFFFF"/>
            <w:tcMar>
              <w:left w:w="67" w:type="dxa"/>
              <w:right w:w="67" w:type="dxa"/>
            </w:tcMar>
            <w:vAlign w:val="bottom"/>
          </w:tcPr>
          <w:p w14:paraId="0FD3070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543 (1.0%)</w:t>
            </w:r>
          </w:p>
        </w:tc>
      </w:tr>
      <w:tr w:rsidR="00CE2BA8" w:rsidRPr="0068079B" w14:paraId="67F6ACB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F2A75BE"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Emergent Salvage</w:t>
            </w:r>
          </w:p>
        </w:tc>
        <w:tc>
          <w:tcPr>
            <w:tcW w:w="1498" w:type="dxa"/>
            <w:tcBorders>
              <w:top w:val="nil"/>
              <w:left w:val="nil"/>
              <w:bottom w:val="nil"/>
              <w:right w:val="nil"/>
            </w:tcBorders>
            <w:shd w:val="clear" w:color="auto" w:fill="FFFFFF"/>
            <w:tcMar>
              <w:left w:w="67" w:type="dxa"/>
              <w:right w:w="67" w:type="dxa"/>
            </w:tcMar>
            <w:vAlign w:val="bottom"/>
          </w:tcPr>
          <w:p w14:paraId="2AF3D9C9"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22 (0.0%)</w:t>
            </w:r>
          </w:p>
        </w:tc>
      </w:tr>
      <w:tr w:rsidR="00CE2BA8" w:rsidRPr="0068079B" w14:paraId="7964A75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D4DBBC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Myocardial Infarction </w:t>
            </w:r>
            <w:r w:rsidRPr="00CC4CB2">
              <w:rPr>
                <w:rFonts w:eastAsia="Times New Roman" w:cstheme="minorHAnsi"/>
                <w:color w:val="000000"/>
              </w:rPr>
              <w:br/>
            </w:r>
            <w:r w:rsidRPr="00CC4CB2">
              <w:rPr>
                <w:rFonts w:eastAsia="Times New Roman" w:cstheme="minorHAnsi"/>
                <w:color w:val="000000"/>
              </w:rPr>
              <w:tab/>
              <w:t>No Prior MI</w:t>
            </w:r>
          </w:p>
        </w:tc>
        <w:tc>
          <w:tcPr>
            <w:tcW w:w="1498" w:type="dxa"/>
            <w:tcBorders>
              <w:top w:val="nil"/>
              <w:left w:val="nil"/>
              <w:bottom w:val="nil"/>
              <w:right w:val="nil"/>
            </w:tcBorders>
            <w:shd w:val="clear" w:color="auto" w:fill="FFFFFF"/>
            <w:tcMar>
              <w:left w:w="67" w:type="dxa"/>
              <w:right w:w="67" w:type="dxa"/>
            </w:tcMar>
            <w:vAlign w:val="bottom"/>
          </w:tcPr>
          <w:p w14:paraId="2A28C6F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38,912 (72.4%)</w:t>
            </w:r>
          </w:p>
        </w:tc>
      </w:tr>
      <w:tr w:rsidR="00CE2BA8" w:rsidRPr="0068079B" w14:paraId="1EFA2E6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574EA1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 &gt;21 days</w:t>
            </w:r>
          </w:p>
        </w:tc>
        <w:tc>
          <w:tcPr>
            <w:tcW w:w="1498" w:type="dxa"/>
            <w:tcBorders>
              <w:top w:val="nil"/>
              <w:left w:val="nil"/>
              <w:bottom w:val="nil"/>
              <w:right w:val="nil"/>
            </w:tcBorders>
            <w:shd w:val="clear" w:color="auto" w:fill="FFFFFF"/>
            <w:tcMar>
              <w:left w:w="67" w:type="dxa"/>
              <w:right w:w="67" w:type="dxa"/>
            </w:tcMar>
            <w:vAlign w:val="bottom"/>
          </w:tcPr>
          <w:p w14:paraId="1144FF1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8,287 (15.4%)</w:t>
            </w:r>
          </w:p>
        </w:tc>
      </w:tr>
      <w:tr w:rsidR="00CE2BA8" w:rsidRPr="0068079B" w14:paraId="5426DDD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ED30F96"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 8-21 days</w:t>
            </w:r>
          </w:p>
        </w:tc>
        <w:tc>
          <w:tcPr>
            <w:tcW w:w="1498" w:type="dxa"/>
            <w:tcBorders>
              <w:top w:val="nil"/>
              <w:left w:val="nil"/>
              <w:bottom w:val="nil"/>
              <w:right w:val="nil"/>
            </w:tcBorders>
            <w:shd w:val="clear" w:color="auto" w:fill="FFFFFF"/>
            <w:tcMar>
              <w:left w:w="67" w:type="dxa"/>
              <w:right w:w="67" w:type="dxa"/>
            </w:tcMar>
            <w:vAlign w:val="bottom"/>
          </w:tcPr>
          <w:p w14:paraId="0209FC7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1,759 (3.3%)</w:t>
            </w:r>
          </w:p>
        </w:tc>
      </w:tr>
      <w:tr w:rsidR="00CE2BA8" w:rsidRPr="0068079B" w14:paraId="258A2F0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21A1418"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 1-7 days</w:t>
            </w:r>
          </w:p>
        </w:tc>
        <w:tc>
          <w:tcPr>
            <w:tcW w:w="1498" w:type="dxa"/>
            <w:tcBorders>
              <w:top w:val="nil"/>
              <w:left w:val="nil"/>
              <w:bottom w:val="nil"/>
              <w:right w:val="nil"/>
            </w:tcBorders>
            <w:shd w:val="clear" w:color="auto" w:fill="FFFFFF"/>
            <w:tcMar>
              <w:left w:w="67" w:type="dxa"/>
              <w:right w:w="67" w:type="dxa"/>
            </w:tcMar>
            <w:vAlign w:val="bottom"/>
          </w:tcPr>
          <w:p w14:paraId="6D81BF0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4,341 (8.1%)</w:t>
            </w:r>
          </w:p>
        </w:tc>
      </w:tr>
      <w:tr w:rsidR="00CE2BA8" w:rsidRPr="0068079B" w14:paraId="14535D0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13A33D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 xml:space="preserve">MI 6-24 </w:t>
            </w:r>
            <w:proofErr w:type="spellStart"/>
            <w:r w:rsidRPr="00CC4CB2">
              <w:rPr>
                <w:rFonts w:eastAsia="Times New Roman" w:cstheme="minorHAnsi"/>
                <w:color w:val="000000"/>
              </w:rPr>
              <w:t>hrs</w:t>
            </w:r>
            <w:proofErr w:type="spellEnd"/>
          </w:p>
        </w:tc>
        <w:tc>
          <w:tcPr>
            <w:tcW w:w="1498" w:type="dxa"/>
            <w:tcBorders>
              <w:top w:val="nil"/>
              <w:left w:val="nil"/>
              <w:bottom w:val="nil"/>
              <w:right w:val="nil"/>
            </w:tcBorders>
            <w:shd w:val="clear" w:color="auto" w:fill="FFFFFF"/>
            <w:tcMar>
              <w:left w:w="67" w:type="dxa"/>
              <w:right w:w="67" w:type="dxa"/>
            </w:tcMar>
            <w:vAlign w:val="bottom"/>
          </w:tcPr>
          <w:p w14:paraId="70E4CB2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268 (0.5%)</w:t>
            </w:r>
          </w:p>
        </w:tc>
      </w:tr>
      <w:tr w:rsidR="00CE2BA8" w:rsidRPr="0068079B" w14:paraId="6402493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D24D418"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 xml:space="preserve">MI  &lt;= 6 </w:t>
            </w:r>
            <w:proofErr w:type="spellStart"/>
            <w:r w:rsidRPr="00CC4CB2">
              <w:rPr>
                <w:rFonts w:eastAsia="Times New Roman" w:cstheme="minorHAnsi"/>
                <w:color w:val="000000"/>
              </w:rPr>
              <w:t>hrs</w:t>
            </w:r>
            <w:proofErr w:type="spellEnd"/>
          </w:p>
        </w:tc>
        <w:tc>
          <w:tcPr>
            <w:tcW w:w="1498" w:type="dxa"/>
            <w:tcBorders>
              <w:top w:val="nil"/>
              <w:left w:val="nil"/>
              <w:bottom w:val="nil"/>
              <w:right w:val="nil"/>
            </w:tcBorders>
            <w:shd w:val="clear" w:color="auto" w:fill="FFFFFF"/>
            <w:tcMar>
              <w:left w:w="67" w:type="dxa"/>
              <w:right w:w="67" w:type="dxa"/>
            </w:tcMar>
            <w:vAlign w:val="bottom"/>
          </w:tcPr>
          <w:p w14:paraId="68E994E7"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87 (0.2%)</w:t>
            </w:r>
          </w:p>
        </w:tc>
      </w:tr>
      <w:tr w:rsidR="00CE2BA8" w:rsidRPr="0068079B" w14:paraId="33765AE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6C0BBD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 - Missing Timing</w:t>
            </w:r>
          </w:p>
        </w:tc>
        <w:tc>
          <w:tcPr>
            <w:tcW w:w="1498" w:type="dxa"/>
            <w:tcBorders>
              <w:top w:val="nil"/>
              <w:left w:val="nil"/>
              <w:bottom w:val="nil"/>
              <w:right w:val="nil"/>
            </w:tcBorders>
            <w:shd w:val="clear" w:color="auto" w:fill="FFFFFF"/>
            <w:tcMar>
              <w:left w:w="67" w:type="dxa"/>
              <w:right w:w="67" w:type="dxa"/>
            </w:tcMar>
            <w:vAlign w:val="bottom"/>
          </w:tcPr>
          <w:p w14:paraId="6AF4268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50 (0.1%)</w:t>
            </w:r>
          </w:p>
        </w:tc>
      </w:tr>
      <w:tr w:rsidR="00CE2BA8" w:rsidRPr="0068079B" w14:paraId="6EF999F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E899480"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Cardiogenic Shock</w:t>
            </w:r>
          </w:p>
        </w:tc>
        <w:tc>
          <w:tcPr>
            <w:tcW w:w="1498" w:type="dxa"/>
            <w:tcBorders>
              <w:top w:val="nil"/>
              <w:left w:val="nil"/>
              <w:bottom w:val="nil"/>
              <w:right w:val="nil"/>
            </w:tcBorders>
            <w:shd w:val="clear" w:color="auto" w:fill="FFFFFF"/>
            <w:tcMar>
              <w:left w:w="67" w:type="dxa"/>
              <w:right w:w="67" w:type="dxa"/>
            </w:tcMar>
            <w:vAlign w:val="bottom"/>
          </w:tcPr>
          <w:p w14:paraId="5F12CAC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474 (0.9%)</w:t>
            </w:r>
          </w:p>
        </w:tc>
      </w:tr>
      <w:tr w:rsidR="00CE2BA8" w:rsidRPr="0068079B" w14:paraId="2212780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895887A"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proofErr w:type="spellStart"/>
            <w:r w:rsidRPr="00CC4CB2">
              <w:rPr>
                <w:rFonts w:eastAsia="Times New Roman" w:cstheme="minorHAnsi"/>
                <w:b/>
                <w:bCs/>
                <w:color w:val="000000"/>
              </w:rPr>
              <w:t>Preop</w:t>
            </w:r>
            <w:proofErr w:type="spellEnd"/>
            <w:r w:rsidRPr="00CC4CB2">
              <w:rPr>
                <w:rFonts w:eastAsia="Times New Roman" w:cstheme="minorHAnsi"/>
                <w:b/>
                <w:bCs/>
                <w:color w:val="000000"/>
              </w:rPr>
              <w:t xml:space="preserve"> IABP</w:t>
            </w:r>
          </w:p>
        </w:tc>
        <w:tc>
          <w:tcPr>
            <w:tcW w:w="1498" w:type="dxa"/>
            <w:tcBorders>
              <w:top w:val="nil"/>
              <w:left w:val="nil"/>
              <w:bottom w:val="nil"/>
              <w:right w:val="nil"/>
            </w:tcBorders>
            <w:shd w:val="clear" w:color="auto" w:fill="FFFFFF"/>
            <w:tcMar>
              <w:left w:w="67" w:type="dxa"/>
              <w:right w:w="67" w:type="dxa"/>
            </w:tcMar>
            <w:vAlign w:val="bottom"/>
          </w:tcPr>
          <w:p w14:paraId="1BA19D0B"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955 (1.8%)</w:t>
            </w:r>
          </w:p>
        </w:tc>
      </w:tr>
      <w:tr w:rsidR="00CE2BA8" w:rsidRPr="0068079B" w14:paraId="690CEA5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9946862"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Congestive Heart Failure </w:t>
            </w:r>
            <w:r w:rsidRPr="00CC4CB2">
              <w:rPr>
                <w:rFonts w:eastAsia="Times New Roman" w:cstheme="minorHAnsi"/>
                <w:color w:val="000000"/>
              </w:rPr>
              <w:br/>
            </w:r>
            <w:r w:rsidRPr="00CC4CB2">
              <w:rPr>
                <w:rFonts w:eastAsia="Times New Roman" w:cstheme="minorHAnsi"/>
                <w:color w:val="000000"/>
              </w:rPr>
              <w:tab/>
              <w:t>No</w:t>
            </w:r>
          </w:p>
        </w:tc>
        <w:tc>
          <w:tcPr>
            <w:tcW w:w="1498" w:type="dxa"/>
            <w:tcBorders>
              <w:top w:val="nil"/>
              <w:left w:val="nil"/>
              <w:bottom w:val="nil"/>
              <w:right w:val="nil"/>
            </w:tcBorders>
            <w:shd w:val="clear" w:color="auto" w:fill="FFFFFF"/>
            <w:tcMar>
              <w:left w:w="67" w:type="dxa"/>
              <w:right w:w="67" w:type="dxa"/>
            </w:tcMar>
            <w:vAlign w:val="bottom"/>
          </w:tcPr>
          <w:p w14:paraId="0D75536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33,036 (61.5%)</w:t>
            </w:r>
          </w:p>
        </w:tc>
      </w:tr>
      <w:tr w:rsidR="00CE2BA8" w:rsidRPr="0068079B" w14:paraId="7BD6228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F87ACC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Yes</w:t>
            </w:r>
          </w:p>
        </w:tc>
        <w:tc>
          <w:tcPr>
            <w:tcW w:w="1498" w:type="dxa"/>
            <w:tcBorders>
              <w:top w:val="nil"/>
              <w:left w:val="nil"/>
              <w:bottom w:val="nil"/>
              <w:right w:val="nil"/>
            </w:tcBorders>
            <w:shd w:val="clear" w:color="auto" w:fill="FFFFFF"/>
            <w:tcMar>
              <w:left w:w="67" w:type="dxa"/>
              <w:right w:w="67" w:type="dxa"/>
            </w:tcMar>
            <w:vAlign w:val="bottom"/>
          </w:tcPr>
          <w:p w14:paraId="02FB401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20,655 (38.4%)</w:t>
            </w:r>
          </w:p>
        </w:tc>
      </w:tr>
      <w:tr w:rsidR="00CE2BA8" w:rsidRPr="0068079B" w14:paraId="1D3EA2D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0F82230"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NYHA Classification (CHF Patients) </w:t>
            </w:r>
            <w:r w:rsidRPr="00CC4CB2">
              <w:rPr>
                <w:rFonts w:eastAsia="Times New Roman" w:cstheme="minorHAnsi"/>
                <w:color w:val="000000"/>
              </w:rPr>
              <w:br/>
            </w:r>
            <w:r w:rsidRPr="00CC4CB2">
              <w:rPr>
                <w:rFonts w:eastAsia="Times New Roman" w:cstheme="minorHAnsi"/>
                <w:color w:val="000000"/>
              </w:rPr>
              <w:tab/>
              <w:t>I</w:t>
            </w:r>
          </w:p>
        </w:tc>
        <w:tc>
          <w:tcPr>
            <w:tcW w:w="1498" w:type="dxa"/>
            <w:tcBorders>
              <w:top w:val="nil"/>
              <w:left w:val="nil"/>
              <w:bottom w:val="nil"/>
              <w:right w:val="nil"/>
            </w:tcBorders>
            <w:shd w:val="clear" w:color="auto" w:fill="FFFFFF"/>
            <w:tcMar>
              <w:left w:w="67" w:type="dxa"/>
              <w:right w:w="67" w:type="dxa"/>
            </w:tcMar>
            <w:vAlign w:val="bottom"/>
          </w:tcPr>
          <w:p w14:paraId="2A44676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936 (4.5%)</w:t>
            </w:r>
          </w:p>
        </w:tc>
      </w:tr>
      <w:tr w:rsidR="00CE2BA8" w:rsidRPr="0068079B" w14:paraId="54E21CF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6FA1190"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II</w:t>
            </w:r>
          </w:p>
        </w:tc>
        <w:tc>
          <w:tcPr>
            <w:tcW w:w="1498" w:type="dxa"/>
            <w:tcBorders>
              <w:top w:val="nil"/>
              <w:left w:val="nil"/>
              <w:bottom w:val="nil"/>
              <w:right w:val="nil"/>
            </w:tcBorders>
            <w:shd w:val="clear" w:color="auto" w:fill="FFFFFF"/>
            <w:tcMar>
              <w:left w:w="67" w:type="dxa"/>
              <w:right w:w="67" w:type="dxa"/>
            </w:tcMar>
            <w:vAlign w:val="bottom"/>
          </w:tcPr>
          <w:p w14:paraId="428073A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6,079 (29.4%)</w:t>
            </w:r>
          </w:p>
        </w:tc>
      </w:tr>
      <w:tr w:rsidR="00CE2BA8" w:rsidRPr="0068079B" w14:paraId="25044F1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17F2D1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III</w:t>
            </w:r>
          </w:p>
        </w:tc>
        <w:tc>
          <w:tcPr>
            <w:tcW w:w="1498" w:type="dxa"/>
            <w:tcBorders>
              <w:top w:val="nil"/>
              <w:left w:val="nil"/>
              <w:bottom w:val="nil"/>
              <w:right w:val="nil"/>
            </w:tcBorders>
            <w:shd w:val="clear" w:color="auto" w:fill="FFFFFF"/>
            <w:tcMar>
              <w:left w:w="67" w:type="dxa"/>
              <w:right w:w="67" w:type="dxa"/>
            </w:tcMar>
            <w:vAlign w:val="bottom"/>
          </w:tcPr>
          <w:p w14:paraId="06F2A08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9,353 (45.3%)</w:t>
            </w:r>
          </w:p>
        </w:tc>
      </w:tr>
      <w:tr w:rsidR="00CE2BA8" w:rsidRPr="0068079B" w14:paraId="6AD1745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15A8BEB"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IV</w:t>
            </w:r>
          </w:p>
        </w:tc>
        <w:tc>
          <w:tcPr>
            <w:tcW w:w="1498" w:type="dxa"/>
            <w:tcBorders>
              <w:top w:val="nil"/>
              <w:left w:val="nil"/>
              <w:bottom w:val="nil"/>
              <w:right w:val="nil"/>
            </w:tcBorders>
            <w:shd w:val="clear" w:color="auto" w:fill="FFFFFF"/>
            <w:tcMar>
              <w:left w:w="67" w:type="dxa"/>
              <w:right w:w="67" w:type="dxa"/>
            </w:tcMar>
            <w:vAlign w:val="bottom"/>
          </w:tcPr>
          <w:p w14:paraId="79B689CD"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3,983 (19.3%)</w:t>
            </w:r>
          </w:p>
        </w:tc>
      </w:tr>
      <w:tr w:rsidR="00CE2BA8" w:rsidRPr="0068079B" w14:paraId="12DA557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06947B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Congestive Heart Failure </w:t>
            </w:r>
            <w:r w:rsidRPr="00CC4CB2">
              <w:rPr>
                <w:rFonts w:eastAsia="Times New Roman" w:cstheme="minorHAnsi"/>
                <w:color w:val="000000"/>
              </w:rPr>
              <w:br/>
            </w:r>
            <w:r w:rsidRPr="00CC4CB2">
              <w:rPr>
                <w:rFonts w:eastAsia="Times New Roman" w:cstheme="minorHAnsi"/>
                <w:color w:val="000000"/>
              </w:rPr>
              <w:tab/>
              <w:t>No CHF</w:t>
            </w:r>
          </w:p>
        </w:tc>
        <w:tc>
          <w:tcPr>
            <w:tcW w:w="1498" w:type="dxa"/>
            <w:tcBorders>
              <w:top w:val="nil"/>
              <w:left w:val="nil"/>
              <w:bottom w:val="nil"/>
              <w:right w:val="nil"/>
            </w:tcBorders>
            <w:shd w:val="clear" w:color="auto" w:fill="FFFFFF"/>
            <w:tcMar>
              <w:left w:w="67" w:type="dxa"/>
              <w:right w:w="67" w:type="dxa"/>
            </w:tcMar>
            <w:vAlign w:val="bottom"/>
          </w:tcPr>
          <w:p w14:paraId="61F1C33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33,036 (61.5%)</w:t>
            </w:r>
          </w:p>
        </w:tc>
      </w:tr>
      <w:tr w:rsidR="00CE2BA8" w:rsidRPr="0068079B" w14:paraId="43B811A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D0CB713"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CHF NYHA-I</w:t>
            </w:r>
          </w:p>
        </w:tc>
        <w:tc>
          <w:tcPr>
            <w:tcW w:w="1498" w:type="dxa"/>
            <w:tcBorders>
              <w:top w:val="nil"/>
              <w:left w:val="nil"/>
              <w:bottom w:val="nil"/>
              <w:right w:val="nil"/>
            </w:tcBorders>
            <w:shd w:val="clear" w:color="auto" w:fill="FFFFFF"/>
            <w:tcMar>
              <w:left w:w="67" w:type="dxa"/>
              <w:right w:w="67" w:type="dxa"/>
            </w:tcMar>
            <w:vAlign w:val="bottom"/>
          </w:tcPr>
          <w:p w14:paraId="4BD84ABD"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936 (1.7%)</w:t>
            </w:r>
          </w:p>
        </w:tc>
      </w:tr>
      <w:tr w:rsidR="00CE2BA8" w:rsidRPr="0068079B" w14:paraId="721EAC9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789D0BE"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CHF NYHA-II</w:t>
            </w:r>
          </w:p>
        </w:tc>
        <w:tc>
          <w:tcPr>
            <w:tcW w:w="1498" w:type="dxa"/>
            <w:tcBorders>
              <w:top w:val="nil"/>
              <w:left w:val="nil"/>
              <w:bottom w:val="nil"/>
              <w:right w:val="nil"/>
            </w:tcBorders>
            <w:shd w:val="clear" w:color="auto" w:fill="FFFFFF"/>
            <w:tcMar>
              <w:left w:w="67" w:type="dxa"/>
              <w:right w:w="67" w:type="dxa"/>
            </w:tcMar>
            <w:vAlign w:val="bottom"/>
          </w:tcPr>
          <w:p w14:paraId="4D19CEC8"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6,079 (11.3%)</w:t>
            </w:r>
          </w:p>
        </w:tc>
      </w:tr>
      <w:tr w:rsidR="00CE2BA8" w:rsidRPr="0068079B" w14:paraId="0E7ED91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DD0FAB3"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CHF NYHA-III</w:t>
            </w:r>
          </w:p>
        </w:tc>
        <w:tc>
          <w:tcPr>
            <w:tcW w:w="1498" w:type="dxa"/>
            <w:tcBorders>
              <w:top w:val="nil"/>
              <w:left w:val="nil"/>
              <w:bottom w:val="nil"/>
              <w:right w:val="nil"/>
            </w:tcBorders>
            <w:shd w:val="clear" w:color="auto" w:fill="FFFFFF"/>
            <w:tcMar>
              <w:left w:w="67" w:type="dxa"/>
              <w:right w:w="67" w:type="dxa"/>
            </w:tcMar>
            <w:vAlign w:val="bottom"/>
          </w:tcPr>
          <w:p w14:paraId="752E5BA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9,353 (17.4%)</w:t>
            </w:r>
          </w:p>
        </w:tc>
      </w:tr>
      <w:tr w:rsidR="00CE2BA8" w:rsidRPr="0068079B" w14:paraId="6FC9CC8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35BA69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CHF NYHA-IV</w:t>
            </w:r>
          </w:p>
        </w:tc>
        <w:tc>
          <w:tcPr>
            <w:tcW w:w="1498" w:type="dxa"/>
            <w:tcBorders>
              <w:top w:val="nil"/>
              <w:left w:val="nil"/>
              <w:bottom w:val="nil"/>
              <w:right w:val="nil"/>
            </w:tcBorders>
            <w:shd w:val="clear" w:color="auto" w:fill="FFFFFF"/>
            <w:tcMar>
              <w:left w:w="67" w:type="dxa"/>
              <w:right w:w="67" w:type="dxa"/>
            </w:tcMar>
            <w:vAlign w:val="bottom"/>
          </w:tcPr>
          <w:p w14:paraId="5E11E6A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3,983 (7.4%)</w:t>
            </w:r>
          </w:p>
        </w:tc>
      </w:tr>
      <w:tr w:rsidR="00CE2BA8" w:rsidRPr="0068079B" w14:paraId="7E1F9DC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BB79A81"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CHF Missing NYHA</w:t>
            </w:r>
          </w:p>
        </w:tc>
        <w:tc>
          <w:tcPr>
            <w:tcW w:w="1498" w:type="dxa"/>
            <w:tcBorders>
              <w:top w:val="nil"/>
              <w:left w:val="nil"/>
              <w:bottom w:val="nil"/>
              <w:right w:val="nil"/>
            </w:tcBorders>
            <w:shd w:val="clear" w:color="auto" w:fill="FFFFFF"/>
            <w:tcMar>
              <w:left w:w="67" w:type="dxa"/>
              <w:right w:w="67" w:type="dxa"/>
            </w:tcMar>
            <w:vAlign w:val="bottom"/>
          </w:tcPr>
          <w:p w14:paraId="3DAF035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304 (0.6%)</w:t>
            </w:r>
          </w:p>
        </w:tc>
      </w:tr>
      <w:tr w:rsidR="00CE2BA8" w:rsidRPr="0068079B" w14:paraId="1CAF84E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DF3F910"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Number of Diseased Coronary Vessels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33A6AFB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1,174 (2.2%)</w:t>
            </w:r>
          </w:p>
        </w:tc>
      </w:tr>
      <w:tr w:rsidR="00CE2BA8" w:rsidRPr="0068079B" w14:paraId="390575AF"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489623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One</w:t>
            </w:r>
          </w:p>
        </w:tc>
        <w:tc>
          <w:tcPr>
            <w:tcW w:w="1498" w:type="dxa"/>
            <w:tcBorders>
              <w:top w:val="nil"/>
              <w:left w:val="nil"/>
              <w:bottom w:val="nil"/>
              <w:right w:val="nil"/>
            </w:tcBorders>
            <w:shd w:val="clear" w:color="auto" w:fill="FFFFFF"/>
            <w:tcMar>
              <w:left w:w="67" w:type="dxa"/>
              <w:right w:w="67" w:type="dxa"/>
            </w:tcMar>
            <w:vAlign w:val="bottom"/>
          </w:tcPr>
          <w:p w14:paraId="75898D7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14,797 (27.5%)</w:t>
            </w:r>
          </w:p>
        </w:tc>
      </w:tr>
      <w:tr w:rsidR="00CE2BA8" w:rsidRPr="0068079B" w14:paraId="2F185D1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18097D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Two</w:t>
            </w:r>
          </w:p>
        </w:tc>
        <w:tc>
          <w:tcPr>
            <w:tcW w:w="1498" w:type="dxa"/>
            <w:tcBorders>
              <w:top w:val="nil"/>
              <w:left w:val="nil"/>
              <w:bottom w:val="nil"/>
              <w:right w:val="nil"/>
            </w:tcBorders>
            <w:shd w:val="clear" w:color="auto" w:fill="FFFFFF"/>
            <w:tcMar>
              <w:left w:w="67" w:type="dxa"/>
              <w:right w:w="67" w:type="dxa"/>
            </w:tcMar>
            <w:vAlign w:val="bottom"/>
          </w:tcPr>
          <w:p w14:paraId="5D4EB23B"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15,871 (29.5%)</w:t>
            </w:r>
          </w:p>
        </w:tc>
      </w:tr>
      <w:tr w:rsidR="00CE2BA8" w:rsidRPr="0068079B" w14:paraId="1ACF38D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4B75AF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Three</w:t>
            </w:r>
          </w:p>
        </w:tc>
        <w:tc>
          <w:tcPr>
            <w:tcW w:w="1498" w:type="dxa"/>
            <w:tcBorders>
              <w:top w:val="nil"/>
              <w:left w:val="nil"/>
              <w:bottom w:val="nil"/>
              <w:right w:val="nil"/>
            </w:tcBorders>
            <w:shd w:val="clear" w:color="auto" w:fill="FFFFFF"/>
            <w:tcMar>
              <w:left w:w="67" w:type="dxa"/>
              <w:right w:w="67" w:type="dxa"/>
            </w:tcMar>
            <w:vAlign w:val="bottom"/>
          </w:tcPr>
          <w:p w14:paraId="192AD237"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21,793 (40.6%)</w:t>
            </w:r>
          </w:p>
        </w:tc>
      </w:tr>
      <w:tr w:rsidR="00CE2BA8" w:rsidRPr="0068079B" w14:paraId="4CACD5C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AC42DB4"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Left Main Disease &gt; 50%</w:t>
            </w:r>
          </w:p>
        </w:tc>
        <w:tc>
          <w:tcPr>
            <w:tcW w:w="1498" w:type="dxa"/>
            <w:tcBorders>
              <w:top w:val="nil"/>
              <w:left w:val="nil"/>
              <w:bottom w:val="nil"/>
              <w:right w:val="nil"/>
            </w:tcBorders>
            <w:shd w:val="clear" w:color="auto" w:fill="FFFFFF"/>
            <w:tcMar>
              <w:left w:w="67" w:type="dxa"/>
              <w:right w:w="67" w:type="dxa"/>
            </w:tcMar>
            <w:vAlign w:val="bottom"/>
          </w:tcPr>
          <w:p w14:paraId="731A229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9,489 (17.7%)</w:t>
            </w:r>
          </w:p>
        </w:tc>
      </w:tr>
      <w:tr w:rsidR="00CE2BA8" w:rsidRPr="0068079B" w14:paraId="64980B27"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D927A61"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Ejection Fraction (%)</w:t>
            </w:r>
          </w:p>
        </w:tc>
        <w:tc>
          <w:tcPr>
            <w:tcW w:w="1498" w:type="dxa"/>
            <w:tcBorders>
              <w:top w:val="nil"/>
              <w:left w:val="nil"/>
              <w:bottom w:val="nil"/>
              <w:right w:val="nil"/>
            </w:tcBorders>
            <w:shd w:val="clear" w:color="auto" w:fill="FFFFFF"/>
            <w:tcMar>
              <w:left w:w="67" w:type="dxa"/>
              <w:right w:w="67" w:type="dxa"/>
            </w:tcMar>
            <w:vAlign w:val="bottom"/>
          </w:tcPr>
          <w:p w14:paraId="176DA678"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57.0 (50.0, 63.0)</w:t>
            </w:r>
          </w:p>
        </w:tc>
      </w:tr>
      <w:tr w:rsidR="00CE2BA8" w:rsidRPr="0068079B" w14:paraId="64BC231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7F0D4E6"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Aortic Stenosis</w:t>
            </w:r>
          </w:p>
        </w:tc>
        <w:tc>
          <w:tcPr>
            <w:tcW w:w="1498" w:type="dxa"/>
            <w:tcBorders>
              <w:top w:val="nil"/>
              <w:left w:val="nil"/>
              <w:bottom w:val="nil"/>
              <w:right w:val="nil"/>
            </w:tcBorders>
            <w:shd w:val="clear" w:color="auto" w:fill="FFFFFF"/>
            <w:tcMar>
              <w:left w:w="67" w:type="dxa"/>
              <w:right w:w="67" w:type="dxa"/>
            </w:tcMar>
            <w:vAlign w:val="bottom"/>
          </w:tcPr>
          <w:p w14:paraId="2D244D7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49,234 (91.6%)</w:t>
            </w:r>
          </w:p>
        </w:tc>
      </w:tr>
      <w:tr w:rsidR="00CE2BA8" w:rsidRPr="0068079B" w14:paraId="31E07C0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09A51C4"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Mitral Stenosis</w:t>
            </w:r>
          </w:p>
        </w:tc>
        <w:tc>
          <w:tcPr>
            <w:tcW w:w="1498" w:type="dxa"/>
            <w:tcBorders>
              <w:top w:val="nil"/>
              <w:left w:val="nil"/>
              <w:bottom w:val="nil"/>
              <w:right w:val="nil"/>
            </w:tcBorders>
            <w:shd w:val="clear" w:color="auto" w:fill="FFFFFF"/>
            <w:tcMar>
              <w:left w:w="67" w:type="dxa"/>
              <w:right w:w="67" w:type="dxa"/>
            </w:tcMar>
            <w:vAlign w:val="bottom"/>
          </w:tcPr>
          <w:p w14:paraId="5B3F991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1,546 (2.9%)</w:t>
            </w:r>
          </w:p>
        </w:tc>
      </w:tr>
      <w:tr w:rsidR="00CE2BA8" w:rsidRPr="0068079B" w14:paraId="0F47BFD8"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C037B6E"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Tricuspid Stenosis</w:t>
            </w:r>
          </w:p>
        </w:tc>
        <w:tc>
          <w:tcPr>
            <w:tcW w:w="1498" w:type="dxa"/>
            <w:tcBorders>
              <w:top w:val="nil"/>
              <w:left w:val="nil"/>
              <w:bottom w:val="nil"/>
              <w:right w:val="nil"/>
            </w:tcBorders>
            <w:shd w:val="clear" w:color="auto" w:fill="FFFFFF"/>
            <w:tcMar>
              <w:left w:w="67" w:type="dxa"/>
              <w:right w:w="67" w:type="dxa"/>
            </w:tcMar>
            <w:vAlign w:val="bottom"/>
          </w:tcPr>
          <w:p w14:paraId="7CA2DEB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133 (0.2%)</w:t>
            </w:r>
          </w:p>
        </w:tc>
      </w:tr>
      <w:tr w:rsidR="00CE2BA8" w:rsidRPr="0068079B" w14:paraId="65DB296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E978A86" w14:textId="77777777" w:rsidR="00CE2BA8" w:rsidRPr="00CC4CB2" w:rsidRDefault="00CE2BA8" w:rsidP="00753282">
            <w:pPr>
              <w:autoSpaceDE w:val="0"/>
              <w:autoSpaceDN w:val="0"/>
              <w:adjustRightInd w:val="0"/>
              <w:spacing w:after="0" w:line="240" w:lineRule="auto"/>
              <w:rPr>
                <w:rFonts w:eastAsia="Times New Roman" w:cstheme="minorHAnsi"/>
                <w:b/>
                <w:bCs/>
                <w:color w:val="000000"/>
              </w:rPr>
            </w:pPr>
            <w:r w:rsidRPr="00CC4CB2">
              <w:rPr>
                <w:rFonts w:eastAsia="Times New Roman" w:cstheme="minorHAnsi"/>
                <w:b/>
                <w:bCs/>
                <w:color w:val="000000"/>
              </w:rPr>
              <w:t>Pulmonic Stenosis</w:t>
            </w:r>
          </w:p>
        </w:tc>
        <w:tc>
          <w:tcPr>
            <w:tcW w:w="1498" w:type="dxa"/>
            <w:tcBorders>
              <w:top w:val="nil"/>
              <w:left w:val="nil"/>
              <w:bottom w:val="nil"/>
              <w:right w:val="nil"/>
            </w:tcBorders>
            <w:shd w:val="clear" w:color="auto" w:fill="FFFFFF"/>
            <w:tcMar>
              <w:left w:w="67" w:type="dxa"/>
              <w:right w:w="67" w:type="dxa"/>
            </w:tcMar>
            <w:vAlign w:val="bottom"/>
          </w:tcPr>
          <w:p w14:paraId="26AA1458"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128 (0.2%)</w:t>
            </w:r>
          </w:p>
        </w:tc>
      </w:tr>
      <w:tr w:rsidR="00CE2BA8" w:rsidRPr="0068079B" w14:paraId="3AFC361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3CFCEBA"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Aortic Insufficiency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763A7089"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15,953 (29.7%)</w:t>
            </w:r>
          </w:p>
        </w:tc>
      </w:tr>
      <w:tr w:rsidR="00CE2BA8" w:rsidRPr="0068079B" w14:paraId="6128DA53"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8B44082"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361BBCD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7,722 (14.4%)</w:t>
            </w:r>
          </w:p>
        </w:tc>
      </w:tr>
      <w:tr w:rsidR="00CE2BA8" w:rsidRPr="0068079B" w14:paraId="6EAA31F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774C87E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4E069C6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13,941 (25.9%)</w:t>
            </w:r>
          </w:p>
        </w:tc>
      </w:tr>
      <w:tr w:rsidR="00CE2BA8" w:rsidRPr="0068079B" w14:paraId="39AD257B"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24CC7AD"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2694E8A1"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8,384 (15.6%)</w:t>
            </w:r>
          </w:p>
        </w:tc>
      </w:tr>
      <w:tr w:rsidR="00CE2BA8" w:rsidRPr="0068079B" w14:paraId="77D8892C"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283B3FA"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519C64E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5,011 (9.3%)</w:t>
            </w:r>
          </w:p>
        </w:tc>
      </w:tr>
      <w:tr w:rsidR="00CE2BA8" w:rsidRPr="0068079B" w14:paraId="5F1786B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9135C36"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06C56DF2"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1,581 (2.9%)</w:t>
            </w:r>
          </w:p>
        </w:tc>
      </w:tr>
      <w:tr w:rsidR="00CE2BA8" w:rsidRPr="0068079B" w14:paraId="2368C36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4984EA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lastRenderedPageBreak/>
              <w:t xml:space="preserve">Mitral Insufficiency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020F637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5,444 (10.1%)</w:t>
            </w:r>
          </w:p>
        </w:tc>
      </w:tr>
      <w:tr w:rsidR="00CE2BA8" w:rsidRPr="0068079B" w14:paraId="4C63066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51CE5BF"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40A671A8"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8,006 (14.9%)</w:t>
            </w:r>
          </w:p>
        </w:tc>
      </w:tr>
      <w:tr w:rsidR="00CE2BA8" w:rsidRPr="0068079B" w14:paraId="3EC77275"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DF8BAF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1A2955A6"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16,430 (30.6%)</w:t>
            </w:r>
          </w:p>
        </w:tc>
      </w:tr>
      <w:tr w:rsidR="00CE2BA8" w:rsidRPr="0068079B" w14:paraId="1DE90D39"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47ED25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1058134C"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6,257 (11.6%)</w:t>
            </w:r>
          </w:p>
        </w:tc>
      </w:tr>
      <w:tr w:rsidR="00CE2BA8" w:rsidRPr="0068079B" w14:paraId="0094AAFE"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0AD098B"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5953D80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521 (1.0%)</w:t>
            </w:r>
          </w:p>
        </w:tc>
      </w:tr>
      <w:tr w:rsidR="00CE2BA8" w:rsidRPr="0068079B" w14:paraId="0DD36310"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62708932"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124C227A"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1,597 (3.0%)</w:t>
            </w:r>
          </w:p>
        </w:tc>
      </w:tr>
      <w:tr w:rsidR="00CE2BA8" w:rsidRPr="0068079B" w14:paraId="453CBC7A"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18C0DE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Tricuspid Insufficiency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74FDBCB1"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6,570 (12.2%)</w:t>
            </w:r>
          </w:p>
        </w:tc>
      </w:tr>
      <w:tr w:rsidR="00CE2BA8" w:rsidRPr="0068079B" w14:paraId="3C23218F"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4617622C"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0A1E0143"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9,668 (18.0%)</w:t>
            </w:r>
          </w:p>
        </w:tc>
      </w:tr>
      <w:tr w:rsidR="00CE2BA8" w:rsidRPr="0068079B" w14:paraId="7EE73BE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ACB49F6"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53E12221"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12,446 (23.2%)</w:t>
            </w:r>
          </w:p>
        </w:tc>
      </w:tr>
      <w:tr w:rsidR="00CE2BA8" w:rsidRPr="0068079B" w14:paraId="50EDE46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07F3018A"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108ECA27"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3,187 (5.9%)</w:t>
            </w:r>
          </w:p>
        </w:tc>
      </w:tr>
      <w:tr w:rsidR="00CE2BA8" w:rsidRPr="0068079B" w14:paraId="51D03EE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5161148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145D13E0"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314 (0.6%)</w:t>
            </w:r>
          </w:p>
        </w:tc>
      </w:tr>
      <w:tr w:rsidR="00CE2BA8" w:rsidRPr="0068079B" w14:paraId="33E5FA5D"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D093B05"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2629FD4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2,357 (4.4%)</w:t>
            </w:r>
          </w:p>
        </w:tc>
      </w:tr>
      <w:tr w:rsidR="00CE2BA8" w:rsidRPr="0068079B" w14:paraId="6BA117C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8C28167"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b/>
                <w:bCs/>
                <w:color w:val="000000"/>
              </w:rPr>
              <w:t xml:space="preserve">Pulmonic Insufficiency </w:t>
            </w:r>
            <w:r w:rsidRPr="00CC4CB2">
              <w:rPr>
                <w:rFonts w:eastAsia="Times New Roman" w:cstheme="minorHAnsi"/>
                <w:color w:val="000000"/>
              </w:rPr>
              <w:br/>
            </w:r>
            <w:r w:rsidRPr="00CC4CB2">
              <w:rPr>
                <w:rFonts w:eastAsia="Times New Roman" w:cstheme="minorHAnsi"/>
                <w:color w:val="000000"/>
              </w:rPr>
              <w:tab/>
              <w:t>None</w:t>
            </w:r>
          </w:p>
        </w:tc>
        <w:tc>
          <w:tcPr>
            <w:tcW w:w="1498" w:type="dxa"/>
            <w:tcBorders>
              <w:top w:val="nil"/>
              <w:left w:val="nil"/>
              <w:bottom w:val="nil"/>
              <w:right w:val="nil"/>
            </w:tcBorders>
            <w:shd w:val="clear" w:color="auto" w:fill="FFFFFF"/>
            <w:tcMar>
              <w:left w:w="67" w:type="dxa"/>
              <w:right w:w="67" w:type="dxa"/>
            </w:tcMar>
            <w:vAlign w:val="bottom"/>
          </w:tcPr>
          <w:p w14:paraId="78EB080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10,715 (19.9%)</w:t>
            </w:r>
          </w:p>
        </w:tc>
      </w:tr>
      <w:tr w:rsidR="00CE2BA8" w:rsidRPr="0068079B" w14:paraId="0D0958A4"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E199ED6"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Trivial</w:t>
            </w:r>
          </w:p>
        </w:tc>
        <w:tc>
          <w:tcPr>
            <w:tcW w:w="1498" w:type="dxa"/>
            <w:tcBorders>
              <w:top w:val="nil"/>
              <w:left w:val="nil"/>
              <w:bottom w:val="nil"/>
              <w:right w:val="nil"/>
            </w:tcBorders>
            <w:shd w:val="clear" w:color="auto" w:fill="FFFFFF"/>
            <w:tcMar>
              <w:left w:w="67" w:type="dxa"/>
              <w:right w:w="67" w:type="dxa"/>
            </w:tcMar>
            <w:vAlign w:val="bottom"/>
          </w:tcPr>
          <w:p w14:paraId="57EF291E"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6,051 (11.3%)</w:t>
            </w:r>
          </w:p>
        </w:tc>
      </w:tr>
      <w:tr w:rsidR="00CE2BA8" w:rsidRPr="0068079B" w14:paraId="2E629116"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A9A3EE8"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Mild</w:t>
            </w:r>
          </w:p>
        </w:tc>
        <w:tc>
          <w:tcPr>
            <w:tcW w:w="1498" w:type="dxa"/>
            <w:tcBorders>
              <w:top w:val="nil"/>
              <w:left w:val="nil"/>
              <w:bottom w:val="nil"/>
              <w:right w:val="nil"/>
            </w:tcBorders>
            <w:shd w:val="clear" w:color="auto" w:fill="FFFFFF"/>
            <w:tcMar>
              <w:left w:w="67" w:type="dxa"/>
              <w:right w:w="67" w:type="dxa"/>
            </w:tcMar>
            <w:vAlign w:val="bottom"/>
          </w:tcPr>
          <w:p w14:paraId="4A6C0E0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2,991 (5.6%)</w:t>
            </w:r>
          </w:p>
        </w:tc>
      </w:tr>
      <w:tr w:rsidR="00CE2BA8" w:rsidRPr="0068079B" w14:paraId="3D2E1727"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1664C679"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Moderate</w:t>
            </w:r>
          </w:p>
        </w:tc>
        <w:tc>
          <w:tcPr>
            <w:tcW w:w="1498" w:type="dxa"/>
            <w:tcBorders>
              <w:top w:val="nil"/>
              <w:left w:val="nil"/>
              <w:bottom w:val="nil"/>
              <w:right w:val="nil"/>
            </w:tcBorders>
            <w:shd w:val="clear" w:color="auto" w:fill="FFFFFF"/>
            <w:tcMar>
              <w:left w:w="67" w:type="dxa"/>
              <w:right w:w="67" w:type="dxa"/>
            </w:tcMar>
            <w:vAlign w:val="bottom"/>
          </w:tcPr>
          <w:p w14:paraId="331EBC64"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379 (0.7%)</w:t>
            </w:r>
          </w:p>
        </w:tc>
      </w:tr>
      <w:tr w:rsidR="00CE2BA8" w:rsidRPr="0068079B" w14:paraId="5B6470A2"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2C3B104E"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Severe</w:t>
            </w:r>
          </w:p>
        </w:tc>
        <w:tc>
          <w:tcPr>
            <w:tcW w:w="1498" w:type="dxa"/>
            <w:tcBorders>
              <w:top w:val="nil"/>
              <w:left w:val="nil"/>
              <w:bottom w:val="nil"/>
              <w:right w:val="nil"/>
            </w:tcBorders>
            <w:shd w:val="clear" w:color="auto" w:fill="FFFFFF"/>
            <w:tcMar>
              <w:left w:w="67" w:type="dxa"/>
              <w:right w:w="67" w:type="dxa"/>
            </w:tcMar>
            <w:vAlign w:val="bottom"/>
          </w:tcPr>
          <w:p w14:paraId="70ED51B5"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17 (0.0%)</w:t>
            </w:r>
          </w:p>
        </w:tc>
      </w:tr>
      <w:tr w:rsidR="00CE2BA8" w:rsidRPr="0068079B" w14:paraId="66CA61A1" w14:textId="77777777" w:rsidTr="00753282">
        <w:trPr>
          <w:cantSplit/>
        </w:trPr>
        <w:tc>
          <w:tcPr>
            <w:tcW w:w="5403" w:type="dxa"/>
            <w:tcBorders>
              <w:top w:val="nil"/>
              <w:left w:val="nil"/>
              <w:bottom w:val="nil"/>
              <w:right w:val="nil"/>
            </w:tcBorders>
            <w:shd w:val="clear" w:color="auto" w:fill="FFFFFF"/>
            <w:tcMar>
              <w:left w:w="67" w:type="dxa"/>
              <w:right w:w="67" w:type="dxa"/>
            </w:tcMar>
            <w:vAlign w:val="bottom"/>
          </w:tcPr>
          <w:p w14:paraId="3741D5A3" w14:textId="77777777" w:rsidR="00CE2BA8" w:rsidRPr="00CC4CB2" w:rsidRDefault="00CE2BA8" w:rsidP="00753282">
            <w:pPr>
              <w:autoSpaceDE w:val="0"/>
              <w:autoSpaceDN w:val="0"/>
              <w:adjustRightInd w:val="0"/>
              <w:spacing w:after="0" w:line="240" w:lineRule="auto"/>
              <w:rPr>
                <w:rFonts w:eastAsia="Times New Roman" w:cstheme="minorHAnsi"/>
                <w:color w:val="000000"/>
              </w:rPr>
            </w:pPr>
            <w:r w:rsidRPr="00CC4CB2">
              <w:rPr>
                <w:rFonts w:eastAsia="Times New Roman" w:cstheme="minorHAnsi"/>
                <w:color w:val="000000"/>
              </w:rPr>
              <w:tab/>
              <w:t>N/A</w:t>
            </w:r>
          </w:p>
        </w:tc>
        <w:tc>
          <w:tcPr>
            <w:tcW w:w="1498" w:type="dxa"/>
            <w:tcBorders>
              <w:top w:val="nil"/>
              <w:left w:val="nil"/>
              <w:bottom w:val="nil"/>
              <w:right w:val="nil"/>
            </w:tcBorders>
            <w:shd w:val="clear" w:color="auto" w:fill="FFFFFF"/>
            <w:tcMar>
              <w:left w:w="67" w:type="dxa"/>
              <w:right w:w="67" w:type="dxa"/>
            </w:tcMar>
            <w:vAlign w:val="bottom"/>
          </w:tcPr>
          <w:p w14:paraId="73AD9F6F" w14:textId="77777777" w:rsidR="00CE2BA8" w:rsidRPr="00CC4CB2" w:rsidRDefault="00CE2BA8" w:rsidP="00753282">
            <w:pPr>
              <w:autoSpaceDE w:val="0"/>
              <w:autoSpaceDN w:val="0"/>
              <w:adjustRightInd w:val="0"/>
              <w:spacing w:after="0" w:line="240" w:lineRule="auto"/>
              <w:jc w:val="right"/>
              <w:rPr>
                <w:rFonts w:eastAsia="Times New Roman" w:cstheme="minorHAnsi"/>
                <w:color w:val="000000"/>
              </w:rPr>
            </w:pPr>
            <w:r w:rsidRPr="00CC4CB2">
              <w:rPr>
                <w:rFonts w:eastAsia="Times New Roman" w:cstheme="minorHAnsi"/>
                <w:color w:val="000000"/>
              </w:rPr>
              <w:t>4,081 (7.6%)</w:t>
            </w:r>
          </w:p>
        </w:tc>
      </w:tr>
      <w:tr w:rsidR="00CE2BA8" w:rsidRPr="0068079B" w14:paraId="3C7DCEBC" w14:textId="77777777" w:rsidTr="00753282">
        <w:trPr>
          <w:cantSplit/>
        </w:trPr>
        <w:tc>
          <w:tcPr>
            <w:tcW w:w="5403" w:type="dxa"/>
            <w:tcBorders>
              <w:top w:val="nil"/>
              <w:left w:val="nil"/>
              <w:bottom w:val="single" w:sz="4" w:space="0" w:color="000000"/>
              <w:right w:val="nil"/>
            </w:tcBorders>
            <w:shd w:val="clear" w:color="auto" w:fill="FFFFFF"/>
            <w:tcMar>
              <w:left w:w="67" w:type="dxa"/>
              <w:right w:w="67" w:type="dxa"/>
            </w:tcMar>
            <w:vAlign w:val="bottom"/>
          </w:tcPr>
          <w:p w14:paraId="7D104483" w14:textId="77777777" w:rsidR="00CE2BA8" w:rsidRPr="0068079B" w:rsidRDefault="00CE2BA8" w:rsidP="00753282">
            <w:pPr>
              <w:autoSpaceDE w:val="0"/>
              <w:autoSpaceDN w:val="0"/>
              <w:adjustRightInd w:val="0"/>
              <w:spacing w:before="67" w:after="67"/>
              <w:rPr>
                <w:rFonts w:ascii="Arial" w:eastAsia="Times New Roman" w:hAnsi="Arial" w:cs="Arial"/>
                <w:b/>
                <w:bCs/>
                <w:color w:val="000000"/>
                <w:sz w:val="18"/>
                <w:szCs w:val="18"/>
              </w:rPr>
            </w:pPr>
          </w:p>
        </w:tc>
        <w:tc>
          <w:tcPr>
            <w:tcW w:w="1498" w:type="dxa"/>
            <w:tcBorders>
              <w:top w:val="nil"/>
              <w:left w:val="nil"/>
              <w:bottom w:val="single" w:sz="4" w:space="0" w:color="000000"/>
              <w:right w:val="nil"/>
            </w:tcBorders>
            <w:shd w:val="clear" w:color="auto" w:fill="FFFFFF"/>
            <w:tcMar>
              <w:left w:w="67" w:type="dxa"/>
              <w:right w:w="67" w:type="dxa"/>
            </w:tcMar>
            <w:vAlign w:val="bottom"/>
          </w:tcPr>
          <w:p w14:paraId="74214C6C" w14:textId="77777777" w:rsidR="00CE2BA8" w:rsidRPr="0068079B" w:rsidRDefault="00CE2BA8" w:rsidP="00753282">
            <w:pPr>
              <w:autoSpaceDE w:val="0"/>
              <w:autoSpaceDN w:val="0"/>
              <w:adjustRightInd w:val="0"/>
              <w:spacing w:before="67" w:after="67"/>
              <w:jc w:val="right"/>
              <w:rPr>
                <w:rFonts w:ascii="Arial" w:eastAsia="Times New Roman" w:hAnsi="Arial" w:cs="Arial"/>
                <w:color w:val="000000"/>
                <w:sz w:val="18"/>
                <w:szCs w:val="18"/>
              </w:rPr>
            </w:pPr>
          </w:p>
        </w:tc>
      </w:tr>
    </w:tbl>
    <w:p w14:paraId="0FB67D97" w14:textId="7D2C1879"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0FB67D9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D8BE2F1" w14:textId="77777777" w:rsidR="00CE2BA8" w:rsidRDefault="00CE2BA8" w:rsidP="00E37E1B">
      <w:pPr>
        <w:autoSpaceDE w:val="0"/>
        <w:autoSpaceDN w:val="0"/>
        <w:adjustRightInd w:val="0"/>
        <w:spacing w:after="0" w:line="240" w:lineRule="auto"/>
        <w:rPr>
          <w:rFonts w:cstheme="minorHAnsi"/>
          <w:bCs/>
        </w:rPr>
      </w:pPr>
    </w:p>
    <w:p w14:paraId="2BD2C650" w14:textId="77777777" w:rsidR="00CE2BA8" w:rsidRPr="007F2C5D" w:rsidRDefault="00CE2BA8" w:rsidP="00CE2BA8">
      <w:pPr>
        <w:autoSpaceDE w:val="0"/>
        <w:autoSpaceDN w:val="0"/>
        <w:adjustRightInd w:val="0"/>
        <w:spacing w:after="0" w:line="240" w:lineRule="auto"/>
        <w:rPr>
          <w:rFonts w:ascii="Calibri" w:eastAsia="Calibri" w:hAnsi="Calibri" w:cs="Calibri"/>
          <w:bCs/>
        </w:rPr>
      </w:pPr>
      <w:r w:rsidRPr="007F2C5D">
        <w:rPr>
          <w:rFonts w:ascii="Calibri" w:eastAsia="Calibri" w:hAnsi="Calibri" w:cs="Calibri"/>
          <w:bCs/>
        </w:rPr>
        <w:t>We used the same dataset of AVR + CABG operations from July 2010 to June 2013 for the entir</w:t>
      </w:r>
      <w:r>
        <w:rPr>
          <w:rFonts w:ascii="Calibri" w:eastAsia="Calibri" w:hAnsi="Calibri" w:cs="Calibri"/>
          <w:bCs/>
        </w:rPr>
        <w:t>e report (</w:t>
      </w:r>
      <w:proofErr w:type="gramStart"/>
      <w:r>
        <w:rPr>
          <w:rFonts w:ascii="Calibri" w:eastAsia="Calibri" w:hAnsi="Calibri" w:cs="Calibri"/>
          <w:bCs/>
        </w:rPr>
        <w:t>Fall</w:t>
      </w:r>
      <w:proofErr w:type="gramEnd"/>
      <w:r>
        <w:rPr>
          <w:rFonts w:ascii="Calibri" w:eastAsia="Calibri" w:hAnsi="Calibri" w:cs="Calibri"/>
          <w:bCs/>
        </w:rPr>
        <w:t xml:space="preserve"> 2013 harvest).  The exceptions are:</w:t>
      </w:r>
    </w:p>
    <w:p w14:paraId="500EABA6" w14:textId="77777777" w:rsidR="00CE2BA8" w:rsidRDefault="00CE2BA8" w:rsidP="00CE2BA8">
      <w:pPr>
        <w:pStyle w:val="ListParagraph"/>
        <w:numPr>
          <w:ilvl w:val="0"/>
          <w:numId w:val="30"/>
        </w:numPr>
        <w:autoSpaceDE w:val="0"/>
        <w:autoSpaceDN w:val="0"/>
        <w:adjustRightInd w:val="0"/>
        <w:spacing w:after="0" w:line="240" w:lineRule="auto"/>
        <w:rPr>
          <w:rFonts w:ascii="Calibri" w:eastAsia="Calibri" w:hAnsi="Calibri" w:cs="Calibri"/>
          <w:bCs/>
        </w:rPr>
      </w:pPr>
      <w:r w:rsidRPr="007F2C5D">
        <w:rPr>
          <w:rFonts w:ascii="Calibri" w:eastAsia="Calibri" w:hAnsi="Calibri" w:cs="Calibri"/>
          <w:bCs/>
        </w:rPr>
        <w:t xml:space="preserve">For the empirical validity testing, we used the subset of participants who participated in STS during the </w:t>
      </w:r>
      <w:proofErr w:type="gramStart"/>
      <w:r w:rsidRPr="007F2C5D">
        <w:rPr>
          <w:rFonts w:ascii="Calibri" w:eastAsia="Calibri" w:hAnsi="Calibri" w:cs="Calibri"/>
          <w:bCs/>
        </w:rPr>
        <w:t>Fall</w:t>
      </w:r>
      <w:proofErr w:type="gramEnd"/>
      <w:r w:rsidRPr="007F2C5D">
        <w:rPr>
          <w:rFonts w:ascii="Calibri" w:eastAsia="Calibri" w:hAnsi="Calibri" w:cs="Calibri"/>
          <w:bCs/>
        </w:rPr>
        <w:t xml:space="preserve"> 2013 and Fall 2012 harvests.</w:t>
      </w:r>
    </w:p>
    <w:p w14:paraId="5DDBEF2C" w14:textId="77777777" w:rsidR="00CE2BA8" w:rsidRPr="0052005F" w:rsidRDefault="00CE2BA8" w:rsidP="00CE2BA8">
      <w:pPr>
        <w:pStyle w:val="ListParagraph"/>
        <w:numPr>
          <w:ilvl w:val="0"/>
          <w:numId w:val="30"/>
        </w:numPr>
        <w:autoSpaceDE w:val="0"/>
        <w:autoSpaceDN w:val="0"/>
        <w:adjustRightInd w:val="0"/>
        <w:spacing w:after="0" w:line="240" w:lineRule="auto"/>
        <w:rPr>
          <w:rFonts w:ascii="Calibri" w:eastAsia="Calibri" w:hAnsi="Calibri" w:cs="Calibri"/>
          <w:bCs/>
        </w:rPr>
      </w:pPr>
      <w:r w:rsidRPr="0052005F">
        <w:rPr>
          <w:rFonts w:ascii="Calibri" w:eastAsia="Calibri" w:hAnsi="Calibri" w:cs="Calibri"/>
          <w:bCs/>
        </w:rPr>
        <w:t xml:space="preserve">In the individual measure risk prediction model validation section, we cited data from the following paper which we have provided </w:t>
      </w:r>
      <w:r>
        <w:rPr>
          <w:rFonts w:ascii="Calibri" w:eastAsia="Calibri" w:hAnsi="Calibri" w:cs="Calibri"/>
          <w:bCs/>
        </w:rPr>
        <w:t xml:space="preserve">as an attachment </w:t>
      </w:r>
      <w:r w:rsidRPr="0052005F">
        <w:rPr>
          <w:rFonts w:ascii="Calibri" w:eastAsia="Calibri" w:hAnsi="Calibri" w:cs="Calibri"/>
          <w:bCs/>
        </w:rPr>
        <w:t>with the measure submission form.</w:t>
      </w:r>
    </w:p>
    <w:p w14:paraId="59734C17" w14:textId="77777777" w:rsidR="00CE2BA8" w:rsidRPr="0052005F" w:rsidRDefault="00CE2BA8" w:rsidP="00CE2BA8">
      <w:pPr>
        <w:autoSpaceDE w:val="0"/>
        <w:autoSpaceDN w:val="0"/>
        <w:adjustRightInd w:val="0"/>
        <w:spacing w:after="0" w:line="240" w:lineRule="auto"/>
        <w:ind w:left="1080"/>
        <w:rPr>
          <w:rFonts w:ascii="Calibri" w:eastAsia="Calibri" w:hAnsi="Calibri" w:cs="Calibri"/>
          <w:bCs/>
        </w:rPr>
      </w:pPr>
      <w:r w:rsidRPr="007F2C5D">
        <w:rPr>
          <w:rFonts w:ascii="Calibri" w:eastAsia="Calibri" w:hAnsi="Calibri" w:cs="Calibri"/>
          <w:bCs/>
        </w:rPr>
        <w:t xml:space="preserve">Shahian DM, O'Brien SM, Filardo G, Ferraris VA, </w:t>
      </w:r>
      <w:r>
        <w:rPr>
          <w:rFonts w:ascii="Calibri" w:eastAsia="Calibri" w:hAnsi="Calibri" w:cs="Calibri"/>
          <w:bCs/>
        </w:rPr>
        <w:t xml:space="preserve">et al. </w:t>
      </w:r>
      <w:r w:rsidRPr="007F2C5D">
        <w:rPr>
          <w:rFonts w:ascii="Calibri" w:eastAsia="Calibri" w:hAnsi="Calibri" w:cs="Calibri"/>
          <w:bCs/>
        </w:rPr>
        <w:t xml:space="preserve">The Society of Thoracic Surgeons 2008 cardiac surgery risk models: part 3--valve plus coronary artery bypass grafting surgery. Ann </w:t>
      </w:r>
      <w:proofErr w:type="spellStart"/>
      <w:r w:rsidRPr="007F2C5D">
        <w:rPr>
          <w:rFonts w:ascii="Calibri" w:eastAsia="Calibri" w:hAnsi="Calibri" w:cs="Calibri"/>
          <w:bCs/>
        </w:rPr>
        <w:t>Thorac</w:t>
      </w:r>
      <w:proofErr w:type="spellEnd"/>
      <w:r w:rsidRPr="007F2C5D">
        <w:rPr>
          <w:rFonts w:ascii="Calibri" w:eastAsia="Calibri" w:hAnsi="Calibri" w:cs="Calibri"/>
          <w:bCs/>
        </w:rPr>
        <w:t xml:space="preserve"> </w:t>
      </w:r>
      <w:proofErr w:type="spellStart"/>
      <w:r w:rsidRPr="007F2C5D">
        <w:rPr>
          <w:rFonts w:ascii="Calibri" w:eastAsia="Calibri" w:hAnsi="Calibri" w:cs="Calibri"/>
          <w:bCs/>
        </w:rPr>
        <w:t>Surg</w:t>
      </w:r>
      <w:proofErr w:type="spellEnd"/>
      <w:r w:rsidRPr="007F2C5D">
        <w:rPr>
          <w:rFonts w:ascii="Calibri" w:eastAsia="Calibri" w:hAnsi="Calibri" w:cs="Calibri"/>
          <w:bCs/>
        </w:rPr>
        <w:t xml:space="preserve"> 2009 Jul</w:t>
      </w:r>
      <w:proofErr w:type="gramStart"/>
      <w:r w:rsidRPr="007F2C5D">
        <w:rPr>
          <w:rFonts w:ascii="Calibri" w:eastAsia="Calibri" w:hAnsi="Calibri" w:cs="Calibri"/>
          <w:bCs/>
        </w:rPr>
        <w:t>;88</w:t>
      </w:r>
      <w:proofErr w:type="gramEnd"/>
      <w:r w:rsidRPr="007F2C5D">
        <w:rPr>
          <w:rFonts w:ascii="Calibri" w:eastAsia="Calibri" w:hAnsi="Calibri" w:cs="Calibri"/>
          <w:bCs/>
        </w:rPr>
        <w:t xml:space="preserve">(1 </w:t>
      </w:r>
      <w:proofErr w:type="spellStart"/>
      <w:r w:rsidRPr="007F2C5D">
        <w:rPr>
          <w:rFonts w:ascii="Calibri" w:eastAsia="Calibri" w:hAnsi="Calibri" w:cs="Calibri"/>
          <w:bCs/>
        </w:rPr>
        <w:t>Suppl</w:t>
      </w:r>
      <w:proofErr w:type="spellEnd"/>
      <w:r w:rsidRPr="007F2C5D">
        <w:rPr>
          <w:rFonts w:ascii="Calibri" w:eastAsia="Calibri" w:hAnsi="Calibri" w:cs="Calibri"/>
          <w:bCs/>
        </w:rPr>
        <w:t>):S43-62.</w:t>
      </w:r>
    </w:p>
    <w:p w14:paraId="0FB67D99" w14:textId="77777777" w:rsidR="00E37E1B" w:rsidRDefault="00E37E1B" w:rsidP="00E37E1B">
      <w:pPr>
        <w:autoSpaceDE w:val="0"/>
        <w:autoSpaceDN w:val="0"/>
        <w:adjustRightInd w:val="0"/>
        <w:spacing w:after="0" w:line="240" w:lineRule="auto"/>
        <w:rPr>
          <w:rFonts w:cstheme="minorHAnsi"/>
          <w:bCs/>
        </w:rPr>
      </w:pPr>
    </w:p>
    <w:p w14:paraId="0FB67D9A" w14:textId="47032A16" w:rsidR="0021054A" w:rsidRDefault="0021054A" w:rsidP="00E37E1B">
      <w:pPr>
        <w:autoSpaceDE w:val="0"/>
        <w:autoSpaceDN w:val="0"/>
        <w:adjustRightInd w:val="0"/>
        <w:spacing w:after="0" w:line="240" w:lineRule="auto"/>
        <w:rPr>
          <w:rFonts w:cstheme="minorHAnsi"/>
          <w:b/>
          <w:bCs/>
        </w:rPr>
      </w:pPr>
      <w:r w:rsidRPr="00EE0885">
        <w:rPr>
          <w:rFonts w:cstheme="minorHAnsi"/>
          <w:b/>
          <w:bCs/>
        </w:rPr>
        <w:t xml:space="preserve">1.8 What were the </w:t>
      </w:r>
      <w:r w:rsidR="002A7B78">
        <w:rPr>
          <w:rFonts w:cstheme="minorHAnsi"/>
          <w:b/>
          <w:bCs/>
        </w:rPr>
        <w:t>social risk factors</w:t>
      </w:r>
      <w:r w:rsidRPr="00EE0885">
        <w:rPr>
          <w:rFonts w:cstheme="minorHAnsi"/>
          <w:b/>
          <w:bCs/>
        </w:rPr>
        <w:t xml:space="preserve"> that were available and analyzed?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3AD89D8A" w14:textId="77777777" w:rsidR="008363A0" w:rsidRDefault="008363A0" w:rsidP="00E37E1B">
      <w:pPr>
        <w:autoSpaceDE w:val="0"/>
        <w:autoSpaceDN w:val="0"/>
        <w:adjustRightInd w:val="0"/>
        <w:spacing w:after="0" w:line="240" w:lineRule="auto"/>
        <w:rPr>
          <w:rFonts w:cstheme="minorHAnsi"/>
          <w:b/>
          <w:bCs/>
        </w:rPr>
      </w:pPr>
    </w:p>
    <w:p w14:paraId="32EA93DF" w14:textId="77777777" w:rsidR="00A6449E" w:rsidRDefault="00A6449E" w:rsidP="00A6449E">
      <w:pPr>
        <w:spacing w:after="120" w:line="240" w:lineRule="auto"/>
      </w:pPr>
      <w:r w:rsidRPr="00CC14FF">
        <w:t xml:space="preserve">Whether outcomes measures, and the public reporting and reimbursement programs based on them, should consider socioeconomic (SES) or sociodemographic (SDS) factors (e.g., race, ethnicity, education, </w:t>
      </w:r>
      <w:r w:rsidRPr="00CC14FF">
        <w:lastRenderedPageBreak/>
        <w:t xml:space="preserve">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6C37A15C" w14:textId="0C9A8369" w:rsidR="00A6449E" w:rsidRDefault="00F81CFF" w:rsidP="00A6449E">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w:t>
      </w:r>
      <w:r w:rsidR="00A6449E" w:rsidRPr="00CC14FF">
        <w:t>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2D362DF9" w14:textId="77777777" w:rsidR="00A6449E" w:rsidRDefault="00A6449E" w:rsidP="00A6449E">
      <w:pPr>
        <w:spacing w:after="120" w:line="240" w:lineRule="auto"/>
      </w:pPr>
    </w:p>
    <w:p w14:paraId="128E847F" w14:textId="77777777" w:rsidR="00A6449E" w:rsidRDefault="00A6449E" w:rsidP="00A6449E">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007DCA37" w14:textId="77777777" w:rsidR="00A6449E" w:rsidRDefault="00A6449E" w:rsidP="00A6449E">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74C35DCB" w14:textId="77777777" w:rsidR="00A6449E" w:rsidRDefault="00A6449E" w:rsidP="00A6449E">
      <w:pPr>
        <w:spacing w:after="120" w:line="240" w:lineRule="auto"/>
        <w:rPr>
          <w:rFonts w:cstheme="minorHAnsi"/>
          <w:bCs/>
        </w:rPr>
      </w:pPr>
      <w:r>
        <w:rPr>
          <w:rFonts w:cstheme="minorHAnsi"/>
          <w:bCs/>
        </w:rPr>
        <w:t xml:space="preserve">3. </w:t>
      </w:r>
      <w:r w:rsidRPr="00FE1082">
        <w:rPr>
          <w:rFonts w:cstheme="minorHAnsi"/>
          <w:bCs/>
        </w:rPr>
        <w:t xml:space="preserve">Shahian DM, </w:t>
      </w:r>
      <w:proofErr w:type="gramStart"/>
      <w:r w:rsidRPr="00FE1082">
        <w:rPr>
          <w:rFonts w:cstheme="minorHAnsi"/>
          <w:bCs/>
        </w:rPr>
        <w:t>et</w:t>
      </w:r>
      <w:proofErr w:type="gramEnd"/>
      <w:r w:rsidRPr="00FE1082">
        <w:rPr>
          <w:rFonts w:cstheme="minorHAnsi"/>
          <w:bCs/>
        </w:rPr>
        <w:t xml:space="preserve">. </w:t>
      </w:r>
      <w:proofErr w:type="gramStart"/>
      <w:r w:rsidRPr="00FE1082">
        <w:rPr>
          <w:rFonts w:cstheme="minorHAnsi"/>
          <w:bCs/>
        </w:rPr>
        <w:t>al</w:t>
      </w:r>
      <w:proofErr w:type="gramEnd"/>
      <w:r w:rsidRPr="00FE1082">
        <w:rPr>
          <w:rFonts w:cstheme="minorHAnsi"/>
          <w:bCs/>
        </w:rPr>
        <w:t>.  The Society of Thoracic Surgeons 2018 Adult Cardiac Surgery Risk Models. Part 1: Background, Design Considerations, Model Development. (In press)</w:t>
      </w:r>
    </w:p>
    <w:p w14:paraId="0FB67D9B"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0FB67DA0" w14:textId="055908F5" w:rsidR="001969C5" w:rsidRDefault="005C19D8" w:rsidP="008C54A9">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37E0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proofErr w:type="gramStart"/>
      <w:r w:rsidR="001F7A20" w:rsidRPr="00A25024">
        <w:rPr>
          <w:rFonts w:cstheme="minorHAnsi"/>
          <w:bCs/>
        </w:rPr>
        <w:t>)</w:t>
      </w:r>
      <w:proofErr w:type="gramEnd"/>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BE66FF8" w14:textId="77777777" w:rsidR="00E71BD8" w:rsidRDefault="00E71BD8" w:rsidP="008C54A9">
      <w:pPr>
        <w:autoSpaceDE w:val="0"/>
        <w:autoSpaceDN w:val="0"/>
        <w:adjustRightInd w:val="0"/>
        <w:spacing w:after="0" w:line="240" w:lineRule="auto"/>
        <w:rPr>
          <w:rFonts w:cstheme="minorHAnsi"/>
          <w:bCs/>
        </w:rPr>
      </w:pPr>
    </w:p>
    <w:p w14:paraId="0B0B983A" w14:textId="77777777" w:rsidR="008B0BDF" w:rsidRPr="007F2C5D" w:rsidRDefault="008B0BDF" w:rsidP="008B0BDF">
      <w:pPr>
        <w:autoSpaceDE w:val="0"/>
        <w:autoSpaceDN w:val="0"/>
        <w:adjustRightInd w:val="0"/>
        <w:spacing w:after="0" w:line="240" w:lineRule="auto"/>
        <w:rPr>
          <w:rFonts w:eastAsia="Times New Roman"/>
        </w:rPr>
      </w:pPr>
      <w:r w:rsidRPr="007F2C5D">
        <w:rPr>
          <w:bCs/>
        </w:rPr>
        <w:t xml:space="preserve">We used signal-to-noise ratio to measure the reliability of the composite measure. The method is described in the technical appendix of the paper – </w:t>
      </w:r>
      <w:r w:rsidRPr="007F2C5D">
        <w:rPr>
          <w:rFonts w:eastAsia="Times New Roman"/>
        </w:rPr>
        <w:t>Shahian DM, He X, Jacobs JP, et al. The STS AVR + CABG Composite Score: A Report of the STS</w:t>
      </w:r>
      <w:r>
        <w:rPr>
          <w:rFonts w:eastAsia="Times New Roman"/>
        </w:rPr>
        <w:t xml:space="preserve"> </w:t>
      </w:r>
      <w:r w:rsidRPr="007F2C5D">
        <w:rPr>
          <w:rFonts w:eastAsia="Times New Roman"/>
        </w:rPr>
        <w:t>Quality Measurement Task Force</w:t>
      </w:r>
      <w:r>
        <w:rPr>
          <w:rFonts w:eastAsia="Times New Roman"/>
        </w:rPr>
        <w:t xml:space="preserve"> – This manuscript is </w:t>
      </w:r>
      <w:r>
        <w:rPr>
          <w:rFonts w:eastAsia="Times New Roman"/>
        </w:rPr>
        <w:lastRenderedPageBreak/>
        <w:t>currently being reviewed for publication. STS will provide a copy of the paper to NQF once it has been published.</w:t>
      </w:r>
    </w:p>
    <w:p w14:paraId="56DBA6E3" w14:textId="77777777" w:rsidR="008B0BDF" w:rsidRPr="007F2C5D" w:rsidRDefault="008B0BDF" w:rsidP="008B0BDF">
      <w:pPr>
        <w:autoSpaceDE w:val="0"/>
        <w:autoSpaceDN w:val="0"/>
        <w:adjustRightInd w:val="0"/>
        <w:spacing w:after="0" w:line="240" w:lineRule="auto"/>
        <w:ind w:left="360"/>
        <w:rPr>
          <w:bCs/>
        </w:rPr>
      </w:pPr>
    </w:p>
    <w:p w14:paraId="439E26AF" w14:textId="77777777" w:rsidR="008B0BDF" w:rsidRPr="007F2C5D" w:rsidRDefault="008B0BDF" w:rsidP="008B0BDF">
      <w:pPr>
        <w:autoSpaceDE w:val="0"/>
        <w:autoSpaceDN w:val="0"/>
        <w:adjustRightInd w:val="0"/>
        <w:spacing w:after="0" w:line="240" w:lineRule="auto"/>
        <w:rPr>
          <w:bCs/>
        </w:rPr>
      </w:pPr>
      <w:r w:rsidRPr="007F2C5D">
        <w:rPr>
          <w:bCs/>
          <w:u w:val="single"/>
        </w:rPr>
        <w:t>Method details</w:t>
      </w:r>
      <w:r w:rsidRPr="007F2C5D">
        <w:rPr>
          <w:bCs/>
        </w:rPr>
        <w:t>:</w:t>
      </w:r>
    </w:p>
    <w:p w14:paraId="253EE7B6" w14:textId="77777777" w:rsidR="008B0BDF" w:rsidRDefault="008B0BDF" w:rsidP="008B0BDF">
      <w:pPr>
        <w:pStyle w:val="Quote"/>
        <w:ind w:left="360"/>
      </w:pPr>
      <w:r>
        <w:t>Reliability is conventionally defined as the proportion of variation in a performance measure that is due to true between hospital differences (</w:t>
      </w:r>
      <w:proofErr w:type="spellStart"/>
      <w:r>
        <w:t>ie</w:t>
      </w:r>
      <w:proofErr w:type="spellEnd"/>
      <w:r>
        <w:t>, signal) as opposed to random statistical fluctuations (</w:t>
      </w:r>
      <w:proofErr w:type="spellStart"/>
      <w:r>
        <w:t>ie</w:t>
      </w:r>
      <w:proofErr w:type="spellEnd"/>
      <w:r>
        <w:t xml:space="preserve">, noise). </w:t>
      </w:r>
      <w:proofErr w:type="gramStart"/>
      <w:r>
        <w:t>A  mathematically</w:t>
      </w:r>
      <w:proofErr w:type="gramEnd"/>
      <w:r>
        <w:t xml:space="preserve"> equivalent definition is the squared correlation between a measurement and the true</w:t>
      </w:r>
    </w:p>
    <w:p w14:paraId="794BE650" w14:textId="77777777" w:rsidR="008B0BDF" w:rsidRDefault="008B0BDF" w:rsidP="008B0BDF">
      <w:pPr>
        <w:pStyle w:val="Quote"/>
        <w:ind w:left="360"/>
      </w:pPr>
      <w:proofErr w:type="gramStart"/>
      <w:r>
        <w:t>value</w:t>
      </w:r>
      <w:proofErr w:type="gramEnd"/>
      <w:r>
        <w:t xml:space="preserve">. This quantity cannot be calculated directly because the “true” composite measure values are unknown, but may be estimated.  </w:t>
      </w:r>
    </w:p>
    <w:p w14:paraId="6FCF89EA" w14:textId="77777777" w:rsidR="008B0BDF" w:rsidRPr="000F1DD0" w:rsidRDefault="008B0BDF" w:rsidP="008B0BDF">
      <w:pPr>
        <w:pStyle w:val="Quote"/>
        <w:ind w:left="360"/>
      </w:pPr>
      <w:r w:rsidRPr="000F1DD0">
        <w:t xml:space="preserve">Let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0F1DD0">
        <w:t xml:space="preserve"> denote the true unknown composite measure value for the </w:t>
      </w:r>
      <w:r w:rsidRPr="00FE30C0">
        <w:t>j</w:t>
      </w:r>
      <w:r w:rsidRPr="000F1DD0">
        <w:t>-</w:t>
      </w:r>
      <w:proofErr w:type="spellStart"/>
      <w:r w:rsidRPr="00FE30C0">
        <w:t>th</w:t>
      </w:r>
      <w:proofErr w:type="spellEnd"/>
      <w:r w:rsidRPr="000F1DD0">
        <w:t xml:space="preserve"> of </w:t>
      </w:r>
      <w:r w:rsidRPr="00FE30C0">
        <w:t>J</w:t>
      </w:r>
      <w:r w:rsidRPr="000F1DD0">
        <w:t xml:space="preserve"> hospitals. Prior to estimating reliability, the numerical value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0F1DD0">
        <w:t xml:space="preserve"> was estimated for each hospital by the definition of AVR composite measure. Estimation was done using Markov Chain Monte Carlo (MCMC) simulations and involved the following steps:</w:t>
      </w:r>
    </w:p>
    <w:p w14:paraId="07EAC3C8" w14:textId="77777777" w:rsidR="008B0BDF" w:rsidRPr="00FE30C0" w:rsidRDefault="008B0BDF" w:rsidP="008B0BDF">
      <w:pPr>
        <w:pStyle w:val="Quote"/>
        <w:numPr>
          <w:ilvl w:val="0"/>
          <w:numId w:val="31"/>
        </w:numPr>
        <w:ind w:left="360"/>
      </w:pPr>
      <w:r w:rsidRPr="00FE30C0">
        <w:t xml:space="preserve">First, for each j, we randomly generated a large number N of possible numerical values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FE30C0">
        <w:t xml:space="preserve"> by sampling from the Bayesian posterior probability distribution </w:t>
      </w:r>
      <w:proofErr w:type="gramStart"/>
      <w:r w:rsidRPr="00FE30C0">
        <w:t xml:space="preserve">of </w:t>
      </w:r>
      <w:proofErr w:type="gramEnd"/>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FE30C0">
        <w:t xml:space="preserve">. Let </w:t>
      </w:r>
      <m:oMath>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oMath>
      <w:r w:rsidRPr="00FE30C0">
        <w:t xml:space="preserve"> denote </w:t>
      </w:r>
      <w:proofErr w:type="gramStart"/>
      <w:r w:rsidRPr="00FE30C0">
        <w:t>the i</w:t>
      </w:r>
      <w:proofErr w:type="gramEnd"/>
      <w:r w:rsidRPr="00FE30C0">
        <w:t xml:space="preserve">-th of these N randomly sampled numerical values for the j-th hospital. </w:t>
      </w:r>
    </w:p>
    <w:p w14:paraId="5465872D" w14:textId="77777777" w:rsidR="008B0BDF" w:rsidRPr="00FE30C0" w:rsidRDefault="008B0BDF" w:rsidP="008B0BDF">
      <w:pPr>
        <w:pStyle w:val="Quote"/>
        <w:numPr>
          <w:ilvl w:val="0"/>
          <w:numId w:val="31"/>
        </w:numPr>
        <w:ind w:left="360"/>
      </w:pPr>
      <w:r w:rsidRPr="00FE30C0">
        <w:t xml:space="preserve">Second, for each j, a Bayesian estimate </w:t>
      </w:r>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oMath>
      <w:r w:rsidRPr="00FE30C0">
        <w:t xml:space="preserve"> of </w:t>
      </w:r>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FE30C0">
        <w:t xml:space="preserve"> was calculated as the arithmetic average of the randomly sampled values</w:t>
      </w:r>
      <m:oMath>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(N)</m:t>
            </m:r>
          </m:sup>
        </m:sSubSup>
      </m:oMath>
      <w:r w:rsidRPr="00FE30C0">
        <w:t xml:space="preserve">; in other </w:t>
      </w:r>
      <w:proofErr w:type="gramStart"/>
      <w:r w:rsidRPr="00FE30C0">
        <w:t xml:space="preserve">words  </w:t>
      </w:r>
      <w:proofErr w:type="gramEnd"/>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eastAsia="Times New Roman" w:hAnsi="Cambria Math"/>
            <w:sz w:val="24"/>
            <w:szCs w:val="24"/>
          </w:rPr>
          <m:t>=</m:t>
        </m:r>
        <m:f>
          <m:fPr>
            <m:ctrlPr>
              <w:rPr>
                <w:rFonts w:ascii="Cambria Math" w:eastAsia="Times New Roman" w:hAnsi="Cambria Math"/>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N</m:t>
            </m:r>
          </m:den>
        </m:f>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i=1</m:t>
            </m:r>
          </m:sub>
          <m:sup>
            <m:r>
              <w:rPr>
                <w:rFonts w:ascii="Cambria Math" w:eastAsia="Times New Roman"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oMath>
      <w:r w:rsidRPr="00FE30C0">
        <w:t>.</w:t>
      </w:r>
    </w:p>
    <w:p w14:paraId="55FFBA0A" w14:textId="77777777" w:rsidR="008B0BDF" w:rsidRPr="000F1DD0" w:rsidRDefault="008B0BDF" w:rsidP="008B0BDF">
      <w:pPr>
        <w:pStyle w:val="Quote"/>
        <w:ind w:left="360"/>
      </w:pPr>
      <w:r w:rsidRPr="000F1DD0">
        <w:t xml:space="preserve">Our reliability measure was defined as the estimated squared correlation between the set of hospital-specific estimates </w:t>
      </w:r>
      <m:oMath>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1</m:t>
            </m:r>
          </m:sub>
        </m:sSub>
        <m:r>
          <w:rPr>
            <w:rFonts w:ascii="Cambria Math" w:eastAsia="Times New Roman" w:hAnsi="Cambria Math"/>
            <w:sz w:val="24"/>
            <w:szCs w:val="24"/>
          </w:rPr>
          <m:t>,…,</m:t>
        </m:r>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oMath>
      <w:r w:rsidRPr="000F1DD0">
        <w:t xml:space="preserve"> and the corresponding unknown true </w:t>
      </w:r>
      <w:proofErr w:type="gramStart"/>
      <w:r w:rsidRPr="000F1DD0">
        <w:t xml:space="preserve">values </w:t>
      </w:r>
      <w:proofErr w:type="gramEnd"/>
      <m:oMath>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θ</m:t>
            </m:r>
          </m:e>
          <m:sub>
            <m:r>
              <w:rPr>
                <w:rFonts w:ascii="Cambria Math" w:hAnsi="Cambria Math"/>
                <w:sz w:val="24"/>
                <w:szCs w:val="24"/>
              </w:rPr>
              <m:t>J</m:t>
            </m:r>
          </m:sub>
        </m:sSub>
      </m:oMath>
      <w:r w:rsidRPr="000F1DD0">
        <w:t xml:space="preserve">. Let </w:t>
      </w:r>
      <m:oMath>
        <m:sSup>
          <m:sSupPr>
            <m:ctrlPr>
              <w:rPr>
                <w:rFonts w:ascii="Cambria Math" w:eastAsia="Times New Roman" w:hAnsi="Cambria Math"/>
                <w:sz w:val="24"/>
                <w:szCs w:val="24"/>
              </w:rPr>
            </m:ctrlPr>
          </m:sSupPr>
          <m:e>
            <m:r>
              <w:rPr>
                <w:rFonts w:ascii="Cambria Math" w:eastAsia="Times New Roman" w:hAnsi="Cambria Math"/>
                <w:sz w:val="24"/>
                <w:szCs w:val="24"/>
              </w:rPr>
              <m:t>ρ</m:t>
            </m:r>
          </m:e>
          <m:sup>
            <m:r>
              <w:rPr>
                <w:rFonts w:ascii="Cambria Math" w:eastAsia="Times New Roman" w:hAnsi="Cambria Math"/>
                <w:sz w:val="24"/>
                <w:szCs w:val="24"/>
              </w:rPr>
              <m:t>2</m:t>
            </m:r>
          </m:sup>
        </m:sSup>
      </m:oMath>
      <w:r w:rsidRPr="000F1DD0">
        <w:t xml:space="preserve"> denote the </w:t>
      </w:r>
      <w:r w:rsidRPr="00FE30C0">
        <w:t>unknown true</w:t>
      </w:r>
      <w:r w:rsidRPr="000F1DD0">
        <w:t xml:space="preserve"> squared correlation of interest and let </w:t>
      </w:r>
      <m:oMath>
        <m:sSup>
          <m:sSupPr>
            <m:ctrlPr>
              <w:rPr>
                <w:rFonts w:ascii="Cambria Math" w:hAnsi="Cambria Math"/>
                <w:sz w:val="24"/>
                <w:szCs w:val="24"/>
              </w:rPr>
            </m:ctrlPr>
          </m:sSupPr>
          <m:e>
            <m:acc>
              <m:accPr>
                <m:ctrlPr>
                  <w:rPr>
                    <w:rFonts w:ascii="Cambria Math" w:eastAsia="Times New Roman" w:hAnsi="Cambria Math"/>
                    <w:sz w:val="24"/>
                    <w:szCs w:val="24"/>
                  </w:rPr>
                </m:ctrlPr>
              </m:accPr>
              <m:e>
                <m:r>
                  <w:rPr>
                    <w:rFonts w:ascii="Cambria Math" w:eastAsia="Times New Roman" w:hAnsi="Cambria Math"/>
                    <w:sz w:val="24"/>
                    <w:szCs w:val="24"/>
                  </w:rPr>
                  <m:t>ρ</m:t>
                </m:r>
              </m:e>
            </m:acc>
          </m:e>
          <m:sup>
            <m:r>
              <w:rPr>
                <w:rFonts w:ascii="Cambria Math" w:hAnsi="Cambria Math"/>
                <w:sz w:val="24"/>
                <w:szCs w:val="24"/>
              </w:rPr>
              <m:t>2</m:t>
            </m:r>
          </m:sup>
        </m:sSup>
      </m:oMath>
      <w:r w:rsidRPr="000F1DD0">
        <w:t xml:space="preserve"> denote </w:t>
      </w:r>
      <w:r w:rsidRPr="00FE30C0">
        <w:t>an estimate</w:t>
      </w:r>
      <w:r w:rsidRPr="000F1DD0">
        <w:t xml:space="preserve"> of this quantity. The estimate was calculated as</w:t>
      </w:r>
    </w:p>
    <w:p w14:paraId="4E90F2AA" w14:textId="77777777" w:rsidR="008B0BDF" w:rsidRPr="007F2C5D" w:rsidRDefault="00860325" w:rsidP="008B0BDF">
      <w:pPr>
        <w:pStyle w:val="Quote"/>
        <w:ind w:left="360"/>
      </w:pPr>
      <m:oMathPara>
        <m:oMath>
          <m:sSup>
            <m:sSupPr>
              <m:ctrlPr>
                <w:rPr>
                  <w:rFonts w:ascii="Cambria Math" w:hAnsi="Cambria Math"/>
                  <w:sz w:val="24"/>
                  <w:szCs w:val="24"/>
                </w:rPr>
              </m:ctrlPr>
            </m:sSupPr>
            <m:e>
              <m:acc>
                <m:accPr>
                  <m:ctrlPr>
                    <w:rPr>
                      <w:rFonts w:ascii="Cambria Math" w:eastAsia="Times New Roman" w:hAnsi="Cambria Math"/>
                      <w:sz w:val="24"/>
                      <w:szCs w:val="24"/>
                    </w:rPr>
                  </m:ctrlPr>
                </m:accPr>
                <m:e>
                  <m:r>
                    <w:rPr>
                      <w:rFonts w:ascii="Cambria Math" w:eastAsia="Times New Roman" w:hAnsi="Cambria Math"/>
                      <w:sz w:val="24"/>
                      <w:szCs w:val="24"/>
                    </w:rPr>
                    <m:t>ρ</m:t>
                  </m:r>
                </m:e>
              </m:acc>
            </m:e>
            <m:sup>
              <m:r>
                <w:rPr>
                  <w:rFonts w:ascii="Cambria Math" w:hAnsi="Cambria Math"/>
                  <w:sz w:val="24"/>
                  <w:szCs w:val="24"/>
                </w:rPr>
                <m:t>2</m:t>
              </m:r>
            </m:sup>
          </m:s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N</m:t>
              </m:r>
            </m:den>
          </m:f>
          <m:nary>
            <m:naryPr>
              <m:chr m:val="∑"/>
              <m:limLoc m:val="undOvr"/>
              <m:ctrlPr>
                <w:rPr>
                  <w:rFonts w:ascii="Cambria Math" w:hAnsi="Cambria Math"/>
                  <w:sz w:val="24"/>
                  <w:szCs w:val="24"/>
                </w:rPr>
              </m:ctrlPr>
            </m:naryPr>
            <m:sub>
              <m:r>
                <w:rPr>
                  <w:rFonts w:ascii="Cambria Math" w:hAnsi="Cambria Math"/>
                  <w:sz w:val="24"/>
                  <w:szCs w:val="24"/>
                </w:rPr>
                <m:t>i=1</m:t>
              </m:r>
            </m:sub>
            <m:sup>
              <m:r>
                <w:rPr>
                  <w:rFonts w:ascii="Cambria Math"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ρ</m:t>
                  </m:r>
                </m:e>
                <m:sub>
                  <m:r>
                    <w:rPr>
                      <w:rFonts w:ascii="Cambria Math" w:hAnsi="Cambria Math"/>
                      <w:sz w:val="24"/>
                      <w:szCs w:val="24"/>
                    </w:rPr>
                    <m:t>(i)</m:t>
                  </m:r>
                </m:sub>
                <m:sup>
                  <m:r>
                    <w:rPr>
                      <w:rFonts w:ascii="Cambria Math" w:hAnsi="Cambria Math"/>
                      <w:sz w:val="24"/>
                      <w:szCs w:val="24"/>
                    </w:rPr>
                    <m:t>2</m:t>
                  </m:r>
                </m:sup>
              </m:sSubSup>
            </m:e>
          </m:nary>
        </m:oMath>
      </m:oMathPara>
    </w:p>
    <w:p w14:paraId="29BA4637" w14:textId="77777777" w:rsidR="008B0BDF" w:rsidRPr="000F1DD0" w:rsidRDefault="008B0BDF" w:rsidP="008B0BDF">
      <w:pPr>
        <w:pStyle w:val="Quote"/>
        <w:ind w:left="360"/>
      </w:pPr>
      <w:proofErr w:type="gramStart"/>
      <w:r w:rsidRPr="000F1DD0">
        <w:t>where</w:t>
      </w:r>
      <w:proofErr w:type="gramEnd"/>
    </w:p>
    <w:p w14:paraId="6A247961" w14:textId="77777777" w:rsidR="008B0BDF" w:rsidRPr="007F2C5D" w:rsidRDefault="00860325" w:rsidP="008B0BDF">
      <w:pPr>
        <w:pStyle w:val="Quote"/>
        <w:ind w:left="360"/>
      </w:pPr>
      <m:oMathPara>
        <m:oMath>
          <m:sSubSup>
            <m:sSubSupPr>
              <m:ctrlPr>
                <w:rPr>
                  <w:rFonts w:ascii="Cambria Math" w:hAnsi="Cambria Math"/>
                  <w:sz w:val="24"/>
                  <w:szCs w:val="24"/>
                </w:rPr>
              </m:ctrlPr>
            </m:sSubSupPr>
            <m:e>
              <m:r>
                <w:rPr>
                  <w:rFonts w:ascii="Cambria Math" w:hAnsi="Cambria Math"/>
                  <w:sz w:val="24"/>
                  <w:szCs w:val="24"/>
                </w:rPr>
                <m:t>ρ</m:t>
              </m:r>
            </m:e>
            <m:sub>
              <m:r>
                <w:rPr>
                  <w:rFonts w:ascii="Cambria Math" w:hAnsi="Cambria Math"/>
                  <w:sz w:val="24"/>
                  <w:szCs w:val="24"/>
                </w:rPr>
                <m:t>(i)</m:t>
              </m:r>
            </m:sub>
            <m:sup>
              <m:r>
                <w:rPr>
                  <w:rFonts w:ascii="Cambria Math" w:hAnsi="Cambria Math"/>
                  <w:sz w:val="24"/>
                  <w:szCs w:val="24"/>
                </w:rPr>
                <m:t>2</m:t>
              </m:r>
            </m:sup>
          </m:sSubSup>
          <m:r>
            <w:rPr>
              <w:rFonts w:ascii="Cambria Math" w:hAnsi="Cambria Math"/>
              <w:sz w:val="24"/>
              <w:szCs w:val="24"/>
            </w:rPr>
            <m:t>=</m:t>
          </m:r>
          <m:f>
            <m:fPr>
              <m:ctrlPr>
                <w:rPr>
                  <w:rFonts w:ascii="Cambria Math" w:hAnsi="Cambria Math"/>
                  <w:sz w:val="24"/>
                  <w:szCs w:val="24"/>
                </w:rPr>
              </m:ctrlPr>
            </m:fPr>
            <m:num>
              <m:sSup>
                <m:sSupPr>
                  <m:ctrlPr>
                    <w:rPr>
                      <w:rFonts w:ascii="Cambria Math" w:hAnsi="Cambria Math"/>
                      <w:sz w:val="24"/>
                      <w:szCs w:val="24"/>
                    </w:rPr>
                  </m:ctrlPr>
                </m:sSupPr>
                <m:e>
                  <m:d>
                    <m:dPr>
                      <m:begChr m:val="["/>
                      <m:endChr m:val="]"/>
                      <m:ctrlPr>
                        <w:rPr>
                          <w:rFonts w:ascii="Cambria Math" w:hAnsi="Cambria Math"/>
                          <w:sz w:val="24"/>
                          <w:szCs w:val="24"/>
                        </w:rPr>
                      </m:ctrlPr>
                    </m:dPr>
                    <m:e>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r>
                                <w:rPr>
                                  <w:rFonts w:ascii="Cambria Math" w:hAnsi="Cambria Math"/>
                                  <w:sz w:val="24"/>
                                  <w:szCs w:val="24"/>
                                </w:rPr>
                                <m:t>-</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e>
                          </m:d>
                          <m:d>
                            <m:dPr>
                              <m:ctrlPr>
                                <w:rPr>
                                  <w:rFonts w:ascii="Cambria Math" w:hAnsi="Cambria Math"/>
                                  <w:sz w:val="24"/>
                                  <w:szCs w:val="24"/>
                                </w:rPr>
                              </m:ctrlPr>
                            </m:dPr>
                            <m:e>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hAnsi="Cambria Math"/>
                                  <w:sz w:val="24"/>
                                  <w:szCs w:val="24"/>
                                </w:rPr>
                                <m:t>-</m:t>
                              </m:r>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d>
                        </m:e>
                      </m:nary>
                    </m:e>
                  </m:d>
                </m:e>
                <m:sup>
                  <m:r>
                    <w:rPr>
                      <w:rFonts w:ascii="Cambria Math" w:hAnsi="Cambria Math"/>
                      <w:sz w:val="24"/>
                      <w:szCs w:val="24"/>
                    </w:rPr>
                    <m:t>2</m:t>
                  </m:r>
                </m:sup>
              </m:sSup>
            </m:num>
            <m:den>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p>
                    <m:sSupPr>
                      <m:ctrlPr>
                        <w:rPr>
                          <w:rFonts w:ascii="Cambria Math" w:hAnsi="Cambria Math"/>
                          <w:sz w:val="24"/>
                          <w:szCs w:val="24"/>
                        </w:rPr>
                      </m:ctrlPr>
                    </m:sSupPr>
                    <m:e>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r>
                            <w:rPr>
                              <w:rFonts w:ascii="Cambria Math" w:hAnsi="Cambria Math"/>
                              <w:sz w:val="24"/>
                              <w:szCs w:val="24"/>
                            </w:rPr>
                            <m:t>-</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e>
                      </m:d>
                    </m:e>
                    <m:sup>
                      <m:r>
                        <w:rPr>
                          <w:rFonts w:ascii="Cambria Math" w:hAnsi="Cambria Math"/>
                          <w:sz w:val="24"/>
                          <w:szCs w:val="24"/>
                        </w:rPr>
                        <m:t>2</m:t>
                      </m:r>
                    </m:sup>
                  </m:sSup>
                </m:e>
              </m:nary>
              <m:nary>
                <m:naryPr>
                  <m:chr m:val="∑"/>
                  <m:limLoc m:val="subSup"/>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p>
                    <m:sSupPr>
                      <m:ctrlPr>
                        <w:rPr>
                          <w:rFonts w:ascii="Cambria Math" w:hAnsi="Cambria Math"/>
                          <w:sz w:val="24"/>
                          <w:szCs w:val="24"/>
                        </w:rPr>
                      </m:ctrlPr>
                    </m:sSupPr>
                    <m:e>
                      <m:d>
                        <m:dPr>
                          <m:ctrlPr>
                            <w:rPr>
                              <w:rFonts w:ascii="Cambria Math" w:hAnsi="Cambria Math"/>
                              <w:sz w:val="24"/>
                              <w:szCs w:val="24"/>
                            </w:rPr>
                          </m:ctrlPr>
                        </m:dPr>
                        <m:e>
                          <m:sSub>
                            <m:sSubPr>
                              <m:ctrlPr>
                                <w:rPr>
                                  <w:rFonts w:ascii="Cambria Math" w:eastAsia="Times New Roman" w:hAnsi="Cambria Math"/>
                                  <w:sz w:val="24"/>
                                  <w:szCs w:val="24"/>
                                </w:rPr>
                              </m:ctrlPr>
                            </m:sSubPr>
                            <m:e>
                              <m:acc>
                                <m:accPr>
                                  <m:ctrlPr>
                                    <w:rPr>
                                      <w:rFonts w:ascii="Cambria Math" w:eastAsia="Times New Roman" w:hAnsi="Cambria Math"/>
                                      <w:sz w:val="24"/>
                                      <w:szCs w:val="24"/>
                                    </w:rPr>
                                  </m:ctrlPr>
                                </m:accPr>
                                <m:e>
                                  <m:r>
                                    <w:rPr>
                                      <w:rFonts w:ascii="Cambria Math" w:eastAsia="Times New Roman" w:hAnsi="Cambria Math"/>
                                      <w:sz w:val="24"/>
                                      <w:szCs w:val="24"/>
                                    </w:rPr>
                                    <m:t>θ</m:t>
                                  </m:r>
                                </m:e>
                              </m:acc>
                            </m:e>
                            <m:sub>
                              <m:r>
                                <w:rPr>
                                  <w:rFonts w:ascii="Cambria Math" w:eastAsia="Times New Roman" w:hAnsi="Cambria Math"/>
                                  <w:sz w:val="24"/>
                                  <w:szCs w:val="24"/>
                                </w:rPr>
                                <m:t>j</m:t>
                              </m:r>
                            </m:sub>
                          </m:sSub>
                          <m:r>
                            <w:rPr>
                              <w:rFonts w:ascii="Cambria Math" w:hAnsi="Cambria Math"/>
                              <w:sz w:val="24"/>
                              <w:szCs w:val="24"/>
                            </w:rPr>
                            <m:t>-</m:t>
                          </m:r>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d>
                    </m:e>
                    <m:sup>
                      <m:r>
                        <w:rPr>
                          <w:rFonts w:ascii="Cambria Math" w:hAnsi="Cambria Math"/>
                          <w:sz w:val="24"/>
                          <w:szCs w:val="24"/>
                        </w:rPr>
                        <m:t>2</m:t>
                      </m:r>
                    </m:sup>
                  </m:sSup>
                </m:e>
              </m:nary>
            </m:den>
          </m:f>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r>
            <w:rPr>
              <w:rFonts w:ascii="Cambria Math" w:eastAsia="Times New Roman" w:hAnsi="Cambria Math"/>
              <w:sz w:val="24"/>
              <w:szCs w:val="24"/>
            </w:rPr>
            <m:t>=</m:t>
          </m:r>
          <m:f>
            <m:fPr>
              <m:ctrlPr>
                <w:rPr>
                  <w:rFonts w:ascii="Cambria Math" w:eastAsia="Times New Roman" w:hAnsi="Cambria Math"/>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JN</m:t>
              </m:r>
            </m:den>
          </m:f>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j=1</m:t>
              </m:r>
            </m:sub>
            <m:sup>
              <m:r>
                <w:rPr>
                  <w:rFonts w:ascii="Cambria Math" w:eastAsia="Times New Roman" w:hAnsi="Cambria Math"/>
                  <w:sz w:val="24"/>
                  <w:szCs w:val="24"/>
                </w:rPr>
                <m:t>J</m:t>
              </m:r>
            </m:sup>
            <m:e>
              <m:nary>
                <m:naryPr>
                  <m:chr m:val="∑"/>
                  <m:limLoc m:val="undOvr"/>
                  <m:ctrlPr>
                    <w:rPr>
                      <w:rFonts w:ascii="Cambria Math" w:eastAsia="Times New Roman" w:hAnsi="Cambria Math"/>
                      <w:sz w:val="24"/>
                      <w:szCs w:val="24"/>
                    </w:rPr>
                  </m:ctrlPr>
                </m:naryPr>
                <m:sub>
                  <m:r>
                    <w:rPr>
                      <w:rFonts w:ascii="Cambria Math" w:eastAsia="Times New Roman" w:hAnsi="Cambria Math"/>
                      <w:sz w:val="24"/>
                      <w:szCs w:val="24"/>
                    </w:rPr>
                    <m:t>i=1</m:t>
                  </m:r>
                </m:sub>
                <m:sup>
                  <m:r>
                    <w:rPr>
                      <w:rFonts w:ascii="Cambria Math" w:eastAsia="Times New Roman" w:hAnsi="Cambria Math"/>
                      <w:sz w:val="24"/>
                      <w:szCs w:val="24"/>
                    </w:rPr>
                    <m:t>N</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e>
          </m:nary>
          <m:r>
            <m:rPr>
              <m:nor/>
            </m:rPr>
            <w:rPr>
              <w:rFonts w:ascii="Cambria Math" w:hAnsi="Cambria Math"/>
              <w:sz w:val="24"/>
              <w:szCs w:val="24"/>
            </w:rPr>
            <m:t xml:space="preserve">   and</m:t>
          </m:r>
          <m:sSup>
            <m:sSupPr>
              <m:ctrlPr>
                <w:rPr>
                  <w:rFonts w:ascii="Cambria Math" w:eastAsia="Times New Roman" w:hAnsi="Cambria Math"/>
                  <w:sz w:val="24"/>
                  <w:szCs w:val="24"/>
                </w:rPr>
              </m:ctrlPr>
            </m:sSupPr>
            <m:e>
              <m:acc>
                <m:accPr>
                  <m:chr m:val="̅"/>
                  <m:ctrlPr>
                    <w:rPr>
                      <w:rFonts w:ascii="Cambria Math" w:eastAsia="Times New Roman" w:hAnsi="Cambria Math"/>
                      <w:sz w:val="24"/>
                      <w:szCs w:val="24"/>
                    </w:rPr>
                  </m:ctrlPr>
                </m:accPr>
                <m:e>
                  <m:r>
                    <w:rPr>
                      <w:rFonts w:ascii="Cambria Math" w:eastAsia="Times New Roman" w:hAnsi="Cambria Math"/>
                      <w:sz w:val="24"/>
                      <w:szCs w:val="24"/>
                    </w:rPr>
                    <m:t>θ</m:t>
                  </m:r>
                </m:e>
              </m:acc>
            </m:e>
            <m:sup>
              <m:r>
                <w:rPr>
                  <w:rFonts w:ascii="Cambria Math" w:eastAsia="Times New Roman" w:hAnsi="Cambria Math"/>
                  <w:sz w:val="24"/>
                  <w:szCs w:val="24"/>
                </w:rPr>
                <m:t>(i)</m:t>
              </m:r>
            </m:sup>
          </m:sSup>
          <m: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1</m:t>
              </m:r>
            </m:num>
            <m:den>
              <m:r>
                <w:rPr>
                  <w:rFonts w:ascii="Cambria Math" w:hAnsi="Cambria Math"/>
                  <w:sz w:val="24"/>
                  <w:szCs w:val="24"/>
                </w:rPr>
                <m:t>J</m:t>
              </m:r>
            </m:den>
          </m:f>
          <m:nary>
            <m:naryPr>
              <m:chr m:val="∑"/>
              <m:limLoc m:val="undOvr"/>
              <m:ctrlPr>
                <w:rPr>
                  <w:rFonts w:ascii="Cambria Math" w:hAnsi="Cambria Math"/>
                  <w:sz w:val="24"/>
                  <w:szCs w:val="24"/>
                </w:rPr>
              </m:ctrlPr>
            </m:naryPr>
            <m:sub>
              <m:r>
                <w:rPr>
                  <w:rFonts w:ascii="Cambria Math" w:hAnsi="Cambria Math"/>
                  <w:sz w:val="24"/>
                  <w:szCs w:val="24"/>
                </w:rPr>
                <m:t>j=1</m:t>
              </m:r>
            </m:sub>
            <m:sup>
              <m:r>
                <w:rPr>
                  <w:rFonts w:ascii="Cambria Math" w:hAnsi="Cambria Math"/>
                  <w:sz w:val="24"/>
                  <w:szCs w:val="24"/>
                </w:rPr>
                <m:t>J</m:t>
              </m:r>
            </m:sup>
            <m:e>
              <m:sSubSup>
                <m:sSubSupPr>
                  <m:ctrlPr>
                    <w:rPr>
                      <w:rFonts w:ascii="Cambria Math" w:hAnsi="Cambria Math"/>
                      <w:sz w:val="24"/>
                      <w:szCs w:val="24"/>
                    </w:rPr>
                  </m:ctrlPr>
                </m:sSubSupPr>
                <m:e>
                  <m:r>
                    <w:rPr>
                      <w:rFonts w:ascii="Cambria Math" w:hAnsi="Cambria Math"/>
                      <w:sz w:val="24"/>
                      <w:szCs w:val="24"/>
                    </w:rPr>
                    <m:t>θ</m:t>
                  </m:r>
                </m:e>
                <m:sub>
                  <m:r>
                    <w:rPr>
                      <w:rFonts w:ascii="Cambria Math" w:hAnsi="Cambria Math"/>
                      <w:sz w:val="24"/>
                      <w:szCs w:val="24"/>
                    </w:rPr>
                    <m:t>j</m:t>
                  </m:r>
                </m:sub>
                <m:sup>
                  <m:r>
                    <w:rPr>
                      <w:rFonts w:ascii="Cambria Math" w:hAnsi="Cambria Math"/>
                      <w:sz w:val="24"/>
                      <w:szCs w:val="24"/>
                    </w:rPr>
                    <m:t>(i)</m:t>
                  </m:r>
                </m:sup>
              </m:sSubSup>
            </m:e>
          </m:nary>
          <m:r>
            <w:rPr>
              <w:rFonts w:ascii="Cambria Math" w:hAnsi="Cambria Math"/>
              <w:sz w:val="24"/>
              <w:szCs w:val="24"/>
            </w:rPr>
            <m:t xml:space="preserve">. </m:t>
          </m:r>
        </m:oMath>
      </m:oMathPara>
    </w:p>
    <w:p w14:paraId="1451706F" w14:textId="77777777" w:rsidR="008B0BDF" w:rsidRPr="00D355E9" w:rsidRDefault="008B0BDF" w:rsidP="008B0BDF">
      <w:pPr>
        <w:autoSpaceDE w:val="0"/>
        <w:autoSpaceDN w:val="0"/>
        <w:adjustRightInd w:val="0"/>
        <w:spacing w:after="0" w:line="240" w:lineRule="auto"/>
        <w:rPr>
          <w:rFonts w:cstheme="minorHAnsi"/>
          <w:bCs/>
          <w:highlight w:val="darkCyan"/>
        </w:rPr>
      </w:pPr>
      <w:r w:rsidRPr="000F1DD0">
        <w:t xml:space="preserve">A 95% Bayesian probability interval for </w:t>
      </w:r>
      <m:oMath>
        <m:sSup>
          <m:sSupPr>
            <m:ctrlPr>
              <w:rPr>
                <w:rFonts w:ascii="Cambria Math" w:hAnsi="Cambria Math"/>
                <w:i/>
                <w:sz w:val="24"/>
                <w:szCs w:val="24"/>
              </w:rPr>
            </m:ctrlPr>
          </m:sSupPr>
          <m:e>
            <m:r>
              <w:rPr>
                <w:rFonts w:ascii="Cambria Math" w:eastAsia="Times New Roman" w:hAnsi="Cambria Math"/>
                <w:sz w:val="24"/>
                <w:szCs w:val="24"/>
              </w:rPr>
              <m:t>ρ</m:t>
            </m:r>
          </m:e>
          <m:sup>
            <m:r>
              <w:rPr>
                <w:rFonts w:ascii="Cambria Math" w:hAnsi="Cambria Math"/>
                <w:sz w:val="24"/>
                <w:szCs w:val="24"/>
              </w:rPr>
              <m:t>2</m:t>
            </m:r>
          </m:sup>
        </m:sSup>
      </m:oMath>
      <w:r w:rsidRPr="000F1DD0">
        <w:t>was obtained calculating the 2.5</w:t>
      </w:r>
      <w:r w:rsidRPr="007F2C5D">
        <w:rPr>
          <w:vertAlign w:val="superscript"/>
        </w:rPr>
        <w:t>th</w:t>
      </w:r>
      <w:r>
        <w:t xml:space="preserve"> </w:t>
      </w:r>
      <w:r w:rsidRPr="000F1DD0">
        <w:t>and 97.5</w:t>
      </w:r>
      <w:r w:rsidRPr="007F2C5D">
        <w:rPr>
          <w:vertAlign w:val="superscript"/>
        </w:rPr>
        <w:t>th</w:t>
      </w:r>
      <w:r>
        <w:t xml:space="preserve"> </w:t>
      </w:r>
      <w:r w:rsidRPr="000F1DD0">
        <w:t>percentiles of the set of numbers</w:t>
      </w:r>
      <m:oMath>
        <m:sSubSup>
          <m:sSubSupPr>
            <m:ctrlPr>
              <w:rPr>
                <w:rFonts w:ascii="Cambria Math" w:hAnsi="Cambria Math"/>
                <w:i/>
                <w:sz w:val="24"/>
                <w:szCs w:val="24"/>
              </w:rPr>
            </m:ctrlPr>
          </m:sSubSupPr>
          <m:e>
            <m:r>
              <w:rPr>
                <w:rFonts w:ascii="Cambria Math" w:hAnsi="Cambria Math"/>
                <w:sz w:val="24"/>
                <w:szCs w:val="24"/>
              </w:rPr>
              <m:t>ρ</m:t>
            </m:r>
          </m:e>
          <m:sub>
            <m:d>
              <m:dPr>
                <m:ctrlPr>
                  <w:rPr>
                    <w:rFonts w:ascii="Cambria Math" w:hAnsi="Cambria Math"/>
                    <w:i/>
                    <w:sz w:val="24"/>
                    <w:szCs w:val="24"/>
                  </w:rPr>
                </m:ctrlPr>
              </m:dPr>
              <m:e>
                <m:r>
                  <w:rPr>
                    <w:rFonts w:ascii="Cambria Math" w:hAnsi="Cambria Math"/>
                    <w:sz w:val="24"/>
                    <w:szCs w:val="24"/>
                  </w:rPr>
                  <m:t>1</m:t>
                </m:r>
              </m:e>
            </m:d>
            <m:r>
              <w:rPr>
                <w:rFonts w:ascii="Cambria Math" w:hAnsi="Cambria Math"/>
                <w:sz w:val="24"/>
                <w:szCs w:val="24"/>
              </w:rPr>
              <m:t>,</m:t>
            </m:r>
          </m:sub>
          <m:sup>
            <m:r>
              <w:rPr>
                <w:rFonts w:ascii="Cambria Math" w:hAnsi="Cambria Math"/>
                <w:sz w:val="24"/>
                <w:szCs w:val="24"/>
              </w:rPr>
              <m:t>2</m:t>
            </m:r>
          </m:sup>
        </m:sSubSup>
      </m:oMath>
      <w:r w:rsidRPr="000F1DD0">
        <w:t>…,</w:t>
      </w:r>
      <m:oMath>
        <m:sSubSup>
          <m:sSubSupPr>
            <m:ctrlPr>
              <w:rPr>
                <w:rFonts w:ascii="Cambria Math" w:hAnsi="Cambria Math"/>
                <w:i/>
                <w:sz w:val="24"/>
                <w:szCs w:val="24"/>
              </w:rPr>
            </m:ctrlPr>
          </m:sSubSupPr>
          <m:e>
            <m:r>
              <w:rPr>
                <w:rFonts w:ascii="Cambria Math" w:hAnsi="Cambria Math"/>
                <w:sz w:val="24"/>
                <w:szCs w:val="24"/>
              </w:rPr>
              <m:t>ρ</m:t>
            </m:r>
          </m:e>
          <m:sub>
            <m:d>
              <m:dPr>
                <m:ctrlPr>
                  <w:rPr>
                    <w:rFonts w:ascii="Cambria Math" w:hAnsi="Cambria Math"/>
                    <w:i/>
                    <w:sz w:val="24"/>
                    <w:szCs w:val="24"/>
                  </w:rPr>
                </m:ctrlPr>
              </m:dPr>
              <m:e>
                <m:r>
                  <w:rPr>
                    <w:rFonts w:ascii="Cambria Math" w:hAnsi="Cambria Math"/>
                    <w:sz w:val="24"/>
                    <w:szCs w:val="24"/>
                  </w:rPr>
                  <m:t>N</m:t>
                </m:r>
              </m:e>
            </m:d>
          </m:sub>
          <m:sup>
            <m:r>
              <w:rPr>
                <w:rFonts w:ascii="Cambria Math" w:hAnsi="Cambria Math"/>
                <w:sz w:val="24"/>
                <w:szCs w:val="24"/>
              </w:rPr>
              <m:t>2</m:t>
            </m:r>
          </m:sup>
        </m:sSubSup>
      </m:oMath>
      <w:r w:rsidRPr="000F1DD0">
        <w:t>.</w:t>
      </w:r>
    </w:p>
    <w:p w14:paraId="69C72506" w14:textId="77777777" w:rsidR="00E71BD8" w:rsidRPr="00A25024" w:rsidRDefault="00E71BD8" w:rsidP="008C54A9">
      <w:pPr>
        <w:autoSpaceDE w:val="0"/>
        <w:autoSpaceDN w:val="0"/>
        <w:adjustRightInd w:val="0"/>
        <w:spacing w:after="0" w:line="240" w:lineRule="auto"/>
        <w:rPr>
          <w:rFonts w:cstheme="minorHAnsi"/>
          <w:bCs/>
        </w:rPr>
      </w:pPr>
    </w:p>
    <w:p w14:paraId="0FB67DA1" w14:textId="77777777" w:rsidR="008C54A9" w:rsidRPr="00A25024" w:rsidRDefault="008C54A9" w:rsidP="008C54A9">
      <w:pPr>
        <w:autoSpaceDE w:val="0"/>
        <w:autoSpaceDN w:val="0"/>
        <w:adjustRightInd w:val="0"/>
        <w:spacing w:after="0" w:line="240" w:lineRule="auto"/>
        <w:rPr>
          <w:rFonts w:cstheme="minorHAnsi"/>
          <w:bCs/>
        </w:rPr>
      </w:pPr>
    </w:p>
    <w:p w14:paraId="7209E70A" w14:textId="77777777" w:rsidR="008B0BD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FE5D02">
        <w:rPr>
          <w:rFonts w:cstheme="minorHAnsi"/>
          <w:b/>
          <w:bCs/>
        </w:rPr>
        <w:t>W</w:t>
      </w:r>
      <w:r w:rsidR="00900DBF" w:rsidRPr="00A25024">
        <w:rPr>
          <w:rFonts w:cstheme="minorHAnsi"/>
          <w:b/>
          <w:bCs/>
        </w:rPr>
        <w:t>hat</w:t>
      </w:r>
      <w:proofErr w:type="gramEnd"/>
      <w:r w:rsidR="00900DBF" w:rsidRPr="00A25024">
        <w:rPr>
          <w:rFonts w:cstheme="minorHAnsi"/>
          <w:b/>
          <w:bCs/>
        </w:rPr>
        <w:t xml:space="preserve">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7DEAE06" w14:textId="77777777" w:rsidR="008B0BDF" w:rsidRDefault="008B0BDF" w:rsidP="008C54A9">
      <w:pPr>
        <w:autoSpaceDE w:val="0"/>
        <w:autoSpaceDN w:val="0"/>
        <w:adjustRightInd w:val="0"/>
        <w:spacing w:after="0" w:line="240" w:lineRule="auto"/>
        <w:rPr>
          <w:rFonts w:cstheme="minorHAnsi"/>
          <w:bCs/>
        </w:rPr>
      </w:pPr>
    </w:p>
    <w:p w14:paraId="44C6FFFC" w14:textId="77777777" w:rsidR="008B0BDF" w:rsidRPr="002276C4" w:rsidRDefault="008B0BDF" w:rsidP="008B0BDF">
      <w:pPr>
        <w:autoSpaceDE w:val="0"/>
        <w:autoSpaceDN w:val="0"/>
        <w:adjustRightInd w:val="0"/>
        <w:spacing w:after="0" w:line="240" w:lineRule="auto"/>
        <w:rPr>
          <w:bCs/>
        </w:rPr>
      </w:pPr>
      <w:r w:rsidRPr="0068079B">
        <w:rPr>
          <w:bCs/>
        </w:rPr>
        <w:t xml:space="preserve">The posterior mean of reliability is 0.50. The posterior median, lower and upper boundaries of 95% credible intervals are 0.50, 0.45, </w:t>
      </w:r>
      <w:proofErr w:type="gramStart"/>
      <w:r w:rsidRPr="0068079B">
        <w:rPr>
          <w:bCs/>
        </w:rPr>
        <w:t>0.55</w:t>
      </w:r>
      <w:proofErr w:type="gramEnd"/>
      <w:r w:rsidRPr="0068079B">
        <w:rPr>
          <w:bCs/>
        </w:rPr>
        <w:t>, respectively. The reliability is higher in participants with larger number of operations. The mean (95% credible interval) of reliability in participants with 50 or more operations (n = 372) is 0.62 (0.56, 0.67), and 0.67 (0.59, 0.74) in participants with 100 or more operations (n = 138).</w:t>
      </w:r>
    </w:p>
    <w:p w14:paraId="0FB67DA2" w14:textId="215749C1" w:rsidR="007422FD" w:rsidRPr="00A25024" w:rsidRDefault="007422FD" w:rsidP="008C54A9">
      <w:pPr>
        <w:autoSpaceDE w:val="0"/>
        <w:autoSpaceDN w:val="0"/>
        <w:adjustRightInd w:val="0"/>
        <w:spacing w:after="0" w:line="240" w:lineRule="auto"/>
        <w:rPr>
          <w:rFonts w:cstheme="minorHAnsi"/>
          <w:bCs/>
        </w:rPr>
      </w:pPr>
    </w:p>
    <w:p w14:paraId="0FB67DA3" w14:textId="77777777" w:rsidR="007422FD" w:rsidRDefault="00092566" w:rsidP="00DB3627">
      <w:pPr>
        <w:autoSpaceDE w:val="0"/>
        <w:autoSpaceDN w:val="0"/>
        <w:adjustRightInd w:val="0"/>
        <w:spacing w:after="0" w:line="240" w:lineRule="auto"/>
        <w:rPr>
          <w:rFonts w:cstheme="minorHAnsi"/>
          <w:bCs/>
        </w:rPr>
      </w:pPr>
      <w:r>
        <w:rPr>
          <w:rFonts w:cstheme="minorHAnsi"/>
          <w:b/>
          <w:bCs/>
        </w:rPr>
        <w:lastRenderedPageBreak/>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4904FF6A" w14:textId="77777777" w:rsidR="008B0BDF" w:rsidRDefault="008B0BDF" w:rsidP="008B0BDF">
      <w:pPr>
        <w:spacing w:after="0" w:line="240" w:lineRule="auto"/>
      </w:pPr>
      <w:r w:rsidRPr="006000E1">
        <w:t xml:space="preserve">Please see below for a </w:t>
      </w:r>
      <w:r>
        <w:t>figure illustrating the accuracy of the measured scores when the true reliability = 0.50. Because the true score for the AVR + CABG composite measure is unknown, we used simulated data with formula</w:t>
      </w:r>
    </w:p>
    <w:p w14:paraId="5FC76471" w14:textId="77777777" w:rsidR="008B0BDF" w:rsidRPr="008B0BDF" w:rsidRDefault="008B0BDF" w:rsidP="008B0BDF">
      <w:pPr>
        <w:spacing w:after="0" w:line="240" w:lineRule="auto"/>
        <w:jc w:val="center"/>
        <w:rPr>
          <w:sz w:val="24"/>
          <w:szCs w:val="24"/>
        </w:rPr>
      </w:pPr>
      <m:oMathPara>
        <m:oMathParaPr>
          <m:jc m:val="center"/>
        </m:oMathParaPr>
        <m:oMath>
          <m:r>
            <w:rPr>
              <w:rFonts w:ascii="Cambria Math" w:hAnsi="Cambria Math"/>
            </w:rPr>
            <m:t>MeasuredScor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r>
            <w:rPr>
              <w:rFonts w:ascii="Cambria Math" w:hAnsi="Cambria Math"/>
            </w:rPr>
            <m:t>=TrueScor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m:oMathPara>
    </w:p>
    <w:p w14:paraId="03E2C5EF" w14:textId="77777777" w:rsidR="008B0BDF" w:rsidRPr="006000E1" w:rsidRDefault="008B0BDF" w:rsidP="008B0BDF">
      <w:pPr>
        <w:spacing w:after="0" w:line="240" w:lineRule="auto"/>
        <w:jc w:val="center"/>
      </w:pPr>
    </w:p>
    <w:p w14:paraId="7F652235" w14:textId="77777777" w:rsidR="008B0BDF" w:rsidRDefault="008B0BDF" w:rsidP="008B0BDF">
      <w:pPr>
        <w:spacing w:after="0" w:line="240" w:lineRule="auto"/>
      </w:pPr>
      <w:r>
        <w:t xml:space="preserve">Where </w:t>
      </w:r>
      <w:proofErr w:type="spellStart"/>
      <w:r>
        <w:t>i</w:t>
      </w:r>
      <w:proofErr w:type="spellEnd"/>
      <w:r>
        <w:t xml:space="preserve"> indicates observations, </w:t>
      </w:r>
      <w:proofErr w:type="spellStart"/>
      <w:r>
        <w:t>i</w:t>
      </w:r>
      <w:proofErr w:type="spellEnd"/>
      <w:r>
        <w:t xml:space="preserve">=1 ... 933, </w:t>
      </w:r>
      <m:oMath>
        <m:r>
          <w:rPr>
            <w:rFonts w:ascii="Cambria Math" w:hAnsi="Cambria Math"/>
          </w:rPr>
          <m:t>TrueScor</m:t>
        </m:r>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w:r>
        <w:t xml:space="preserve"> and </w:t>
      </w:r>
      <m:oMath>
        <m:sSub>
          <m:sSubPr>
            <m:ctrlPr>
              <w:rPr>
                <w:rFonts w:ascii="Cambria Math" w:hAnsi="Cambria Math"/>
                <w:sz w:val="24"/>
                <w:szCs w:val="24"/>
              </w:rPr>
            </m:ctrlPr>
          </m:sSubPr>
          <m:e>
            <m:r>
              <w:rPr>
                <w:rFonts w:ascii="Cambria Math" w:hAnsi="Cambria Math"/>
              </w:rPr>
              <m:t>e</m:t>
            </m:r>
          </m:e>
          <m:sub>
            <m:r>
              <w:rPr>
                <w:rFonts w:ascii="Cambria Math" w:hAnsi="Cambria Math"/>
              </w:rPr>
              <m:t>i</m:t>
            </m:r>
          </m:sub>
        </m:sSub>
      </m:oMath>
      <w:r>
        <w:t xml:space="preserve"> both follow normal distributions. The standard deviations of the normal distributions were chosen such that the measure has a reliability of 0.50.</w:t>
      </w:r>
    </w:p>
    <w:p w14:paraId="65DE3F51" w14:textId="77777777" w:rsidR="008B0BDF" w:rsidRPr="006000E1" w:rsidRDefault="008B0BDF" w:rsidP="008B0BDF">
      <w:pPr>
        <w:spacing w:after="0" w:line="240" w:lineRule="auto"/>
        <w:rPr>
          <w:bCs/>
        </w:rPr>
      </w:pPr>
      <w:r>
        <w:rPr>
          <w:noProof/>
        </w:rPr>
        <w:drawing>
          <wp:inline distT="0" distB="0" distL="0" distR="0" wp14:anchorId="1A2FEE34" wp14:editId="55914299">
            <wp:extent cx="3581400" cy="3581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0" cy="3581400"/>
                    </a:xfrm>
                    <a:prstGeom prst="rect">
                      <a:avLst/>
                    </a:prstGeom>
                    <a:noFill/>
                    <a:ln>
                      <a:noFill/>
                    </a:ln>
                  </pic:spPr>
                </pic:pic>
              </a:graphicData>
            </a:graphic>
          </wp:inline>
        </w:drawing>
      </w:r>
    </w:p>
    <w:p w14:paraId="361E71EA" w14:textId="77777777" w:rsidR="008B0BDF" w:rsidRPr="00A25024" w:rsidRDefault="008B0BDF" w:rsidP="00DB3627">
      <w:pPr>
        <w:autoSpaceDE w:val="0"/>
        <w:autoSpaceDN w:val="0"/>
        <w:adjustRightInd w:val="0"/>
        <w:spacing w:after="0" w:line="240" w:lineRule="auto"/>
        <w:rPr>
          <w:rFonts w:cstheme="minorHAnsi"/>
          <w:bCs/>
        </w:rPr>
      </w:pPr>
    </w:p>
    <w:p w14:paraId="0FB67DA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0C5CEF30" w:rsidR="00F66E02" w:rsidRPr="000414E8" w:rsidRDefault="00860325" w:rsidP="00DB3627">
      <w:pPr>
        <w:autoSpaceDE w:val="0"/>
        <w:autoSpaceDN w:val="0"/>
        <w:adjustRightInd w:val="0"/>
        <w:spacing w:after="0" w:line="240" w:lineRule="auto"/>
        <w:rPr>
          <w:rFonts w:cstheme="minorHAnsi"/>
          <w:bCs/>
        </w:rPr>
      </w:pPr>
      <w:sdt>
        <w:sdtPr>
          <w:rPr>
            <w:rFonts w:cstheme="minorHAnsi"/>
            <w:bCs/>
            <w:color w:val="0000FF"/>
          </w:rPr>
          <w:id w:val="-297760991"/>
          <w14:checkbox>
            <w14:checked w14:val="0"/>
            <w14:checkedState w14:val="2612" w14:font="MS Gothic"/>
            <w14:uncheckedState w14:val="2610" w14:font="MS Gothic"/>
          </w14:checkbox>
        </w:sdtPr>
        <w:sdtEndPr/>
        <w:sdtContent>
          <w:r w:rsidR="00F66E02" w:rsidRPr="006574D2">
            <w:rPr>
              <w:rFonts w:ascii="MS Gothic" w:eastAsia="MS Gothic" w:cstheme="minorHAnsi" w:hint="eastAsia"/>
              <w:bCs/>
              <w:color w:val="0000FF"/>
            </w:rPr>
            <w:t>☐</w:t>
          </w:r>
        </w:sdtContent>
      </w:sdt>
      <w:r w:rsidR="00F66E02" w:rsidRPr="00A25024">
        <w:rPr>
          <w:rFonts w:eastAsia="MS Mincho" w:cstheme="minorHAnsi"/>
          <w:b/>
          <w:bCs/>
          <w:color w:val="0000FF"/>
        </w:rPr>
        <w:t xml:space="preserve"> </w:t>
      </w:r>
      <w:r w:rsidR="00F66E02">
        <w:rPr>
          <w:rFonts w:cstheme="minorHAnsi"/>
          <w:b/>
          <w:bCs/>
        </w:rPr>
        <w:t>C</w:t>
      </w:r>
      <w:r w:rsidR="00F66E02" w:rsidRPr="00A25024">
        <w:rPr>
          <w:rFonts w:cstheme="minorHAnsi"/>
          <w:b/>
          <w:bCs/>
        </w:rPr>
        <w:t>ritical data elements</w:t>
      </w:r>
      <w:r w:rsidR="00F66E02">
        <w:rPr>
          <w:rFonts w:cstheme="minorHAnsi"/>
          <w:b/>
          <w:bCs/>
        </w:rPr>
        <w:t xml:space="preserve"> </w:t>
      </w:r>
      <w:r w:rsidR="00F66E02">
        <w:rPr>
          <w:rFonts w:cstheme="minorHAnsi"/>
          <w:bCs/>
        </w:rPr>
        <w:t>(</w:t>
      </w:r>
      <w:r w:rsidR="00F66E02" w:rsidRPr="000414E8">
        <w:rPr>
          <w:rFonts w:cstheme="minorHAnsi"/>
          <w:bCs/>
          <w:i/>
        </w:rPr>
        <w:t>data element validity must address ALL critical data elements</w:t>
      </w:r>
      <w:r w:rsidR="00F66E02">
        <w:rPr>
          <w:rFonts w:cstheme="minorHAnsi"/>
          <w:bCs/>
        </w:rPr>
        <w:t>)</w:t>
      </w:r>
    </w:p>
    <w:p w14:paraId="0FB67DA8" w14:textId="7328B566" w:rsidR="00696262" w:rsidRPr="00A25024" w:rsidRDefault="0086032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5328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FE5D02">
        <w:rPr>
          <w:rFonts w:eastAsia="MS Gothic" w:cstheme="minorHAnsi"/>
          <w:b/>
          <w:bCs/>
        </w:rPr>
        <w:t>Composite p</w:t>
      </w:r>
      <w:r w:rsidR="00FE5D02" w:rsidRPr="00A25024">
        <w:rPr>
          <w:rFonts w:eastAsia="MS Gothic" w:cstheme="minorHAnsi"/>
          <w:b/>
          <w:bCs/>
        </w:rPr>
        <w:t xml:space="preserve">erformance </w:t>
      </w:r>
      <w:r w:rsidR="00696262" w:rsidRPr="00A25024">
        <w:rPr>
          <w:rFonts w:cstheme="minorHAnsi"/>
          <w:b/>
          <w:bCs/>
        </w:rPr>
        <w:t>measure score</w:t>
      </w:r>
    </w:p>
    <w:p w14:paraId="0FB67DA9" w14:textId="510D87CB" w:rsidR="000574AB" w:rsidRDefault="00860325"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53282">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53282">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w:t>
      </w:r>
      <w:r w:rsidR="00A41377" w:rsidRPr="00A25024">
        <w:rPr>
          <w:rFonts w:eastAsia="MS Gothic" w:cstheme="minorHAnsi"/>
          <w:bCs/>
          <w:i/>
        </w:rPr>
        <w:lastRenderedPageBreak/>
        <w:t xml:space="preserve">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77777777" w:rsidR="00FE5D02" w:rsidRPr="00FC5DE1" w:rsidRDefault="00860325" w:rsidP="00FE5D02">
      <w:pPr>
        <w:autoSpaceDE w:val="0"/>
        <w:autoSpaceDN w:val="0"/>
        <w:adjustRightInd w:val="0"/>
        <w:spacing w:after="0" w:line="240" w:lineRule="auto"/>
        <w:rPr>
          <w:rFonts w:cstheme="minorHAnsi"/>
          <w:bCs/>
          <w:i/>
        </w:rPr>
      </w:pPr>
      <w:sdt>
        <w:sdtPr>
          <w:rPr>
            <w:rFonts w:cstheme="minorHAnsi"/>
            <w:bCs/>
            <w:color w:val="0000FF"/>
          </w:rPr>
          <w:id w:val="141027604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Validity testing for component measures </w:t>
      </w:r>
      <w:r w:rsidR="00FE5D02" w:rsidRPr="00FC5DE1">
        <w:rPr>
          <w:rFonts w:cstheme="minorHAnsi"/>
          <w:bCs/>
          <w:i/>
        </w:rPr>
        <w:t>(check all that apply)</w:t>
      </w:r>
    </w:p>
    <w:p w14:paraId="0FB67DAC" w14:textId="77777777" w:rsidR="00FE5D02" w:rsidRPr="00FC5DE1" w:rsidRDefault="00FE5D02" w:rsidP="00FE5D02">
      <w:pPr>
        <w:autoSpaceDE w:val="0"/>
        <w:autoSpaceDN w:val="0"/>
        <w:adjustRightInd w:val="0"/>
        <w:spacing w:after="0" w:line="240" w:lineRule="auto"/>
        <w:ind w:left="270"/>
        <w:rPr>
          <w:rFonts w:cstheme="minorHAnsi"/>
          <w:bCs/>
          <w:i/>
        </w:rPr>
      </w:pPr>
      <w:r w:rsidRPr="00FC5DE1">
        <w:rPr>
          <w:rFonts w:cstheme="minorHAnsi"/>
          <w:b/>
          <w:bCs/>
          <w:i/>
        </w:rPr>
        <w:t>Note</w:t>
      </w:r>
      <w:r w:rsidRPr="00FC5DE1">
        <w:rPr>
          <w:rFonts w:cstheme="minorHAnsi"/>
          <w:bCs/>
          <w:i/>
        </w:rPr>
        <w:t>:  applies to ALL component measures, unless already endorsed or are being submitted for individual endorsement.</w:t>
      </w:r>
    </w:p>
    <w:p w14:paraId="0FB67DAD" w14:textId="77777777" w:rsidR="00FE5D02" w:rsidRPr="00FC5DE1" w:rsidRDefault="00860325" w:rsidP="00FE5D02">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77777777" w:rsidR="00FE5D02" w:rsidRPr="00FC5DE1" w:rsidRDefault="00860325" w:rsidP="00FE5D02">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Critical data elements </w:t>
      </w:r>
      <w:r w:rsidR="00FE5D02" w:rsidRPr="00FC5DE1">
        <w:rPr>
          <w:rFonts w:cstheme="minorHAnsi"/>
          <w:bCs/>
        </w:rPr>
        <w:t>(</w:t>
      </w:r>
      <w:r w:rsidR="00FE5D02" w:rsidRPr="00FC5DE1">
        <w:rPr>
          <w:rFonts w:cstheme="minorHAnsi"/>
          <w:bCs/>
          <w:i/>
        </w:rPr>
        <w:t>data element validity must address ALL critical data elements</w:t>
      </w:r>
      <w:r w:rsidR="00FE5D02" w:rsidRPr="00FC5DE1">
        <w:rPr>
          <w:rFonts w:cstheme="minorHAnsi"/>
          <w:bCs/>
        </w:rPr>
        <w:t>)</w:t>
      </w:r>
    </w:p>
    <w:p w14:paraId="0FB67DAF" w14:textId="77777777" w:rsidR="00FE5D02" w:rsidRPr="00FC5DE1" w:rsidRDefault="00860325" w:rsidP="00FE5D02">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0" w14:textId="77777777" w:rsidR="00CA06D8" w:rsidRPr="00A25024" w:rsidRDefault="00860325" w:rsidP="00861D72">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 xml:space="preserve">i.e., is an accurate reflection of performance on quality or resource use and can distinguish </w:t>
      </w:r>
      <w:proofErr w:type="gramStart"/>
      <w:r w:rsidR="00FE5D02" w:rsidRPr="00FC5DE1">
        <w:rPr>
          <w:rFonts w:eastAsia="MS Gothic" w:cstheme="minorHAnsi"/>
          <w:bCs/>
          <w:i/>
        </w:rPr>
        <w:t>good</w:t>
      </w:r>
      <w:proofErr w:type="gramEnd"/>
      <w:r w:rsidR="00FE5D02" w:rsidRPr="00FC5DE1">
        <w:rPr>
          <w:rFonts w:eastAsia="MS Gothic" w:cstheme="minorHAnsi"/>
          <w:bCs/>
          <w:i/>
        </w:rPr>
        <w:t xml:space="preserve"> from poor performance</w:t>
      </w:r>
      <w:r w:rsidR="00FE5D02" w:rsidRPr="00FC5DE1">
        <w:rPr>
          <w:rFonts w:eastAsia="MS Gothic" w:cstheme="minorHAnsi"/>
          <w:bCs/>
        </w:rPr>
        <w:t>)</w:t>
      </w:r>
    </w:p>
    <w:p w14:paraId="0FB67DB1" w14:textId="77777777" w:rsidR="00D50704" w:rsidRPr="00A25024" w:rsidRDefault="00D50704" w:rsidP="00DB3627">
      <w:pPr>
        <w:autoSpaceDE w:val="0"/>
        <w:autoSpaceDN w:val="0"/>
        <w:adjustRightInd w:val="0"/>
        <w:spacing w:after="0" w:line="240" w:lineRule="auto"/>
        <w:rPr>
          <w:rFonts w:cstheme="minorHAnsi"/>
          <w:bCs/>
        </w:rPr>
      </w:pPr>
    </w:p>
    <w:p w14:paraId="6409A29F" w14:textId="77777777" w:rsidR="00753282" w:rsidRDefault="00A564F9" w:rsidP="00DB3627">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7103DCF5" w14:textId="77777777" w:rsidR="00753282" w:rsidRDefault="00753282" w:rsidP="00DB3627">
      <w:pPr>
        <w:autoSpaceDE w:val="0"/>
        <w:autoSpaceDN w:val="0"/>
        <w:adjustRightInd w:val="0"/>
        <w:spacing w:after="0" w:line="240" w:lineRule="auto"/>
        <w:rPr>
          <w:rFonts w:cstheme="minorHAnsi"/>
          <w:bCs/>
          <w:i/>
        </w:rPr>
      </w:pPr>
    </w:p>
    <w:p w14:paraId="3C40962B" w14:textId="77777777" w:rsidR="00753282" w:rsidRPr="00984622" w:rsidRDefault="00753282" w:rsidP="00753282">
      <w:pPr>
        <w:autoSpaceDE w:val="0"/>
        <w:autoSpaceDN w:val="0"/>
        <w:adjustRightInd w:val="0"/>
        <w:spacing w:after="0" w:line="240" w:lineRule="auto"/>
        <w:rPr>
          <w:rFonts w:cstheme="minorHAnsi"/>
          <w:b/>
          <w:bCs/>
          <w:u w:val="single"/>
        </w:rPr>
      </w:pPr>
      <w:r w:rsidRPr="00984622">
        <w:rPr>
          <w:rFonts w:cstheme="minorHAnsi"/>
          <w:b/>
          <w:bCs/>
          <w:u w:val="single"/>
        </w:rPr>
        <w:t xml:space="preserve">Empirical validity testing </w:t>
      </w:r>
    </w:p>
    <w:p w14:paraId="14CDD082" w14:textId="77777777" w:rsidR="00753282" w:rsidRDefault="00753282" w:rsidP="00753282">
      <w:pPr>
        <w:autoSpaceDE w:val="0"/>
        <w:autoSpaceDN w:val="0"/>
        <w:adjustRightInd w:val="0"/>
        <w:spacing w:after="0" w:line="240" w:lineRule="auto"/>
        <w:rPr>
          <w:bCs/>
        </w:rPr>
      </w:pPr>
      <w:r w:rsidRPr="0029628A">
        <w:rPr>
          <w:bCs/>
        </w:rPr>
        <w:t>We tested the predictive validity of the composite measure. Predictive validity means that the results of this measure are predictive of future performance. We assessed the extent to which performance on the STS composite measure remains stable over time. In other words, does the composite score performed at one point in time accurately predict performance at some later time?</w:t>
      </w:r>
      <w:r>
        <w:rPr>
          <w:bCs/>
        </w:rPr>
        <w:t xml:space="preserve">  Due to the fact that STS has only reported the AVR + CABG composite measure to its participants in its latest harvest report, we compared the results from harvest data used for model development (Fall 2012) with the latest harvest results. </w:t>
      </w:r>
    </w:p>
    <w:p w14:paraId="36C4B962" w14:textId="77777777" w:rsidR="00753282" w:rsidRPr="00984622" w:rsidRDefault="00753282" w:rsidP="00753282">
      <w:pPr>
        <w:autoSpaceDE w:val="0"/>
        <w:autoSpaceDN w:val="0"/>
        <w:adjustRightInd w:val="0"/>
        <w:spacing w:after="0" w:line="240" w:lineRule="auto"/>
        <w:rPr>
          <w:rFonts w:cstheme="minorHAnsi"/>
          <w:bCs/>
          <w:u w:val="single"/>
        </w:rPr>
      </w:pPr>
    </w:p>
    <w:p w14:paraId="3408BA3F" w14:textId="77777777" w:rsidR="00753282" w:rsidRPr="00984622" w:rsidRDefault="00753282" w:rsidP="00753282">
      <w:pPr>
        <w:autoSpaceDE w:val="0"/>
        <w:autoSpaceDN w:val="0"/>
        <w:adjustRightInd w:val="0"/>
        <w:spacing w:after="0" w:line="240" w:lineRule="auto"/>
        <w:rPr>
          <w:rFonts w:cstheme="minorHAnsi"/>
          <w:b/>
          <w:bCs/>
          <w:u w:val="single"/>
        </w:rPr>
      </w:pPr>
      <w:r w:rsidRPr="00984622">
        <w:rPr>
          <w:rFonts w:cstheme="minorHAnsi"/>
          <w:b/>
          <w:bCs/>
          <w:u w:val="single"/>
        </w:rPr>
        <w:t>Face validity</w:t>
      </w:r>
    </w:p>
    <w:p w14:paraId="4DDDCDF7" w14:textId="77777777" w:rsidR="00753282" w:rsidRPr="00984622" w:rsidRDefault="00753282" w:rsidP="00753282">
      <w:pPr>
        <w:autoSpaceDE w:val="0"/>
        <w:autoSpaceDN w:val="0"/>
        <w:adjustRightInd w:val="0"/>
        <w:spacing w:after="0" w:line="240" w:lineRule="auto"/>
        <w:rPr>
          <w:rFonts w:cstheme="minorHAnsi"/>
          <w:bCs/>
        </w:rPr>
      </w:pPr>
      <w:r w:rsidRPr="00984622">
        <w:rPr>
          <w:rFonts w:cstheme="minorHAnsi"/>
          <w:bCs/>
        </w:rPr>
        <w:t>Face validity implies that the measure is regarded as useful and valid by its intended users, including providers, consumers, payers, and regulators. The composite measure was developed with a panel of surgeon experts and statisticians. We have had near-universal acceptance of this composite by all stakeholders since it was implemented.</w:t>
      </w:r>
    </w:p>
    <w:p w14:paraId="513356B8" w14:textId="77777777" w:rsidR="00753282" w:rsidRPr="00984622" w:rsidRDefault="00753282" w:rsidP="00753282">
      <w:pPr>
        <w:autoSpaceDE w:val="0"/>
        <w:autoSpaceDN w:val="0"/>
        <w:adjustRightInd w:val="0"/>
        <w:spacing w:after="0" w:line="240" w:lineRule="auto"/>
        <w:rPr>
          <w:rFonts w:cstheme="minorHAnsi"/>
          <w:bCs/>
          <w:u w:val="single"/>
        </w:rPr>
      </w:pPr>
    </w:p>
    <w:p w14:paraId="3992B074" w14:textId="77777777" w:rsidR="00753282" w:rsidRPr="00984622" w:rsidRDefault="00753282" w:rsidP="00753282">
      <w:pPr>
        <w:autoSpaceDE w:val="0"/>
        <w:autoSpaceDN w:val="0"/>
        <w:adjustRightInd w:val="0"/>
        <w:spacing w:after="0" w:line="240" w:lineRule="auto"/>
        <w:rPr>
          <w:rFonts w:cstheme="minorHAnsi"/>
          <w:b/>
          <w:bCs/>
          <w:u w:val="single"/>
        </w:rPr>
      </w:pPr>
      <w:r w:rsidRPr="00984622">
        <w:rPr>
          <w:rFonts w:cstheme="minorHAnsi"/>
          <w:b/>
          <w:bCs/>
          <w:u w:val="single"/>
        </w:rPr>
        <w:t>Content validity</w:t>
      </w:r>
    </w:p>
    <w:p w14:paraId="4B88234A" w14:textId="77777777" w:rsidR="00753282" w:rsidRPr="00984622" w:rsidRDefault="00753282" w:rsidP="00753282">
      <w:pPr>
        <w:autoSpaceDE w:val="0"/>
        <w:autoSpaceDN w:val="0"/>
        <w:adjustRightInd w:val="0"/>
        <w:spacing w:after="0" w:line="240" w:lineRule="auto"/>
        <w:rPr>
          <w:rFonts w:cstheme="minorHAnsi"/>
          <w:bCs/>
        </w:rPr>
      </w:pPr>
      <w:r w:rsidRPr="00984622">
        <w:rPr>
          <w:rFonts w:cstheme="minorHAnsi"/>
          <w:bCs/>
        </w:rPr>
        <w:t>Content validity means that the composite measure includes all of the essential dimensions of the underlying concept. STS believes that the measures in the composite are broadly representative of the latent construct “AVR + CABG quality”.</w:t>
      </w:r>
    </w:p>
    <w:p w14:paraId="40BE9CDC" w14:textId="77777777" w:rsidR="00753282" w:rsidRPr="00984622" w:rsidRDefault="00753282" w:rsidP="00753282">
      <w:pPr>
        <w:autoSpaceDE w:val="0"/>
        <w:autoSpaceDN w:val="0"/>
        <w:adjustRightInd w:val="0"/>
        <w:spacing w:after="0" w:line="240" w:lineRule="auto"/>
        <w:rPr>
          <w:rFonts w:cstheme="minorHAnsi"/>
          <w:bCs/>
        </w:rPr>
      </w:pPr>
    </w:p>
    <w:p w14:paraId="6B9468A1" w14:textId="77777777" w:rsidR="00753282" w:rsidRPr="00984622" w:rsidRDefault="00753282" w:rsidP="00753282">
      <w:pPr>
        <w:autoSpaceDE w:val="0"/>
        <w:autoSpaceDN w:val="0"/>
        <w:adjustRightInd w:val="0"/>
        <w:spacing w:after="0" w:line="240" w:lineRule="auto"/>
        <w:rPr>
          <w:rFonts w:cstheme="minorHAnsi"/>
          <w:bCs/>
        </w:rPr>
      </w:pPr>
      <w:r w:rsidRPr="00984622">
        <w:rPr>
          <w:rFonts w:cstheme="minorHAnsi"/>
          <w:bCs/>
        </w:rPr>
        <w:t>The tests on validity used the concept of performance outliers to be more formally introduced in 2b5: Participants were labeled as “better than average outliers” if it was at least 95% certain that the participant’s true composite score was better than the overall STS average composite score. Participants were labeled as “worse than average outliers” if it was at least 95% certain the participant’s true composite score was worse than the overall STS average composite score. Participants were labeled as better than average (3 stars), worse than average (1 star), and indistinguishable from the average (2 stars).</w:t>
      </w:r>
    </w:p>
    <w:p w14:paraId="0FB67DB2" w14:textId="377ED7FC" w:rsidR="00833325" w:rsidRPr="00A25024" w:rsidRDefault="00833325" w:rsidP="00DB3627">
      <w:pPr>
        <w:autoSpaceDE w:val="0"/>
        <w:autoSpaceDN w:val="0"/>
        <w:adjustRightInd w:val="0"/>
        <w:spacing w:after="0" w:line="240" w:lineRule="auto"/>
        <w:rPr>
          <w:rFonts w:cstheme="minorHAnsi"/>
          <w:bCs/>
        </w:rPr>
      </w:pPr>
    </w:p>
    <w:p w14:paraId="0FB67DB3" w14:textId="77777777" w:rsidR="00833325" w:rsidRPr="00A25024" w:rsidRDefault="00833325" w:rsidP="00DB3627">
      <w:pPr>
        <w:autoSpaceDE w:val="0"/>
        <w:autoSpaceDN w:val="0"/>
        <w:adjustRightInd w:val="0"/>
        <w:spacing w:after="0" w:line="240" w:lineRule="auto"/>
        <w:rPr>
          <w:rFonts w:cstheme="minorHAnsi"/>
          <w:bCs/>
        </w:rPr>
      </w:pPr>
    </w:p>
    <w:p w14:paraId="0FB67DB4" w14:textId="1404F996" w:rsidR="007422FD" w:rsidRDefault="00A564F9" w:rsidP="00092566">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6002854" w14:textId="77777777" w:rsidR="00753282" w:rsidRPr="00984622" w:rsidRDefault="00753282" w:rsidP="00753282">
      <w:pPr>
        <w:autoSpaceDE w:val="0"/>
        <w:autoSpaceDN w:val="0"/>
        <w:adjustRightInd w:val="0"/>
        <w:spacing w:after="0" w:line="240" w:lineRule="auto"/>
        <w:rPr>
          <w:rFonts w:eastAsia="Cambria" w:cstheme="minorHAnsi"/>
          <w:b/>
        </w:rPr>
      </w:pPr>
      <w:r w:rsidRPr="00984622">
        <w:rPr>
          <w:rFonts w:eastAsia="Cambria" w:cstheme="minorHAnsi"/>
          <w:b/>
          <w:u w:val="single"/>
        </w:rPr>
        <w:t>Empirical Validity</w:t>
      </w:r>
    </w:p>
    <w:p w14:paraId="1F17E58D" w14:textId="77777777" w:rsidR="00753282" w:rsidRPr="00984622" w:rsidRDefault="00753282" w:rsidP="00753282">
      <w:pPr>
        <w:spacing w:after="0" w:line="240" w:lineRule="auto"/>
        <w:rPr>
          <w:rFonts w:eastAsia="Cambria" w:cstheme="minorHAnsi"/>
        </w:rPr>
      </w:pPr>
      <w:r w:rsidRPr="00125E68">
        <w:rPr>
          <w:rFonts w:eastAsia="Cambria" w:cstheme="minorHAnsi"/>
        </w:rPr>
        <w:t xml:space="preserve">The analysis was restricted to a sample of 890 STS participants who participated and received a composite score in the harvest for the measure development (Fall 2012) and in the only harvest period for which the AVR + CABG composite score was reported to the STS participants (Fall 2013). Among participants who received a 3-star rating in </w:t>
      </w:r>
      <w:proofErr w:type="gramStart"/>
      <w:r w:rsidRPr="00125E68">
        <w:rPr>
          <w:rFonts w:eastAsia="Cambria" w:cstheme="minorHAnsi"/>
        </w:rPr>
        <w:t>Fall</w:t>
      </w:r>
      <w:proofErr w:type="gramEnd"/>
      <w:r w:rsidRPr="00125E68">
        <w:rPr>
          <w:rFonts w:eastAsia="Cambria" w:cstheme="minorHAnsi"/>
        </w:rPr>
        <w:t xml:space="preserve"> 2012, 66.1% of them also received a 3-star rating for Fall 2013. For comparison, only 2.4% of participants who received a 2-star rating in </w:t>
      </w:r>
      <w:proofErr w:type="gramStart"/>
      <w:r w:rsidRPr="00125E68">
        <w:rPr>
          <w:rFonts w:eastAsia="Cambria" w:cstheme="minorHAnsi"/>
        </w:rPr>
        <w:t>Fall</w:t>
      </w:r>
      <w:proofErr w:type="gramEnd"/>
      <w:r w:rsidRPr="00125E68">
        <w:rPr>
          <w:rFonts w:eastAsia="Cambria" w:cstheme="minorHAnsi"/>
        </w:rPr>
        <w:t xml:space="preserve"> 2012 received a 3-star rating in Fall 2013. Thus, participants who performed above average in </w:t>
      </w:r>
      <w:proofErr w:type="gramStart"/>
      <w:r w:rsidRPr="00125E68">
        <w:rPr>
          <w:rFonts w:eastAsia="Cambria" w:cstheme="minorHAnsi"/>
        </w:rPr>
        <w:t>Fall</w:t>
      </w:r>
      <w:proofErr w:type="gramEnd"/>
      <w:r w:rsidRPr="00125E68">
        <w:rPr>
          <w:rFonts w:eastAsia="Cambria" w:cstheme="minorHAnsi"/>
        </w:rPr>
        <w:t xml:space="preserve"> 2012 were over 28 times more likely to be identified as above average one year later. Similarly, participants who were 1 star in </w:t>
      </w:r>
      <w:proofErr w:type="gramStart"/>
      <w:r w:rsidRPr="00125E68">
        <w:rPr>
          <w:rFonts w:eastAsia="Cambria" w:cstheme="minorHAnsi"/>
        </w:rPr>
        <w:t>Fall</w:t>
      </w:r>
      <w:proofErr w:type="gramEnd"/>
      <w:r w:rsidRPr="00125E68">
        <w:rPr>
          <w:rFonts w:eastAsia="Cambria" w:cstheme="minorHAnsi"/>
        </w:rPr>
        <w:t xml:space="preserve"> 2012 were more likely to be 1 star in Fall 2013. No participant changed from 1 star to 3 star status (or vice versa) between the two time period</w:t>
      </w:r>
      <w:r>
        <w:rPr>
          <w:rFonts w:eastAsia="Cambria" w:cstheme="minorHAnsi"/>
        </w:rPr>
        <w:t>s</w:t>
      </w:r>
      <w:r w:rsidRPr="00125E68">
        <w:rPr>
          <w:rFonts w:eastAsia="Cambria" w:cstheme="minorHAnsi"/>
        </w:rPr>
        <w:t xml:space="preserve">. Overall, change by one star class occurred about 5%-10% of the time (7.9 for </w:t>
      </w:r>
      <w:proofErr w:type="gramStart"/>
      <w:r w:rsidRPr="00125E68">
        <w:rPr>
          <w:rFonts w:eastAsia="Cambria" w:cstheme="minorHAnsi"/>
        </w:rPr>
        <w:t>Fall</w:t>
      </w:r>
      <w:proofErr w:type="gramEnd"/>
      <w:r w:rsidRPr="00125E68">
        <w:rPr>
          <w:rFonts w:eastAsia="Cambria" w:cstheme="minorHAnsi"/>
        </w:rPr>
        <w:t xml:space="preserve"> 2013 harvest). Plus our experience shows that change of two star classes was extremely rare. Thus, a consumer may reasonably expect that an above or below average score will likely be the same or average in the near future, and an average score is likely to remain average about 90% of the time.</w:t>
      </w:r>
    </w:p>
    <w:p w14:paraId="72CE0D30" w14:textId="77777777" w:rsidR="00753282" w:rsidRDefault="00753282" w:rsidP="00753282">
      <w:pPr>
        <w:spacing w:after="0" w:line="240" w:lineRule="auto"/>
        <w:rPr>
          <w:rFonts w:eastAsia="Cambria" w:cstheme="minorHAnsi"/>
          <w:b/>
          <w:u w:val="single"/>
        </w:rPr>
      </w:pPr>
    </w:p>
    <w:p w14:paraId="65DCE8C4" w14:textId="77777777" w:rsidR="00753282" w:rsidRPr="00984622" w:rsidRDefault="00753282" w:rsidP="00753282">
      <w:pPr>
        <w:spacing w:after="0" w:line="240" w:lineRule="auto"/>
        <w:rPr>
          <w:rFonts w:eastAsia="Cambria" w:cstheme="minorHAnsi"/>
          <w:u w:val="single"/>
        </w:rPr>
      </w:pPr>
      <w:r w:rsidRPr="00984622">
        <w:rPr>
          <w:rFonts w:eastAsia="Cambria" w:cstheme="minorHAnsi"/>
          <w:b/>
          <w:u w:val="single"/>
        </w:rPr>
        <w:t>Content Validity</w:t>
      </w:r>
      <w:r w:rsidRPr="00984622">
        <w:rPr>
          <w:rFonts w:eastAsia="Cambria" w:cstheme="minorHAnsi"/>
          <w:u w:val="single"/>
        </w:rPr>
        <w:t xml:space="preserve"> </w:t>
      </w:r>
    </w:p>
    <w:p w14:paraId="66DA8AA2" w14:textId="77777777" w:rsidR="00753282" w:rsidRPr="00984622" w:rsidRDefault="00753282" w:rsidP="00753282">
      <w:pPr>
        <w:spacing w:after="0" w:line="240" w:lineRule="auto"/>
        <w:rPr>
          <w:rFonts w:eastAsia="Cambria" w:cstheme="minorHAnsi"/>
        </w:rPr>
      </w:pPr>
      <w:r w:rsidRPr="00394724">
        <w:rPr>
          <w:rFonts w:eastAsia="Cambria" w:cstheme="minorHAnsi"/>
        </w:rPr>
        <w:t>STS participants deemed better by the composite scores have (on average) higher performance on each individual domain of the composite measure. Thus, differences in performance were clinically meaningful as well as statistically significant. Compared to participants receiving 1 star, those with 3 stars had better estimated performance for each individual domain of the composite score. This is illustrated in the figure below using data from</w:t>
      </w:r>
      <w:r>
        <w:rPr>
          <w:rFonts w:eastAsia="Cambria" w:cstheme="minorHAnsi"/>
        </w:rPr>
        <w:t xml:space="preserve"> the</w:t>
      </w:r>
      <w:r w:rsidRPr="00394724">
        <w:rPr>
          <w:rFonts w:eastAsia="Cambria" w:cstheme="minorHAnsi"/>
        </w:rPr>
        <w:t xml:space="preserve"> </w:t>
      </w:r>
      <w:proofErr w:type="gramStart"/>
      <w:r w:rsidRPr="00394724">
        <w:rPr>
          <w:rFonts w:eastAsia="Cambria" w:cstheme="minorHAnsi"/>
        </w:rPr>
        <w:t>Fall</w:t>
      </w:r>
      <w:proofErr w:type="gramEnd"/>
      <w:r w:rsidRPr="00394724">
        <w:rPr>
          <w:rFonts w:eastAsia="Cambria" w:cstheme="minorHAnsi"/>
        </w:rPr>
        <w:t xml:space="preserve"> 2013 harvest (July 2010 - June 2013). Compared to participants receiving 1 star, those with 3 stars had lower risk-adjusted mortality (2.0% vs. 9.7%) and lower risk-adjusted morbidity (13.9% vs. 39.2%).</w:t>
      </w:r>
    </w:p>
    <w:p w14:paraId="6905441D" w14:textId="77777777" w:rsidR="00753282" w:rsidRPr="00984622" w:rsidRDefault="00753282" w:rsidP="00753282">
      <w:pPr>
        <w:ind w:left="360"/>
        <w:rPr>
          <w:rFonts w:ascii="Cambria" w:eastAsia="Cambria" w:hAnsi="Cambria" w:cs="Times New Roman"/>
        </w:rPr>
      </w:pPr>
      <w:r>
        <w:rPr>
          <w:noProof/>
        </w:rPr>
        <w:drawing>
          <wp:inline distT="0" distB="0" distL="0" distR="0" wp14:anchorId="0A12EF85" wp14:editId="137B72C6">
            <wp:extent cx="5010150" cy="3751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3046" cy="3753918"/>
                    </a:xfrm>
                    <a:prstGeom prst="rect">
                      <a:avLst/>
                    </a:prstGeom>
                    <a:noFill/>
                    <a:ln>
                      <a:noFill/>
                    </a:ln>
                  </pic:spPr>
                </pic:pic>
              </a:graphicData>
            </a:graphic>
          </wp:inline>
        </w:drawing>
      </w:r>
    </w:p>
    <w:p w14:paraId="4004F437" w14:textId="77777777" w:rsidR="00753282" w:rsidRDefault="00A564F9" w:rsidP="00DB3627">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0805B579" w14:textId="77777777" w:rsidR="00753282" w:rsidRDefault="00753282" w:rsidP="00DB3627">
      <w:pPr>
        <w:autoSpaceDE w:val="0"/>
        <w:autoSpaceDN w:val="0"/>
        <w:adjustRightInd w:val="0"/>
        <w:spacing w:after="0" w:line="240" w:lineRule="auto"/>
        <w:rPr>
          <w:rFonts w:cstheme="minorHAnsi"/>
          <w:bCs/>
        </w:rPr>
      </w:pPr>
    </w:p>
    <w:p w14:paraId="5E0F92C3" w14:textId="77777777" w:rsidR="00753282" w:rsidRPr="00394724" w:rsidRDefault="00753282" w:rsidP="00753282">
      <w:pPr>
        <w:autoSpaceDE w:val="0"/>
        <w:autoSpaceDN w:val="0"/>
        <w:adjustRightInd w:val="0"/>
        <w:spacing w:after="0" w:line="240" w:lineRule="auto"/>
        <w:rPr>
          <w:bCs/>
        </w:rPr>
      </w:pPr>
      <w:r w:rsidRPr="00394724">
        <w:rPr>
          <w:bCs/>
        </w:rPr>
        <w:t xml:space="preserve">The test results </w:t>
      </w:r>
      <w:r>
        <w:rPr>
          <w:bCs/>
        </w:rPr>
        <w:t>demonstrate</w:t>
      </w:r>
      <w:r w:rsidRPr="00394724">
        <w:rPr>
          <w:bCs/>
        </w:rPr>
        <w:t xml:space="preserve"> that the composite measure encompasses both mortality and morbidity performances as designed, and that the past measure can be used to predict future performance.  T</w:t>
      </w:r>
      <w:r>
        <w:rPr>
          <w:bCs/>
        </w:rPr>
        <w:t>ogether with face value, this</w:t>
      </w:r>
      <w:r w:rsidRPr="00394724">
        <w:rPr>
          <w:bCs/>
        </w:rPr>
        <w:t xml:space="preserve"> support</w:t>
      </w:r>
      <w:r>
        <w:rPr>
          <w:bCs/>
        </w:rPr>
        <w:t>s</w:t>
      </w:r>
      <w:r w:rsidRPr="00394724">
        <w:rPr>
          <w:bCs/>
        </w:rPr>
        <w:t xml:space="preserve"> the validity of the STS AVR + CABG composite measure as a quality measure for AVR + CABG</w:t>
      </w:r>
      <w:r>
        <w:rPr>
          <w:bCs/>
        </w:rPr>
        <w:t xml:space="preserve"> surgery</w:t>
      </w:r>
      <w:r w:rsidRPr="00394724">
        <w:rPr>
          <w:bCs/>
        </w:rPr>
        <w:t>.</w:t>
      </w:r>
    </w:p>
    <w:p w14:paraId="0FB67DB5" w14:textId="167E1856" w:rsidR="007422FD" w:rsidRPr="00A25024" w:rsidRDefault="007422FD" w:rsidP="00DB3627">
      <w:pPr>
        <w:autoSpaceDE w:val="0"/>
        <w:autoSpaceDN w:val="0"/>
        <w:adjustRightInd w:val="0"/>
        <w:spacing w:after="0" w:line="240" w:lineRule="auto"/>
        <w:rPr>
          <w:rFonts w:cstheme="minorHAnsi"/>
          <w:bCs/>
        </w:rPr>
      </w:pPr>
    </w:p>
    <w:p w14:paraId="0FB67DB6"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FB67DB7" w14:textId="42184879"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7725CF38"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53282">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DB3627">
      <w:pPr>
        <w:autoSpaceDE w:val="0"/>
        <w:autoSpaceDN w:val="0"/>
        <w:adjustRightInd w:val="0"/>
        <w:spacing w:after="0" w:line="240" w:lineRule="auto"/>
        <w:rPr>
          <w:rFonts w:cstheme="minorHAnsi"/>
          <w:b/>
          <w:bCs/>
        </w:rPr>
      </w:pPr>
    </w:p>
    <w:p w14:paraId="0FB67DBB" w14:textId="40C9C89A" w:rsidR="00833325"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FB67DBC" w14:textId="77777777" w:rsidR="00833325" w:rsidRPr="00A25024" w:rsidRDefault="00833325" w:rsidP="00DB3627">
      <w:pPr>
        <w:autoSpaceDE w:val="0"/>
        <w:autoSpaceDN w:val="0"/>
        <w:adjustRightInd w:val="0"/>
        <w:spacing w:after="0" w:line="240" w:lineRule="auto"/>
        <w:rPr>
          <w:rFonts w:cstheme="minorHAnsi"/>
          <w:bCs/>
        </w:rPr>
      </w:pPr>
    </w:p>
    <w:p w14:paraId="0FB67DBD" w14:textId="182188E6" w:rsidR="007422FD" w:rsidRDefault="00A564F9" w:rsidP="0009256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FB67DBE" w14:textId="77777777" w:rsidR="00092566" w:rsidRPr="00092566" w:rsidRDefault="00092566" w:rsidP="00092566">
      <w:pPr>
        <w:autoSpaceDE w:val="0"/>
        <w:autoSpaceDN w:val="0"/>
        <w:adjustRightInd w:val="0"/>
        <w:spacing w:after="0" w:line="240" w:lineRule="auto"/>
        <w:rPr>
          <w:rFonts w:cstheme="minorHAnsi"/>
          <w:bCs/>
        </w:rPr>
      </w:pPr>
    </w:p>
    <w:p w14:paraId="0FB67DBF" w14:textId="598DA7EF" w:rsidR="007422FD"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FB67DC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r w:rsidR="00FE5D02" w:rsidRPr="00FE5D02">
        <w:rPr>
          <w:rFonts w:cstheme="minorHAnsi"/>
          <w:bCs/>
          <w:i/>
        </w:rPr>
        <w:t xml:space="preserve"> </w:t>
      </w:r>
      <w:r w:rsidR="00FE5D02" w:rsidRPr="00FC5DE1">
        <w:rPr>
          <w:rFonts w:cstheme="minorHAnsi"/>
          <w:bCs/>
          <w:i/>
        </w:rPr>
        <w:t>(</w:t>
      </w:r>
      <w:proofErr w:type="gramStart"/>
      <w:r w:rsidR="00FE5D02" w:rsidRPr="00FC5DE1">
        <w:rPr>
          <w:rFonts w:cstheme="minorHAnsi"/>
          <w:bCs/>
          <w:i/>
        </w:rPr>
        <w:t>check</w:t>
      </w:r>
      <w:proofErr w:type="gramEnd"/>
      <w:r w:rsidR="00FE5D02" w:rsidRPr="00FC5DE1">
        <w:rPr>
          <w:rFonts w:cstheme="minorHAnsi"/>
          <w:bCs/>
          <w:i/>
        </w:rPr>
        <w:t xml:space="preserve"> all that apply)</w:t>
      </w:r>
    </w:p>
    <w:p w14:paraId="0FB67DC4" w14:textId="3D498FB3" w:rsidR="00FE5D02" w:rsidRDefault="0086032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8B046F">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0FB67DC5" w14:textId="77777777" w:rsidR="00033038" w:rsidRPr="005232D6" w:rsidRDefault="00860325" w:rsidP="00092566">
      <w:pPr>
        <w:autoSpaceDE w:val="0"/>
        <w:autoSpaceDN w:val="0"/>
        <w:adjustRightInd w:val="0"/>
        <w:spacing w:after="0" w:line="240" w:lineRule="auto"/>
        <w:rPr>
          <w:rFonts w:cstheme="minorHAnsi"/>
          <w:b/>
          <w:bCs/>
        </w:rPr>
      </w:pPr>
      <w:sdt>
        <w:sdtPr>
          <w:rPr>
            <w:rFonts w:cstheme="minorHAnsi"/>
            <w:bCs/>
            <w:color w:val="0000FF"/>
          </w:rPr>
          <w:id w:val="-780714675"/>
          <w14:checkbox>
            <w14:checked w14:val="0"/>
            <w14:checkedState w14:val="2612" w14:font="MS Gothic"/>
            <w14:uncheckedState w14:val="2610" w14:font="MS Gothic"/>
          </w14:checkbox>
        </w:sdtPr>
        <w:sdtEndPr/>
        <w:sdtContent>
          <w:r w:rsidR="00FE5D02">
            <w:rPr>
              <w:rFonts w:ascii="MS Gothic" w:eastAsia="MS Gothic" w:hAnsi="MS Gothic" w:cstheme="minorHAnsi" w:hint="eastAsia"/>
              <w:bCs/>
              <w:color w:val="0000FF"/>
            </w:rPr>
            <w:t>☐</w:t>
          </w:r>
        </w:sdtContent>
      </w:sdt>
      <w:r w:rsidR="00FE5D02">
        <w:rPr>
          <w:rFonts w:eastAsia="MS Mincho" w:cstheme="minorHAnsi"/>
          <w:b/>
          <w:bCs/>
          <w:color w:val="0000FF"/>
        </w:rPr>
        <w:t xml:space="preserve"> </w:t>
      </w:r>
      <w:r w:rsidR="00033038" w:rsidRPr="005232D6">
        <w:rPr>
          <w:rFonts w:cstheme="minorHAnsi"/>
          <w:b/>
          <w:bCs/>
        </w:rPr>
        <w:t>No risk adjustment or stratification</w:t>
      </w:r>
    </w:p>
    <w:p w14:paraId="0FB67DC6" w14:textId="5F6BD56C" w:rsidR="00743E46" w:rsidRPr="005232D6" w:rsidRDefault="0086032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8B046F">
            <w:rPr>
              <w:rFonts w:ascii="MS Gothic" w:eastAsia="MS Gothic" w:hAnsi="MS Gothic" w:cstheme="minorHAnsi" w:hint="eastAsia"/>
              <w:bCs/>
              <w:color w:val="0000FF"/>
            </w:rPr>
            <w:t>☒</w:t>
          </w:r>
        </w:sdtContent>
      </w:sdt>
      <w:r w:rsidR="006574D2">
        <w:rPr>
          <w:rFonts w:cstheme="minorHAnsi"/>
          <w:bCs/>
          <w:color w:val="0000FF"/>
        </w:rPr>
        <w:t xml:space="preserve"> </w:t>
      </w:r>
      <w:r w:rsidR="00951CB0" w:rsidRPr="005232D6">
        <w:rPr>
          <w:rFonts w:cstheme="minorHAnsi"/>
          <w:b/>
          <w:bCs/>
        </w:rPr>
        <w:t xml:space="preserve">Statistical risk model </w:t>
      </w:r>
      <w:r w:rsidR="00951CB0"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951CB0" w:rsidRPr="00050A3E">
            <w:rPr>
              <w:rStyle w:val="PlaceholderText"/>
            </w:rPr>
            <w:t>Click here to enter number of factors</w:t>
          </w:r>
        </w:sdtContent>
      </w:sdt>
      <w:r w:rsidR="00951CB0" w:rsidRPr="006F22A5">
        <w:rPr>
          <w:rStyle w:val="Style4"/>
          <w:u w:val="none"/>
        </w:rPr>
        <w:t xml:space="preserve"> </w:t>
      </w:r>
      <w:r w:rsidR="00951CB0" w:rsidRPr="005232D6">
        <w:rPr>
          <w:rFonts w:cstheme="minorHAnsi"/>
          <w:b/>
          <w:bCs/>
        </w:rPr>
        <w:t>risk factors</w:t>
      </w:r>
    </w:p>
    <w:p w14:paraId="0FB67DC7" w14:textId="732C90D8" w:rsidR="00743E46" w:rsidRPr="005232D6" w:rsidRDefault="0086032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8" w14:textId="77777777" w:rsidR="00743E46" w:rsidRPr="005232D6" w:rsidRDefault="0086032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FB67DC9" w14:textId="77777777" w:rsidR="00743E46" w:rsidRDefault="00743E46" w:rsidP="00092566">
      <w:pPr>
        <w:autoSpaceDE w:val="0"/>
        <w:autoSpaceDN w:val="0"/>
        <w:adjustRightInd w:val="0"/>
        <w:spacing w:after="0" w:line="240" w:lineRule="auto"/>
        <w:rPr>
          <w:rFonts w:cstheme="minorHAnsi"/>
          <w:b/>
          <w:bCs/>
        </w:rPr>
      </w:pPr>
    </w:p>
    <w:p w14:paraId="0FB67DCA" w14:textId="1E5E9E45" w:rsidR="00092566" w:rsidRDefault="00A564F9" w:rsidP="00F34FAB">
      <w:pPr>
        <w:autoSpaceDE w:val="0"/>
        <w:autoSpaceDN w:val="0"/>
        <w:adjustRightInd w:val="0"/>
        <w:spacing w:after="0" w:line="240" w:lineRule="auto"/>
        <w:rPr>
          <w:rFonts w:ascii="Calibri" w:eastAsia="MS Mincho" w:hAnsi="Calibri" w:cs="Calibri"/>
          <w:b/>
          <w:bCs/>
        </w:rPr>
      </w:pPr>
      <w:r w:rsidRPr="00E33FEF">
        <w:rPr>
          <w:rFonts w:cstheme="minorHAnsi"/>
          <w:b/>
          <w:bCs/>
        </w:rPr>
        <w:t>2b</w:t>
      </w:r>
      <w:r>
        <w:rPr>
          <w:rFonts w:cstheme="minorHAnsi"/>
          <w:b/>
          <w:bCs/>
        </w:rPr>
        <w:t>3</w:t>
      </w:r>
      <w:r w:rsidR="000B7D57" w:rsidRPr="00E33FEF">
        <w:rPr>
          <w:rFonts w:cstheme="minorHAnsi"/>
          <w:b/>
          <w:bCs/>
        </w:rPr>
        <w:t xml:space="preserve">.1.1 </w:t>
      </w:r>
      <w:r w:rsidR="00F34FAB" w:rsidRPr="00E33FEF">
        <w:rPr>
          <w:rFonts w:ascii="Calibri" w:eastAsia="MS Mincho" w:hAnsi="Calibri" w:cs="Calibri"/>
          <w:b/>
          <w:bCs/>
        </w:rPr>
        <w:t>If using statistical risk model</w:t>
      </w:r>
      <w:r w:rsidR="00542758">
        <w:rPr>
          <w:rFonts w:ascii="Calibri" w:eastAsia="MS Mincho" w:hAnsi="Calibri" w:cs="Calibri"/>
          <w:b/>
          <w:bCs/>
        </w:rPr>
        <w:t>s</w:t>
      </w:r>
      <w:r w:rsidR="00F34FAB" w:rsidRPr="00E33FEF">
        <w:rPr>
          <w:rFonts w:ascii="Calibri" w:eastAsia="MS Mincho" w:hAnsi="Calibri" w:cs="Calibri"/>
          <w:b/>
          <w:bCs/>
        </w:rPr>
        <w:t xml:space="preserve">, provide detailed risk model specifications, including the risk model method, risk factors, coefficients, equations, codes with descriptors, and definitions. </w:t>
      </w:r>
    </w:p>
    <w:p w14:paraId="0FD095BE" w14:textId="77777777" w:rsidR="00B7753C" w:rsidRDefault="00B7753C" w:rsidP="00F34FAB">
      <w:pPr>
        <w:autoSpaceDE w:val="0"/>
        <w:autoSpaceDN w:val="0"/>
        <w:adjustRightInd w:val="0"/>
        <w:spacing w:after="0" w:line="240" w:lineRule="auto"/>
        <w:rPr>
          <w:rFonts w:ascii="Calibri" w:eastAsia="MS Mincho" w:hAnsi="Calibri" w:cs="Calibri"/>
          <w:b/>
          <w:bCs/>
        </w:rPr>
      </w:pPr>
    </w:p>
    <w:p w14:paraId="4CA7A77A" w14:textId="2C0D6655" w:rsidR="00B7753C" w:rsidRDefault="00240459" w:rsidP="00F34FAB">
      <w:pPr>
        <w:autoSpaceDE w:val="0"/>
        <w:autoSpaceDN w:val="0"/>
        <w:adjustRightInd w:val="0"/>
        <w:spacing w:after="0" w:line="240" w:lineRule="auto"/>
        <w:rPr>
          <w:rFonts w:cstheme="minorHAnsi"/>
          <w:bCs/>
        </w:rPr>
      </w:pPr>
      <w:r>
        <w:rPr>
          <w:rFonts w:cstheme="minorHAnsi"/>
          <w:bCs/>
        </w:rPr>
        <w:t>See 2b3.3a and 2b3.4a below, as well as:</w:t>
      </w:r>
    </w:p>
    <w:p w14:paraId="099B7613" w14:textId="77777777" w:rsidR="00240459" w:rsidRDefault="00240459" w:rsidP="00F34FAB">
      <w:pPr>
        <w:autoSpaceDE w:val="0"/>
        <w:autoSpaceDN w:val="0"/>
        <w:adjustRightInd w:val="0"/>
        <w:spacing w:after="0" w:line="240" w:lineRule="auto"/>
        <w:rPr>
          <w:rFonts w:cstheme="minorHAnsi"/>
          <w:bCs/>
        </w:rPr>
      </w:pPr>
    </w:p>
    <w:p w14:paraId="013EB98A" w14:textId="32C831F0" w:rsidR="00240459" w:rsidRDefault="00240459" w:rsidP="00F34FAB">
      <w:pPr>
        <w:autoSpaceDE w:val="0"/>
        <w:autoSpaceDN w:val="0"/>
        <w:adjustRightInd w:val="0"/>
        <w:spacing w:after="0" w:line="240" w:lineRule="auto"/>
        <w:rPr>
          <w:rFonts w:ascii="Calibri" w:eastAsia="Calibri" w:hAnsi="Calibri" w:cs="Calibri"/>
          <w:bCs/>
        </w:rPr>
      </w:pPr>
      <w:r w:rsidRPr="007F2C5D">
        <w:rPr>
          <w:rFonts w:eastAsia="Times New Roman"/>
        </w:rPr>
        <w:lastRenderedPageBreak/>
        <w:t>Shahian DM, He X, Jacobs JP, et al. The STS AVR + CABG Composite Score: A Report of the STS</w:t>
      </w:r>
      <w:r>
        <w:rPr>
          <w:rFonts w:eastAsia="Times New Roman"/>
        </w:rPr>
        <w:t xml:space="preserve"> </w:t>
      </w:r>
      <w:r w:rsidRPr="007F2C5D">
        <w:rPr>
          <w:rFonts w:eastAsia="Times New Roman"/>
        </w:rPr>
        <w:t>Quality Measurement Task Force</w:t>
      </w:r>
      <w:r>
        <w:rPr>
          <w:rFonts w:eastAsia="Times New Roman"/>
        </w:rPr>
        <w:t xml:space="preserve">. </w:t>
      </w:r>
      <w:r>
        <w:rPr>
          <w:rFonts w:ascii="Calibri" w:eastAsia="Calibri" w:hAnsi="Calibri" w:cs="Calibri"/>
          <w:bCs/>
        </w:rPr>
        <w:t xml:space="preserve">Ann </w:t>
      </w:r>
      <w:proofErr w:type="spellStart"/>
      <w:r>
        <w:rPr>
          <w:rFonts w:ascii="Calibri" w:eastAsia="Calibri" w:hAnsi="Calibri" w:cs="Calibri"/>
          <w:bCs/>
        </w:rPr>
        <w:t>Thorac</w:t>
      </w:r>
      <w:proofErr w:type="spellEnd"/>
      <w:r>
        <w:rPr>
          <w:rFonts w:ascii="Calibri" w:eastAsia="Calibri" w:hAnsi="Calibri" w:cs="Calibri"/>
          <w:bCs/>
        </w:rPr>
        <w:t xml:space="preserve"> </w:t>
      </w:r>
      <w:proofErr w:type="spellStart"/>
      <w:r>
        <w:rPr>
          <w:rFonts w:ascii="Calibri" w:eastAsia="Calibri" w:hAnsi="Calibri" w:cs="Calibri"/>
          <w:bCs/>
        </w:rPr>
        <w:t>Surg</w:t>
      </w:r>
      <w:proofErr w:type="spellEnd"/>
      <w:r>
        <w:rPr>
          <w:rFonts w:ascii="Calibri" w:eastAsia="Calibri" w:hAnsi="Calibri" w:cs="Calibri"/>
          <w:bCs/>
        </w:rPr>
        <w:t xml:space="preserve"> 201</w:t>
      </w:r>
      <w:r>
        <w:t>4</w:t>
      </w:r>
      <w:proofErr w:type="gramStart"/>
      <w:r>
        <w:t>;97:1604</w:t>
      </w:r>
      <w:proofErr w:type="gramEnd"/>
      <w:r>
        <w:t>–9.</w:t>
      </w:r>
    </w:p>
    <w:p w14:paraId="5E608A65" w14:textId="77777777" w:rsidR="00240459" w:rsidRDefault="00240459" w:rsidP="00F34FAB">
      <w:pPr>
        <w:autoSpaceDE w:val="0"/>
        <w:autoSpaceDN w:val="0"/>
        <w:adjustRightInd w:val="0"/>
        <w:spacing w:after="0" w:line="240" w:lineRule="auto"/>
        <w:rPr>
          <w:rFonts w:ascii="Calibri" w:eastAsia="Calibri" w:hAnsi="Calibri" w:cs="Calibri"/>
          <w:bCs/>
        </w:rPr>
      </w:pPr>
    </w:p>
    <w:p w14:paraId="191BA3E5" w14:textId="7995B360" w:rsidR="00240459" w:rsidRDefault="00240459" w:rsidP="00F34FAB">
      <w:pPr>
        <w:autoSpaceDE w:val="0"/>
        <w:autoSpaceDN w:val="0"/>
        <w:adjustRightInd w:val="0"/>
        <w:spacing w:after="0" w:line="240" w:lineRule="auto"/>
        <w:rPr>
          <w:rFonts w:ascii="Calibri" w:eastAsia="Calibri" w:hAnsi="Calibri" w:cs="Calibri"/>
          <w:bCs/>
        </w:rPr>
      </w:pPr>
      <w:r w:rsidRPr="007F2C5D">
        <w:rPr>
          <w:rFonts w:ascii="Calibri" w:eastAsia="Calibri" w:hAnsi="Calibri" w:cs="Calibri"/>
          <w:bCs/>
        </w:rPr>
        <w:t xml:space="preserve">Shahian DM, O'Brien SM, Filardo G, Ferraris VA, </w:t>
      </w:r>
      <w:r>
        <w:rPr>
          <w:rFonts w:ascii="Calibri" w:eastAsia="Calibri" w:hAnsi="Calibri" w:cs="Calibri"/>
          <w:bCs/>
        </w:rPr>
        <w:t xml:space="preserve">et al. </w:t>
      </w:r>
      <w:r w:rsidRPr="007F2C5D">
        <w:rPr>
          <w:rFonts w:ascii="Calibri" w:eastAsia="Calibri" w:hAnsi="Calibri" w:cs="Calibri"/>
          <w:bCs/>
        </w:rPr>
        <w:t xml:space="preserve">The Society of Thoracic Surgeons 2008 cardiac surgery risk models: part 3--valve plus coronary artery bypass grafting surgery. Ann </w:t>
      </w:r>
      <w:proofErr w:type="spellStart"/>
      <w:r w:rsidRPr="007F2C5D">
        <w:rPr>
          <w:rFonts w:ascii="Calibri" w:eastAsia="Calibri" w:hAnsi="Calibri" w:cs="Calibri"/>
          <w:bCs/>
        </w:rPr>
        <w:t>Thorac</w:t>
      </w:r>
      <w:proofErr w:type="spellEnd"/>
      <w:r w:rsidRPr="007F2C5D">
        <w:rPr>
          <w:rFonts w:ascii="Calibri" w:eastAsia="Calibri" w:hAnsi="Calibri" w:cs="Calibri"/>
          <w:bCs/>
        </w:rPr>
        <w:t xml:space="preserve"> </w:t>
      </w:r>
      <w:proofErr w:type="spellStart"/>
      <w:r w:rsidRPr="007F2C5D">
        <w:rPr>
          <w:rFonts w:ascii="Calibri" w:eastAsia="Calibri" w:hAnsi="Calibri" w:cs="Calibri"/>
          <w:bCs/>
        </w:rPr>
        <w:t>Surg</w:t>
      </w:r>
      <w:proofErr w:type="spellEnd"/>
      <w:r w:rsidRPr="007F2C5D">
        <w:rPr>
          <w:rFonts w:ascii="Calibri" w:eastAsia="Calibri" w:hAnsi="Calibri" w:cs="Calibri"/>
          <w:bCs/>
        </w:rPr>
        <w:t xml:space="preserve"> 2009 Jul</w:t>
      </w:r>
      <w:proofErr w:type="gramStart"/>
      <w:r w:rsidRPr="007F2C5D">
        <w:rPr>
          <w:rFonts w:ascii="Calibri" w:eastAsia="Calibri" w:hAnsi="Calibri" w:cs="Calibri"/>
          <w:bCs/>
        </w:rPr>
        <w:t>;88</w:t>
      </w:r>
      <w:proofErr w:type="gramEnd"/>
      <w:r w:rsidRPr="007F2C5D">
        <w:rPr>
          <w:rFonts w:ascii="Calibri" w:eastAsia="Calibri" w:hAnsi="Calibri" w:cs="Calibri"/>
          <w:bCs/>
        </w:rPr>
        <w:t xml:space="preserve">(1 </w:t>
      </w:r>
      <w:proofErr w:type="spellStart"/>
      <w:r w:rsidRPr="007F2C5D">
        <w:rPr>
          <w:rFonts w:ascii="Calibri" w:eastAsia="Calibri" w:hAnsi="Calibri" w:cs="Calibri"/>
          <w:bCs/>
        </w:rPr>
        <w:t>Suppl</w:t>
      </w:r>
      <w:proofErr w:type="spellEnd"/>
      <w:r w:rsidRPr="007F2C5D">
        <w:rPr>
          <w:rFonts w:ascii="Calibri" w:eastAsia="Calibri" w:hAnsi="Calibri" w:cs="Calibri"/>
          <w:bCs/>
        </w:rPr>
        <w:t>):S43-62.</w:t>
      </w:r>
    </w:p>
    <w:p w14:paraId="7F0F5C83" w14:textId="77777777" w:rsidR="00240459" w:rsidRDefault="00240459" w:rsidP="00F34FAB">
      <w:pPr>
        <w:autoSpaceDE w:val="0"/>
        <w:autoSpaceDN w:val="0"/>
        <w:adjustRightInd w:val="0"/>
        <w:spacing w:after="0" w:line="240" w:lineRule="auto"/>
        <w:rPr>
          <w:rFonts w:ascii="Calibri" w:eastAsia="Calibri" w:hAnsi="Calibri" w:cs="Calibri"/>
          <w:bCs/>
        </w:rPr>
      </w:pPr>
    </w:p>
    <w:p w14:paraId="32B0D3D3" w14:textId="77777777" w:rsidR="007A5896" w:rsidRDefault="007A5896" w:rsidP="00FE5D02">
      <w:pPr>
        <w:autoSpaceDE w:val="0"/>
        <w:autoSpaceDN w:val="0"/>
        <w:adjustRightInd w:val="0"/>
        <w:spacing w:after="0" w:line="240" w:lineRule="auto"/>
        <w:rPr>
          <w:rFonts w:cstheme="minorHAnsi"/>
          <w:b/>
          <w:bCs/>
        </w:rPr>
      </w:pPr>
    </w:p>
    <w:p w14:paraId="0FB67DCC" w14:textId="2EEA8CA4" w:rsidR="00FE5D02" w:rsidRDefault="00A564F9" w:rsidP="00FE5D02">
      <w:pPr>
        <w:autoSpaceDE w:val="0"/>
        <w:autoSpaceDN w:val="0"/>
        <w:adjustRightInd w:val="0"/>
        <w:spacing w:after="0" w:line="240" w:lineRule="auto"/>
        <w:rPr>
          <w:rFonts w:cstheme="minorHAnsi"/>
          <w:bCs/>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w:t>
      </w:r>
      <w:proofErr w:type="gramStart"/>
      <w:r w:rsidR="00FE5D02" w:rsidRPr="00FC5DE1">
        <w:rPr>
          <w:rFonts w:cstheme="minorHAnsi"/>
          <w:b/>
          <w:bCs/>
        </w:rPr>
        <w:t>If</w:t>
      </w:r>
      <w:proofErr w:type="gramEnd"/>
      <w:r w:rsidR="00FE5D02" w:rsidRPr="00FC5DE1">
        <w:rPr>
          <w:rFonts w:cstheme="minorHAnsi"/>
          <w:b/>
          <w:bCs/>
        </w:rPr>
        <w:t xml:space="preserve">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r w:rsidR="00FE5D02" w:rsidRPr="00FC5DE1">
        <w:rPr>
          <w:rFonts w:cstheme="minorHAnsi"/>
          <w:bCs/>
        </w:rPr>
        <w:br/>
      </w:r>
    </w:p>
    <w:p w14:paraId="69A0E490" w14:textId="77777777" w:rsidR="007A5896" w:rsidRPr="003E39C9" w:rsidRDefault="007A5896" w:rsidP="007A5896">
      <w:pPr>
        <w:autoSpaceDE w:val="0"/>
        <w:autoSpaceDN w:val="0"/>
        <w:adjustRightInd w:val="0"/>
        <w:spacing w:after="0" w:line="240" w:lineRule="auto"/>
        <w:rPr>
          <w:rFonts w:cstheme="minorHAnsi"/>
          <w:bCs/>
        </w:rPr>
      </w:pPr>
      <w:r w:rsidRPr="003E39C9">
        <w:rPr>
          <w:rFonts w:cstheme="minorHAnsi"/>
          <w:bCs/>
        </w:rPr>
        <w:t>N/A</w:t>
      </w:r>
    </w:p>
    <w:p w14:paraId="5E7FD87C" w14:textId="77777777" w:rsidR="007A5896" w:rsidRPr="00FC5DE1" w:rsidRDefault="007A5896" w:rsidP="00FE5D02">
      <w:pPr>
        <w:autoSpaceDE w:val="0"/>
        <w:autoSpaceDN w:val="0"/>
        <w:adjustRightInd w:val="0"/>
        <w:spacing w:after="0" w:line="240" w:lineRule="auto"/>
        <w:rPr>
          <w:rFonts w:cstheme="minorHAnsi"/>
          <w:bCs/>
        </w:rPr>
      </w:pPr>
    </w:p>
    <w:p w14:paraId="30DF5194" w14:textId="77777777" w:rsidR="007A5896" w:rsidRDefault="00A97C65" w:rsidP="00001D73">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9B626B">
        <w:rPr>
          <w:rFonts w:cstheme="minorHAnsi"/>
          <w:b/>
          <w:bCs/>
        </w:rPr>
        <w:t>Also discuss any “ordering” of risk factor inclusion;</w:t>
      </w:r>
      <w:r w:rsidR="00E108CC">
        <w:rPr>
          <w:rFonts w:cstheme="minorHAnsi"/>
          <w:bCs/>
        </w:rPr>
        <w:t xml:space="preserve"> for example, are social risk factors added after all clinical facto</w:t>
      </w:r>
      <w:r w:rsidR="009B626B">
        <w:rPr>
          <w:rFonts w:cstheme="minorHAnsi"/>
          <w:bCs/>
        </w:rPr>
        <w:t>r</w:t>
      </w:r>
      <w:r w:rsidR="00E108CC">
        <w:rPr>
          <w:rFonts w:cstheme="minorHAnsi"/>
          <w:bCs/>
        </w:rPr>
        <w:t>s?</w:t>
      </w:r>
    </w:p>
    <w:p w14:paraId="52EF1F50" w14:textId="77777777" w:rsidR="007A5896" w:rsidRDefault="007A5896" w:rsidP="00001D73">
      <w:pPr>
        <w:autoSpaceDE w:val="0"/>
        <w:autoSpaceDN w:val="0"/>
        <w:adjustRightInd w:val="0"/>
        <w:spacing w:after="0" w:line="240" w:lineRule="auto"/>
        <w:rPr>
          <w:rFonts w:cstheme="minorHAnsi"/>
          <w:bCs/>
        </w:rPr>
      </w:pPr>
    </w:p>
    <w:p w14:paraId="3A912598" w14:textId="77777777" w:rsidR="007A5896" w:rsidRPr="003E39C9" w:rsidRDefault="007A5896" w:rsidP="007A5896">
      <w:pPr>
        <w:autoSpaceDE w:val="0"/>
        <w:autoSpaceDN w:val="0"/>
        <w:adjustRightInd w:val="0"/>
        <w:spacing w:after="0" w:line="240" w:lineRule="auto"/>
        <w:rPr>
          <w:rFonts w:ascii="Calibri" w:eastAsia="Calibri" w:hAnsi="Calibri" w:cs="Calibri"/>
        </w:rPr>
      </w:pPr>
      <w:r w:rsidRPr="003E39C9">
        <w:rPr>
          <w:rFonts w:ascii="Calibri" w:eastAsia="Calibri" w:hAnsi="Calibri" w:cs="Calibri"/>
        </w:rPr>
        <w:t>The details of</w:t>
      </w:r>
      <w:r>
        <w:rPr>
          <w:rFonts w:ascii="Calibri" w:eastAsia="Calibri" w:hAnsi="Calibri" w:cs="Calibri"/>
        </w:rPr>
        <w:t xml:space="preserve"> the</w:t>
      </w:r>
      <w:r w:rsidRPr="003E39C9">
        <w:rPr>
          <w:rFonts w:ascii="Calibri" w:eastAsia="Calibri" w:hAnsi="Calibri" w:cs="Calibri"/>
        </w:rPr>
        <w:t xml:space="preserve"> risk adjustm</w:t>
      </w:r>
      <w:r>
        <w:rPr>
          <w:rFonts w:ascii="Calibri" w:eastAsia="Calibri" w:hAnsi="Calibri" w:cs="Calibri"/>
        </w:rPr>
        <w:t>ent model were published in 2009 [1]</w:t>
      </w:r>
      <w:r w:rsidRPr="003E39C9">
        <w:rPr>
          <w:rFonts w:ascii="Calibri" w:eastAsia="Calibri" w:hAnsi="Calibri" w:cs="Calibri"/>
        </w:rPr>
        <w:t xml:space="preserve">. The list of candidate risk predictors were </w:t>
      </w:r>
      <w:r>
        <w:rPr>
          <w:rFonts w:ascii="Calibri" w:eastAsia="Calibri" w:hAnsi="Calibri" w:cs="Calibri"/>
        </w:rPr>
        <w:t>selected</w:t>
      </w:r>
      <w:r w:rsidRPr="003E39C9">
        <w:rPr>
          <w:rFonts w:ascii="Calibri" w:eastAsia="Calibri" w:hAnsi="Calibri" w:cs="Calibri"/>
        </w:rPr>
        <w:t xml:space="preserve"> by </w:t>
      </w:r>
      <w:r>
        <w:rPr>
          <w:rFonts w:ascii="Calibri" w:eastAsia="Calibri" w:hAnsi="Calibri" w:cs="Calibri"/>
        </w:rPr>
        <w:t xml:space="preserve">a </w:t>
      </w:r>
      <w:r w:rsidRPr="003E39C9">
        <w:rPr>
          <w:rFonts w:ascii="Calibri" w:eastAsia="Calibri" w:hAnsi="Calibri" w:cs="Calibri"/>
        </w:rPr>
        <w:t xml:space="preserve">surgeon panel based on prior research and clinical expertise. Initial models were selected using a step-wise approach with a significance criterion of 0.05 for entry and removal. </w:t>
      </w:r>
      <w:r>
        <w:rPr>
          <w:rFonts w:ascii="Calibri" w:eastAsia="Calibri" w:hAnsi="Calibri" w:cs="Calibri"/>
        </w:rPr>
        <w:t>The following f</w:t>
      </w:r>
      <w:r w:rsidRPr="003E39C9">
        <w:rPr>
          <w:rFonts w:ascii="Calibri" w:eastAsia="Calibri" w:hAnsi="Calibri" w:cs="Calibri"/>
        </w:rPr>
        <w:t xml:space="preserve">ive variables were preselected </w:t>
      </w:r>
      <w:r>
        <w:rPr>
          <w:rFonts w:ascii="Calibri" w:eastAsia="Calibri" w:hAnsi="Calibri" w:cs="Calibri"/>
        </w:rPr>
        <w:t xml:space="preserve">and forced into the models – </w:t>
      </w:r>
      <w:r w:rsidRPr="003E39C9">
        <w:rPr>
          <w:rFonts w:ascii="Calibri" w:eastAsia="Calibri" w:hAnsi="Calibri" w:cs="Calibri"/>
        </w:rPr>
        <w:t>age, body surface area, gender, age by reoperation interaction, and age by emergent status interaction.  The expert panel reviewed the results and made a few changes to the models selected by the step-wise procedure:</w:t>
      </w:r>
    </w:p>
    <w:p w14:paraId="6D5C076A" w14:textId="77777777" w:rsidR="007A5896" w:rsidRDefault="007A5896" w:rsidP="007A5896">
      <w:pPr>
        <w:pStyle w:val="ListParagraph"/>
        <w:autoSpaceDE w:val="0"/>
        <w:autoSpaceDN w:val="0"/>
        <w:adjustRightInd w:val="0"/>
        <w:spacing w:after="0" w:line="240" w:lineRule="auto"/>
        <w:rPr>
          <w:rFonts w:ascii="Calibri" w:eastAsia="Calibri" w:hAnsi="Calibri" w:cs="Calibri"/>
        </w:rPr>
      </w:pPr>
    </w:p>
    <w:p w14:paraId="7E956D7B" w14:textId="77777777" w:rsidR="007A5896" w:rsidRPr="003E39C9" w:rsidRDefault="007A5896" w:rsidP="007A5896">
      <w:pPr>
        <w:pStyle w:val="ListParagraph"/>
        <w:numPr>
          <w:ilvl w:val="0"/>
          <w:numId w:val="32"/>
        </w:numPr>
        <w:autoSpaceDE w:val="0"/>
        <w:autoSpaceDN w:val="0"/>
        <w:adjustRightInd w:val="0"/>
        <w:spacing w:after="0" w:line="240" w:lineRule="auto"/>
        <w:rPr>
          <w:rFonts w:ascii="Calibri" w:eastAsia="Calibri" w:hAnsi="Calibri" w:cs="Calibri"/>
        </w:rPr>
      </w:pPr>
      <w:r w:rsidRPr="003E39C9">
        <w:rPr>
          <w:rFonts w:ascii="Calibri" w:eastAsia="Calibri" w:hAnsi="Calibri" w:cs="Calibri"/>
        </w:rPr>
        <w:t xml:space="preserve">Preoperative atrial fibrillation was forced into the model for permanent stroke; </w:t>
      </w:r>
    </w:p>
    <w:p w14:paraId="4596112D" w14:textId="77777777" w:rsidR="007A5896" w:rsidRPr="003E39C9" w:rsidRDefault="007A5896" w:rsidP="007A5896">
      <w:pPr>
        <w:pStyle w:val="ListParagraph"/>
        <w:numPr>
          <w:ilvl w:val="0"/>
          <w:numId w:val="32"/>
        </w:numPr>
        <w:autoSpaceDE w:val="0"/>
        <w:autoSpaceDN w:val="0"/>
        <w:adjustRightInd w:val="0"/>
        <w:spacing w:after="0" w:line="240" w:lineRule="auto"/>
        <w:rPr>
          <w:rFonts w:ascii="Calibri" w:eastAsia="Calibri" w:hAnsi="Calibri" w:cs="Calibri"/>
        </w:rPr>
      </w:pPr>
      <w:r w:rsidRPr="003E39C9">
        <w:rPr>
          <w:rFonts w:ascii="Calibri" w:eastAsia="Calibri" w:hAnsi="Calibri" w:cs="Calibri"/>
        </w:rPr>
        <w:t xml:space="preserve">An indicator variable for dialysis was forced into any model that included creatinine (this did not apply to the renal failure model, as patients with preoperative dialysis were excluded); </w:t>
      </w:r>
    </w:p>
    <w:p w14:paraId="291DD12D" w14:textId="77777777" w:rsidR="007A5896" w:rsidRPr="003E39C9" w:rsidRDefault="007A5896" w:rsidP="007A5896">
      <w:pPr>
        <w:pStyle w:val="ListParagraph"/>
        <w:numPr>
          <w:ilvl w:val="0"/>
          <w:numId w:val="32"/>
        </w:numPr>
        <w:autoSpaceDE w:val="0"/>
        <w:autoSpaceDN w:val="0"/>
        <w:adjustRightInd w:val="0"/>
        <w:spacing w:after="0" w:line="240" w:lineRule="auto"/>
        <w:rPr>
          <w:rFonts w:ascii="Calibri" w:eastAsia="Calibri" w:hAnsi="Calibri" w:cs="Calibri"/>
        </w:rPr>
      </w:pPr>
      <w:r w:rsidRPr="003E39C9">
        <w:rPr>
          <w:rFonts w:ascii="Calibri" w:eastAsia="Calibri" w:hAnsi="Calibri" w:cs="Calibri"/>
        </w:rPr>
        <w:t xml:space="preserve">Sex was forced into all models; and </w:t>
      </w:r>
    </w:p>
    <w:p w14:paraId="77EE7F6A" w14:textId="77777777" w:rsidR="007A5896" w:rsidRPr="003E39C9" w:rsidRDefault="007A5896" w:rsidP="007A5896">
      <w:pPr>
        <w:pStyle w:val="ListParagraph"/>
        <w:numPr>
          <w:ilvl w:val="0"/>
          <w:numId w:val="32"/>
        </w:numPr>
        <w:autoSpaceDE w:val="0"/>
        <w:autoSpaceDN w:val="0"/>
        <w:adjustRightInd w:val="0"/>
        <w:spacing w:after="0" w:line="240" w:lineRule="auto"/>
        <w:rPr>
          <w:rFonts w:ascii="Calibri" w:eastAsia="Calibri" w:hAnsi="Calibri" w:cs="Calibri"/>
        </w:rPr>
      </w:pPr>
      <w:r w:rsidRPr="003E39C9">
        <w:rPr>
          <w:rFonts w:ascii="Calibri" w:eastAsia="Calibri" w:hAnsi="Calibri" w:cs="Calibri"/>
        </w:rPr>
        <w:t>Each variable that interacted with surgery group was also included as a main effect.</w:t>
      </w:r>
    </w:p>
    <w:p w14:paraId="139AFE12" w14:textId="77777777" w:rsidR="007A5896" w:rsidRDefault="007A5896" w:rsidP="007A5896">
      <w:pPr>
        <w:autoSpaceDE w:val="0"/>
        <w:autoSpaceDN w:val="0"/>
        <w:adjustRightInd w:val="0"/>
        <w:spacing w:after="0" w:line="240" w:lineRule="auto"/>
        <w:rPr>
          <w:rFonts w:ascii="Calibri" w:eastAsia="Calibri" w:hAnsi="Calibri" w:cs="Calibri"/>
        </w:rPr>
      </w:pPr>
    </w:p>
    <w:p w14:paraId="3C11B60E" w14:textId="77777777" w:rsidR="007A5896" w:rsidRPr="003E39C9" w:rsidRDefault="007A5896" w:rsidP="007A5896">
      <w:pPr>
        <w:autoSpaceDE w:val="0"/>
        <w:autoSpaceDN w:val="0"/>
        <w:adjustRightInd w:val="0"/>
        <w:spacing w:after="0" w:line="240" w:lineRule="auto"/>
        <w:rPr>
          <w:rFonts w:ascii="Calibri" w:eastAsia="Calibri" w:hAnsi="Calibri" w:cs="Calibri"/>
        </w:rPr>
      </w:pPr>
      <w:r w:rsidRPr="003E39C9">
        <w:rPr>
          <w:rFonts w:ascii="Calibri" w:eastAsia="Calibri" w:hAnsi="Calibri" w:cs="Calibri"/>
        </w:rPr>
        <w:t>The mortality model published in 200</w:t>
      </w:r>
      <w:r>
        <w:rPr>
          <w:rFonts w:ascii="Calibri" w:eastAsia="Calibri" w:hAnsi="Calibri" w:cs="Calibri"/>
        </w:rPr>
        <w:t>9</w:t>
      </w:r>
      <w:r w:rsidRPr="003E39C9">
        <w:rPr>
          <w:rFonts w:ascii="Calibri" w:eastAsia="Calibri" w:hAnsi="Calibri" w:cs="Calibri"/>
        </w:rPr>
        <w:t xml:space="preserve"> is used to risk-adjust the mortality component of the STS AVR + CABG composite measure. The morbidity or mortality model is used to risk-adjust the morbidity component of the composite measure. The composite mo</w:t>
      </w:r>
      <w:r>
        <w:rPr>
          <w:rFonts w:ascii="Calibri" w:eastAsia="Calibri" w:hAnsi="Calibri" w:cs="Calibri"/>
        </w:rPr>
        <w:t>rtality or morbidity in the 2009</w:t>
      </w:r>
      <w:r w:rsidRPr="003E39C9">
        <w:rPr>
          <w:rFonts w:ascii="Calibri" w:eastAsia="Calibri" w:hAnsi="Calibri" w:cs="Calibri"/>
        </w:rPr>
        <w:t xml:space="preserve"> paper was defined in exactly the same way as the morbidity component of the composite measure except that it al</w:t>
      </w:r>
      <w:r>
        <w:rPr>
          <w:rFonts w:ascii="Calibri" w:eastAsia="Calibri" w:hAnsi="Calibri" w:cs="Calibri"/>
        </w:rPr>
        <w:t>so included mortality. Compared</w:t>
      </w:r>
      <w:r w:rsidRPr="003E39C9">
        <w:rPr>
          <w:rFonts w:ascii="Calibri" w:eastAsia="Calibri" w:hAnsi="Calibri" w:cs="Calibri"/>
        </w:rPr>
        <w:t xml:space="preserve"> to morbidity, mortality is much rarer. The predictors of combined mortality and morbidity are essentially the same as the predicted risk of morbidity alone. At the participant level, raw morbidity rates and raw mortality or morbidity rates have very high correlation (Pearson=0.972, Spearman=0.974.) Because of this similarity, instead of devising a new m</w:t>
      </w:r>
      <w:r>
        <w:rPr>
          <w:rFonts w:ascii="Calibri" w:eastAsia="Calibri" w:hAnsi="Calibri" w:cs="Calibri"/>
        </w:rPr>
        <w:t xml:space="preserve">odel, we used the published </w:t>
      </w:r>
      <w:r w:rsidRPr="003E39C9">
        <w:rPr>
          <w:rFonts w:ascii="Calibri" w:eastAsia="Calibri" w:hAnsi="Calibri" w:cs="Calibri"/>
        </w:rPr>
        <w:t>model for our any-or-none morbidity component in the composite measure.</w:t>
      </w:r>
    </w:p>
    <w:p w14:paraId="0E8215CC" w14:textId="77777777" w:rsidR="007A5896" w:rsidRDefault="007A5896" w:rsidP="007A5896">
      <w:pPr>
        <w:autoSpaceDE w:val="0"/>
        <w:autoSpaceDN w:val="0"/>
        <w:adjustRightInd w:val="0"/>
        <w:spacing w:after="0" w:line="240" w:lineRule="auto"/>
        <w:rPr>
          <w:rFonts w:ascii="Calibri" w:eastAsia="Calibri" w:hAnsi="Calibri" w:cs="Calibri"/>
        </w:rPr>
      </w:pPr>
    </w:p>
    <w:p w14:paraId="2F8AFD5D" w14:textId="77777777" w:rsidR="007A5896" w:rsidRDefault="007A5896" w:rsidP="007A5896">
      <w:pPr>
        <w:autoSpaceDE w:val="0"/>
        <w:autoSpaceDN w:val="0"/>
        <w:adjustRightInd w:val="0"/>
        <w:spacing w:after="0" w:line="240" w:lineRule="auto"/>
        <w:rPr>
          <w:rFonts w:ascii="Calibri" w:eastAsia="Calibri" w:hAnsi="Calibri" w:cs="Calibri"/>
        </w:rPr>
      </w:pPr>
      <w:r>
        <w:rPr>
          <w:rFonts w:ascii="Calibri" w:eastAsia="Calibri" w:hAnsi="Calibri" w:cs="Calibri"/>
        </w:rPr>
        <w:t>References:</w:t>
      </w:r>
    </w:p>
    <w:p w14:paraId="0226B2DA" w14:textId="77777777" w:rsidR="007A5896" w:rsidRPr="003E39C9" w:rsidRDefault="007A5896" w:rsidP="007A5896">
      <w:pPr>
        <w:autoSpaceDE w:val="0"/>
        <w:autoSpaceDN w:val="0"/>
        <w:adjustRightInd w:val="0"/>
        <w:spacing w:after="0" w:line="240" w:lineRule="auto"/>
        <w:rPr>
          <w:rFonts w:ascii="Calibri" w:eastAsia="Calibri" w:hAnsi="Calibri" w:cs="Calibri"/>
        </w:rPr>
      </w:pPr>
      <w:r>
        <w:rPr>
          <w:rFonts w:ascii="Calibri" w:eastAsia="Calibri" w:hAnsi="Calibri" w:cs="Calibri"/>
        </w:rPr>
        <w:t xml:space="preserve">1. </w:t>
      </w:r>
      <w:r w:rsidRPr="007F2C5D">
        <w:rPr>
          <w:rFonts w:ascii="Calibri" w:eastAsia="Calibri" w:hAnsi="Calibri" w:cs="Calibri"/>
          <w:bCs/>
        </w:rPr>
        <w:t xml:space="preserve">Shahian DM, O'Brien SM, Filardo G, Ferraris VA, </w:t>
      </w:r>
      <w:r>
        <w:rPr>
          <w:rFonts w:ascii="Calibri" w:eastAsia="Calibri" w:hAnsi="Calibri" w:cs="Calibri"/>
          <w:bCs/>
        </w:rPr>
        <w:t xml:space="preserve">et al. </w:t>
      </w:r>
      <w:r w:rsidRPr="007F2C5D">
        <w:rPr>
          <w:rFonts w:ascii="Calibri" w:eastAsia="Calibri" w:hAnsi="Calibri" w:cs="Calibri"/>
          <w:bCs/>
        </w:rPr>
        <w:t xml:space="preserve">The Society of Thoracic Surgeons 2008 cardiac surgery risk models: part 3--valve plus coronary artery bypass grafting surgery. Ann </w:t>
      </w:r>
      <w:proofErr w:type="spellStart"/>
      <w:r w:rsidRPr="007F2C5D">
        <w:rPr>
          <w:rFonts w:ascii="Calibri" w:eastAsia="Calibri" w:hAnsi="Calibri" w:cs="Calibri"/>
          <w:bCs/>
        </w:rPr>
        <w:t>Thorac</w:t>
      </w:r>
      <w:proofErr w:type="spellEnd"/>
      <w:r w:rsidRPr="007F2C5D">
        <w:rPr>
          <w:rFonts w:ascii="Calibri" w:eastAsia="Calibri" w:hAnsi="Calibri" w:cs="Calibri"/>
          <w:bCs/>
        </w:rPr>
        <w:t xml:space="preserve"> </w:t>
      </w:r>
      <w:proofErr w:type="spellStart"/>
      <w:r w:rsidRPr="007F2C5D">
        <w:rPr>
          <w:rFonts w:ascii="Calibri" w:eastAsia="Calibri" w:hAnsi="Calibri" w:cs="Calibri"/>
          <w:bCs/>
        </w:rPr>
        <w:t>Surg</w:t>
      </w:r>
      <w:proofErr w:type="spellEnd"/>
      <w:r w:rsidRPr="007F2C5D">
        <w:rPr>
          <w:rFonts w:ascii="Calibri" w:eastAsia="Calibri" w:hAnsi="Calibri" w:cs="Calibri"/>
          <w:bCs/>
        </w:rPr>
        <w:t xml:space="preserve"> 2009 Jul</w:t>
      </w:r>
      <w:proofErr w:type="gramStart"/>
      <w:r w:rsidRPr="007F2C5D">
        <w:rPr>
          <w:rFonts w:ascii="Calibri" w:eastAsia="Calibri" w:hAnsi="Calibri" w:cs="Calibri"/>
          <w:bCs/>
        </w:rPr>
        <w:t>;88</w:t>
      </w:r>
      <w:proofErr w:type="gramEnd"/>
      <w:r w:rsidRPr="007F2C5D">
        <w:rPr>
          <w:rFonts w:ascii="Calibri" w:eastAsia="Calibri" w:hAnsi="Calibri" w:cs="Calibri"/>
          <w:bCs/>
        </w:rPr>
        <w:t xml:space="preserve">(1 </w:t>
      </w:r>
      <w:proofErr w:type="spellStart"/>
      <w:r w:rsidRPr="007F2C5D">
        <w:rPr>
          <w:rFonts w:ascii="Calibri" w:eastAsia="Calibri" w:hAnsi="Calibri" w:cs="Calibri"/>
          <w:bCs/>
        </w:rPr>
        <w:t>Suppl</w:t>
      </w:r>
      <w:proofErr w:type="spellEnd"/>
      <w:r w:rsidRPr="007F2C5D">
        <w:rPr>
          <w:rFonts w:ascii="Calibri" w:eastAsia="Calibri" w:hAnsi="Calibri" w:cs="Calibri"/>
          <w:bCs/>
        </w:rPr>
        <w:t>):S43-62.</w:t>
      </w:r>
    </w:p>
    <w:p w14:paraId="0FB67DCD" w14:textId="0249592F" w:rsidR="00092566" w:rsidRDefault="00092566" w:rsidP="00001D73">
      <w:pPr>
        <w:autoSpaceDE w:val="0"/>
        <w:autoSpaceDN w:val="0"/>
        <w:adjustRightInd w:val="0"/>
        <w:spacing w:after="0" w:line="240" w:lineRule="auto"/>
        <w:rPr>
          <w:rFonts w:cstheme="minorHAnsi"/>
          <w:bCs/>
        </w:rPr>
      </w:pPr>
      <w:r w:rsidRPr="00A25024">
        <w:rPr>
          <w:rFonts w:cstheme="minorHAnsi"/>
          <w:bCs/>
        </w:rPr>
        <w:lastRenderedPageBreak/>
        <w:br/>
      </w:r>
    </w:p>
    <w:p w14:paraId="28E72FCA" w14:textId="77777777" w:rsidR="00E108CC" w:rsidRDefault="00E108CC" w:rsidP="00E108CC">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of how social risk impacts this outcome developed?  Please check all that apply:</w:t>
      </w:r>
    </w:p>
    <w:p w14:paraId="48211081" w14:textId="2F1F81BA" w:rsidR="00E108CC" w:rsidRPr="005232D6" w:rsidRDefault="00860325"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7A5896">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860325"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37B9EDD5" w14:textId="047108B9" w:rsidR="00E108CC" w:rsidRDefault="00860325"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7A5896">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7F6861A4" w14:textId="77777777" w:rsidR="007A5896" w:rsidRDefault="007A5896" w:rsidP="00E108CC">
      <w:pPr>
        <w:tabs>
          <w:tab w:val="left" w:pos="180"/>
        </w:tabs>
        <w:autoSpaceDE w:val="0"/>
        <w:autoSpaceDN w:val="0"/>
        <w:adjustRightInd w:val="0"/>
        <w:spacing w:after="0" w:line="240" w:lineRule="auto"/>
        <w:ind w:left="180"/>
        <w:rPr>
          <w:rFonts w:cstheme="minorHAnsi"/>
          <w:b/>
          <w:bCs/>
        </w:rPr>
      </w:pPr>
    </w:p>
    <w:p w14:paraId="601F3F5D" w14:textId="77777777" w:rsidR="007A5896" w:rsidRPr="00001D73" w:rsidRDefault="007A5896" w:rsidP="007A5896">
      <w:pPr>
        <w:autoSpaceDE w:val="0"/>
        <w:autoSpaceDN w:val="0"/>
        <w:adjustRightInd w:val="0"/>
        <w:spacing w:after="0" w:line="240" w:lineRule="auto"/>
        <w:rPr>
          <w:rFonts w:cstheme="minorHAnsi"/>
          <w:bCs/>
        </w:rPr>
      </w:pPr>
      <w:r w:rsidRPr="006E79AD">
        <w:rPr>
          <w:rFonts w:cstheme="minorHAnsi"/>
          <w:bCs/>
          <w:color w:val="0070C0"/>
        </w:rPr>
        <w:t>Expert group consensus</w:t>
      </w:r>
    </w:p>
    <w:p w14:paraId="0FB67DCE" w14:textId="77777777" w:rsidR="00001D73" w:rsidRPr="00001D73" w:rsidRDefault="00001D73" w:rsidP="00001D73">
      <w:pPr>
        <w:autoSpaceDE w:val="0"/>
        <w:autoSpaceDN w:val="0"/>
        <w:adjustRightInd w:val="0"/>
        <w:spacing w:after="0" w:line="240" w:lineRule="auto"/>
        <w:rPr>
          <w:rFonts w:cstheme="minorHAnsi"/>
          <w:bCs/>
        </w:rPr>
      </w:pPr>
    </w:p>
    <w:p w14:paraId="5BA34AB9" w14:textId="77777777" w:rsidR="007A5896" w:rsidRDefault="007A5896" w:rsidP="00001D73">
      <w:pPr>
        <w:autoSpaceDE w:val="0"/>
        <w:autoSpaceDN w:val="0"/>
        <w:adjustRightInd w:val="0"/>
        <w:spacing w:after="0" w:line="240" w:lineRule="auto"/>
        <w:rPr>
          <w:rFonts w:cstheme="minorHAnsi"/>
          <w:b/>
          <w:bCs/>
        </w:rPr>
      </w:pPr>
    </w:p>
    <w:p w14:paraId="0FB67DCF" w14:textId="04540A50" w:rsidR="00092566" w:rsidRDefault="00A97C65"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p>
    <w:p w14:paraId="6F7771BC" w14:textId="77777777" w:rsidR="007A5896" w:rsidRPr="00B8179A" w:rsidRDefault="007A5896" w:rsidP="007A5896">
      <w:pPr>
        <w:autoSpaceDE w:val="0"/>
        <w:autoSpaceDN w:val="0"/>
        <w:adjustRightInd w:val="0"/>
        <w:spacing w:after="0" w:line="240" w:lineRule="auto"/>
        <w:rPr>
          <w:rFonts w:ascii="Calibri" w:eastAsia="Calibri" w:hAnsi="Calibri" w:cs="Calibri"/>
          <w:b/>
          <w:bCs/>
        </w:rPr>
      </w:pPr>
      <w:r w:rsidRPr="00B8179A">
        <w:rPr>
          <w:rFonts w:ascii="Calibri" w:eastAsia="Calibri" w:hAnsi="Calibri" w:cs="Calibri"/>
          <w:b/>
          <w:bCs/>
        </w:rPr>
        <w:t>Odds Ratios (95% Confidence Intervals)</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60" w:type="dxa"/>
          <w:right w:w="60" w:type="dxa"/>
        </w:tblCellMar>
        <w:tblLook w:val="0000" w:firstRow="0" w:lastRow="0" w:firstColumn="0" w:lastColumn="0" w:noHBand="0" w:noVBand="0"/>
      </w:tblPr>
      <w:tblGrid>
        <w:gridCol w:w="4056"/>
        <w:gridCol w:w="2484"/>
        <w:gridCol w:w="2810"/>
      </w:tblGrid>
      <w:tr w:rsidR="007A5896" w:rsidRPr="00B8179A" w14:paraId="3973B4B2" w14:textId="77777777" w:rsidTr="008379B2">
        <w:trPr>
          <w:cantSplit/>
          <w:tblHeader/>
        </w:trPr>
        <w:tc>
          <w:tcPr>
            <w:tcW w:w="4110" w:type="dxa"/>
            <w:shd w:val="clear" w:color="auto" w:fill="D9D9D9" w:themeFill="background1" w:themeFillShade="D9"/>
            <w:vAlign w:val="center"/>
          </w:tcPr>
          <w:p w14:paraId="54531BD4" w14:textId="77777777" w:rsidR="007A5896" w:rsidRPr="00B8179A" w:rsidRDefault="007A5896" w:rsidP="008379B2">
            <w:pPr>
              <w:spacing w:after="0" w:line="240" w:lineRule="auto"/>
              <w:ind w:left="90"/>
              <w:rPr>
                <w:rFonts w:eastAsia="Times New Roman" w:cstheme="minorHAnsi"/>
                <w:b/>
                <w:bCs/>
                <w:color w:val="003366"/>
              </w:rPr>
            </w:pPr>
            <w:r w:rsidRPr="00B8179A">
              <w:rPr>
                <w:rFonts w:eastAsia="Times New Roman" w:cstheme="minorHAnsi"/>
                <w:b/>
                <w:bCs/>
                <w:color w:val="003366"/>
              </w:rPr>
              <w:t>Variable</w:t>
            </w:r>
          </w:p>
        </w:tc>
        <w:tc>
          <w:tcPr>
            <w:tcW w:w="2520" w:type="dxa"/>
            <w:shd w:val="clear" w:color="auto" w:fill="D9D9D9" w:themeFill="background1" w:themeFillShade="D9"/>
            <w:vAlign w:val="center"/>
          </w:tcPr>
          <w:p w14:paraId="135F6876" w14:textId="77777777" w:rsidR="007A5896" w:rsidRPr="00B8179A" w:rsidRDefault="007A5896" w:rsidP="008379B2">
            <w:pPr>
              <w:spacing w:after="0" w:line="240" w:lineRule="auto"/>
              <w:jc w:val="center"/>
              <w:rPr>
                <w:rFonts w:eastAsia="Times New Roman" w:cstheme="minorHAnsi"/>
                <w:b/>
                <w:bCs/>
                <w:color w:val="003366"/>
              </w:rPr>
            </w:pPr>
            <w:r w:rsidRPr="00B8179A">
              <w:rPr>
                <w:rFonts w:eastAsia="Times New Roman" w:cstheme="minorHAnsi"/>
                <w:b/>
                <w:bCs/>
                <w:color w:val="003366"/>
              </w:rPr>
              <w:t>Mortality</w:t>
            </w:r>
          </w:p>
        </w:tc>
        <w:tc>
          <w:tcPr>
            <w:tcW w:w="2850" w:type="dxa"/>
            <w:shd w:val="clear" w:color="auto" w:fill="D9D9D9" w:themeFill="background1" w:themeFillShade="D9"/>
            <w:vAlign w:val="center"/>
          </w:tcPr>
          <w:p w14:paraId="4E37458B" w14:textId="77777777" w:rsidR="007A5896" w:rsidRPr="00B8179A" w:rsidRDefault="007A5896" w:rsidP="008379B2">
            <w:pPr>
              <w:spacing w:after="0" w:line="240" w:lineRule="auto"/>
              <w:ind w:left="30"/>
              <w:jc w:val="center"/>
              <w:rPr>
                <w:rFonts w:eastAsia="Times New Roman" w:cstheme="minorHAnsi"/>
                <w:b/>
                <w:bCs/>
                <w:color w:val="003366"/>
              </w:rPr>
            </w:pPr>
            <w:r w:rsidRPr="00B8179A">
              <w:rPr>
                <w:rFonts w:eastAsia="Times New Roman" w:cstheme="minorHAnsi"/>
                <w:b/>
                <w:bCs/>
                <w:color w:val="003366"/>
              </w:rPr>
              <w:t>Composite outcome of mortality or morbidity</w:t>
            </w:r>
          </w:p>
        </w:tc>
      </w:tr>
      <w:tr w:rsidR="007A5896" w:rsidRPr="00B8179A" w14:paraId="1257A784" w14:textId="77777777" w:rsidTr="008379B2">
        <w:trPr>
          <w:cantSplit/>
        </w:trPr>
        <w:tc>
          <w:tcPr>
            <w:tcW w:w="4110" w:type="dxa"/>
            <w:shd w:val="clear" w:color="auto" w:fill="FFFFFF"/>
          </w:tcPr>
          <w:p w14:paraId="26E7EA48"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Age 60 vs. 50</w:t>
            </w:r>
          </w:p>
        </w:tc>
        <w:tc>
          <w:tcPr>
            <w:tcW w:w="2520" w:type="dxa"/>
            <w:shd w:val="clear" w:color="auto" w:fill="FFFFFF"/>
            <w:vAlign w:val="center"/>
          </w:tcPr>
          <w:p w14:paraId="2A1388ED" w14:textId="77777777" w:rsidR="007A5896" w:rsidRPr="00B8179A" w:rsidRDefault="007A5896" w:rsidP="008379B2">
            <w:pPr>
              <w:autoSpaceDE w:val="0"/>
              <w:autoSpaceDN w:val="0"/>
              <w:adjustRightInd w:val="0"/>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1.29 (1.21, 1.38)</w:t>
            </w:r>
          </w:p>
        </w:tc>
        <w:tc>
          <w:tcPr>
            <w:tcW w:w="2850" w:type="dxa"/>
            <w:shd w:val="clear" w:color="auto" w:fill="FFFFFF"/>
            <w:vAlign w:val="center"/>
          </w:tcPr>
          <w:p w14:paraId="4A78AB7D"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1.20 (1.16, 1.24)</w:t>
            </w:r>
          </w:p>
        </w:tc>
      </w:tr>
      <w:tr w:rsidR="007A5896" w:rsidRPr="00B8179A" w14:paraId="24A5325F" w14:textId="77777777" w:rsidTr="008379B2">
        <w:trPr>
          <w:cantSplit/>
        </w:trPr>
        <w:tc>
          <w:tcPr>
            <w:tcW w:w="4110" w:type="dxa"/>
            <w:shd w:val="clear" w:color="auto" w:fill="FFFFFF"/>
          </w:tcPr>
          <w:p w14:paraId="47C222E8"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Age 70 vs. 50</w:t>
            </w:r>
          </w:p>
        </w:tc>
        <w:tc>
          <w:tcPr>
            <w:tcW w:w="2520" w:type="dxa"/>
            <w:shd w:val="clear" w:color="auto" w:fill="FFFFFF"/>
            <w:vAlign w:val="center"/>
          </w:tcPr>
          <w:p w14:paraId="7DC201B5"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1.67 (1.47, 1.89)</w:t>
            </w:r>
          </w:p>
        </w:tc>
        <w:tc>
          <w:tcPr>
            <w:tcW w:w="2850" w:type="dxa"/>
            <w:shd w:val="clear" w:color="auto" w:fill="FFFFFF"/>
            <w:vAlign w:val="center"/>
          </w:tcPr>
          <w:p w14:paraId="16C87E62"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1.44 (1.36, 1.54)</w:t>
            </w:r>
          </w:p>
        </w:tc>
      </w:tr>
      <w:tr w:rsidR="007A5896" w:rsidRPr="00B8179A" w14:paraId="411D15BA" w14:textId="77777777" w:rsidTr="008379B2">
        <w:trPr>
          <w:cantSplit/>
        </w:trPr>
        <w:tc>
          <w:tcPr>
            <w:tcW w:w="4110" w:type="dxa"/>
            <w:shd w:val="clear" w:color="auto" w:fill="FFFFFF"/>
          </w:tcPr>
          <w:p w14:paraId="708A25E6"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Age 80 vs. 50</w:t>
            </w:r>
          </w:p>
        </w:tc>
        <w:tc>
          <w:tcPr>
            <w:tcW w:w="2520" w:type="dxa"/>
            <w:shd w:val="clear" w:color="auto" w:fill="FFFFFF"/>
            <w:vAlign w:val="center"/>
          </w:tcPr>
          <w:p w14:paraId="7EDCDC04"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2.47 (2.12, 2.89)</w:t>
            </w:r>
          </w:p>
        </w:tc>
        <w:tc>
          <w:tcPr>
            <w:tcW w:w="2850" w:type="dxa"/>
            <w:shd w:val="clear" w:color="auto" w:fill="FFFFFF"/>
            <w:vAlign w:val="center"/>
          </w:tcPr>
          <w:p w14:paraId="79F18235"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1.86 (1.73, 2.01)</w:t>
            </w:r>
          </w:p>
        </w:tc>
      </w:tr>
      <w:tr w:rsidR="007A5896" w:rsidRPr="00B8179A" w14:paraId="27D9336A" w14:textId="77777777" w:rsidTr="008379B2">
        <w:trPr>
          <w:cantSplit/>
        </w:trPr>
        <w:tc>
          <w:tcPr>
            <w:tcW w:w="4110" w:type="dxa"/>
            <w:shd w:val="clear" w:color="auto" w:fill="FFFFFF"/>
          </w:tcPr>
          <w:p w14:paraId="13D75EC2"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1.6 vs. 2.0 among females</w:t>
            </w:r>
          </w:p>
        </w:tc>
        <w:tc>
          <w:tcPr>
            <w:tcW w:w="2520" w:type="dxa"/>
            <w:shd w:val="clear" w:color="auto" w:fill="FFFFFF"/>
            <w:vAlign w:val="center"/>
          </w:tcPr>
          <w:p w14:paraId="485AF851"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1.29 (1.19, 1.39)</w:t>
            </w:r>
          </w:p>
        </w:tc>
        <w:tc>
          <w:tcPr>
            <w:tcW w:w="2850" w:type="dxa"/>
            <w:shd w:val="clear" w:color="auto" w:fill="FFFFFF"/>
            <w:vAlign w:val="center"/>
          </w:tcPr>
          <w:p w14:paraId="64F50BF9"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1.12 (1.07, 1.18)</w:t>
            </w:r>
          </w:p>
        </w:tc>
      </w:tr>
      <w:tr w:rsidR="007A5896" w:rsidRPr="00B8179A" w14:paraId="768E2C8E" w14:textId="77777777" w:rsidTr="008379B2">
        <w:trPr>
          <w:cantSplit/>
        </w:trPr>
        <w:tc>
          <w:tcPr>
            <w:tcW w:w="4110" w:type="dxa"/>
            <w:shd w:val="clear" w:color="auto" w:fill="FFFFFF"/>
          </w:tcPr>
          <w:p w14:paraId="529628D2"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1.6 vs. 2.0 among males</w:t>
            </w:r>
          </w:p>
        </w:tc>
        <w:tc>
          <w:tcPr>
            <w:tcW w:w="2520" w:type="dxa"/>
            <w:shd w:val="clear" w:color="auto" w:fill="FFFFFF"/>
            <w:vAlign w:val="center"/>
          </w:tcPr>
          <w:p w14:paraId="65A8ECC9"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1.58 (1.41, 1.77)</w:t>
            </w:r>
          </w:p>
        </w:tc>
        <w:tc>
          <w:tcPr>
            <w:tcW w:w="2850" w:type="dxa"/>
            <w:shd w:val="clear" w:color="auto" w:fill="FFFFFF"/>
            <w:vAlign w:val="center"/>
          </w:tcPr>
          <w:p w14:paraId="1C90B576"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1.32 (1.24, 1.42)</w:t>
            </w:r>
          </w:p>
        </w:tc>
      </w:tr>
      <w:tr w:rsidR="007A5896" w:rsidRPr="00B8179A" w14:paraId="0F2575D2" w14:textId="77777777" w:rsidTr="008379B2">
        <w:trPr>
          <w:cantSplit/>
        </w:trPr>
        <w:tc>
          <w:tcPr>
            <w:tcW w:w="4110" w:type="dxa"/>
            <w:shd w:val="clear" w:color="auto" w:fill="FFFFFF"/>
          </w:tcPr>
          <w:p w14:paraId="475048BC"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1.8 vs. 2.0 among females</w:t>
            </w:r>
          </w:p>
        </w:tc>
        <w:tc>
          <w:tcPr>
            <w:tcW w:w="2520" w:type="dxa"/>
            <w:shd w:val="clear" w:color="auto" w:fill="FFFFFF"/>
            <w:vAlign w:val="center"/>
          </w:tcPr>
          <w:p w14:paraId="6E032597"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1.05 (1.00, 1.10)</w:t>
            </w:r>
          </w:p>
        </w:tc>
        <w:tc>
          <w:tcPr>
            <w:tcW w:w="2850" w:type="dxa"/>
            <w:shd w:val="clear" w:color="auto" w:fill="FFFFFF"/>
            <w:vAlign w:val="center"/>
          </w:tcPr>
          <w:p w14:paraId="09C61522"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1.01 (0.98, 1.04)</w:t>
            </w:r>
          </w:p>
        </w:tc>
      </w:tr>
      <w:tr w:rsidR="007A5896" w:rsidRPr="00B8179A" w14:paraId="0C90680F" w14:textId="77777777" w:rsidTr="008379B2">
        <w:trPr>
          <w:cantSplit/>
        </w:trPr>
        <w:tc>
          <w:tcPr>
            <w:tcW w:w="4110" w:type="dxa"/>
            <w:shd w:val="clear" w:color="auto" w:fill="FFFFFF"/>
          </w:tcPr>
          <w:p w14:paraId="2B25C32C"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1.8 vs. 2.0 among males</w:t>
            </w:r>
          </w:p>
        </w:tc>
        <w:tc>
          <w:tcPr>
            <w:tcW w:w="2520" w:type="dxa"/>
            <w:shd w:val="clear" w:color="auto" w:fill="FFFFFF"/>
            <w:vAlign w:val="center"/>
          </w:tcPr>
          <w:p w14:paraId="62BD2634"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1.15 (1.10, 1.20)</w:t>
            </w:r>
          </w:p>
        </w:tc>
        <w:tc>
          <w:tcPr>
            <w:tcW w:w="2850" w:type="dxa"/>
            <w:shd w:val="clear" w:color="auto" w:fill="FFFFFF"/>
            <w:vAlign w:val="center"/>
          </w:tcPr>
          <w:p w14:paraId="0D6F9413"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1.07 (1.05, 1.10)</w:t>
            </w:r>
          </w:p>
        </w:tc>
      </w:tr>
      <w:tr w:rsidR="007A5896" w:rsidRPr="00B8179A" w14:paraId="75A6CD7D" w14:textId="77777777" w:rsidTr="008379B2">
        <w:trPr>
          <w:cantSplit/>
        </w:trPr>
        <w:tc>
          <w:tcPr>
            <w:tcW w:w="4110" w:type="dxa"/>
            <w:shd w:val="clear" w:color="auto" w:fill="FFFFFF"/>
          </w:tcPr>
          <w:p w14:paraId="1AF4C20C"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2.2 vs. 2.0 among females</w:t>
            </w:r>
          </w:p>
        </w:tc>
        <w:tc>
          <w:tcPr>
            <w:tcW w:w="2520" w:type="dxa"/>
            <w:shd w:val="clear" w:color="auto" w:fill="FFFFFF"/>
            <w:vAlign w:val="center"/>
          </w:tcPr>
          <w:p w14:paraId="3AC4FB7C"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1.12 (1.02, 1.23)</w:t>
            </w:r>
          </w:p>
        </w:tc>
        <w:tc>
          <w:tcPr>
            <w:tcW w:w="2850" w:type="dxa"/>
            <w:shd w:val="clear" w:color="auto" w:fill="FFFFFF"/>
            <w:vAlign w:val="center"/>
          </w:tcPr>
          <w:p w14:paraId="31F09592"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1.10 (1.04, 1.17)</w:t>
            </w:r>
          </w:p>
        </w:tc>
      </w:tr>
      <w:tr w:rsidR="007A5896" w:rsidRPr="00B8179A" w14:paraId="3890A553" w14:textId="77777777" w:rsidTr="008379B2">
        <w:trPr>
          <w:cantSplit/>
        </w:trPr>
        <w:tc>
          <w:tcPr>
            <w:tcW w:w="4110" w:type="dxa"/>
            <w:shd w:val="clear" w:color="auto" w:fill="FFFFFF"/>
          </w:tcPr>
          <w:p w14:paraId="1B26313E"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BSA 2.2 vs. 2.0 among males</w:t>
            </w:r>
          </w:p>
        </w:tc>
        <w:tc>
          <w:tcPr>
            <w:tcW w:w="2520" w:type="dxa"/>
            <w:shd w:val="clear" w:color="auto" w:fill="FFFFFF"/>
            <w:vAlign w:val="center"/>
          </w:tcPr>
          <w:p w14:paraId="233BE2AE"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1.04 (1.00, 1.08)</w:t>
            </w:r>
          </w:p>
        </w:tc>
        <w:tc>
          <w:tcPr>
            <w:tcW w:w="2850" w:type="dxa"/>
            <w:shd w:val="clear" w:color="auto" w:fill="FFFFFF"/>
            <w:vAlign w:val="center"/>
          </w:tcPr>
          <w:p w14:paraId="4B73E7CE"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1.07 (1.04, 1.09)</w:t>
            </w:r>
          </w:p>
        </w:tc>
      </w:tr>
      <w:tr w:rsidR="007A5896" w:rsidRPr="00B8179A" w14:paraId="16370C0F" w14:textId="77777777" w:rsidTr="008379B2">
        <w:trPr>
          <w:cantSplit/>
        </w:trPr>
        <w:tc>
          <w:tcPr>
            <w:tcW w:w="4110" w:type="dxa"/>
            <w:shd w:val="clear" w:color="auto" w:fill="FFFFFF"/>
          </w:tcPr>
          <w:p w14:paraId="202332AD"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 xml:space="preserve">Dialysis vs. No Dialysis &amp; </w:t>
            </w:r>
            <w:proofErr w:type="spellStart"/>
            <w:r w:rsidRPr="00B8179A">
              <w:rPr>
                <w:rFonts w:eastAsia="Times New Roman" w:cstheme="minorHAnsi"/>
                <w:color w:val="000000"/>
                <w:sz w:val="20"/>
                <w:szCs w:val="20"/>
              </w:rPr>
              <w:t>Creat</w:t>
            </w:r>
            <w:proofErr w:type="spellEnd"/>
            <w:r w:rsidRPr="00B8179A">
              <w:rPr>
                <w:rFonts w:eastAsia="Times New Roman" w:cstheme="minorHAnsi"/>
                <w:color w:val="000000"/>
                <w:sz w:val="20"/>
                <w:szCs w:val="20"/>
              </w:rPr>
              <w:t xml:space="preserve"> = 1.0</w:t>
            </w:r>
          </w:p>
        </w:tc>
        <w:tc>
          <w:tcPr>
            <w:tcW w:w="2520" w:type="dxa"/>
            <w:shd w:val="clear" w:color="auto" w:fill="FFFFFF"/>
            <w:vAlign w:val="center"/>
          </w:tcPr>
          <w:p w14:paraId="015BE24E"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3.20 (2.85, 3.60)</w:t>
            </w:r>
          </w:p>
        </w:tc>
        <w:tc>
          <w:tcPr>
            <w:tcW w:w="2850" w:type="dxa"/>
            <w:shd w:val="clear" w:color="auto" w:fill="FFFFFF"/>
            <w:vAlign w:val="center"/>
          </w:tcPr>
          <w:p w14:paraId="3D057A71"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2.09 (1.92, 2.29)</w:t>
            </w:r>
          </w:p>
        </w:tc>
      </w:tr>
      <w:tr w:rsidR="007A5896" w:rsidRPr="00B8179A" w14:paraId="75D85ACC" w14:textId="77777777" w:rsidTr="008379B2">
        <w:trPr>
          <w:cantSplit/>
        </w:trPr>
        <w:tc>
          <w:tcPr>
            <w:tcW w:w="4110" w:type="dxa"/>
            <w:shd w:val="clear" w:color="auto" w:fill="FFFFFF"/>
          </w:tcPr>
          <w:p w14:paraId="58D65392"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EF - per 10 unit decrease</w:t>
            </w:r>
          </w:p>
        </w:tc>
        <w:tc>
          <w:tcPr>
            <w:tcW w:w="2520" w:type="dxa"/>
            <w:shd w:val="clear" w:color="auto" w:fill="FFFFFF"/>
            <w:vAlign w:val="center"/>
          </w:tcPr>
          <w:p w14:paraId="3150E3C1"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1.10 (1.06, 1.15)</w:t>
            </w:r>
          </w:p>
        </w:tc>
        <w:tc>
          <w:tcPr>
            <w:tcW w:w="2850" w:type="dxa"/>
            <w:shd w:val="clear" w:color="auto" w:fill="FFFFFF"/>
            <w:vAlign w:val="center"/>
          </w:tcPr>
          <w:p w14:paraId="073E232E"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1.11 (1.09, 1.13)</w:t>
            </w:r>
          </w:p>
        </w:tc>
      </w:tr>
      <w:tr w:rsidR="007A5896" w:rsidRPr="00B8179A" w14:paraId="4D7214F8" w14:textId="77777777" w:rsidTr="008379B2">
        <w:trPr>
          <w:cantSplit/>
        </w:trPr>
        <w:tc>
          <w:tcPr>
            <w:tcW w:w="4110" w:type="dxa"/>
            <w:shd w:val="clear" w:color="auto" w:fill="FFFFFF"/>
          </w:tcPr>
          <w:p w14:paraId="08204211"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Preop</w:t>
            </w:r>
            <w:proofErr w:type="spellEnd"/>
            <w:r w:rsidRPr="00B8179A">
              <w:rPr>
                <w:rFonts w:eastAsia="Times New Roman" w:cstheme="minorHAnsi"/>
                <w:color w:val="000000"/>
                <w:sz w:val="20"/>
                <w:szCs w:val="20"/>
              </w:rPr>
              <w:t xml:space="preserve"> </w:t>
            </w:r>
            <w:proofErr w:type="spellStart"/>
            <w:r w:rsidRPr="00B8179A">
              <w:rPr>
                <w:rFonts w:eastAsia="Times New Roman" w:cstheme="minorHAnsi"/>
                <w:color w:val="000000"/>
                <w:sz w:val="20"/>
                <w:szCs w:val="20"/>
              </w:rPr>
              <w:t>Afib</w:t>
            </w:r>
            <w:proofErr w:type="spellEnd"/>
          </w:p>
        </w:tc>
        <w:tc>
          <w:tcPr>
            <w:tcW w:w="2520" w:type="dxa"/>
            <w:shd w:val="clear" w:color="auto" w:fill="FFFFFF"/>
            <w:vAlign w:val="center"/>
          </w:tcPr>
          <w:p w14:paraId="589346B0"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1.20 (1.12, 1.29)</w:t>
            </w:r>
          </w:p>
        </w:tc>
        <w:tc>
          <w:tcPr>
            <w:tcW w:w="2850" w:type="dxa"/>
            <w:shd w:val="clear" w:color="auto" w:fill="FFFFFF"/>
            <w:vAlign w:val="center"/>
          </w:tcPr>
          <w:p w14:paraId="250BB6D7"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1.15 (1.10, 1.20)</w:t>
            </w:r>
          </w:p>
        </w:tc>
      </w:tr>
      <w:tr w:rsidR="007A5896" w:rsidRPr="00B8179A" w14:paraId="20E8F46F" w14:textId="77777777" w:rsidTr="008379B2">
        <w:trPr>
          <w:cantSplit/>
        </w:trPr>
        <w:tc>
          <w:tcPr>
            <w:tcW w:w="4110" w:type="dxa"/>
            <w:shd w:val="clear" w:color="auto" w:fill="FFFFFF"/>
          </w:tcPr>
          <w:p w14:paraId="2C9B5725"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CHF - not NYHA IV</w:t>
            </w:r>
          </w:p>
        </w:tc>
        <w:tc>
          <w:tcPr>
            <w:tcW w:w="2520" w:type="dxa"/>
            <w:shd w:val="clear" w:color="auto" w:fill="FFFFFF"/>
            <w:vAlign w:val="center"/>
          </w:tcPr>
          <w:p w14:paraId="5E6AF33E"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1.24 (1.14, 1.34)</w:t>
            </w:r>
          </w:p>
        </w:tc>
        <w:tc>
          <w:tcPr>
            <w:tcW w:w="2850" w:type="dxa"/>
            <w:shd w:val="clear" w:color="auto" w:fill="FFFFFF"/>
            <w:vAlign w:val="center"/>
          </w:tcPr>
          <w:p w14:paraId="48027255"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1.14 (1.09, 1.18)</w:t>
            </w:r>
          </w:p>
        </w:tc>
      </w:tr>
      <w:tr w:rsidR="007A5896" w:rsidRPr="00B8179A" w14:paraId="31CDF467" w14:textId="77777777" w:rsidTr="008379B2">
        <w:trPr>
          <w:cantSplit/>
        </w:trPr>
        <w:tc>
          <w:tcPr>
            <w:tcW w:w="4110" w:type="dxa"/>
            <w:shd w:val="clear" w:color="auto" w:fill="FFFFFF"/>
          </w:tcPr>
          <w:p w14:paraId="23F5F9BA"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CHF - NYHA IV</w:t>
            </w:r>
          </w:p>
        </w:tc>
        <w:tc>
          <w:tcPr>
            <w:tcW w:w="2520" w:type="dxa"/>
            <w:shd w:val="clear" w:color="auto" w:fill="FFFFFF"/>
            <w:vAlign w:val="center"/>
          </w:tcPr>
          <w:p w14:paraId="2E7A1F46"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1.48 (1.36, 1.62)</w:t>
            </w:r>
          </w:p>
        </w:tc>
        <w:tc>
          <w:tcPr>
            <w:tcW w:w="2850" w:type="dxa"/>
            <w:shd w:val="clear" w:color="auto" w:fill="FFFFFF"/>
            <w:vAlign w:val="center"/>
          </w:tcPr>
          <w:p w14:paraId="1E0E9DF1"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1.36 (1.29, 1.43)</w:t>
            </w:r>
          </w:p>
        </w:tc>
      </w:tr>
      <w:tr w:rsidR="007A5896" w:rsidRPr="00B8179A" w14:paraId="25A4414D" w14:textId="77777777" w:rsidTr="008379B2">
        <w:trPr>
          <w:cantSplit/>
        </w:trPr>
        <w:tc>
          <w:tcPr>
            <w:tcW w:w="4110" w:type="dxa"/>
            <w:shd w:val="clear" w:color="auto" w:fill="FFFFFF"/>
          </w:tcPr>
          <w:p w14:paraId="4525E2B1"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Creatinine - per 1 unit</w:t>
            </w:r>
          </w:p>
        </w:tc>
        <w:tc>
          <w:tcPr>
            <w:tcW w:w="2520" w:type="dxa"/>
            <w:shd w:val="clear" w:color="auto" w:fill="FFFFFF"/>
            <w:vAlign w:val="center"/>
          </w:tcPr>
          <w:p w14:paraId="597680E2"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1.57 (1.49, 1.64)</w:t>
            </w:r>
          </w:p>
        </w:tc>
        <w:tc>
          <w:tcPr>
            <w:tcW w:w="2850" w:type="dxa"/>
            <w:shd w:val="clear" w:color="auto" w:fill="FFFFFF"/>
            <w:vAlign w:val="center"/>
          </w:tcPr>
          <w:p w14:paraId="323B3D1D"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1.67 (1.61, 1.73)</w:t>
            </w:r>
          </w:p>
        </w:tc>
      </w:tr>
      <w:tr w:rsidR="007A5896" w:rsidRPr="00B8179A" w14:paraId="15A1C3AA" w14:textId="77777777" w:rsidTr="008379B2">
        <w:trPr>
          <w:cantSplit/>
        </w:trPr>
        <w:tc>
          <w:tcPr>
            <w:tcW w:w="4110" w:type="dxa"/>
            <w:shd w:val="clear" w:color="auto" w:fill="FFFFFF"/>
          </w:tcPr>
          <w:p w14:paraId="2969F08E"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CVD with CVA</w:t>
            </w:r>
          </w:p>
        </w:tc>
        <w:tc>
          <w:tcPr>
            <w:tcW w:w="2520" w:type="dxa"/>
            <w:shd w:val="clear" w:color="auto" w:fill="FFFFFF"/>
            <w:vAlign w:val="center"/>
          </w:tcPr>
          <w:p w14:paraId="603E394C"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1.22 (1.12, 1.32)</w:t>
            </w:r>
          </w:p>
        </w:tc>
        <w:tc>
          <w:tcPr>
            <w:tcW w:w="2850" w:type="dxa"/>
            <w:shd w:val="clear" w:color="auto" w:fill="FFFFFF"/>
            <w:vAlign w:val="center"/>
          </w:tcPr>
          <w:p w14:paraId="4E28FDE9"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1.26 (1.20, 1.33)</w:t>
            </w:r>
          </w:p>
        </w:tc>
      </w:tr>
      <w:tr w:rsidR="007A5896" w:rsidRPr="00B8179A" w14:paraId="0D9BBA07" w14:textId="77777777" w:rsidTr="008379B2">
        <w:trPr>
          <w:cantSplit/>
        </w:trPr>
        <w:tc>
          <w:tcPr>
            <w:tcW w:w="4110" w:type="dxa"/>
            <w:shd w:val="clear" w:color="auto" w:fill="FFFFFF"/>
          </w:tcPr>
          <w:p w14:paraId="79DC196F"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CVD without CVA</w:t>
            </w:r>
          </w:p>
        </w:tc>
        <w:tc>
          <w:tcPr>
            <w:tcW w:w="2520" w:type="dxa"/>
            <w:shd w:val="clear" w:color="auto" w:fill="FFFFFF"/>
            <w:vAlign w:val="center"/>
          </w:tcPr>
          <w:p w14:paraId="0BC8BEDF" w14:textId="77777777" w:rsidR="007A5896" w:rsidRPr="00B8179A" w:rsidRDefault="007A5896" w:rsidP="008379B2">
            <w:pPr>
              <w:spacing w:after="0" w:line="240" w:lineRule="auto"/>
              <w:jc w:val="center"/>
              <w:rPr>
                <w:rFonts w:eastAsia="Times New Roman" w:cstheme="minorHAnsi"/>
                <w:color w:val="000000"/>
                <w:sz w:val="20"/>
                <w:szCs w:val="20"/>
              </w:rPr>
            </w:pPr>
          </w:p>
        </w:tc>
        <w:tc>
          <w:tcPr>
            <w:tcW w:w="2850" w:type="dxa"/>
            <w:shd w:val="clear" w:color="auto" w:fill="FFFFFF"/>
            <w:vAlign w:val="center"/>
          </w:tcPr>
          <w:p w14:paraId="2F4F3B1E"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1.11 (1.06, 1.16)</w:t>
            </w:r>
          </w:p>
        </w:tc>
      </w:tr>
      <w:tr w:rsidR="007A5896" w:rsidRPr="00B8179A" w14:paraId="3B057679" w14:textId="77777777" w:rsidTr="008379B2">
        <w:trPr>
          <w:cantSplit/>
        </w:trPr>
        <w:tc>
          <w:tcPr>
            <w:tcW w:w="4110" w:type="dxa"/>
            <w:shd w:val="clear" w:color="auto" w:fill="FFFFFF"/>
          </w:tcPr>
          <w:p w14:paraId="2A3C6700"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Diabetes - Insulin</w:t>
            </w:r>
          </w:p>
        </w:tc>
        <w:tc>
          <w:tcPr>
            <w:tcW w:w="2520" w:type="dxa"/>
            <w:shd w:val="clear" w:color="auto" w:fill="FFFFFF"/>
            <w:vAlign w:val="center"/>
          </w:tcPr>
          <w:p w14:paraId="6A483746"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1.31 (1.21, 1.42)</w:t>
            </w:r>
          </w:p>
        </w:tc>
        <w:tc>
          <w:tcPr>
            <w:tcW w:w="2850" w:type="dxa"/>
            <w:shd w:val="clear" w:color="auto" w:fill="FFFFFF"/>
            <w:vAlign w:val="center"/>
          </w:tcPr>
          <w:p w14:paraId="6F7D752F"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1.34 (1.28, 1.41)</w:t>
            </w:r>
          </w:p>
        </w:tc>
      </w:tr>
      <w:tr w:rsidR="007A5896" w:rsidRPr="00B8179A" w14:paraId="56D7955C" w14:textId="77777777" w:rsidTr="008379B2">
        <w:trPr>
          <w:cantSplit/>
        </w:trPr>
        <w:tc>
          <w:tcPr>
            <w:tcW w:w="4110" w:type="dxa"/>
            <w:shd w:val="clear" w:color="auto" w:fill="FFFFFF"/>
          </w:tcPr>
          <w:p w14:paraId="5B9ED719"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Diabetes - Noninsulin</w:t>
            </w:r>
          </w:p>
        </w:tc>
        <w:tc>
          <w:tcPr>
            <w:tcW w:w="2520" w:type="dxa"/>
            <w:shd w:val="clear" w:color="auto" w:fill="FFFFFF"/>
            <w:vAlign w:val="center"/>
          </w:tcPr>
          <w:p w14:paraId="77AEBD6F"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1.12 (1.05, 1.19)</w:t>
            </w:r>
          </w:p>
        </w:tc>
        <w:tc>
          <w:tcPr>
            <w:tcW w:w="2850" w:type="dxa"/>
            <w:shd w:val="clear" w:color="auto" w:fill="FFFFFF"/>
            <w:vAlign w:val="center"/>
          </w:tcPr>
          <w:p w14:paraId="05A645FC"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1.12 (1.08, 1.16)</w:t>
            </w:r>
          </w:p>
        </w:tc>
      </w:tr>
      <w:tr w:rsidR="007A5896" w:rsidRPr="00B8179A" w14:paraId="6D9A856D" w14:textId="77777777" w:rsidTr="008379B2">
        <w:trPr>
          <w:cantSplit/>
        </w:trPr>
        <w:tc>
          <w:tcPr>
            <w:tcW w:w="4110" w:type="dxa"/>
            <w:shd w:val="clear" w:color="auto" w:fill="FFFFFF"/>
          </w:tcPr>
          <w:p w14:paraId="2789C8D5"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Diseased vessels (2 vs. 1 or 3 vs. 2)</w:t>
            </w:r>
          </w:p>
        </w:tc>
        <w:tc>
          <w:tcPr>
            <w:tcW w:w="2520" w:type="dxa"/>
            <w:shd w:val="clear" w:color="auto" w:fill="FFFFFF"/>
            <w:vAlign w:val="center"/>
          </w:tcPr>
          <w:p w14:paraId="6BEA681F"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1.15 (1.11, 1.19)</w:t>
            </w:r>
          </w:p>
        </w:tc>
        <w:tc>
          <w:tcPr>
            <w:tcW w:w="2850" w:type="dxa"/>
            <w:shd w:val="clear" w:color="auto" w:fill="FFFFFF"/>
            <w:vAlign w:val="center"/>
          </w:tcPr>
          <w:p w14:paraId="1AA957D0"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1.16 (1.14, 1.18)</w:t>
            </w:r>
          </w:p>
        </w:tc>
      </w:tr>
      <w:tr w:rsidR="007A5896" w:rsidRPr="00B8179A" w14:paraId="44D8AABB" w14:textId="77777777" w:rsidTr="008379B2">
        <w:trPr>
          <w:cantSplit/>
        </w:trPr>
        <w:tc>
          <w:tcPr>
            <w:tcW w:w="4110" w:type="dxa"/>
            <w:shd w:val="clear" w:color="auto" w:fill="FFFFFF"/>
          </w:tcPr>
          <w:p w14:paraId="5BFD8FA5"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Preop</w:t>
            </w:r>
            <w:proofErr w:type="spellEnd"/>
            <w:r w:rsidRPr="00B8179A">
              <w:rPr>
                <w:rFonts w:eastAsia="Times New Roman" w:cstheme="minorHAnsi"/>
                <w:color w:val="000000"/>
                <w:sz w:val="20"/>
                <w:szCs w:val="20"/>
              </w:rPr>
              <w:t xml:space="preserve"> IABP / Inotropes</w:t>
            </w:r>
          </w:p>
        </w:tc>
        <w:tc>
          <w:tcPr>
            <w:tcW w:w="2520" w:type="dxa"/>
            <w:shd w:val="clear" w:color="auto" w:fill="FFFFFF"/>
            <w:vAlign w:val="center"/>
          </w:tcPr>
          <w:p w14:paraId="297CA042"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1.43 (1.31, 1.57)</w:t>
            </w:r>
          </w:p>
        </w:tc>
        <w:tc>
          <w:tcPr>
            <w:tcW w:w="2850" w:type="dxa"/>
            <w:shd w:val="clear" w:color="auto" w:fill="FFFFFF"/>
            <w:vAlign w:val="center"/>
          </w:tcPr>
          <w:p w14:paraId="2D1CCC5C"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1.76 (1.65, 1.87)</w:t>
            </w:r>
          </w:p>
        </w:tc>
      </w:tr>
      <w:tr w:rsidR="007A5896" w:rsidRPr="00B8179A" w14:paraId="43F5E64B" w14:textId="77777777" w:rsidTr="008379B2">
        <w:trPr>
          <w:cantSplit/>
        </w:trPr>
        <w:tc>
          <w:tcPr>
            <w:tcW w:w="4110" w:type="dxa"/>
            <w:shd w:val="clear" w:color="auto" w:fill="FFFFFF"/>
          </w:tcPr>
          <w:p w14:paraId="471AA272"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Shock</w:t>
            </w:r>
          </w:p>
        </w:tc>
        <w:tc>
          <w:tcPr>
            <w:tcW w:w="2520" w:type="dxa"/>
            <w:shd w:val="clear" w:color="auto" w:fill="FFFFFF"/>
            <w:vAlign w:val="center"/>
          </w:tcPr>
          <w:p w14:paraId="63D6D970"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1.68 (1.47, 1.92)</w:t>
            </w:r>
          </w:p>
        </w:tc>
        <w:tc>
          <w:tcPr>
            <w:tcW w:w="2850" w:type="dxa"/>
            <w:shd w:val="clear" w:color="auto" w:fill="FFFFFF"/>
            <w:vAlign w:val="center"/>
          </w:tcPr>
          <w:p w14:paraId="4460785A"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1.79 (1.50, 2.14)</w:t>
            </w:r>
          </w:p>
        </w:tc>
      </w:tr>
      <w:tr w:rsidR="007A5896" w:rsidRPr="00B8179A" w14:paraId="2398A0F5" w14:textId="77777777" w:rsidTr="008379B2">
        <w:trPr>
          <w:cantSplit/>
        </w:trPr>
        <w:tc>
          <w:tcPr>
            <w:tcW w:w="4110" w:type="dxa"/>
            <w:shd w:val="clear" w:color="auto" w:fill="FFFFFF"/>
          </w:tcPr>
          <w:p w14:paraId="4B909DAB"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Female vs. male (at BSA=1.8)</w:t>
            </w:r>
          </w:p>
        </w:tc>
        <w:tc>
          <w:tcPr>
            <w:tcW w:w="2520" w:type="dxa"/>
            <w:shd w:val="clear" w:color="auto" w:fill="FFFFFF"/>
            <w:vAlign w:val="center"/>
          </w:tcPr>
          <w:p w14:paraId="05FD7B79"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1.36 (1.27, 1.46)</w:t>
            </w:r>
          </w:p>
        </w:tc>
        <w:tc>
          <w:tcPr>
            <w:tcW w:w="2850" w:type="dxa"/>
            <w:shd w:val="clear" w:color="auto" w:fill="FFFFFF"/>
            <w:vAlign w:val="center"/>
          </w:tcPr>
          <w:p w14:paraId="687675F8"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1.20 (1.16, 1.26)</w:t>
            </w:r>
          </w:p>
        </w:tc>
      </w:tr>
      <w:tr w:rsidR="007A5896" w:rsidRPr="00B8179A" w14:paraId="39AFA2D3" w14:textId="77777777" w:rsidTr="008379B2">
        <w:trPr>
          <w:cantSplit/>
        </w:trPr>
        <w:tc>
          <w:tcPr>
            <w:tcW w:w="4110" w:type="dxa"/>
            <w:shd w:val="clear" w:color="auto" w:fill="FFFFFF"/>
          </w:tcPr>
          <w:p w14:paraId="3163A621"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Hypertension</w:t>
            </w:r>
          </w:p>
        </w:tc>
        <w:tc>
          <w:tcPr>
            <w:tcW w:w="2520" w:type="dxa"/>
            <w:shd w:val="clear" w:color="auto" w:fill="FFFFFF"/>
            <w:vAlign w:val="center"/>
          </w:tcPr>
          <w:p w14:paraId="56E912A2" w14:textId="77777777" w:rsidR="007A5896" w:rsidRPr="00B8179A" w:rsidRDefault="007A5896" w:rsidP="008379B2">
            <w:pPr>
              <w:spacing w:after="0" w:line="240" w:lineRule="auto"/>
              <w:jc w:val="center"/>
              <w:rPr>
                <w:rFonts w:eastAsia="Times New Roman" w:cstheme="minorHAnsi"/>
                <w:color w:val="000000"/>
                <w:sz w:val="20"/>
                <w:szCs w:val="20"/>
              </w:rPr>
            </w:pPr>
          </w:p>
        </w:tc>
        <w:tc>
          <w:tcPr>
            <w:tcW w:w="2850" w:type="dxa"/>
            <w:shd w:val="clear" w:color="auto" w:fill="FFFFFF"/>
            <w:vAlign w:val="center"/>
          </w:tcPr>
          <w:p w14:paraId="467CB81A"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1.12 (1.08, 1.16)</w:t>
            </w:r>
          </w:p>
        </w:tc>
      </w:tr>
      <w:tr w:rsidR="007A5896" w:rsidRPr="00B8179A" w14:paraId="40EEBF1F" w14:textId="77777777" w:rsidTr="008379B2">
        <w:trPr>
          <w:cantSplit/>
        </w:trPr>
        <w:tc>
          <w:tcPr>
            <w:tcW w:w="4110" w:type="dxa"/>
            <w:shd w:val="clear" w:color="auto" w:fill="FFFFFF"/>
          </w:tcPr>
          <w:p w14:paraId="22064947"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Immunosuppresive</w:t>
            </w:r>
            <w:proofErr w:type="spellEnd"/>
            <w:r w:rsidRPr="00B8179A">
              <w:rPr>
                <w:rFonts w:eastAsia="Times New Roman" w:cstheme="minorHAnsi"/>
                <w:color w:val="000000"/>
                <w:sz w:val="20"/>
                <w:szCs w:val="20"/>
              </w:rPr>
              <w:t xml:space="preserve"> treatment</w:t>
            </w:r>
          </w:p>
        </w:tc>
        <w:tc>
          <w:tcPr>
            <w:tcW w:w="2520" w:type="dxa"/>
            <w:shd w:val="clear" w:color="auto" w:fill="FFFFFF"/>
            <w:vAlign w:val="center"/>
          </w:tcPr>
          <w:p w14:paraId="6635ED5A"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1.35 (1.19, 1.52)</w:t>
            </w:r>
          </w:p>
        </w:tc>
        <w:tc>
          <w:tcPr>
            <w:tcW w:w="2850" w:type="dxa"/>
            <w:shd w:val="clear" w:color="auto" w:fill="FFFFFF"/>
            <w:vAlign w:val="center"/>
          </w:tcPr>
          <w:p w14:paraId="3DDF7741"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1.26 (1.16, 1.37)</w:t>
            </w:r>
          </w:p>
        </w:tc>
      </w:tr>
      <w:tr w:rsidR="007A5896" w:rsidRPr="00B8179A" w14:paraId="7461BE32" w14:textId="77777777" w:rsidTr="008379B2">
        <w:trPr>
          <w:cantSplit/>
        </w:trPr>
        <w:tc>
          <w:tcPr>
            <w:tcW w:w="4110" w:type="dxa"/>
            <w:shd w:val="clear" w:color="auto" w:fill="FFFFFF"/>
          </w:tcPr>
          <w:p w14:paraId="2226DF2E"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Active Infectious Endocarditis</w:t>
            </w:r>
          </w:p>
        </w:tc>
        <w:tc>
          <w:tcPr>
            <w:tcW w:w="2520" w:type="dxa"/>
            <w:shd w:val="clear" w:color="auto" w:fill="FFFFFF"/>
            <w:vAlign w:val="center"/>
          </w:tcPr>
          <w:p w14:paraId="484CB629"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2.04 (1.66, 2.50)</w:t>
            </w:r>
          </w:p>
        </w:tc>
        <w:tc>
          <w:tcPr>
            <w:tcW w:w="2850" w:type="dxa"/>
            <w:shd w:val="clear" w:color="auto" w:fill="FFFFFF"/>
            <w:vAlign w:val="center"/>
          </w:tcPr>
          <w:p w14:paraId="41F5238D"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2.11 (1.82, 2.46)</w:t>
            </w:r>
          </w:p>
        </w:tc>
      </w:tr>
      <w:tr w:rsidR="007A5896" w:rsidRPr="00B8179A" w14:paraId="6E836789" w14:textId="77777777" w:rsidTr="008379B2">
        <w:trPr>
          <w:cantSplit/>
        </w:trPr>
        <w:tc>
          <w:tcPr>
            <w:tcW w:w="4110" w:type="dxa"/>
            <w:shd w:val="clear" w:color="auto" w:fill="FFFFFF"/>
          </w:tcPr>
          <w:p w14:paraId="64CA8C88"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Mitral Insufficiency - Moderate/Severe</w:t>
            </w:r>
          </w:p>
        </w:tc>
        <w:tc>
          <w:tcPr>
            <w:tcW w:w="2520" w:type="dxa"/>
            <w:shd w:val="clear" w:color="auto" w:fill="FFFFFF"/>
            <w:vAlign w:val="center"/>
          </w:tcPr>
          <w:p w14:paraId="497E2DB9" w14:textId="77777777" w:rsidR="007A5896" w:rsidRPr="00B8179A" w:rsidRDefault="007A5896" w:rsidP="008379B2">
            <w:pPr>
              <w:spacing w:after="0" w:line="240" w:lineRule="auto"/>
              <w:jc w:val="center"/>
              <w:rPr>
                <w:rFonts w:eastAsia="Times New Roman" w:cstheme="minorHAnsi"/>
                <w:color w:val="000000"/>
                <w:sz w:val="20"/>
                <w:szCs w:val="20"/>
              </w:rPr>
            </w:pPr>
          </w:p>
        </w:tc>
        <w:tc>
          <w:tcPr>
            <w:tcW w:w="2850" w:type="dxa"/>
            <w:shd w:val="clear" w:color="auto" w:fill="FFFFFF"/>
            <w:vAlign w:val="center"/>
          </w:tcPr>
          <w:p w14:paraId="08ACF6C4"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1.07 (1.02, 1.12)</w:t>
            </w:r>
          </w:p>
        </w:tc>
      </w:tr>
      <w:tr w:rsidR="007A5896" w:rsidRPr="00B8179A" w14:paraId="5012ABBC" w14:textId="77777777" w:rsidTr="008379B2">
        <w:trPr>
          <w:cantSplit/>
        </w:trPr>
        <w:tc>
          <w:tcPr>
            <w:tcW w:w="4110" w:type="dxa"/>
            <w:shd w:val="clear" w:color="auto" w:fill="FFFFFF"/>
          </w:tcPr>
          <w:p w14:paraId="4227E4A9"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Tricuspid Insufficiency - Moderate/Severe</w:t>
            </w:r>
          </w:p>
        </w:tc>
        <w:tc>
          <w:tcPr>
            <w:tcW w:w="2520" w:type="dxa"/>
            <w:shd w:val="clear" w:color="auto" w:fill="FFFFFF"/>
            <w:vAlign w:val="center"/>
          </w:tcPr>
          <w:p w14:paraId="0F7C04D5"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1.27 (1.15, 1.40)</w:t>
            </w:r>
          </w:p>
        </w:tc>
        <w:tc>
          <w:tcPr>
            <w:tcW w:w="2850" w:type="dxa"/>
            <w:shd w:val="clear" w:color="auto" w:fill="FFFFFF"/>
            <w:vAlign w:val="center"/>
          </w:tcPr>
          <w:p w14:paraId="23D22643"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1.14 (1.07, 1.22)</w:t>
            </w:r>
          </w:p>
        </w:tc>
      </w:tr>
      <w:tr w:rsidR="007A5896" w:rsidRPr="00B8179A" w14:paraId="7802CE63" w14:textId="77777777" w:rsidTr="008379B2">
        <w:trPr>
          <w:cantSplit/>
        </w:trPr>
        <w:tc>
          <w:tcPr>
            <w:tcW w:w="4110" w:type="dxa"/>
            <w:shd w:val="clear" w:color="auto" w:fill="FFFFFF"/>
          </w:tcPr>
          <w:p w14:paraId="77532B80"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PVD</w:t>
            </w:r>
          </w:p>
        </w:tc>
        <w:tc>
          <w:tcPr>
            <w:tcW w:w="2520" w:type="dxa"/>
            <w:shd w:val="clear" w:color="auto" w:fill="FFFFFF"/>
            <w:vAlign w:val="center"/>
          </w:tcPr>
          <w:p w14:paraId="4CB8D665"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1.29 (1.21, 1.37)</w:t>
            </w:r>
          </w:p>
        </w:tc>
        <w:tc>
          <w:tcPr>
            <w:tcW w:w="2850" w:type="dxa"/>
            <w:shd w:val="clear" w:color="auto" w:fill="FFFFFF"/>
            <w:vAlign w:val="center"/>
          </w:tcPr>
          <w:p w14:paraId="6A05B522"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1.20 (1.15, 1.24)</w:t>
            </w:r>
          </w:p>
        </w:tc>
      </w:tr>
      <w:tr w:rsidR="007A5896" w:rsidRPr="00B8179A" w14:paraId="1B991D8A" w14:textId="77777777" w:rsidTr="008379B2">
        <w:trPr>
          <w:cantSplit/>
        </w:trPr>
        <w:tc>
          <w:tcPr>
            <w:tcW w:w="4110" w:type="dxa"/>
            <w:shd w:val="clear" w:color="auto" w:fill="FFFFFF"/>
          </w:tcPr>
          <w:p w14:paraId="1EB4A188"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Mitral stenosis</w:t>
            </w:r>
          </w:p>
        </w:tc>
        <w:tc>
          <w:tcPr>
            <w:tcW w:w="2520" w:type="dxa"/>
            <w:shd w:val="clear" w:color="auto" w:fill="FFFFFF"/>
            <w:vAlign w:val="center"/>
          </w:tcPr>
          <w:p w14:paraId="12A591BC"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1.10 (0.99, 1.23)</w:t>
            </w:r>
          </w:p>
        </w:tc>
        <w:tc>
          <w:tcPr>
            <w:tcW w:w="2850" w:type="dxa"/>
            <w:shd w:val="clear" w:color="auto" w:fill="FFFFFF"/>
            <w:vAlign w:val="center"/>
          </w:tcPr>
          <w:p w14:paraId="74D49D07" w14:textId="77777777" w:rsidR="007A5896" w:rsidRPr="00B8179A" w:rsidRDefault="007A5896" w:rsidP="008379B2">
            <w:pPr>
              <w:spacing w:after="0" w:line="240" w:lineRule="auto"/>
              <w:ind w:left="30"/>
              <w:jc w:val="center"/>
              <w:rPr>
                <w:rFonts w:eastAsia="Times New Roman" w:cstheme="minorHAnsi"/>
                <w:color w:val="000000"/>
                <w:sz w:val="20"/>
                <w:szCs w:val="20"/>
              </w:rPr>
            </w:pPr>
          </w:p>
        </w:tc>
      </w:tr>
      <w:tr w:rsidR="007A5896" w:rsidRPr="00B8179A" w14:paraId="7412B735" w14:textId="77777777" w:rsidTr="008379B2">
        <w:trPr>
          <w:cantSplit/>
        </w:trPr>
        <w:tc>
          <w:tcPr>
            <w:tcW w:w="4110" w:type="dxa"/>
            <w:shd w:val="clear" w:color="auto" w:fill="FFFFFF"/>
          </w:tcPr>
          <w:p w14:paraId="5C0F04AF"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Left main disease</w:t>
            </w:r>
          </w:p>
        </w:tc>
        <w:tc>
          <w:tcPr>
            <w:tcW w:w="2520" w:type="dxa"/>
            <w:shd w:val="clear" w:color="auto" w:fill="FFFFFF"/>
            <w:vAlign w:val="center"/>
          </w:tcPr>
          <w:p w14:paraId="47338757"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1.12 (1.05, 1.20)</w:t>
            </w:r>
          </w:p>
        </w:tc>
        <w:tc>
          <w:tcPr>
            <w:tcW w:w="2850" w:type="dxa"/>
            <w:shd w:val="clear" w:color="auto" w:fill="FFFFFF"/>
            <w:vAlign w:val="center"/>
          </w:tcPr>
          <w:p w14:paraId="1EDBDF50" w14:textId="77777777" w:rsidR="007A5896" w:rsidRPr="00B8179A" w:rsidRDefault="007A5896" w:rsidP="008379B2">
            <w:pPr>
              <w:spacing w:after="0" w:line="240" w:lineRule="auto"/>
              <w:ind w:left="30"/>
              <w:jc w:val="center"/>
              <w:rPr>
                <w:rFonts w:eastAsia="Times New Roman" w:cstheme="minorHAnsi"/>
                <w:color w:val="000000"/>
                <w:sz w:val="20"/>
                <w:szCs w:val="20"/>
              </w:rPr>
            </w:pPr>
          </w:p>
        </w:tc>
      </w:tr>
      <w:tr w:rsidR="007A5896" w:rsidRPr="00B8179A" w14:paraId="43250B55" w14:textId="77777777" w:rsidTr="008379B2">
        <w:trPr>
          <w:cantSplit/>
        </w:trPr>
        <w:tc>
          <w:tcPr>
            <w:tcW w:w="4110" w:type="dxa"/>
            <w:shd w:val="clear" w:color="auto" w:fill="FFFFFF"/>
          </w:tcPr>
          <w:p w14:paraId="0D0B6079"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MI 1-21 days</w:t>
            </w:r>
          </w:p>
        </w:tc>
        <w:tc>
          <w:tcPr>
            <w:tcW w:w="2520" w:type="dxa"/>
            <w:shd w:val="clear" w:color="auto" w:fill="FFFFFF"/>
            <w:vAlign w:val="center"/>
          </w:tcPr>
          <w:p w14:paraId="0880AAF2"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1.19 (1.10, 1.27)</w:t>
            </w:r>
          </w:p>
        </w:tc>
        <w:tc>
          <w:tcPr>
            <w:tcW w:w="2850" w:type="dxa"/>
            <w:shd w:val="clear" w:color="auto" w:fill="FFFFFF"/>
            <w:vAlign w:val="center"/>
          </w:tcPr>
          <w:p w14:paraId="4B2AC71A"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1.22 (1.17, 1.27)</w:t>
            </w:r>
          </w:p>
        </w:tc>
      </w:tr>
      <w:tr w:rsidR="007A5896" w:rsidRPr="00B8179A" w14:paraId="7B23BA54" w14:textId="77777777" w:rsidTr="008379B2">
        <w:trPr>
          <w:cantSplit/>
        </w:trPr>
        <w:tc>
          <w:tcPr>
            <w:tcW w:w="4110" w:type="dxa"/>
            <w:shd w:val="clear" w:color="auto" w:fill="FFFFFF"/>
          </w:tcPr>
          <w:p w14:paraId="7F30A261"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 xml:space="preserve">MI &lt; 24 </w:t>
            </w:r>
            <w:proofErr w:type="spellStart"/>
            <w:r w:rsidRPr="00B8179A">
              <w:rPr>
                <w:rFonts w:eastAsia="Times New Roman" w:cstheme="minorHAnsi"/>
                <w:color w:val="000000"/>
                <w:sz w:val="20"/>
                <w:szCs w:val="20"/>
              </w:rPr>
              <w:t>hrs</w:t>
            </w:r>
            <w:proofErr w:type="spellEnd"/>
          </w:p>
        </w:tc>
        <w:tc>
          <w:tcPr>
            <w:tcW w:w="2520" w:type="dxa"/>
            <w:shd w:val="clear" w:color="auto" w:fill="FFFFFF"/>
            <w:vAlign w:val="center"/>
          </w:tcPr>
          <w:p w14:paraId="07D24FAA"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1.65 (1.41, 1.92)</w:t>
            </w:r>
          </w:p>
        </w:tc>
        <w:tc>
          <w:tcPr>
            <w:tcW w:w="2850" w:type="dxa"/>
            <w:shd w:val="clear" w:color="auto" w:fill="FFFFFF"/>
            <w:vAlign w:val="center"/>
          </w:tcPr>
          <w:p w14:paraId="2A46D9F1"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1.49 (1.31, 1.69)</w:t>
            </w:r>
          </w:p>
        </w:tc>
      </w:tr>
      <w:tr w:rsidR="007A5896" w:rsidRPr="00B8179A" w14:paraId="5F26124D" w14:textId="77777777" w:rsidTr="008379B2">
        <w:trPr>
          <w:cantSplit/>
        </w:trPr>
        <w:tc>
          <w:tcPr>
            <w:tcW w:w="4110" w:type="dxa"/>
            <w:shd w:val="clear" w:color="auto" w:fill="FFFFFF"/>
          </w:tcPr>
          <w:p w14:paraId="24B0292B"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lastRenderedPageBreak/>
              <w:t>Time Trend - Per 6 month harvest interval</w:t>
            </w:r>
          </w:p>
        </w:tc>
        <w:tc>
          <w:tcPr>
            <w:tcW w:w="2520" w:type="dxa"/>
            <w:shd w:val="clear" w:color="auto" w:fill="FFFFFF"/>
            <w:vAlign w:val="center"/>
          </w:tcPr>
          <w:p w14:paraId="15282BD1"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0.98 (0.97, 0.98)</w:t>
            </w:r>
          </w:p>
        </w:tc>
        <w:tc>
          <w:tcPr>
            <w:tcW w:w="2850" w:type="dxa"/>
            <w:shd w:val="clear" w:color="auto" w:fill="FFFFFF"/>
            <w:vAlign w:val="center"/>
          </w:tcPr>
          <w:p w14:paraId="4125B88F"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1.00 (1.00, 1.01)</w:t>
            </w:r>
          </w:p>
        </w:tc>
      </w:tr>
      <w:tr w:rsidR="007A5896" w:rsidRPr="00B8179A" w14:paraId="4A671A31" w14:textId="77777777" w:rsidTr="008379B2">
        <w:trPr>
          <w:cantSplit/>
        </w:trPr>
        <w:tc>
          <w:tcPr>
            <w:tcW w:w="4110" w:type="dxa"/>
            <w:shd w:val="clear" w:color="auto" w:fill="FFFFFF"/>
          </w:tcPr>
          <w:p w14:paraId="5298F155"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 xml:space="preserve">CLD (mod vs mild or </w:t>
            </w:r>
            <w:proofErr w:type="spellStart"/>
            <w:r w:rsidRPr="00B8179A">
              <w:rPr>
                <w:rFonts w:eastAsia="Times New Roman" w:cstheme="minorHAnsi"/>
                <w:color w:val="000000"/>
                <w:sz w:val="20"/>
                <w:szCs w:val="20"/>
              </w:rPr>
              <w:t>sev</w:t>
            </w:r>
            <w:proofErr w:type="spellEnd"/>
            <w:r w:rsidRPr="00B8179A">
              <w:rPr>
                <w:rFonts w:eastAsia="Times New Roman" w:cstheme="minorHAnsi"/>
                <w:color w:val="000000"/>
                <w:sz w:val="20"/>
                <w:szCs w:val="20"/>
              </w:rPr>
              <w:t xml:space="preserve"> vs mod)</w:t>
            </w:r>
          </w:p>
        </w:tc>
        <w:tc>
          <w:tcPr>
            <w:tcW w:w="2520" w:type="dxa"/>
            <w:shd w:val="clear" w:color="auto" w:fill="FFFFFF"/>
            <w:vAlign w:val="center"/>
          </w:tcPr>
          <w:p w14:paraId="506F3028"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1.19 (1.16, 1.23)</w:t>
            </w:r>
          </w:p>
        </w:tc>
        <w:tc>
          <w:tcPr>
            <w:tcW w:w="2850" w:type="dxa"/>
            <w:shd w:val="clear" w:color="auto" w:fill="FFFFFF"/>
            <w:vAlign w:val="center"/>
          </w:tcPr>
          <w:p w14:paraId="5497460C"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1.18 (1.16, 1.20)</w:t>
            </w:r>
          </w:p>
        </w:tc>
      </w:tr>
      <w:tr w:rsidR="007A5896" w:rsidRPr="00B8179A" w14:paraId="51C27EB9" w14:textId="77777777" w:rsidTr="008379B2">
        <w:trPr>
          <w:cantSplit/>
        </w:trPr>
        <w:tc>
          <w:tcPr>
            <w:tcW w:w="4110" w:type="dxa"/>
            <w:shd w:val="clear" w:color="auto" w:fill="FFFFFF"/>
          </w:tcPr>
          <w:p w14:paraId="7064AFDA"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race_black</w:t>
            </w:r>
            <w:proofErr w:type="spellEnd"/>
          </w:p>
        </w:tc>
        <w:tc>
          <w:tcPr>
            <w:tcW w:w="2520" w:type="dxa"/>
            <w:shd w:val="clear" w:color="auto" w:fill="FFFFFF"/>
            <w:vAlign w:val="center"/>
          </w:tcPr>
          <w:p w14:paraId="61BB272B" w14:textId="77777777" w:rsidR="007A5896" w:rsidRPr="00B8179A" w:rsidRDefault="007A5896" w:rsidP="008379B2">
            <w:pPr>
              <w:spacing w:after="0" w:line="240" w:lineRule="auto"/>
              <w:jc w:val="center"/>
              <w:rPr>
                <w:rFonts w:eastAsia="Times New Roman" w:cstheme="minorHAnsi"/>
                <w:color w:val="000000"/>
                <w:sz w:val="20"/>
                <w:szCs w:val="20"/>
              </w:rPr>
            </w:pPr>
          </w:p>
        </w:tc>
        <w:tc>
          <w:tcPr>
            <w:tcW w:w="2850" w:type="dxa"/>
            <w:shd w:val="clear" w:color="auto" w:fill="FFFFFF"/>
            <w:vAlign w:val="center"/>
          </w:tcPr>
          <w:p w14:paraId="63DA88E4"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1.21 (1.13, 1.30)</w:t>
            </w:r>
          </w:p>
        </w:tc>
      </w:tr>
      <w:tr w:rsidR="007A5896" w:rsidRPr="00B8179A" w14:paraId="4A12933B" w14:textId="77777777" w:rsidTr="008379B2">
        <w:trPr>
          <w:cantSplit/>
        </w:trPr>
        <w:tc>
          <w:tcPr>
            <w:tcW w:w="4110" w:type="dxa"/>
            <w:shd w:val="clear" w:color="auto" w:fill="FFFFFF"/>
          </w:tcPr>
          <w:p w14:paraId="2D846EA0"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race_hispanic</w:t>
            </w:r>
            <w:proofErr w:type="spellEnd"/>
          </w:p>
        </w:tc>
        <w:tc>
          <w:tcPr>
            <w:tcW w:w="2520" w:type="dxa"/>
            <w:shd w:val="clear" w:color="auto" w:fill="FFFFFF"/>
            <w:vAlign w:val="center"/>
          </w:tcPr>
          <w:p w14:paraId="4C94CDC9" w14:textId="77777777" w:rsidR="007A5896" w:rsidRPr="00B8179A" w:rsidRDefault="007A5896" w:rsidP="008379B2">
            <w:pPr>
              <w:spacing w:after="0" w:line="240" w:lineRule="auto"/>
              <w:jc w:val="center"/>
              <w:rPr>
                <w:rFonts w:eastAsia="Times New Roman" w:cstheme="minorHAnsi"/>
                <w:color w:val="000000"/>
                <w:sz w:val="20"/>
                <w:szCs w:val="20"/>
              </w:rPr>
            </w:pPr>
          </w:p>
        </w:tc>
        <w:tc>
          <w:tcPr>
            <w:tcW w:w="2850" w:type="dxa"/>
            <w:shd w:val="clear" w:color="auto" w:fill="FFFFFF"/>
            <w:vAlign w:val="center"/>
          </w:tcPr>
          <w:p w14:paraId="03A773D0"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1.15 (1.04, 1.26)</w:t>
            </w:r>
          </w:p>
        </w:tc>
      </w:tr>
      <w:tr w:rsidR="007A5896" w:rsidRPr="00B8179A" w14:paraId="50E8B93E" w14:textId="77777777" w:rsidTr="008379B2">
        <w:trPr>
          <w:cantSplit/>
        </w:trPr>
        <w:tc>
          <w:tcPr>
            <w:tcW w:w="4110" w:type="dxa"/>
            <w:shd w:val="clear" w:color="auto" w:fill="FFFFFF"/>
          </w:tcPr>
          <w:p w14:paraId="45A71FC4"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Reop</w:t>
            </w:r>
            <w:proofErr w:type="spellEnd"/>
            <w:r w:rsidRPr="00B8179A">
              <w:rPr>
                <w:rFonts w:eastAsia="Times New Roman" w:cstheme="minorHAnsi"/>
                <w:color w:val="000000"/>
                <w:sz w:val="20"/>
                <w:szCs w:val="20"/>
              </w:rPr>
              <w:t xml:space="preserve"> - 1 previous operation</w:t>
            </w:r>
          </w:p>
        </w:tc>
        <w:tc>
          <w:tcPr>
            <w:tcW w:w="2520" w:type="dxa"/>
            <w:shd w:val="clear" w:color="auto" w:fill="FFFFFF"/>
            <w:vAlign w:val="center"/>
          </w:tcPr>
          <w:p w14:paraId="377A7A2B"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2.20 (1.81, 2.67)</w:t>
            </w:r>
          </w:p>
        </w:tc>
        <w:tc>
          <w:tcPr>
            <w:tcW w:w="2850" w:type="dxa"/>
            <w:shd w:val="clear" w:color="auto" w:fill="FFFFFF"/>
            <w:vAlign w:val="center"/>
          </w:tcPr>
          <w:p w14:paraId="70ADA6E6"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1.50 (1.33, 1.68)</w:t>
            </w:r>
          </w:p>
        </w:tc>
      </w:tr>
      <w:tr w:rsidR="007A5896" w:rsidRPr="00B8179A" w14:paraId="4C425175" w14:textId="77777777" w:rsidTr="008379B2">
        <w:trPr>
          <w:cantSplit/>
        </w:trPr>
        <w:tc>
          <w:tcPr>
            <w:tcW w:w="4110" w:type="dxa"/>
            <w:shd w:val="clear" w:color="auto" w:fill="FFFFFF"/>
          </w:tcPr>
          <w:p w14:paraId="0B176AC0" w14:textId="77777777" w:rsidR="007A5896" w:rsidRPr="00B8179A" w:rsidRDefault="007A5896" w:rsidP="008379B2">
            <w:pPr>
              <w:spacing w:after="0" w:line="240" w:lineRule="auto"/>
              <w:ind w:left="90"/>
              <w:rPr>
                <w:rFonts w:eastAsia="Times New Roman" w:cstheme="minorHAnsi"/>
                <w:color w:val="000000"/>
                <w:sz w:val="20"/>
                <w:szCs w:val="20"/>
              </w:rPr>
            </w:pPr>
            <w:proofErr w:type="spellStart"/>
            <w:r w:rsidRPr="00B8179A">
              <w:rPr>
                <w:rFonts w:eastAsia="Times New Roman" w:cstheme="minorHAnsi"/>
                <w:color w:val="000000"/>
                <w:sz w:val="20"/>
                <w:szCs w:val="20"/>
              </w:rPr>
              <w:t>Reop</w:t>
            </w:r>
            <w:proofErr w:type="spellEnd"/>
            <w:r w:rsidRPr="00B8179A">
              <w:rPr>
                <w:rFonts w:eastAsia="Times New Roman" w:cstheme="minorHAnsi"/>
                <w:color w:val="000000"/>
                <w:sz w:val="20"/>
                <w:szCs w:val="20"/>
              </w:rPr>
              <w:t xml:space="preserve"> - 2+ previous operations</w:t>
            </w:r>
          </w:p>
        </w:tc>
        <w:tc>
          <w:tcPr>
            <w:tcW w:w="2520" w:type="dxa"/>
            <w:shd w:val="clear" w:color="auto" w:fill="FFFFFF"/>
            <w:vAlign w:val="center"/>
          </w:tcPr>
          <w:p w14:paraId="1C66F875"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2.46 (1.91, 3.17)</w:t>
            </w:r>
          </w:p>
        </w:tc>
        <w:tc>
          <w:tcPr>
            <w:tcW w:w="2850" w:type="dxa"/>
            <w:shd w:val="clear" w:color="auto" w:fill="FFFFFF"/>
            <w:vAlign w:val="center"/>
          </w:tcPr>
          <w:p w14:paraId="35565687"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1.77 (1.51, 2.07)</w:t>
            </w:r>
          </w:p>
        </w:tc>
      </w:tr>
      <w:tr w:rsidR="007A5896" w:rsidRPr="00B8179A" w14:paraId="1122EB33" w14:textId="77777777" w:rsidTr="008379B2">
        <w:trPr>
          <w:cantSplit/>
        </w:trPr>
        <w:tc>
          <w:tcPr>
            <w:tcW w:w="4110" w:type="dxa"/>
            <w:shd w:val="clear" w:color="auto" w:fill="FFFFFF"/>
          </w:tcPr>
          <w:p w14:paraId="273BDC3C"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Status - Urgent</w:t>
            </w:r>
          </w:p>
        </w:tc>
        <w:tc>
          <w:tcPr>
            <w:tcW w:w="2520" w:type="dxa"/>
            <w:shd w:val="clear" w:color="auto" w:fill="FFFFFF"/>
            <w:vAlign w:val="center"/>
          </w:tcPr>
          <w:p w14:paraId="3E7C9E66"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1.25 (1.18, 1.33)</w:t>
            </w:r>
          </w:p>
        </w:tc>
        <w:tc>
          <w:tcPr>
            <w:tcW w:w="2850" w:type="dxa"/>
            <w:shd w:val="clear" w:color="auto" w:fill="FFFFFF"/>
            <w:vAlign w:val="center"/>
          </w:tcPr>
          <w:p w14:paraId="4DD57629"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1.19 (1.15, 1.23)</w:t>
            </w:r>
          </w:p>
        </w:tc>
      </w:tr>
      <w:tr w:rsidR="007A5896" w:rsidRPr="00B8179A" w14:paraId="395C8666" w14:textId="77777777" w:rsidTr="008379B2">
        <w:trPr>
          <w:cantSplit/>
        </w:trPr>
        <w:tc>
          <w:tcPr>
            <w:tcW w:w="4110" w:type="dxa"/>
            <w:shd w:val="clear" w:color="auto" w:fill="FFFFFF"/>
          </w:tcPr>
          <w:p w14:paraId="03A5B103"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Status - Emergent (no resuscitation)</w:t>
            </w:r>
          </w:p>
        </w:tc>
        <w:tc>
          <w:tcPr>
            <w:tcW w:w="2520" w:type="dxa"/>
            <w:shd w:val="clear" w:color="auto" w:fill="FFFFFF"/>
            <w:vAlign w:val="center"/>
          </w:tcPr>
          <w:p w14:paraId="06847D63"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2.14 (1.64, 2.78)</w:t>
            </w:r>
          </w:p>
        </w:tc>
        <w:tc>
          <w:tcPr>
            <w:tcW w:w="2850" w:type="dxa"/>
            <w:shd w:val="clear" w:color="auto" w:fill="FFFFFF"/>
            <w:vAlign w:val="center"/>
          </w:tcPr>
          <w:p w14:paraId="23CAE268"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2.17 (1.76, 2.68)</w:t>
            </w:r>
          </w:p>
        </w:tc>
      </w:tr>
      <w:tr w:rsidR="007A5896" w:rsidRPr="00B8179A" w14:paraId="7E9B75B6" w14:textId="77777777" w:rsidTr="008379B2">
        <w:trPr>
          <w:cantSplit/>
        </w:trPr>
        <w:tc>
          <w:tcPr>
            <w:tcW w:w="4110" w:type="dxa"/>
            <w:shd w:val="clear" w:color="auto" w:fill="FFFFFF"/>
          </w:tcPr>
          <w:p w14:paraId="2D9CCFFF"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Status - Emergent w/ resuscitation or salvage</w:t>
            </w:r>
          </w:p>
        </w:tc>
        <w:tc>
          <w:tcPr>
            <w:tcW w:w="2520" w:type="dxa"/>
            <w:shd w:val="clear" w:color="auto" w:fill="FFFFFF"/>
            <w:vAlign w:val="center"/>
          </w:tcPr>
          <w:p w14:paraId="73E4346A"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4.56 (3.36, 6.20)</w:t>
            </w:r>
          </w:p>
        </w:tc>
        <w:tc>
          <w:tcPr>
            <w:tcW w:w="2850" w:type="dxa"/>
            <w:shd w:val="clear" w:color="auto" w:fill="FFFFFF"/>
            <w:vAlign w:val="center"/>
          </w:tcPr>
          <w:p w14:paraId="14BBAAFD" w14:textId="77777777" w:rsidR="007A5896" w:rsidRPr="00B8179A" w:rsidRDefault="007A5896" w:rsidP="008379B2">
            <w:pPr>
              <w:spacing w:after="0" w:line="240" w:lineRule="auto"/>
              <w:ind w:left="30"/>
              <w:jc w:val="center"/>
              <w:rPr>
                <w:rFonts w:eastAsia="Times New Roman" w:cstheme="minorHAnsi"/>
                <w:color w:val="000000"/>
                <w:sz w:val="20"/>
                <w:szCs w:val="20"/>
              </w:rPr>
            </w:pPr>
            <w:r w:rsidRPr="00B8179A">
              <w:rPr>
                <w:rFonts w:eastAsia="Times New Roman" w:cstheme="minorHAnsi"/>
                <w:color w:val="000000"/>
                <w:sz w:val="20"/>
                <w:szCs w:val="20"/>
              </w:rPr>
              <w:t>3.34 (2.44, 4.58)</w:t>
            </w:r>
          </w:p>
        </w:tc>
      </w:tr>
      <w:tr w:rsidR="007A5896" w:rsidRPr="00B8179A" w14:paraId="1DA8B7A3" w14:textId="77777777" w:rsidTr="008379B2">
        <w:trPr>
          <w:cantSplit/>
          <w:trHeight w:val="83"/>
        </w:trPr>
        <w:tc>
          <w:tcPr>
            <w:tcW w:w="4110" w:type="dxa"/>
            <w:shd w:val="clear" w:color="auto" w:fill="FFFFFF"/>
          </w:tcPr>
          <w:p w14:paraId="2CFFC419" w14:textId="77777777" w:rsidR="007A5896" w:rsidRPr="00B8179A" w:rsidRDefault="007A5896" w:rsidP="008379B2">
            <w:pPr>
              <w:spacing w:after="0" w:line="240" w:lineRule="auto"/>
              <w:ind w:left="90"/>
              <w:rPr>
                <w:rFonts w:eastAsia="Times New Roman" w:cstheme="minorHAnsi"/>
                <w:color w:val="000000"/>
                <w:sz w:val="20"/>
                <w:szCs w:val="20"/>
              </w:rPr>
            </w:pPr>
            <w:r w:rsidRPr="00B8179A">
              <w:rPr>
                <w:rFonts w:eastAsia="Times New Roman" w:cstheme="minorHAnsi"/>
                <w:color w:val="000000"/>
                <w:sz w:val="20"/>
                <w:szCs w:val="20"/>
              </w:rPr>
              <w:t>Unstable Angina</w:t>
            </w:r>
          </w:p>
        </w:tc>
        <w:tc>
          <w:tcPr>
            <w:tcW w:w="2520" w:type="dxa"/>
            <w:shd w:val="clear" w:color="auto" w:fill="FFFFFF"/>
            <w:vAlign w:val="center"/>
          </w:tcPr>
          <w:p w14:paraId="6B12CC05" w14:textId="77777777" w:rsidR="007A5896" w:rsidRPr="00B8179A" w:rsidRDefault="007A5896" w:rsidP="008379B2">
            <w:pPr>
              <w:spacing w:after="0" w:line="240" w:lineRule="auto"/>
              <w:jc w:val="center"/>
              <w:rPr>
                <w:rFonts w:eastAsia="Times New Roman" w:cstheme="minorHAnsi"/>
                <w:color w:val="000000"/>
                <w:sz w:val="20"/>
                <w:szCs w:val="20"/>
              </w:rPr>
            </w:pPr>
            <w:r w:rsidRPr="00B8179A">
              <w:rPr>
                <w:rFonts w:eastAsia="Times New Roman" w:cstheme="minorHAnsi"/>
                <w:color w:val="000000"/>
                <w:sz w:val="20"/>
                <w:szCs w:val="20"/>
              </w:rPr>
              <w:t>1.11 (1.04, 1.19)</w:t>
            </w:r>
          </w:p>
        </w:tc>
        <w:tc>
          <w:tcPr>
            <w:tcW w:w="2850" w:type="dxa"/>
            <w:shd w:val="clear" w:color="auto" w:fill="FFFFFF"/>
            <w:vAlign w:val="center"/>
          </w:tcPr>
          <w:p w14:paraId="4B29CCF5" w14:textId="77777777" w:rsidR="007A5896" w:rsidRPr="00B8179A" w:rsidRDefault="007A5896" w:rsidP="008379B2">
            <w:pPr>
              <w:spacing w:after="0" w:line="240" w:lineRule="auto"/>
              <w:ind w:left="30"/>
              <w:jc w:val="center"/>
              <w:rPr>
                <w:rFonts w:eastAsia="Times New Roman" w:cstheme="minorHAnsi"/>
                <w:color w:val="000000"/>
                <w:sz w:val="20"/>
                <w:szCs w:val="20"/>
              </w:rPr>
            </w:pPr>
          </w:p>
        </w:tc>
      </w:tr>
    </w:tbl>
    <w:p w14:paraId="6C999984" w14:textId="77777777" w:rsidR="007A5896" w:rsidRPr="00B8179A" w:rsidRDefault="007A5896" w:rsidP="007A5896">
      <w:pPr>
        <w:autoSpaceDE w:val="0"/>
        <w:autoSpaceDN w:val="0"/>
        <w:adjustRightInd w:val="0"/>
        <w:spacing w:after="0" w:line="240" w:lineRule="auto"/>
        <w:rPr>
          <w:rFonts w:cstheme="minorHAnsi"/>
          <w:b/>
          <w:bCs/>
        </w:rPr>
      </w:pPr>
    </w:p>
    <w:p w14:paraId="7645D132" w14:textId="77777777" w:rsidR="007A5896" w:rsidRDefault="007A5896" w:rsidP="00001D73">
      <w:pPr>
        <w:autoSpaceDE w:val="0"/>
        <w:autoSpaceDN w:val="0"/>
        <w:adjustRightInd w:val="0"/>
        <w:spacing w:after="0" w:line="240" w:lineRule="auto"/>
        <w:rPr>
          <w:rFonts w:cstheme="minorHAnsi"/>
          <w:b/>
          <w:bCs/>
        </w:rPr>
      </w:pPr>
    </w:p>
    <w:p w14:paraId="0FB67DD0" w14:textId="0266C307" w:rsidR="00001D73" w:rsidRDefault="00A97C65" w:rsidP="00001D73">
      <w:pPr>
        <w:autoSpaceDE w:val="0"/>
        <w:autoSpaceDN w:val="0"/>
        <w:adjustRightInd w:val="0"/>
        <w:spacing w:after="0" w:line="240" w:lineRule="auto"/>
        <w:rPr>
          <w:rFonts w:cstheme="minorHAnsi"/>
          <w:bCs/>
        </w:rPr>
      </w:pPr>
      <w:r>
        <w:rPr>
          <w:rFonts w:cstheme="minorHAnsi"/>
          <w:b/>
          <w:bCs/>
        </w:rPr>
        <w:t>2b3</w:t>
      </w:r>
      <w:r w:rsidR="00C1695E">
        <w:rPr>
          <w:rFonts w:cstheme="minorHAnsi"/>
          <w:b/>
          <w:bCs/>
        </w:rPr>
        <w:t xml:space="preserve">.4b. Describe the analyses and interpretation resulting in the decision to select </w:t>
      </w:r>
      <w:r w:rsidR="00E108CC">
        <w:rPr>
          <w:rFonts w:cstheme="minorHAnsi"/>
          <w:b/>
          <w:bCs/>
        </w:rPr>
        <w:t xml:space="preserve">social risk </w:t>
      </w:r>
      <w:r w:rsidR="00C1695E">
        <w:rPr>
          <w:rFonts w:cstheme="minorHAnsi"/>
          <w:b/>
          <w:bCs/>
        </w:rPr>
        <w:t xml:space="preserve">factors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p>
    <w:p w14:paraId="2C0EA565" w14:textId="77777777" w:rsidR="007A5896" w:rsidRDefault="007A5896" w:rsidP="00001D73">
      <w:pPr>
        <w:autoSpaceDE w:val="0"/>
        <w:autoSpaceDN w:val="0"/>
        <w:adjustRightInd w:val="0"/>
        <w:spacing w:after="0" w:line="240" w:lineRule="auto"/>
        <w:rPr>
          <w:rFonts w:cstheme="minorHAnsi"/>
          <w:bCs/>
        </w:rPr>
      </w:pPr>
    </w:p>
    <w:p w14:paraId="2300CC8A" w14:textId="77777777" w:rsidR="0007346E" w:rsidRPr="00CE284E" w:rsidRDefault="0007346E" w:rsidP="0007346E">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FB67DD1" w14:textId="77777777" w:rsidR="00C1695E" w:rsidRPr="00001D73" w:rsidRDefault="00C1695E" w:rsidP="00001D73">
      <w:pPr>
        <w:autoSpaceDE w:val="0"/>
        <w:autoSpaceDN w:val="0"/>
        <w:adjustRightInd w:val="0"/>
        <w:spacing w:after="0" w:line="240" w:lineRule="auto"/>
        <w:rPr>
          <w:rFonts w:cstheme="minorHAnsi"/>
          <w:b/>
          <w:bCs/>
        </w:rPr>
      </w:pPr>
    </w:p>
    <w:p w14:paraId="3BFACE0A" w14:textId="77777777" w:rsidR="00F46230" w:rsidRDefault="00A97C65"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03147793" w14:textId="77777777" w:rsidR="00F46230" w:rsidRDefault="00F46230" w:rsidP="00092566">
      <w:pPr>
        <w:autoSpaceDE w:val="0"/>
        <w:autoSpaceDN w:val="0"/>
        <w:adjustRightInd w:val="0"/>
        <w:spacing w:after="0" w:line="240" w:lineRule="auto"/>
        <w:rPr>
          <w:rFonts w:cstheme="minorHAnsi"/>
          <w:bCs/>
        </w:rPr>
      </w:pPr>
    </w:p>
    <w:p w14:paraId="433BF833" w14:textId="77777777" w:rsidR="00F46230" w:rsidRDefault="00F46230" w:rsidP="00F46230">
      <w:pPr>
        <w:autoSpaceDE w:val="0"/>
        <w:autoSpaceDN w:val="0"/>
        <w:adjustRightInd w:val="0"/>
        <w:spacing w:after="0" w:line="240" w:lineRule="auto"/>
        <w:rPr>
          <w:rFonts w:cstheme="minorHAnsi"/>
          <w:bCs/>
        </w:rPr>
      </w:pPr>
      <w:r w:rsidRPr="00C15EB8">
        <w:rPr>
          <w:rFonts w:cstheme="minorHAnsi"/>
          <w:bCs/>
        </w:rPr>
        <w:t>In the paper referenced previously, the models were assessed for predictability by means of C-index and goodness-of-fit through calibration plot. Data were split into development and validation samples, and upon completion of model development, C-indices were estimated and calibration plots were created using the validation sample.</w:t>
      </w:r>
    </w:p>
    <w:p w14:paraId="0FB67DD2" w14:textId="6EADA667" w:rsidR="00092566" w:rsidRPr="00A25024" w:rsidRDefault="00092566" w:rsidP="00092566">
      <w:pPr>
        <w:autoSpaceDE w:val="0"/>
        <w:autoSpaceDN w:val="0"/>
        <w:adjustRightInd w:val="0"/>
        <w:spacing w:after="0" w:line="240" w:lineRule="auto"/>
        <w:rPr>
          <w:rFonts w:cstheme="minorHAnsi"/>
          <w:bCs/>
        </w:rPr>
      </w:pPr>
    </w:p>
    <w:p w14:paraId="0FB67DD3" w14:textId="36D390C2"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p>
    <w:p w14:paraId="0FB67DD4" w14:textId="77777777" w:rsidR="00743E46" w:rsidRDefault="00743E46" w:rsidP="00092566">
      <w:pPr>
        <w:autoSpaceDE w:val="0"/>
        <w:autoSpaceDN w:val="0"/>
        <w:adjustRightInd w:val="0"/>
        <w:spacing w:after="0" w:line="240" w:lineRule="auto"/>
        <w:rPr>
          <w:rFonts w:cstheme="minorHAnsi"/>
          <w:b/>
          <w:bCs/>
        </w:rPr>
      </w:pPr>
    </w:p>
    <w:p w14:paraId="0FB67DD5" w14:textId="6D654169" w:rsidR="00001D73" w:rsidRDefault="00E108CC"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r w:rsidR="00092566" w:rsidRPr="00001D73">
        <w:rPr>
          <w:rFonts w:cstheme="minorHAnsi"/>
          <w:b/>
        </w:rPr>
        <w:br/>
      </w:r>
    </w:p>
    <w:p w14:paraId="0B8A848C" w14:textId="77777777" w:rsidR="00F46230" w:rsidRPr="00A07517" w:rsidRDefault="00F46230" w:rsidP="00F46230">
      <w:pPr>
        <w:autoSpaceDE w:val="0"/>
        <w:autoSpaceDN w:val="0"/>
        <w:adjustRightInd w:val="0"/>
        <w:spacing w:after="0" w:line="240" w:lineRule="auto"/>
        <w:rPr>
          <w:rFonts w:cstheme="minorHAnsi"/>
          <w:b/>
          <w:bCs/>
        </w:rPr>
      </w:pPr>
      <w:r w:rsidRPr="00A07517">
        <w:rPr>
          <w:bCs/>
        </w:rPr>
        <w:t>The c-statistic for the mortality model is 0.736, and for the composite adverse event model 0.673.</w:t>
      </w:r>
    </w:p>
    <w:p w14:paraId="1C93FFA8" w14:textId="77777777" w:rsidR="00F46230" w:rsidRPr="00001D73" w:rsidRDefault="00F46230" w:rsidP="00092566">
      <w:pPr>
        <w:autoSpaceDE w:val="0"/>
        <w:autoSpaceDN w:val="0"/>
        <w:adjustRightInd w:val="0"/>
        <w:spacing w:after="0" w:line="240" w:lineRule="auto"/>
        <w:rPr>
          <w:rFonts w:cstheme="minorHAnsi"/>
          <w:b/>
          <w:bCs/>
        </w:rPr>
      </w:pPr>
    </w:p>
    <w:p w14:paraId="0FB67DD6" w14:textId="608B384D" w:rsidR="00001D73" w:rsidRDefault="00E108CC"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416A4752" w14:textId="77777777" w:rsidR="00F46230" w:rsidRPr="00A07517" w:rsidRDefault="00F46230" w:rsidP="00F46230">
      <w:pPr>
        <w:autoSpaceDE w:val="0"/>
        <w:autoSpaceDN w:val="0"/>
        <w:adjustRightInd w:val="0"/>
        <w:spacing w:after="0" w:line="240" w:lineRule="auto"/>
        <w:rPr>
          <w:rFonts w:cstheme="minorHAnsi"/>
          <w:bCs/>
        </w:rPr>
      </w:pPr>
      <w:r w:rsidRPr="00AB0774">
        <w:rPr>
          <w:bCs/>
        </w:rPr>
        <w:t>Calibration was assessed graphically by plotting observed versus expected event rates by decile of predicted risk overall and within several subgroups (2b4.8). The Hosmer-</w:t>
      </w:r>
      <w:proofErr w:type="spellStart"/>
      <w:r w:rsidRPr="00AB0774">
        <w:rPr>
          <w:bCs/>
        </w:rPr>
        <w:t>Lemeshow</w:t>
      </w:r>
      <w:proofErr w:type="spellEnd"/>
      <w:r w:rsidRPr="00AB0774">
        <w:rPr>
          <w:bCs/>
        </w:rPr>
        <w:t xml:space="preserve"> test was not used because</w:t>
      </w:r>
      <w:r>
        <w:rPr>
          <w:bCs/>
        </w:rPr>
        <w:t xml:space="preserve"> </w:t>
      </w:r>
      <w:r w:rsidRPr="00AB0774">
        <w:rPr>
          <w:bCs/>
        </w:rPr>
        <w:t>it is known to be highly sensitive to sample size and is likely to be significant in studies with a very large sample size. We also calculated the absolute differences between observed and expected event rates in deciles defined by predicted risks. The largest suc</w:t>
      </w:r>
      <w:r>
        <w:rPr>
          <w:bCs/>
        </w:rPr>
        <w:t>h difference in any deciles is 1.3% for mortality, and 2</w:t>
      </w:r>
      <w:r w:rsidRPr="00AB0774">
        <w:rPr>
          <w:bCs/>
        </w:rPr>
        <w:t>.6% for the composite adverse event model.</w:t>
      </w:r>
    </w:p>
    <w:p w14:paraId="253EF96B" w14:textId="77777777" w:rsidR="00F46230" w:rsidRPr="00A07517" w:rsidRDefault="00F46230" w:rsidP="00F46230">
      <w:pPr>
        <w:autoSpaceDE w:val="0"/>
        <w:autoSpaceDN w:val="0"/>
        <w:adjustRightInd w:val="0"/>
        <w:spacing w:after="0" w:line="240" w:lineRule="auto"/>
        <w:ind w:left="360"/>
        <w:rPr>
          <w:rFonts w:ascii="Calibri" w:eastAsia="Calibri" w:hAnsi="Calibri" w:cs="Calibri"/>
          <w:b/>
          <w:bCs/>
        </w:rPr>
      </w:pPr>
    </w:p>
    <w:p w14:paraId="7BF35589" w14:textId="77777777" w:rsidR="00F46230" w:rsidRPr="00A07517" w:rsidRDefault="00F46230" w:rsidP="00F46230">
      <w:pPr>
        <w:spacing w:after="0" w:line="240" w:lineRule="auto"/>
        <w:rPr>
          <w:rFonts w:ascii="Calibri" w:eastAsia="Calibri" w:hAnsi="Calibri" w:cs="Calibri"/>
          <w:b/>
        </w:rPr>
      </w:pPr>
      <w:r w:rsidRPr="00A07517">
        <w:rPr>
          <w:rFonts w:ascii="Calibri" w:eastAsia="Calibri" w:hAnsi="Calibri" w:cs="Calibri"/>
          <w:b/>
        </w:rPr>
        <w:lastRenderedPageBreak/>
        <w:t>Observed and expected mortality rates by risk deciles</w:t>
      </w:r>
    </w:p>
    <w:tbl>
      <w:tblPr>
        <w:tblW w:w="0" w:type="auto"/>
        <w:tblBorders>
          <w:top w:val="single" w:sz="8" w:space="0" w:color="000000"/>
          <w:bottom w:val="single" w:sz="8" w:space="0" w:color="000000"/>
        </w:tblBorders>
        <w:tblLook w:val="04A0" w:firstRow="1" w:lastRow="0" w:firstColumn="1" w:lastColumn="0" w:noHBand="0" w:noVBand="1"/>
      </w:tblPr>
      <w:tblGrid>
        <w:gridCol w:w="1788"/>
        <w:gridCol w:w="751"/>
        <w:gridCol w:w="752"/>
        <w:gridCol w:w="752"/>
        <w:gridCol w:w="752"/>
        <w:gridCol w:w="752"/>
        <w:gridCol w:w="752"/>
        <w:gridCol w:w="752"/>
        <w:gridCol w:w="752"/>
        <w:gridCol w:w="752"/>
        <w:gridCol w:w="805"/>
      </w:tblGrid>
      <w:tr w:rsidR="00F46230" w:rsidRPr="00A07517" w14:paraId="2E392BF7" w14:textId="77777777" w:rsidTr="008379B2">
        <w:tc>
          <w:tcPr>
            <w:tcW w:w="0" w:type="auto"/>
            <w:tcBorders>
              <w:top w:val="single" w:sz="8" w:space="0" w:color="000000"/>
              <w:left w:val="nil"/>
              <w:bottom w:val="single" w:sz="8" w:space="0" w:color="000000"/>
              <w:right w:val="nil"/>
            </w:tcBorders>
            <w:shd w:val="clear" w:color="auto" w:fill="auto"/>
          </w:tcPr>
          <w:p w14:paraId="4125568A" w14:textId="77777777" w:rsidR="00F46230" w:rsidRPr="00A07517" w:rsidRDefault="00F46230" w:rsidP="008379B2">
            <w:pPr>
              <w:tabs>
                <w:tab w:val="center" w:pos="951"/>
              </w:tabs>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ab/>
            </w:r>
          </w:p>
        </w:tc>
        <w:tc>
          <w:tcPr>
            <w:tcW w:w="0" w:type="auto"/>
            <w:tcBorders>
              <w:top w:val="single" w:sz="8" w:space="0" w:color="000000"/>
              <w:left w:val="nil"/>
              <w:bottom w:val="single" w:sz="8" w:space="0" w:color="000000"/>
              <w:right w:val="nil"/>
            </w:tcBorders>
            <w:shd w:val="clear" w:color="auto" w:fill="auto"/>
          </w:tcPr>
          <w:p w14:paraId="5075CA04"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1</w:t>
            </w:r>
          </w:p>
        </w:tc>
        <w:tc>
          <w:tcPr>
            <w:tcW w:w="0" w:type="auto"/>
            <w:tcBorders>
              <w:top w:val="single" w:sz="8" w:space="0" w:color="000000"/>
              <w:left w:val="nil"/>
              <w:bottom w:val="single" w:sz="8" w:space="0" w:color="000000"/>
              <w:right w:val="nil"/>
            </w:tcBorders>
            <w:shd w:val="clear" w:color="auto" w:fill="auto"/>
          </w:tcPr>
          <w:p w14:paraId="51D3EC25"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2</w:t>
            </w:r>
          </w:p>
        </w:tc>
        <w:tc>
          <w:tcPr>
            <w:tcW w:w="0" w:type="auto"/>
            <w:tcBorders>
              <w:top w:val="single" w:sz="8" w:space="0" w:color="000000"/>
              <w:left w:val="nil"/>
              <w:bottom w:val="single" w:sz="8" w:space="0" w:color="000000"/>
              <w:right w:val="nil"/>
            </w:tcBorders>
            <w:shd w:val="clear" w:color="auto" w:fill="auto"/>
          </w:tcPr>
          <w:p w14:paraId="4A172879"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3</w:t>
            </w:r>
          </w:p>
        </w:tc>
        <w:tc>
          <w:tcPr>
            <w:tcW w:w="0" w:type="auto"/>
            <w:tcBorders>
              <w:top w:val="single" w:sz="8" w:space="0" w:color="000000"/>
              <w:left w:val="nil"/>
              <w:bottom w:val="single" w:sz="8" w:space="0" w:color="000000"/>
              <w:right w:val="nil"/>
            </w:tcBorders>
            <w:shd w:val="clear" w:color="auto" w:fill="auto"/>
          </w:tcPr>
          <w:p w14:paraId="75788C69"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4</w:t>
            </w:r>
          </w:p>
        </w:tc>
        <w:tc>
          <w:tcPr>
            <w:tcW w:w="0" w:type="auto"/>
            <w:tcBorders>
              <w:top w:val="single" w:sz="8" w:space="0" w:color="000000"/>
              <w:left w:val="nil"/>
              <w:bottom w:val="single" w:sz="8" w:space="0" w:color="000000"/>
              <w:right w:val="nil"/>
            </w:tcBorders>
            <w:shd w:val="clear" w:color="auto" w:fill="auto"/>
          </w:tcPr>
          <w:p w14:paraId="2CAF8BE9"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5</w:t>
            </w:r>
          </w:p>
        </w:tc>
        <w:tc>
          <w:tcPr>
            <w:tcW w:w="0" w:type="auto"/>
            <w:tcBorders>
              <w:top w:val="single" w:sz="8" w:space="0" w:color="000000"/>
              <w:left w:val="nil"/>
              <w:bottom w:val="single" w:sz="8" w:space="0" w:color="000000"/>
              <w:right w:val="nil"/>
            </w:tcBorders>
            <w:shd w:val="clear" w:color="auto" w:fill="auto"/>
          </w:tcPr>
          <w:p w14:paraId="6597358C"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6</w:t>
            </w:r>
          </w:p>
        </w:tc>
        <w:tc>
          <w:tcPr>
            <w:tcW w:w="0" w:type="auto"/>
            <w:tcBorders>
              <w:top w:val="single" w:sz="8" w:space="0" w:color="000000"/>
              <w:left w:val="nil"/>
              <w:bottom w:val="single" w:sz="8" w:space="0" w:color="000000"/>
              <w:right w:val="nil"/>
            </w:tcBorders>
            <w:shd w:val="clear" w:color="auto" w:fill="auto"/>
          </w:tcPr>
          <w:p w14:paraId="74EE15C5"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7</w:t>
            </w:r>
          </w:p>
        </w:tc>
        <w:tc>
          <w:tcPr>
            <w:tcW w:w="0" w:type="auto"/>
            <w:tcBorders>
              <w:top w:val="single" w:sz="8" w:space="0" w:color="000000"/>
              <w:left w:val="nil"/>
              <w:bottom w:val="single" w:sz="8" w:space="0" w:color="000000"/>
              <w:right w:val="nil"/>
            </w:tcBorders>
            <w:shd w:val="clear" w:color="auto" w:fill="auto"/>
          </w:tcPr>
          <w:p w14:paraId="6CC62591"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8</w:t>
            </w:r>
          </w:p>
        </w:tc>
        <w:tc>
          <w:tcPr>
            <w:tcW w:w="0" w:type="auto"/>
            <w:tcBorders>
              <w:top w:val="single" w:sz="8" w:space="0" w:color="000000"/>
              <w:left w:val="nil"/>
              <w:bottom w:val="single" w:sz="8" w:space="0" w:color="000000"/>
              <w:right w:val="nil"/>
            </w:tcBorders>
            <w:shd w:val="clear" w:color="auto" w:fill="auto"/>
          </w:tcPr>
          <w:p w14:paraId="089C2763"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9</w:t>
            </w:r>
          </w:p>
        </w:tc>
        <w:tc>
          <w:tcPr>
            <w:tcW w:w="0" w:type="auto"/>
            <w:tcBorders>
              <w:top w:val="single" w:sz="8" w:space="0" w:color="000000"/>
              <w:left w:val="nil"/>
              <w:bottom w:val="single" w:sz="8" w:space="0" w:color="000000"/>
              <w:right w:val="nil"/>
            </w:tcBorders>
            <w:shd w:val="clear" w:color="auto" w:fill="auto"/>
          </w:tcPr>
          <w:p w14:paraId="699FB03E"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10</w:t>
            </w:r>
          </w:p>
        </w:tc>
      </w:tr>
      <w:tr w:rsidR="00F46230" w:rsidRPr="00A07517" w14:paraId="5182F310" w14:textId="77777777" w:rsidTr="008379B2">
        <w:tc>
          <w:tcPr>
            <w:tcW w:w="0" w:type="auto"/>
            <w:tcBorders>
              <w:left w:val="nil"/>
              <w:right w:val="nil"/>
            </w:tcBorders>
            <w:shd w:val="clear" w:color="auto" w:fill="C0C0C0"/>
          </w:tcPr>
          <w:p w14:paraId="62587CB8"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Observed mortality rate, %</w:t>
            </w:r>
          </w:p>
        </w:tc>
        <w:tc>
          <w:tcPr>
            <w:tcW w:w="0" w:type="auto"/>
            <w:tcBorders>
              <w:left w:val="nil"/>
              <w:right w:val="nil"/>
            </w:tcBorders>
            <w:shd w:val="clear" w:color="auto" w:fill="C0C0C0"/>
          </w:tcPr>
          <w:p w14:paraId="77B57E73"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1.0</w:t>
            </w:r>
          </w:p>
        </w:tc>
        <w:tc>
          <w:tcPr>
            <w:tcW w:w="0" w:type="auto"/>
            <w:tcBorders>
              <w:left w:val="nil"/>
              <w:right w:val="nil"/>
            </w:tcBorders>
            <w:shd w:val="clear" w:color="auto" w:fill="C0C0C0"/>
          </w:tcPr>
          <w:p w14:paraId="08C0F94B"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1.6</w:t>
            </w:r>
          </w:p>
        </w:tc>
        <w:tc>
          <w:tcPr>
            <w:tcW w:w="0" w:type="auto"/>
            <w:tcBorders>
              <w:left w:val="nil"/>
              <w:right w:val="nil"/>
            </w:tcBorders>
            <w:shd w:val="clear" w:color="auto" w:fill="C0C0C0"/>
          </w:tcPr>
          <w:p w14:paraId="6E285AEE"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2.1</w:t>
            </w:r>
          </w:p>
        </w:tc>
        <w:tc>
          <w:tcPr>
            <w:tcW w:w="0" w:type="auto"/>
            <w:tcBorders>
              <w:left w:val="nil"/>
              <w:right w:val="nil"/>
            </w:tcBorders>
            <w:shd w:val="clear" w:color="auto" w:fill="C0C0C0"/>
          </w:tcPr>
          <w:p w14:paraId="1D354E81"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2.7</w:t>
            </w:r>
          </w:p>
        </w:tc>
        <w:tc>
          <w:tcPr>
            <w:tcW w:w="0" w:type="auto"/>
            <w:tcBorders>
              <w:left w:val="nil"/>
              <w:right w:val="nil"/>
            </w:tcBorders>
            <w:shd w:val="clear" w:color="auto" w:fill="C0C0C0"/>
          </w:tcPr>
          <w:p w14:paraId="21117006"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3.1</w:t>
            </w:r>
          </w:p>
        </w:tc>
        <w:tc>
          <w:tcPr>
            <w:tcW w:w="0" w:type="auto"/>
            <w:tcBorders>
              <w:left w:val="nil"/>
              <w:right w:val="nil"/>
            </w:tcBorders>
            <w:shd w:val="clear" w:color="auto" w:fill="C0C0C0"/>
          </w:tcPr>
          <w:p w14:paraId="350362C2"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4.4</w:t>
            </w:r>
          </w:p>
        </w:tc>
        <w:tc>
          <w:tcPr>
            <w:tcW w:w="0" w:type="auto"/>
            <w:tcBorders>
              <w:left w:val="nil"/>
              <w:right w:val="nil"/>
            </w:tcBorders>
            <w:shd w:val="clear" w:color="auto" w:fill="C0C0C0"/>
          </w:tcPr>
          <w:p w14:paraId="5DF07861"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6.3</w:t>
            </w:r>
          </w:p>
        </w:tc>
        <w:tc>
          <w:tcPr>
            <w:tcW w:w="0" w:type="auto"/>
            <w:tcBorders>
              <w:left w:val="nil"/>
              <w:right w:val="nil"/>
            </w:tcBorders>
            <w:shd w:val="clear" w:color="auto" w:fill="C0C0C0"/>
          </w:tcPr>
          <w:p w14:paraId="6D46FB26"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7.6</w:t>
            </w:r>
          </w:p>
        </w:tc>
        <w:tc>
          <w:tcPr>
            <w:tcW w:w="0" w:type="auto"/>
            <w:tcBorders>
              <w:left w:val="nil"/>
              <w:right w:val="nil"/>
            </w:tcBorders>
            <w:shd w:val="clear" w:color="auto" w:fill="C0C0C0"/>
          </w:tcPr>
          <w:p w14:paraId="571DDFCF"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10.2</w:t>
            </w:r>
          </w:p>
        </w:tc>
        <w:tc>
          <w:tcPr>
            <w:tcW w:w="0" w:type="auto"/>
            <w:tcBorders>
              <w:left w:val="nil"/>
              <w:right w:val="nil"/>
            </w:tcBorders>
            <w:shd w:val="clear" w:color="auto" w:fill="C0C0C0"/>
          </w:tcPr>
          <w:p w14:paraId="301FDD8B"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17.3</w:t>
            </w:r>
          </w:p>
        </w:tc>
      </w:tr>
      <w:tr w:rsidR="00F46230" w:rsidRPr="00A07517" w14:paraId="094342ED" w14:textId="77777777" w:rsidTr="008379B2">
        <w:tc>
          <w:tcPr>
            <w:tcW w:w="0" w:type="auto"/>
            <w:shd w:val="clear" w:color="auto" w:fill="auto"/>
          </w:tcPr>
          <w:p w14:paraId="27B3974A"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Expected mortality rate, %</w:t>
            </w:r>
          </w:p>
        </w:tc>
        <w:tc>
          <w:tcPr>
            <w:tcW w:w="0" w:type="auto"/>
            <w:shd w:val="clear" w:color="auto" w:fill="auto"/>
          </w:tcPr>
          <w:p w14:paraId="2FBFA9A1"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1.4</w:t>
            </w:r>
          </w:p>
        </w:tc>
        <w:tc>
          <w:tcPr>
            <w:tcW w:w="0" w:type="auto"/>
            <w:shd w:val="clear" w:color="auto" w:fill="auto"/>
          </w:tcPr>
          <w:p w14:paraId="66DB64B8"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2.0</w:t>
            </w:r>
          </w:p>
        </w:tc>
        <w:tc>
          <w:tcPr>
            <w:tcW w:w="0" w:type="auto"/>
            <w:shd w:val="clear" w:color="auto" w:fill="auto"/>
          </w:tcPr>
          <w:p w14:paraId="09B3E1E1"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2.5</w:t>
            </w:r>
          </w:p>
        </w:tc>
        <w:tc>
          <w:tcPr>
            <w:tcW w:w="0" w:type="auto"/>
            <w:shd w:val="clear" w:color="auto" w:fill="auto"/>
          </w:tcPr>
          <w:p w14:paraId="54ED31F4"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3.1</w:t>
            </w:r>
          </w:p>
        </w:tc>
        <w:tc>
          <w:tcPr>
            <w:tcW w:w="0" w:type="auto"/>
            <w:shd w:val="clear" w:color="auto" w:fill="auto"/>
          </w:tcPr>
          <w:p w14:paraId="2AA246D7"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3.7</w:t>
            </w:r>
          </w:p>
        </w:tc>
        <w:tc>
          <w:tcPr>
            <w:tcW w:w="0" w:type="auto"/>
            <w:shd w:val="clear" w:color="auto" w:fill="auto"/>
          </w:tcPr>
          <w:p w14:paraId="2E8480D8"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4.4</w:t>
            </w:r>
          </w:p>
        </w:tc>
        <w:tc>
          <w:tcPr>
            <w:tcW w:w="0" w:type="auto"/>
            <w:shd w:val="clear" w:color="auto" w:fill="auto"/>
          </w:tcPr>
          <w:p w14:paraId="2C4FB709"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5.3</w:t>
            </w:r>
          </w:p>
        </w:tc>
        <w:tc>
          <w:tcPr>
            <w:tcW w:w="0" w:type="auto"/>
            <w:shd w:val="clear" w:color="auto" w:fill="auto"/>
          </w:tcPr>
          <w:p w14:paraId="092DA293"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6.7</w:t>
            </w:r>
          </w:p>
        </w:tc>
        <w:tc>
          <w:tcPr>
            <w:tcW w:w="0" w:type="auto"/>
            <w:shd w:val="clear" w:color="auto" w:fill="auto"/>
          </w:tcPr>
          <w:p w14:paraId="36C28DC3"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9.1</w:t>
            </w:r>
          </w:p>
        </w:tc>
        <w:tc>
          <w:tcPr>
            <w:tcW w:w="0" w:type="auto"/>
            <w:shd w:val="clear" w:color="auto" w:fill="auto"/>
          </w:tcPr>
          <w:p w14:paraId="60C539B2"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18.6</w:t>
            </w:r>
          </w:p>
        </w:tc>
      </w:tr>
    </w:tbl>
    <w:p w14:paraId="746B28BB" w14:textId="77777777" w:rsidR="00F46230" w:rsidRPr="00A07517" w:rsidRDefault="00F46230" w:rsidP="00F46230">
      <w:pPr>
        <w:spacing w:after="0" w:line="240" w:lineRule="auto"/>
        <w:rPr>
          <w:rFonts w:ascii="Calibri" w:eastAsia="Calibri" w:hAnsi="Calibri" w:cs="Calibri"/>
        </w:rPr>
      </w:pPr>
    </w:p>
    <w:p w14:paraId="4E067556" w14:textId="77777777" w:rsidR="00F46230" w:rsidRPr="00A07517" w:rsidRDefault="00F46230" w:rsidP="00F46230">
      <w:pPr>
        <w:spacing w:after="0" w:line="240" w:lineRule="auto"/>
        <w:rPr>
          <w:rFonts w:ascii="Calibri" w:eastAsia="Calibri" w:hAnsi="Calibri" w:cs="Calibri"/>
          <w:b/>
        </w:rPr>
      </w:pPr>
      <w:r w:rsidRPr="00A07517">
        <w:rPr>
          <w:rFonts w:ascii="Calibri" w:eastAsia="Calibri" w:hAnsi="Calibri" w:cs="Calibri"/>
          <w:b/>
        </w:rPr>
        <w:t>Observed and expected composite adverse event rates by risk deciles</w:t>
      </w:r>
    </w:p>
    <w:tbl>
      <w:tblPr>
        <w:tblW w:w="0" w:type="auto"/>
        <w:tblBorders>
          <w:top w:val="single" w:sz="8" w:space="0" w:color="000000"/>
          <w:bottom w:val="single" w:sz="8" w:space="0" w:color="000000"/>
        </w:tblBorders>
        <w:tblLook w:val="04A0" w:firstRow="1" w:lastRow="0" w:firstColumn="1" w:lastColumn="0" w:noHBand="0" w:noVBand="1"/>
      </w:tblPr>
      <w:tblGrid>
        <w:gridCol w:w="2014"/>
        <w:gridCol w:w="730"/>
        <w:gridCol w:w="730"/>
        <w:gridCol w:w="731"/>
        <w:gridCol w:w="731"/>
        <w:gridCol w:w="731"/>
        <w:gridCol w:w="731"/>
        <w:gridCol w:w="731"/>
        <w:gridCol w:w="731"/>
        <w:gridCol w:w="731"/>
        <w:gridCol w:w="769"/>
      </w:tblGrid>
      <w:tr w:rsidR="00F46230" w:rsidRPr="00A07517" w14:paraId="2EA85FAE" w14:textId="77777777" w:rsidTr="008379B2">
        <w:tc>
          <w:tcPr>
            <w:tcW w:w="0" w:type="auto"/>
            <w:tcBorders>
              <w:top w:val="single" w:sz="8" w:space="0" w:color="000000"/>
              <w:left w:val="nil"/>
              <w:bottom w:val="single" w:sz="8" w:space="0" w:color="000000"/>
              <w:right w:val="nil"/>
            </w:tcBorders>
            <w:shd w:val="clear" w:color="auto" w:fill="auto"/>
          </w:tcPr>
          <w:p w14:paraId="68D03131" w14:textId="77777777" w:rsidR="00F46230" w:rsidRPr="00A07517" w:rsidRDefault="00F46230" w:rsidP="008379B2">
            <w:pPr>
              <w:spacing w:after="0" w:line="240" w:lineRule="auto"/>
              <w:rPr>
                <w:rFonts w:ascii="Calibri" w:eastAsia="Calibri" w:hAnsi="Calibri" w:cs="Calibri"/>
                <w:b/>
                <w:bCs/>
                <w:color w:val="000000"/>
                <w:sz w:val="18"/>
              </w:rPr>
            </w:pPr>
          </w:p>
        </w:tc>
        <w:tc>
          <w:tcPr>
            <w:tcW w:w="0" w:type="auto"/>
            <w:tcBorders>
              <w:top w:val="single" w:sz="8" w:space="0" w:color="000000"/>
              <w:left w:val="nil"/>
              <w:bottom w:val="single" w:sz="8" w:space="0" w:color="000000"/>
              <w:right w:val="nil"/>
            </w:tcBorders>
            <w:shd w:val="clear" w:color="auto" w:fill="auto"/>
          </w:tcPr>
          <w:p w14:paraId="15FC138C"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1</w:t>
            </w:r>
          </w:p>
        </w:tc>
        <w:tc>
          <w:tcPr>
            <w:tcW w:w="0" w:type="auto"/>
            <w:tcBorders>
              <w:top w:val="single" w:sz="8" w:space="0" w:color="000000"/>
              <w:left w:val="nil"/>
              <w:bottom w:val="single" w:sz="8" w:space="0" w:color="000000"/>
              <w:right w:val="nil"/>
            </w:tcBorders>
            <w:shd w:val="clear" w:color="auto" w:fill="auto"/>
          </w:tcPr>
          <w:p w14:paraId="0286A72C"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2</w:t>
            </w:r>
          </w:p>
        </w:tc>
        <w:tc>
          <w:tcPr>
            <w:tcW w:w="0" w:type="auto"/>
            <w:tcBorders>
              <w:top w:val="single" w:sz="8" w:space="0" w:color="000000"/>
              <w:left w:val="nil"/>
              <w:bottom w:val="single" w:sz="8" w:space="0" w:color="000000"/>
              <w:right w:val="nil"/>
            </w:tcBorders>
            <w:shd w:val="clear" w:color="auto" w:fill="auto"/>
          </w:tcPr>
          <w:p w14:paraId="02C7F723"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3</w:t>
            </w:r>
          </w:p>
        </w:tc>
        <w:tc>
          <w:tcPr>
            <w:tcW w:w="0" w:type="auto"/>
            <w:tcBorders>
              <w:top w:val="single" w:sz="8" w:space="0" w:color="000000"/>
              <w:left w:val="nil"/>
              <w:bottom w:val="single" w:sz="8" w:space="0" w:color="000000"/>
              <w:right w:val="nil"/>
            </w:tcBorders>
            <w:shd w:val="clear" w:color="auto" w:fill="auto"/>
          </w:tcPr>
          <w:p w14:paraId="4C60BD61"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4</w:t>
            </w:r>
          </w:p>
        </w:tc>
        <w:tc>
          <w:tcPr>
            <w:tcW w:w="0" w:type="auto"/>
            <w:tcBorders>
              <w:top w:val="single" w:sz="8" w:space="0" w:color="000000"/>
              <w:left w:val="nil"/>
              <w:bottom w:val="single" w:sz="8" w:space="0" w:color="000000"/>
              <w:right w:val="nil"/>
            </w:tcBorders>
            <w:shd w:val="clear" w:color="auto" w:fill="auto"/>
          </w:tcPr>
          <w:p w14:paraId="364DFD8A"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5</w:t>
            </w:r>
          </w:p>
        </w:tc>
        <w:tc>
          <w:tcPr>
            <w:tcW w:w="0" w:type="auto"/>
            <w:tcBorders>
              <w:top w:val="single" w:sz="8" w:space="0" w:color="000000"/>
              <w:left w:val="nil"/>
              <w:bottom w:val="single" w:sz="8" w:space="0" w:color="000000"/>
              <w:right w:val="nil"/>
            </w:tcBorders>
            <w:shd w:val="clear" w:color="auto" w:fill="auto"/>
          </w:tcPr>
          <w:p w14:paraId="69045805"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6</w:t>
            </w:r>
          </w:p>
        </w:tc>
        <w:tc>
          <w:tcPr>
            <w:tcW w:w="0" w:type="auto"/>
            <w:tcBorders>
              <w:top w:val="single" w:sz="8" w:space="0" w:color="000000"/>
              <w:left w:val="nil"/>
              <w:bottom w:val="single" w:sz="8" w:space="0" w:color="000000"/>
              <w:right w:val="nil"/>
            </w:tcBorders>
            <w:shd w:val="clear" w:color="auto" w:fill="auto"/>
          </w:tcPr>
          <w:p w14:paraId="66B19D31"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7</w:t>
            </w:r>
          </w:p>
        </w:tc>
        <w:tc>
          <w:tcPr>
            <w:tcW w:w="0" w:type="auto"/>
            <w:tcBorders>
              <w:top w:val="single" w:sz="8" w:space="0" w:color="000000"/>
              <w:left w:val="nil"/>
              <w:bottom w:val="single" w:sz="8" w:space="0" w:color="000000"/>
              <w:right w:val="nil"/>
            </w:tcBorders>
            <w:shd w:val="clear" w:color="auto" w:fill="auto"/>
          </w:tcPr>
          <w:p w14:paraId="46E857C9"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8</w:t>
            </w:r>
          </w:p>
        </w:tc>
        <w:tc>
          <w:tcPr>
            <w:tcW w:w="0" w:type="auto"/>
            <w:tcBorders>
              <w:top w:val="single" w:sz="8" w:space="0" w:color="000000"/>
              <w:left w:val="nil"/>
              <w:bottom w:val="single" w:sz="8" w:space="0" w:color="000000"/>
              <w:right w:val="nil"/>
            </w:tcBorders>
            <w:shd w:val="clear" w:color="auto" w:fill="auto"/>
          </w:tcPr>
          <w:p w14:paraId="5A7CA4F1"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9</w:t>
            </w:r>
          </w:p>
        </w:tc>
        <w:tc>
          <w:tcPr>
            <w:tcW w:w="0" w:type="auto"/>
            <w:tcBorders>
              <w:top w:val="single" w:sz="8" w:space="0" w:color="000000"/>
              <w:left w:val="nil"/>
              <w:bottom w:val="single" w:sz="8" w:space="0" w:color="000000"/>
              <w:right w:val="nil"/>
            </w:tcBorders>
            <w:shd w:val="clear" w:color="auto" w:fill="auto"/>
          </w:tcPr>
          <w:p w14:paraId="7AD0931B"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Decile 10</w:t>
            </w:r>
          </w:p>
        </w:tc>
      </w:tr>
      <w:tr w:rsidR="00F46230" w:rsidRPr="00A07517" w14:paraId="48201492" w14:textId="77777777" w:rsidTr="008379B2">
        <w:tc>
          <w:tcPr>
            <w:tcW w:w="0" w:type="auto"/>
            <w:tcBorders>
              <w:left w:val="nil"/>
              <w:right w:val="nil"/>
            </w:tcBorders>
            <w:shd w:val="clear" w:color="auto" w:fill="C0C0C0"/>
          </w:tcPr>
          <w:p w14:paraId="0C6B6D35"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Observed composite adverse event rate, %</w:t>
            </w:r>
          </w:p>
        </w:tc>
        <w:tc>
          <w:tcPr>
            <w:tcW w:w="0" w:type="auto"/>
            <w:tcBorders>
              <w:left w:val="nil"/>
              <w:right w:val="nil"/>
            </w:tcBorders>
            <w:shd w:val="clear" w:color="auto" w:fill="C0C0C0"/>
          </w:tcPr>
          <w:p w14:paraId="10493950"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10.9</w:t>
            </w:r>
          </w:p>
        </w:tc>
        <w:tc>
          <w:tcPr>
            <w:tcW w:w="0" w:type="auto"/>
            <w:tcBorders>
              <w:left w:val="nil"/>
              <w:right w:val="nil"/>
            </w:tcBorders>
            <w:shd w:val="clear" w:color="auto" w:fill="C0C0C0"/>
          </w:tcPr>
          <w:p w14:paraId="6428683C"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13.3</w:t>
            </w:r>
          </w:p>
        </w:tc>
        <w:tc>
          <w:tcPr>
            <w:tcW w:w="0" w:type="auto"/>
            <w:tcBorders>
              <w:left w:val="nil"/>
              <w:right w:val="nil"/>
            </w:tcBorders>
            <w:shd w:val="clear" w:color="auto" w:fill="C0C0C0"/>
          </w:tcPr>
          <w:p w14:paraId="7D33AC25"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17.9</w:t>
            </w:r>
          </w:p>
        </w:tc>
        <w:tc>
          <w:tcPr>
            <w:tcW w:w="0" w:type="auto"/>
            <w:tcBorders>
              <w:left w:val="nil"/>
              <w:right w:val="nil"/>
            </w:tcBorders>
            <w:shd w:val="clear" w:color="auto" w:fill="C0C0C0"/>
          </w:tcPr>
          <w:p w14:paraId="42600C4A"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19.2</w:t>
            </w:r>
          </w:p>
        </w:tc>
        <w:tc>
          <w:tcPr>
            <w:tcW w:w="0" w:type="auto"/>
            <w:tcBorders>
              <w:left w:val="nil"/>
              <w:right w:val="nil"/>
            </w:tcBorders>
            <w:shd w:val="clear" w:color="auto" w:fill="C0C0C0"/>
          </w:tcPr>
          <w:p w14:paraId="79C44EAB"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23.3</w:t>
            </w:r>
          </w:p>
        </w:tc>
        <w:tc>
          <w:tcPr>
            <w:tcW w:w="0" w:type="auto"/>
            <w:tcBorders>
              <w:left w:val="nil"/>
              <w:right w:val="nil"/>
            </w:tcBorders>
            <w:shd w:val="clear" w:color="auto" w:fill="C0C0C0"/>
          </w:tcPr>
          <w:p w14:paraId="7B0AE383"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25.4</w:t>
            </w:r>
          </w:p>
        </w:tc>
        <w:tc>
          <w:tcPr>
            <w:tcW w:w="0" w:type="auto"/>
            <w:tcBorders>
              <w:left w:val="nil"/>
              <w:right w:val="nil"/>
            </w:tcBorders>
            <w:shd w:val="clear" w:color="auto" w:fill="C0C0C0"/>
          </w:tcPr>
          <w:p w14:paraId="6BC72048"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29.1</w:t>
            </w:r>
          </w:p>
        </w:tc>
        <w:tc>
          <w:tcPr>
            <w:tcW w:w="0" w:type="auto"/>
            <w:tcBorders>
              <w:left w:val="nil"/>
              <w:right w:val="nil"/>
            </w:tcBorders>
            <w:shd w:val="clear" w:color="auto" w:fill="C0C0C0"/>
          </w:tcPr>
          <w:p w14:paraId="512E688F"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32.9</w:t>
            </w:r>
          </w:p>
        </w:tc>
        <w:tc>
          <w:tcPr>
            <w:tcW w:w="0" w:type="auto"/>
            <w:tcBorders>
              <w:left w:val="nil"/>
              <w:right w:val="nil"/>
            </w:tcBorders>
            <w:shd w:val="clear" w:color="auto" w:fill="C0C0C0"/>
          </w:tcPr>
          <w:p w14:paraId="7C6E2045"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38.4</w:t>
            </w:r>
          </w:p>
        </w:tc>
        <w:tc>
          <w:tcPr>
            <w:tcW w:w="0" w:type="auto"/>
            <w:tcBorders>
              <w:left w:val="nil"/>
              <w:right w:val="nil"/>
            </w:tcBorders>
            <w:shd w:val="clear" w:color="auto" w:fill="C0C0C0"/>
          </w:tcPr>
          <w:p w14:paraId="27D8ED9B"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53.0</w:t>
            </w:r>
          </w:p>
        </w:tc>
      </w:tr>
      <w:tr w:rsidR="00F46230" w:rsidRPr="00A07517" w14:paraId="058F09D2" w14:textId="77777777" w:rsidTr="008379B2">
        <w:tc>
          <w:tcPr>
            <w:tcW w:w="0" w:type="auto"/>
            <w:shd w:val="clear" w:color="auto" w:fill="auto"/>
          </w:tcPr>
          <w:p w14:paraId="11C206E6" w14:textId="77777777" w:rsidR="00F46230" w:rsidRPr="00A07517" w:rsidRDefault="00F46230" w:rsidP="008379B2">
            <w:pPr>
              <w:spacing w:after="0" w:line="240" w:lineRule="auto"/>
              <w:rPr>
                <w:rFonts w:ascii="Calibri" w:eastAsia="Calibri" w:hAnsi="Calibri" w:cs="Calibri"/>
                <w:b/>
                <w:bCs/>
                <w:color w:val="000000"/>
                <w:sz w:val="18"/>
              </w:rPr>
            </w:pPr>
            <w:r w:rsidRPr="00A07517">
              <w:rPr>
                <w:rFonts w:ascii="Calibri" w:eastAsia="Calibri" w:hAnsi="Calibri" w:cs="Calibri"/>
                <w:b/>
                <w:bCs/>
                <w:color w:val="000000"/>
                <w:sz w:val="18"/>
              </w:rPr>
              <w:t>Expected composite adverse event rate, %</w:t>
            </w:r>
          </w:p>
        </w:tc>
        <w:tc>
          <w:tcPr>
            <w:tcW w:w="0" w:type="auto"/>
            <w:shd w:val="clear" w:color="auto" w:fill="auto"/>
          </w:tcPr>
          <w:p w14:paraId="5B8F6192"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11.4</w:t>
            </w:r>
          </w:p>
        </w:tc>
        <w:tc>
          <w:tcPr>
            <w:tcW w:w="0" w:type="auto"/>
            <w:shd w:val="clear" w:color="auto" w:fill="auto"/>
          </w:tcPr>
          <w:p w14:paraId="269F0AD6"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14.7</w:t>
            </w:r>
          </w:p>
        </w:tc>
        <w:tc>
          <w:tcPr>
            <w:tcW w:w="0" w:type="auto"/>
            <w:shd w:val="clear" w:color="auto" w:fill="auto"/>
          </w:tcPr>
          <w:p w14:paraId="3E6F83B1"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17.2</w:t>
            </w:r>
          </w:p>
        </w:tc>
        <w:tc>
          <w:tcPr>
            <w:tcW w:w="0" w:type="auto"/>
            <w:shd w:val="clear" w:color="auto" w:fill="auto"/>
          </w:tcPr>
          <w:p w14:paraId="571BEFDF"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19.6</w:t>
            </w:r>
          </w:p>
        </w:tc>
        <w:tc>
          <w:tcPr>
            <w:tcW w:w="0" w:type="auto"/>
            <w:shd w:val="clear" w:color="auto" w:fill="auto"/>
          </w:tcPr>
          <w:p w14:paraId="65CE1E4B"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22.0</w:t>
            </w:r>
          </w:p>
        </w:tc>
        <w:tc>
          <w:tcPr>
            <w:tcW w:w="0" w:type="auto"/>
            <w:shd w:val="clear" w:color="auto" w:fill="auto"/>
          </w:tcPr>
          <w:p w14:paraId="2F6D0CBF"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24.6</w:t>
            </w:r>
          </w:p>
        </w:tc>
        <w:tc>
          <w:tcPr>
            <w:tcW w:w="0" w:type="auto"/>
            <w:shd w:val="clear" w:color="auto" w:fill="auto"/>
          </w:tcPr>
          <w:p w14:paraId="058ECBA4"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27.7</w:t>
            </w:r>
          </w:p>
        </w:tc>
        <w:tc>
          <w:tcPr>
            <w:tcW w:w="0" w:type="auto"/>
            <w:shd w:val="clear" w:color="auto" w:fill="auto"/>
          </w:tcPr>
          <w:p w14:paraId="5226F44C"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32.0</w:t>
            </w:r>
          </w:p>
        </w:tc>
        <w:tc>
          <w:tcPr>
            <w:tcW w:w="0" w:type="auto"/>
            <w:shd w:val="clear" w:color="auto" w:fill="auto"/>
          </w:tcPr>
          <w:p w14:paraId="3B76D769"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38.5</w:t>
            </w:r>
          </w:p>
        </w:tc>
        <w:tc>
          <w:tcPr>
            <w:tcW w:w="0" w:type="auto"/>
            <w:shd w:val="clear" w:color="auto" w:fill="auto"/>
          </w:tcPr>
          <w:p w14:paraId="59329BC7" w14:textId="77777777" w:rsidR="00F46230" w:rsidRPr="00A07517" w:rsidRDefault="00F46230" w:rsidP="008379B2">
            <w:pPr>
              <w:spacing w:after="0" w:line="240" w:lineRule="auto"/>
              <w:rPr>
                <w:rFonts w:ascii="Calibri" w:eastAsia="Calibri" w:hAnsi="Calibri" w:cs="Calibri"/>
                <w:color w:val="000000"/>
              </w:rPr>
            </w:pPr>
            <w:r w:rsidRPr="00A07517">
              <w:rPr>
                <w:rFonts w:ascii="Calibri" w:eastAsia="Calibri" w:hAnsi="Calibri" w:cs="Calibri"/>
                <w:color w:val="000000"/>
              </w:rPr>
              <w:t>55.5</w:t>
            </w:r>
          </w:p>
        </w:tc>
      </w:tr>
    </w:tbl>
    <w:p w14:paraId="5B787FAD" w14:textId="77777777" w:rsidR="00F46230" w:rsidRPr="00A07517" w:rsidRDefault="00F46230" w:rsidP="00F46230">
      <w:pPr>
        <w:autoSpaceDE w:val="0"/>
        <w:autoSpaceDN w:val="0"/>
        <w:adjustRightInd w:val="0"/>
        <w:spacing w:after="0" w:line="240" w:lineRule="auto"/>
        <w:rPr>
          <w:rFonts w:ascii="Calibri" w:eastAsia="Calibri" w:hAnsi="Calibri" w:cs="Calibri"/>
          <w:b/>
          <w:bCs/>
        </w:rPr>
      </w:pPr>
    </w:p>
    <w:p w14:paraId="73273006" w14:textId="77777777" w:rsidR="00F46230" w:rsidRDefault="00F46230" w:rsidP="00092566">
      <w:pPr>
        <w:autoSpaceDE w:val="0"/>
        <w:autoSpaceDN w:val="0"/>
        <w:adjustRightInd w:val="0"/>
        <w:spacing w:after="0" w:line="240" w:lineRule="auto"/>
        <w:rPr>
          <w:rFonts w:cstheme="minorHAnsi"/>
          <w:b/>
          <w:bCs/>
        </w:rPr>
      </w:pPr>
    </w:p>
    <w:p w14:paraId="76A61769" w14:textId="77777777" w:rsidR="00F46230" w:rsidRDefault="00E108CC"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28B304A2" w14:textId="77777777" w:rsidR="00F46230" w:rsidRDefault="00F46230" w:rsidP="00092566">
      <w:pPr>
        <w:autoSpaceDE w:val="0"/>
        <w:autoSpaceDN w:val="0"/>
        <w:adjustRightInd w:val="0"/>
        <w:spacing w:after="0" w:line="240" w:lineRule="auto"/>
        <w:rPr>
          <w:rFonts w:cstheme="minorHAnsi"/>
          <w:bCs/>
        </w:rPr>
      </w:pPr>
    </w:p>
    <w:p w14:paraId="76C57FEF" w14:textId="77777777" w:rsidR="00F46230" w:rsidRPr="00D355E9" w:rsidRDefault="00F46230" w:rsidP="00F46230">
      <w:pPr>
        <w:autoSpaceDE w:val="0"/>
        <w:autoSpaceDN w:val="0"/>
        <w:adjustRightInd w:val="0"/>
        <w:spacing w:after="0" w:line="240" w:lineRule="auto"/>
        <w:jc w:val="center"/>
        <w:rPr>
          <w:b/>
          <w:highlight w:val="darkCyan"/>
        </w:rPr>
      </w:pPr>
      <w:r w:rsidRPr="00A07517">
        <w:rPr>
          <w:b/>
          <w:bCs/>
        </w:rPr>
        <w:t>Calibration plot for operative mortality in the validation sample</w:t>
      </w:r>
      <w:r w:rsidRPr="00D355E9">
        <w:rPr>
          <w:bCs/>
          <w:highlight w:val="darkCyan"/>
        </w:rPr>
        <w:br/>
      </w:r>
      <w:r>
        <w:rPr>
          <w:bCs/>
          <w:noProof/>
        </w:rPr>
        <w:drawing>
          <wp:inline distT="0" distB="0" distL="0" distR="0" wp14:anchorId="73104A1D" wp14:editId="5C52ED0E">
            <wp:extent cx="3987022" cy="3666227"/>
            <wp:effectExtent l="0" t="0" r="0" b="0"/>
            <wp:docPr id="9" name="Picture 9" descr="_102valvecab4oe1_2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_102valvecab4oe1_2bb"/>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8099" cy="3685608"/>
                    </a:xfrm>
                    <a:prstGeom prst="rect">
                      <a:avLst/>
                    </a:prstGeom>
                    <a:noFill/>
                    <a:ln>
                      <a:noFill/>
                    </a:ln>
                  </pic:spPr>
                </pic:pic>
              </a:graphicData>
            </a:graphic>
          </wp:inline>
        </w:drawing>
      </w:r>
      <w:r w:rsidRPr="00D355E9">
        <w:rPr>
          <w:highlight w:val="darkCyan"/>
        </w:rPr>
        <w:br/>
      </w:r>
    </w:p>
    <w:p w14:paraId="5F534AE1" w14:textId="77777777" w:rsidR="00F46230" w:rsidRDefault="00F46230" w:rsidP="00F46230">
      <w:pPr>
        <w:autoSpaceDE w:val="0"/>
        <w:autoSpaceDN w:val="0"/>
        <w:adjustRightInd w:val="0"/>
        <w:spacing w:after="0" w:line="240" w:lineRule="auto"/>
        <w:ind w:left="360"/>
        <w:jc w:val="center"/>
        <w:rPr>
          <w:b/>
        </w:rPr>
      </w:pPr>
      <w:r w:rsidRPr="00A07517">
        <w:rPr>
          <w:b/>
        </w:rPr>
        <w:t>Calibration plot for mortality and morbidity composite outcome in the validation sample</w:t>
      </w:r>
    </w:p>
    <w:p w14:paraId="196C83FD" w14:textId="77777777" w:rsidR="00F46230" w:rsidRPr="00A07517" w:rsidRDefault="00F46230" w:rsidP="00F46230">
      <w:pPr>
        <w:autoSpaceDE w:val="0"/>
        <w:autoSpaceDN w:val="0"/>
        <w:adjustRightInd w:val="0"/>
        <w:spacing w:after="0" w:line="240" w:lineRule="auto"/>
        <w:ind w:left="360"/>
        <w:jc w:val="center"/>
        <w:rPr>
          <w:b/>
        </w:rPr>
      </w:pPr>
      <w:r>
        <w:rPr>
          <w:b/>
          <w:noProof/>
        </w:rPr>
        <w:lastRenderedPageBreak/>
        <w:drawing>
          <wp:inline distT="0" distB="0" distL="0" distR="0" wp14:anchorId="14DBB9E6" wp14:editId="1DF69FEF">
            <wp:extent cx="3838755" cy="3529890"/>
            <wp:effectExtent l="0" t="0" r="0" b="0"/>
            <wp:docPr id="11" name="Picture 11" descr="_126valvecab4oe7_2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_126valvecab4oe7_2b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61761" cy="3551045"/>
                    </a:xfrm>
                    <a:prstGeom prst="rect">
                      <a:avLst/>
                    </a:prstGeom>
                    <a:noFill/>
                    <a:ln>
                      <a:noFill/>
                    </a:ln>
                  </pic:spPr>
                </pic:pic>
              </a:graphicData>
            </a:graphic>
          </wp:inline>
        </w:drawing>
      </w:r>
    </w:p>
    <w:p w14:paraId="0FB67DD7" w14:textId="5CDD1672" w:rsidR="00743E46" w:rsidRDefault="00092566" w:rsidP="00092566">
      <w:pPr>
        <w:autoSpaceDE w:val="0"/>
        <w:autoSpaceDN w:val="0"/>
        <w:adjustRightInd w:val="0"/>
        <w:spacing w:after="0" w:line="240" w:lineRule="auto"/>
        <w:rPr>
          <w:rFonts w:cstheme="minorHAnsi"/>
          <w:b/>
        </w:rPr>
      </w:pPr>
      <w:r w:rsidRPr="00A25024">
        <w:rPr>
          <w:rFonts w:cstheme="minorHAnsi"/>
          <w:bCs/>
        </w:rPr>
        <w:br/>
      </w:r>
    </w:p>
    <w:p w14:paraId="0FB67DD8" w14:textId="7354BEB5" w:rsidR="00092566" w:rsidRPr="00A25024" w:rsidRDefault="00E108CC"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3B92B069" w14:textId="77777777" w:rsidR="00F46230" w:rsidRDefault="00F46230" w:rsidP="00F46230">
      <w:pPr>
        <w:autoSpaceDE w:val="0"/>
        <w:autoSpaceDN w:val="0"/>
        <w:adjustRightInd w:val="0"/>
        <w:spacing w:after="0" w:line="240" w:lineRule="auto"/>
        <w:rPr>
          <w:rFonts w:cstheme="minorHAnsi"/>
          <w:bCs/>
        </w:rPr>
      </w:pPr>
    </w:p>
    <w:p w14:paraId="02C0DAB3" w14:textId="77777777" w:rsidR="00F46230" w:rsidRDefault="00F46230" w:rsidP="00F46230">
      <w:pPr>
        <w:autoSpaceDE w:val="0"/>
        <w:autoSpaceDN w:val="0"/>
        <w:adjustRightInd w:val="0"/>
        <w:spacing w:after="0" w:line="240" w:lineRule="auto"/>
        <w:rPr>
          <w:rFonts w:cstheme="minorHAnsi"/>
          <w:bCs/>
        </w:rPr>
      </w:pPr>
      <w:r w:rsidRPr="00A07517">
        <w:rPr>
          <w:rFonts w:cstheme="minorHAnsi"/>
          <w:bCs/>
        </w:rPr>
        <w:t>N/A</w:t>
      </w:r>
    </w:p>
    <w:p w14:paraId="05868C82" w14:textId="77777777" w:rsidR="00F46230" w:rsidRPr="00A07517" w:rsidRDefault="00F46230" w:rsidP="00F46230">
      <w:pPr>
        <w:autoSpaceDE w:val="0"/>
        <w:autoSpaceDN w:val="0"/>
        <w:adjustRightInd w:val="0"/>
        <w:spacing w:after="0" w:line="240" w:lineRule="auto"/>
        <w:rPr>
          <w:rFonts w:cstheme="minorHAnsi"/>
          <w:bCs/>
        </w:rPr>
      </w:pPr>
    </w:p>
    <w:p w14:paraId="0FB67DDA" w14:textId="15252CB4" w:rsidR="00092566" w:rsidRDefault="00E108CC"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268EF799" w14:textId="77777777" w:rsidR="00F46230" w:rsidRPr="00A07EDC" w:rsidRDefault="00F46230" w:rsidP="00F46230">
      <w:pPr>
        <w:autoSpaceDE w:val="0"/>
        <w:autoSpaceDN w:val="0"/>
        <w:adjustRightInd w:val="0"/>
        <w:spacing w:after="0" w:line="240" w:lineRule="auto"/>
        <w:rPr>
          <w:rFonts w:cstheme="minorHAnsi"/>
          <w:bCs/>
        </w:rPr>
      </w:pPr>
      <w:r w:rsidRPr="00A07EDC">
        <w:rPr>
          <w:bCs/>
        </w:rPr>
        <w:t xml:space="preserve">The results demonstrated that </w:t>
      </w:r>
      <w:r>
        <w:rPr>
          <w:bCs/>
        </w:rPr>
        <w:t>t</w:t>
      </w:r>
      <w:r w:rsidRPr="00A07EDC">
        <w:rPr>
          <w:bCs/>
        </w:rPr>
        <w:t>he STS cardiac surgery risk models are well calibrated and have good discrimination power.  They are suitable for controlling differences in case-mix between centers.</w:t>
      </w:r>
    </w:p>
    <w:p w14:paraId="0FB67DDB" w14:textId="77777777" w:rsidR="00092566" w:rsidRPr="00A25024" w:rsidRDefault="00092566" w:rsidP="00092566">
      <w:pPr>
        <w:spacing w:after="0" w:line="240" w:lineRule="auto"/>
        <w:rPr>
          <w:rFonts w:cstheme="minorHAnsi"/>
        </w:rPr>
      </w:pPr>
    </w:p>
    <w:p w14:paraId="0FB67DDC" w14:textId="4E30AE1C" w:rsidR="00021170" w:rsidRPr="009B1A15" w:rsidRDefault="00E108CC" w:rsidP="009B1A15">
      <w:pPr>
        <w:spacing w:after="0" w:line="240" w:lineRule="auto"/>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FB67DDD" w14:textId="77777777" w:rsidR="003755CB" w:rsidRDefault="003755CB" w:rsidP="00D61410">
      <w:pPr>
        <w:autoSpaceDE w:val="0"/>
        <w:autoSpaceDN w:val="0"/>
        <w:adjustRightInd w:val="0"/>
        <w:spacing w:after="0" w:line="240" w:lineRule="auto"/>
        <w:rPr>
          <w:rFonts w:cstheme="minorHAnsi"/>
          <w:b/>
          <w:bCs/>
        </w:rPr>
      </w:pPr>
    </w:p>
    <w:p w14:paraId="0FB67D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A25024" w:rsidRDefault="00E108CC"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0" w14:textId="77777777" w:rsidR="00FE5D02" w:rsidRDefault="00FE5D02" w:rsidP="00FE5D02">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0FB67DE1" w14:textId="77777777" w:rsidR="00FE5D02" w:rsidRPr="00FC5DE1" w:rsidRDefault="00FE5D02" w:rsidP="00FE5D02">
      <w:pPr>
        <w:autoSpaceDE w:val="0"/>
        <w:autoSpaceDN w:val="0"/>
        <w:adjustRightInd w:val="0"/>
        <w:spacing w:after="0" w:line="240" w:lineRule="auto"/>
        <w:rPr>
          <w:rFonts w:cstheme="minorHAnsi"/>
          <w:b/>
          <w:bCs/>
        </w:rPr>
      </w:pPr>
    </w:p>
    <w:p w14:paraId="0FB67DE2" w14:textId="2197FD87"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00929296" w14:textId="77777777" w:rsidR="00F41854" w:rsidRPr="00A07EDC" w:rsidRDefault="00F41854" w:rsidP="00F41854">
      <w:pPr>
        <w:autoSpaceDE w:val="0"/>
        <w:autoSpaceDN w:val="0"/>
        <w:adjustRightInd w:val="0"/>
        <w:spacing w:after="0" w:line="240" w:lineRule="auto"/>
      </w:pPr>
      <w:r>
        <w:lastRenderedPageBreak/>
        <w:t xml:space="preserve">The degree of </w:t>
      </w:r>
      <w:r w:rsidRPr="00A07EDC">
        <w:t>certainty surrounding an STS participant’s composite measure estimate is indicated by calculating 95% Bayesian credible intervals (CI’s) which are similar to conventional confidence intervals. Point estimates and CI’s for an individual STS participant are reported along with a comparison to various benchmarks based on the national sample. Benchmarks include the overall average STS composite score and several percentiles (minimum, 10</w:t>
      </w:r>
      <w:r w:rsidRPr="002F302D">
        <w:rPr>
          <w:vertAlign w:val="superscript"/>
        </w:rPr>
        <w:t>th</w:t>
      </w:r>
      <w:r w:rsidRPr="00A07EDC">
        <w:t>, 25</w:t>
      </w:r>
      <w:r w:rsidRPr="002F302D">
        <w:rPr>
          <w:vertAlign w:val="superscript"/>
        </w:rPr>
        <w:t>th</w:t>
      </w:r>
      <w:r w:rsidRPr="00A07EDC">
        <w:t>, 75</w:t>
      </w:r>
      <w:r w:rsidRPr="002F302D">
        <w:rPr>
          <w:vertAlign w:val="superscript"/>
        </w:rPr>
        <w:t>th</w:t>
      </w:r>
      <w:r w:rsidRPr="00A07EDC">
        <w:t>, 90</w:t>
      </w:r>
      <w:r w:rsidRPr="002F302D">
        <w:rPr>
          <w:vertAlign w:val="superscript"/>
        </w:rPr>
        <w:t>th</w:t>
      </w:r>
      <w:r w:rsidRPr="00A07EDC">
        <w:t>, maximum). A sample of the current STS reporting format is provided below. In addition, the composite measure result is converted into a star rating of 1 to 3 stars. An STS participant receives 2 stars if the Bayesian credible interval surrounding their composite score overlaps the overall STS average. This rating implies that the STS participant’s performance was not statistically different from the overall STS national average. If the Bayesian CI falls entirely above the STS national average, the participant receives 3 stars (better than average performance). If the Bayesian CI falls entirely below the STS national average, the participant receives 1 star (worse than average performance).</w:t>
      </w:r>
    </w:p>
    <w:p w14:paraId="120E3D37" w14:textId="77777777" w:rsidR="00F41854" w:rsidRPr="00A07EDC" w:rsidRDefault="00F41854" w:rsidP="00F41854">
      <w:pPr>
        <w:autoSpaceDE w:val="0"/>
        <w:autoSpaceDN w:val="0"/>
        <w:adjustRightInd w:val="0"/>
        <w:spacing w:after="0" w:line="240" w:lineRule="auto"/>
      </w:pPr>
    </w:p>
    <w:p w14:paraId="474F2DB7" w14:textId="77777777" w:rsidR="00F41854" w:rsidRPr="00A07EDC" w:rsidRDefault="00F41854" w:rsidP="00F41854">
      <w:pPr>
        <w:autoSpaceDE w:val="0"/>
        <w:autoSpaceDN w:val="0"/>
        <w:adjustRightInd w:val="0"/>
        <w:spacing w:after="0" w:line="240" w:lineRule="auto"/>
        <w:ind w:left="-540"/>
        <w:jc w:val="center"/>
      </w:pPr>
      <w:r>
        <w:rPr>
          <w:noProof/>
        </w:rPr>
        <w:drawing>
          <wp:inline distT="0" distB="0" distL="0" distR="0" wp14:anchorId="40A99A26" wp14:editId="458B7D32">
            <wp:extent cx="6675120" cy="2602299"/>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6675120" cy="2602299"/>
                    </a:xfrm>
                    <a:prstGeom prst="rect">
                      <a:avLst/>
                    </a:prstGeom>
                  </pic:spPr>
                </pic:pic>
              </a:graphicData>
            </a:graphic>
          </wp:inline>
        </w:drawing>
      </w:r>
    </w:p>
    <w:p w14:paraId="43999671" w14:textId="77777777" w:rsidR="00F41854" w:rsidRPr="00A07EDC" w:rsidRDefault="00F41854" w:rsidP="00F41854">
      <w:pPr>
        <w:autoSpaceDE w:val="0"/>
        <w:autoSpaceDN w:val="0"/>
        <w:adjustRightInd w:val="0"/>
        <w:spacing w:after="0" w:line="240" w:lineRule="auto"/>
        <w:rPr>
          <w:rFonts w:cstheme="minorHAnsi"/>
          <w:bCs/>
        </w:rPr>
      </w:pPr>
    </w:p>
    <w:p w14:paraId="762D3DD2" w14:textId="77777777" w:rsidR="00F41854" w:rsidRPr="00A07EDC" w:rsidRDefault="00F41854" w:rsidP="00F41854">
      <w:pPr>
        <w:autoSpaceDE w:val="0"/>
        <w:autoSpaceDN w:val="0"/>
        <w:adjustRightInd w:val="0"/>
        <w:spacing w:after="0" w:line="240" w:lineRule="auto"/>
        <w:ind w:left="-450"/>
        <w:jc w:val="center"/>
        <w:rPr>
          <w:rFonts w:cstheme="minorHAnsi"/>
          <w:bCs/>
        </w:rPr>
      </w:pPr>
      <w:r>
        <w:rPr>
          <w:noProof/>
        </w:rPr>
        <w:drawing>
          <wp:inline distT="0" distB="0" distL="0" distR="0" wp14:anchorId="134EB564" wp14:editId="4D918915">
            <wp:extent cx="6492240" cy="2487997"/>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492240" cy="2487997"/>
                    </a:xfrm>
                    <a:prstGeom prst="rect">
                      <a:avLst/>
                    </a:prstGeom>
                  </pic:spPr>
                </pic:pic>
              </a:graphicData>
            </a:graphic>
          </wp:inline>
        </w:drawing>
      </w:r>
    </w:p>
    <w:p w14:paraId="28C74AF0" w14:textId="77777777" w:rsidR="00F41854" w:rsidRPr="00A25024" w:rsidRDefault="00F41854" w:rsidP="00D61410">
      <w:pPr>
        <w:autoSpaceDE w:val="0"/>
        <w:autoSpaceDN w:val="0"/>
        <w:adjustRightInd w:val="0"/>
        <w:spacing w:after="0" w:line="240" w:lineRule="auto"/>
        <w:rPr>
          <w:rFonts w:cstheme="minorHAnsi"/>
          <w:bCs/>
        </w:rPr>
      </w:pPr>
    </w:p>
    <w:p w14:paraId="0FB67DE3" w14:textId="77777777" w:rsidR="00D61410" w:rsidRPr="00A25024" w:rsidRDefault="00D61410" w:rsidP="00D61410">
      <w:pPr>
        <w:autoSpaceDE w:val="0"/>
        <w:autoSpaceDN w:val="0"/>
        <w:adjustRightInd w:val="0"/>
        <w:spacing w:after="0" w:line="240" w:lineRule="auto"/>
        <w:rPr>
          <w:rFonts w:cstheme="minorHAnsi"/>
          <w:bCs/>
        </w:rPr>
      </w:pPr>
    </w:p>
    <w:p w14:paraId="0FB67DE4" w14:textId="5EE5E621"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 xml:space="preserve">differences in performance measure scores across measured </w:t>
      </w:r>
      <w:r w:rsidR="00D61410" w:rsidRPr="00A25024">
        <w:rPr>
          <w:rFonts w:cstheme="minorHAnsi"/>
          <w:b/>
          <w:bCs/>
        </w:rPr>
        <w:lastRenderedPageBreak/>
        <w:t>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2D267599" w14:textId="77777777" w:rsidR="00F41854" w:rsidRPr="008125E5" w:rsidRDefault="00F41854" w:rsidP="00F41854">
      <w:pPr>
        <w:spacing w:after="0" w:line="240" w:lineRule="auto"/>
        <w:rPr>
          <w:rFonts w:ascii="Calibri" w:eastAsia="Calibri" w:hAnsi="Calibri" w:cs="Calibri"/>
        </w:rPr>
      </w:pPr>
      <w:r w:rsidRPr="008125E5">
        <w:rPr>
          <w:rFonts w:ascii="Calibri" w:eastAsia="Calibri" w:hAnsi="Calibri" w:cs="Calibri"/>
        </w:rPr>
        <w:t>As shown in the table below, the proportion of STS participants receiving 1, 2, or 3 stars is similar to that of the STS isolated AVR composite measure. Overall, a little over 90% of participants have received 2 stars, and the remaining participants have received either 1 or 3 stars.</w:t>
      </w:r>
    </w:p>
    <w:p w14:paraId="377A37B7" w14:textId="77777777" w:rsidR="00F41854" w:rsidRPr="008125E5" w:rsidRDefault="00F41854" w:rsidP="00F41854">
      <w:pPr>
        <w:spacing w:after="0" w:line="240" w:lineRule="auto"/>
        <w:rPr>
          <w:rFonts w:ascii="Calibri" w:eastAsia="Calibri" w:hAnsi="Calibri" w:cs="Calibri"/>
        </w:rPr>
      </w:pPr>
    </w:p>
    <w:p w14:paraId="66B825BE" w14:textId="77777777" w:rsidR="00F41854" w:rsidRPr="008125E5" w:rsidRDefault="00F41854" w:rsidP="00F41854">
      <w:pPr>
        <w:autoSpaceDE w:val="0"/>
        <w:autoSpaceDN w:val="0"/>
        <w:adjustRightInd w:val="0"/>
        <w:spacing w:after="0" w:line="240" w:lineRule="auto"/>
        <w:ind w:left="270"/>
        <w:rPr>
          <w:rFonts w:ascii="Calibri" w:eastAsia="Calibri" w:hAnsi="Calibri" w:cs="Calibri"/>
          <w:b/>
          <w:bCs/>
        </w:rPr>
      </w:pPr>
      <w:r>
        <w:rPr>
          <w:rFonts w:ascii="Calibri" w:eastAsia="Calibri" w:hAnsi="Calibri" w:cs="Calibri"/>
          <w:b/>
          <w:bCs/>
        </w:rPr>
        <w:t>S</w:t>
      </w:r>
      <w:r w:rsidRPr="008125E5">
        <w:rPr>
          <w:rFonts w:ascii="Calibri" w:eastAsia="Calibri" w:hAnsi="Calibri" w:cs="Calibri"/>
          <w:b/>
          <w:bCs/>
        </w:rPr>
        <w:t xml:space="preserve">tar ratings in the latest harvest </w:t>
      </w:r>
    </w:p>
    <w:tbl>
      <w:tblPr>
        <w:tblW w:w="0" w:type="auto"/>
        <w:tblInd w:w="378" w:type="dxa"/>
        <w:tblBorders>
          <w:top w:val="single" w:sz="8" w:space="0" w:color="000000"/>
          <w:bottom w:val="single" w:sz="8" w:space="0" w:color="000000"/>
        </w:tblBorders>
        <w:tblLook w:val="04A0" w:firstRow="1" w:lastRow="0" w:firstColumn="1" w:lastColumn="0" w:noHBand="0" w:noVBand="1"/>
      </w:tblPr>
      <w:tblGrid>
        <w:gridCol w:w="1350"/>
        <w:gridCol w:w="1260"/>
      </w:tblGrid>
      <w:tr w:rsidR="00F41854" w:rsidRPr="008125E5" w14:paraId="3BB14796" w14:textId="77777777" w:rsidTr="008379B2">
        <w:tc>
          <w:tcPr>
            <w:tcW w:w="1350" w:type="dxa"/>
            <w:tcBorders>
              <w:top w:val="single" w:sz="8" w:space="0" w:color="000000"/>
              <w:bottom w:val="single" w:sz="8" w:space="0" w:color="000000"/>
            </w:tcBorders>
            <w:shd w:val="clear" w:color="auto" w:fill="auto"/>
          </w:tcPr>
          <w:p w14:paraId="418CE80E" w14:textId="77777777" w:rsidR="00F41854" w:rsidRPr="008125E5" w:rsidRDefault="00F41854" w:rsidP="008379B2">
            <w:pPr>
              <w:spacing w:after="0" w:line="240" w:lineRule="auto"/>
              <w:rPr>
                <w:rFonts w:ascii="Calibri" w:eastAsia="Calibri" w:hAnsi="Calibri" w:cs="Calibri"/>
                <w:b/>
                <w:bCs/>
                <w:color w:val="000000"/>
              </w:rPr>
            </w:pPr>
            <w:r w:rsidRPr="008125E5">
              <w:rPr>
                <w:rFonts w:ascii="Calibri" w:eastAsia="Calibri" w:hAnsi="Calibri" w:cs="Calibri"/>
                <w:b/>
                <w:bCs/>
                <w:color w:val="000000"/>
              </w:rPr>
              <w:t>Star Rating</w:t>
            </w:r>
          </w:p>
        </w:tc>
        <w:tc>
          <w:tcPr>
            <w:tcW w:w="1260" w:type="dxa"/>
            <w:tcBorders>
              <w:top w:val="single" w:sz="8" w:space="0" w:color="000000"/>
              <w:bottom w:val="single" w:sz="8" w:space="0" w:color="000000"/>
            </w:tcBorders>
            <w:shd w:val="clear" w:color="auto" w:fill="auto"/>
          </w:tcPr>
          <w:p w14:paraId="55AF287E" w14:textId="77777777" w:rsidR="00F41854" w:rsidRPr="008125E5" w:rsidRDefault="00F41854" w:rsidP="008379B2">
            <w:pPr>
              <w:spacing w:after="0" w:line="240" w:lineRule="auto"/>
              <w:rPr>
                <w:rFonts w:ascii="Calibri" w:eastAsia="Calibri" w:hAnsi="Calibri" w:cs="Calibri"/>
                <w:b/>
                <w:bCs/>
                <w:color w:val="000000"/>
              </w:rPr>
            </w:pPr>
            <w:r w:rsidRPr="008125E5">
              <w:rPr>
                <w:rFonts w:ascii="Calibri" w:eastAsia="Calibri" w:hAnsi="Calibri" w:cs="Calibri"/>
                <w:b/>
                <w:bCs/>
                <w:color w:val="000000"/>
              </w:rPr>
              <w:t>Latest</w:t>
            </w:r>
          </w:p>
        </w:tc>
      </w:tr>
      <w:tr w:rsidR="00F41854" w:rsidRPr="008125E5" w14:paraId="42A9D06A" w14:textId="77777777" w:rsidTr="008379B2">
        <w:tc>
          <w:tcPr>
            <w:tcW w:w="1350" w:type="dxa"/>
            <w:shd w:val="clear" w:color="auto" w:fill="C0C0C0"/>
          </w:tcPr>
          <w:p w14:paraId="1B1408DB" w14:textId="77777777" w:rsidR="00F41854" w:rsidRPr="008125E5" w:rsidRDefault="00F41854" w:rsidP="008379B2">
            <w:pPr>
              <w:spacing w:after="0" w:line="240" w:lineRule="auto"/>
              <w:rPr>
                <w:rFonts w:ascii="Calibri" w:eastAsia="Calibri" w:hAnsi="Calibri" w:cs="Calibri"/>
                <w:b/>
                <w:bCs/>
                <w:color w:val="000000"/>
              </w:rPr>
            </w:pPr>
            <w:r w:rsidRPr="008125E5">
              <w:rPr>
                <w:rFonts w:ascii="Calibri" w:eastAsia="Calibri" w:hAnsi="Calibri" w:cs="Calibri"/>
                <w:b/>
                <w:bCs/>
                <w:color w:val="000000"/>
              </w:rPr>
              <w:t>1</w:t>
            </w:r>
          </w:p>
        </w:tc>
        <w:tc>
          <w:tcPr>
            <w:tcW w:w="1260" w:type="dxa"/>
            <w:tcBorders>
              <w:left w:val="nil"/>
              <w:right w:val="nil"/>
            </w:tcBorders>
            <w:shd w:val="clear" w:color="auto" w:fill="C0C0C0"/>
          </w:tcPr>
          <w:p w14:paraId="6AA47859" w14:textId="77777777" w:rsidR="00F41854" w:rsidRPr="008125E5" w:rsidRDefault="00F41854" w:rsidP="008379B2">
            <w:pPr>
              <w:spacing w:after="0" w:line="240" w:lineRule="auto"/>
              <w:rPr>
                <w:rFonts w:ascii="Calibri" w:eastAsia="Calibri" w:hAnsi="Calibri" w:cs="Calibri"/>
              </w:rPr>
            </w:pPr>
            <w:r w:rsidRPr="008125E5">
              <w:rPr>
                <w:rFonts w:ascii="Calibri" w:eastAsia="Calibri" w:hAnsi="Calibri" w:cs="Calibri"/>
              </w:rPr>
              <w:t>25, 2.7%</w:t>
            </w:r>
          </w:p>
        </w:tc>
      </w:tr>
      <w:tr w:rsidR="00F41854" w:rsidRPr="008125E5" w14:paraId="3EEEFAC4" w14:textId="77777777" w:rsidTr="008379B2">
        <w:tc>
          <w:tcPr>
            <w:tcW w:w="1350" w:type="dxa"/>
            <w:shd w:val="clear" w:color="auto" w:fill="auto"/>
          </w:tcPr>
          <w:p w14:paraId="07AD436F" w14:textId="77777777" w:rsidR="00F41854" w:rsidRPr="008125E5" w:rsidRDefault="00F41854" w:rsidP="008379B2">
            <w:pPr>
              <w:spacing w:after="0" w:line="240" w:lineRule="auto"/>
              <w:rPr>
                <w:rFonts w:ascii="Calibri" w:eastAsia="Calibri" w:hAnsi="Calibri" w:cs="Calibri"/>
                <w:b/>
                <w:bCs/>
                <w:color w:val="000000"/>
              </w:rPr>
            </w:pPr>
            <w:r w:rsidRPr="008125E5">
              <w:rPr>
                <w:rFonts w:ascii="Calibri" w:eastAsia="Calibri" w:hAnsi="Calibri" w:cs="Calibri"/>
                <w:b/>
                <w:bCs/>
                <w:color w:val="000000"/>
              </w:rPr>
              <w:t>2</w:t>
            </w:r>
          </w:p>
        </w:tc>
        <w:tc>
          <w:tcPr>
            <w:tcW w:w="1260" w:type="dxa"/>
            <w:shd w:val="clear" w:color="auto" w:fill="auto"/>
          </w:tcPr>
          <w:p w14:paraId="1D00B365" w14:textId="77777777" w:rsidR="00F41854" w:rsidRPr="008125E5" w:rsidRDefault="00F41854" w:rsidP="008379B2">
            <w:pPr>
              <w:spacing w:after="0" w:line="240" w:lineRule="auto"/>
              <w:rPr>
                <w:rFonts w:ascii="Calibri" w:eastAsia="Calibri" w:hAnsi="Calibri" w:cs="Calibri"/>
              </w:rPr>
            </w:pPr>
            <w:r w:rsidRPr="008125E5">
              <w:rPr>
                <w:rFonts w:ascii="Calibri" w:eastAsia="Calibri" w:hAnsi="Calibri" w:cs="Calibri"/>
              </w:rPr>
              <w:t>850, 91.1%</w:t>
            </w:r>
          </w:p>
        </w:tc>
      </w:tr>
      <w:tr w:rsidR="00F41854" w:rsidRPr="008125E5" w14:paraId="12D1E589" w14:textId="77777777" w:rsidTr="008379B2">
        <w:tc>
          <w:tcPr>
            <w:tcW w:w="1350" w:type="dxa"/>
            <w:shd w:val="clear" w:color="auto" w:fill="C0C0C0"/>
          </w:tcPr>
          <w:p w14:paraId="7116F935" w14:textId="77777777" w:rsidR="00F41854" w:rsidRPr="008125E5" w:rsidRDefault="00F41854" w:rsidP="008379B2">
            <w:pPr>
              <w:spacing w:after="0" w:line="240" w:lineRule="auto"/>
              <w:rPr>
                <w:rFonts w:ascii="Calibri" w:eastAsia="Calibri" w:hAnsi="Calibri" w:cs="Calibri"/>
                <w:b/>
                <w:bCs/>
                <w:color w:val="000000"/>
              </w:rPr>
            </w:pPr>
            <w:r w:rsidRPr="008125E5">
              <w:rPr>
                <w:rFonts w:ascii="Calibri" w:eastAsia="Calibri" w:hAnsi="Calibri" w:cs="Calibri"/>
                <w:b/>
                <w:bCs/>
                <w:color w:val="000000"/>
              </w:rPr>
              <w:t>3</w:t>
            </w:r>
          </w:p>
        </w:tc>
        <w:tc>
          <w:tcPr>
            <w:tcW w:w="1260" w:type="dxa"/>
            <w:tcBorders>
              <w:left w:val="nil"/>
              <w:right w:val="nil"/>
            </w:tcBorders>
            <w:shd w:val="clear" w:color="auto" w:fill="C0C0C0"/>
          </w:tcPr>
          <w:p w14:paraId="19635573" w14:textId="77777777" w:rsidR="00F41854" w:rsidRPr="008125E5" w:rsidRDefault="00F41854" w:rsidP="008379B2">
            <w:pPr>
              <w:spacing w:after="0" w:line="240" w:lineRule="auto"/>
              <w:rPr>
                <w:rFonts w:ascii="Calibri" w:eastAsia="Calibri" w:hAnsi="Calibri" w:cs="Calibri"/>
              </w:rPr>
            </w:pPr>
            <w:r w:rsidRPr="008125E5">
              <w:rPr>
                <w:rFonts w:ascii="Calibri" w:eastAsia="Calibri" w:hAnsi="Calibri" w:cs="Calibri"/>
              </w:rPr>
              <w:t>58, 6.2%</w:t>
            </w:r>
          </w:p>
        </w:tc>
      </w:tr>
    </w:tbl>
    <w:p w14:paraId="195F7A8F" w14:textId="77777777" w:rsidR="00F41854" w:rsidRPr="008125E5" w:rsidRDefault="00F41854" w:rsidP="00F41854">
      <w:pPr>
        <w:autoSpaceDE w:val="0"/>
        <w:autoSpaceDN w:val="0"/>
        <w:adjustRightInd w:val="0"/>
        <w:spacing w:after="0" w:line="240" w:lineRule="auto"/>
        <w:ind w:left="270"/>
        <w:rPr>
          <w:rFonts w:ascii="Calibri" w:eastAsia="Calibri" w:hAnsi="Calibri" w:cs="Calibri"/>
          <w:bCs/>
        </w:rPr>
      </w:pPr>
    </w:p>
    <w:p w14:paraId="0FB67DE6" w14:textId="34BA61C5"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79350E74" w14:textId="03786790" w:rsidR="00F41854" w:rsidRDefault="00F41854" w:rsidP="00D61410">
      <w:pPr>
        <w:autoSpaceDE w:val="0"/>
        <w:autoSpaceDN w:val="0"/>
        <w:adjustRightInd w:val="0"/>
        <w:spacing w:after="0" w:line="240" w:lineRule="auto"/>
        <w:rPr>
          <w:rFonts w:ascii="Calibri" w:eastAsia="Calibri" w:hAnsi="Calibri" w:cs="Calibri"/>
        </w:rPr>
      </w:pPr>
      <w:r w:rsidRPr="00D443D5">
        <w:rPr>
          <w:rFonts w:ascii="Calibri" w:eastAsia="Calibri" w:hAnsi="Calibri" w:cs="Calibri"/>
        </w:rPr>
        <w:t>The Bayesian methodology allows direct probability interpretation of the results. We know with a 95% certainty that a 3-star participant have truly better performance, and a 1-star participant have truly worse performance. Better and worse are relative to the overall STS average.  The identified differences in performance are both statistical significant and clinical meaningful.  The surgeon panel and users are satisfied with the amount of outliers the measure detects.</w:t>
      </w:r>
    </w:p>
    <w:p w14:paraId="3D29B6AF" w14:textId="77777777" w:rsidR="00F41854" w:rsidRPr="00A25024" w:rsidRDefault="00F41854" w:rsidP="00D61410">
      <w:pPr>
        <w:autoSpaceDE w:val="0"/>
        <w:autoSpaceDN w:val="0"/>
        <w:adjustRightInd w:val="0"/>
        <w:spacing w:after="0" w:line="240" w:lineRule="auto"/>
        <w:rPr>
          <w:rFonts w:cstheme="minorHAnsi"/>
          <w:bCs/>
        </w:rPr>
      </w:pP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0FB67DEC" w14:textId="528EEC3E"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E108CC">
        <w:rPr>
          <w:rFonts w:ascii="Calibri-BoldItalic" w:eastAsiaTheme="minorHAnsi" w:hAnsi="Calibri-BoldItalic" w:cs="Calibri-BoldItalic"/>
          <w:b/>
          <w:bCs/>
          <w:i/>
          <w:iCs/>
        </w:rPr>
        <w:t>social risk</w:t>
      </w:r>
      <w:r w:rsidR="00E108CC" w:rsidRPr="005133A2">
        <w:rPr>
          <w:rFonts w:ascii="Calibri-BoldItalic" w:eastAsiaTheme="minorHAnsi" w:hAnsi="Calibri-BoldItalic" w:cs="Calibri-BoldItalic"/>
          <w:b/>
          <w:bCs/>
          <w:i/>
          <w:iCs/>
        </w:rPr>
        <w:t xml:space="preserve"> </w:t>
      </w:r>
      <w:r w:rsidR="00F1412B" w:rsidRPr="005133A2">
        <w:rPr>
          <w:rFonts w:ascii="Calibri-BoldItalic" w:eastAsiaTheme="minorHAnsi" w:hAnsi="Calibri-BoldItalic" w:cs="Calibri-BoldItalic"/>
          <w:b/>
          <w:bCs/>
          <w:i/>
          <w:iCs/>
        </w:rPr>
        <w:t>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FB67DED" w14:textId="77777777" w:rsidR="000F06B5" w:rsidRPr="00A25024" w:rsidRDefault="000F06B5" w:rsidP="00DB3627">
      <w:pPr>
        <w:autoSpaceDE w:val="0"/>
        <w:autoSpaceDN w:val="0"/>
        <w:adjustRightInd w:val="0"/>
        <w:spacing w:after="0" w:line="240" w:lineRule="auto"/>
        <w:rPr>
          <w:rFonts w:cstheme="minorHAnsi"/>
          <w:bCs/>
        </w:rPr>
      </w:pPr>
    </w:p>
    <w:p w14:paraId="0FB67DEE" w14:textId="5009EE86" w:rsidR="000F06B5"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5D3A4ACC" w14:textId="77777777" w:rsidR="00F41854" w:rsidRPr="00A445ED" w:rsidRDefault="00F41854" w:rsidP="00F41854">
      <w:pPr>
        <w:autoSpaceDE w:val="0"/>
        <w:autoSpaceDN w:val="0"/>
        <w:adjustRightInd w:val="0"/>
        <w:spacing w:after="0" w:line="240" w:lineRule="auto"/>
        <w:rPr>
          <w:rFonts w:cstheme="minorHAnsi"/>
          <w:bCs/>
        </w:rPr>
      </w:pPr>
      <w:r w:rsidRPr="00A445ED">
        <w:rPr>
          <w:rFonts w:cstheme="minorHAnsi"/>
          <w:bCs/>
        </w:rPr>
        <w:t>N/A</w:t>
      </w:r>
    </w:p>
    <w:p w14:paraId="0FB67DEF"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FB67DF0" w14:textId="28106904" w:rsidR="00A35F8F" w:rsidRDefault="00E108CC" w:rsidP="00E1508F">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6152A601" w14:textId="77777777" w:rsidR="00F41854" w:rsidRPr="00A445ED" w:rsidRDefault="00F41854" w:rsidP="00F41854">
      <w:pPr>
        <w:autoSpaceDE w:val="0"/>
        <w:autoSpaceDN w:val="0"/>
        <w:adjustRightInd w:val="0"/>
        <w:spacing w:after="0" w:line="240" w:lineRule="auto"/>
        <w:rPr>
          <w:rFonts w:cstheme="minorHAnsi"/>
          <w:bCs/>
        </w:rPr>
      </w:pPr>
      <w:r w:rsidRPr="00A445ED">
        <w:rPr>
          <w:rFonts w:cstheme="minorHAnsi"/>
          <w:bCs/>
        </w:rPr>
        <w:t>N/A</w:t>
      </w:r>
    </w:p>
    <w:p w14:paraId="0FB67DF1" w14:textId="77777777" w:rsidR="00E1508F" w:rsidRPr="00E1508F" w:rsidRDefault="00E1508F" w:rsidP="00E1508F">
      <w:pPr>
        <w:autoSpaceDE w:val="0"/>
        <w:autoSpaceDN w:val="0"/>
        <w:adjustRightInd w:val="0"/>
        <w:spacing w:after="0" w:line="240" w:lineRule="auto"/>
        <w:rPr>
          <w:rFonts w:cstheme="minorHAnsi"/>
          <w:bCs/>
        </w:rPr>
      </w:pPr>
    </w:p>
    <w:p w14:paraId="0FB67DF2" w14:textId="18998C3B" w:rsidR="0079180E"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BD01D4">
        <w:rPr>
          <w:rFonts w:cstheme="minorHAnsi"/>
          <w:bCs/>
          <w:i/>
        </w:rPr>
        <w:t>?</w:t>
      </w:r>
      <w:r w:rsidR="002B0C3A" w:rsidRPr="00A25024">
        <w:rPr>
          <w:rFonts w:cstheme="minorHAnsi"/>
          <w:bCs/>
        </w:rPr>
        <w:t>)</w:t>
      </w:r>
      <w:r w:rsidR="00A35F8F" w:rsidRPr="00DB3627">
        <w:rPr>
          <w:rFonts w:cstheme="minorHAnsi"/>
          <w:bCs/>
        </w:rPr>
        <w:br/>
      </w:r>
    </w:p>
    <w:p w14:paraId="253752F4" w14:textId="77777777" w:rsidR="00F41854" w:rsidRPr="00A445ED" w:rsidRDefault="00F41854" w:rsidP="00F41854">
      <w:pPr>
        <w:autoSpaceDE w:val="0"/>
        <w:autoSpaceDN w:val="0"/>
        <w:adjustRightInd w:val="0"/>
        <w:spacing w:after="0" w:line="240" w:lineRule="auto"/>
        <w:rPr>
          <w:rFonts w:cstheme="minorHAnsi"/>
          <w:bCs/>
        </w:rPr>
      </w:pPr>
      <w:r w:rsidRPr="00A445ED">
        <w:rPr>
          <w:rFonts w:cstheme="minorHAnsi"/>
          <w:bCs/>
        </w:rPr>
        <w:t>N/A</w:t>
      </w:r>
    </w:p>
    <w:p w14:paraId="0FB67DF3" w14:textId="77777777" w:rsidR="008F7E67" w:rsidRDefault="008F7E67" w:rsidP="008F7E67">
      <w:pPr>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BD01D4">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8F7E67">
      <w:pPr>
        <w:autoSpaceDE w:val="0"/>
        <w:autoSpaceDN w:val="0"/>
        <w:adjustRightInd w:val="0"/>
        <w:spacing w:after="0" w:line="240" w:lineRule="auto"/>
        <w:rPr>
          <w:rFonts w:cstheme="minorHAnsi"/>
          <w:bCs/>
        </w:rPr>
      </w:pPr>
    </w:p>
    <w:p w14:paraId="0FB67DF7" w14:textId="4888E65D"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709AAEF" w14:textId="77777777" w:rsidR="00F41854" w:rsidRPr="00296488" w:rsidRDefault="00F41854" w:rsidP="00F41854">
      <w:pPr>
        <w:spacing w:after="0" w:line="240" w:lineRule="auto"/>
        <w:rPr>
          <w:rFonts w:ascii="Calibri" w:eastAsia="Calibri" w:hAnsi="Calibri" w:cs="Calibri"/>
        </w:rPr>
      </w:pPr>
      <w:r w:rsidRPr="00296488">
        <w:rPr>
          <w:rFonts w:ascii="Calibri" w:eastAsia="Calibri" w:hAnsi="Calibri" w:cs="Calibri"/>
        </w:rPr>
        <w:t>The qualit</w:t>
      </w:r>
      <w:r>
        <w:rPr>
          <w:rFonts w:ascii="Calibri" w:eastAsia="Calibri" w:hAnsi="Calibri" w:cs="Calibri"/>
        </w:rPr>
        <w:t>y of data in STS Adult Cardiac D</w:t>
      </w:r>
      <w:r w:rsidRPr="00296488">
        <w:rPr>
          <w:rFonts w:ascii="Calibri" w:eastAsia="Calibri" w:hAnsi="Calibri" w:cs="Calibri"/>
        </w:rPr>
        <w:t>atabase has been ever improving. Missing data are uncommon with a frequency of missing data under 1% for most variables used in the individual domain risk models.  As a result, in the latest implementation of the composite measure, we were able to include 99.96% of all operations identified as AVR + CABG. In other words, we were able to apply the individual domain risk models to almost all operations.  Thanks to the good quality of the data, we chose to uses a complete-case analysis approach for the composite measure by discarding the 0.04% of operations for which the key variables are missing (age or gender).</w:t>
      </w:r>
    </w:p>
    <w:p w14:paraId="48EF7CC6" w14:textId="77777777" w:rsidR="00F41854" w:rsidRPr="00D355E9" w:rsidRDefault="00F41854" w:rsidP="00F41854">
      <w:pPr>
        <w:spacing w:after="0" w:line="240" w:lineRule="auto"/>
        <w:rPr>
          <w:rFonts w:ascii="Calibri" w:eastAsia="Calibri" w:hAnsi="Calibri" w:cs="Calibri"/>
          <w:b/>
          <w:highlight w:val="darkCyan"/>
        </w:rPr>
      </w:pPr>
    </w:p>
    <w:p w14:paraId="26928BC7" w14:textId="758E5493" w:rsidR="00F41854" w:rsidRDefault="00F41854" w:rsidP="00F41854">
      <w:pPr>
        <w:spacing w:after="0" w:line="240" w:lineRule="auto"/>
        <w:rPr>
          <w:rFonts w:ascii="Calibri" w:eastAsia="Calibri" w:hAnsi="Calibri" w:cs="Calibri"/>
        </w:rPr>
      </w:pPr>
      <w:r w:rsidRPr="00296488">
        <w:rPr>
          <w:rFonts w:ascii="Calibri" w:eastAsia="Calibri" w:hAnsi="Calibri" w:cs="Calibri"/>
        </w:rPr>
        <w:t>At the individual domain level, the models used imputed values for those missing values according to details published in 2009.  For binary risk factors, missing values were analyzed as if the risk factor did not exist.  Missing data on categorical variables were imputed to the lowest risk value (usually the mode).  Missing data on continuous variables were imputed to the conditional mean.  For ejection fraction, we conditioned on congestive heart failure and sex, and for last measure</w:t>
      </w:r>
      <w:r w:rsidR="00891344">
        <w:rPr>
          <w:rFonts w:ascii="Calibri" w:eastAsia="Calibri" w:hAnsi="Calibri" w:cs="Calibri"/>
        </w:rPr>
        <w:t>d</w:t>
      </w:r>
      <w:r w:rsidRPr="00296488">
        <w:rPr>
          <w:rFonts w:ascii="Calibri" w:eastAsia="Calibri" w:hAnsi="Calibri" w:cs="Calibri"/>
        </w:rPr>
        <w:t xml:space="preserve"> serum creatinine level, we conditioned on renal failure.</w:t>
      </w:r>
      <w:r>
        <w:rPr>
          <w:rFonts w:ascii="Calibri" w:eastAsia="Calibri" w:hAnsi="Calibri" w:cs="Calibri"/>
        </w:rPr>
        <w:t xml:space="preserve"> </w:t>
      </w:r>
    </w:p>
    <w:p w14:paraId="71C13B1C" w14:textId="77777777" w:rsidR="00C120CA" w:rsidRDefault="00C120CA" w:rsidP="00F41854">
      <w:pPr>
        <w:spacing w:after="0" w:line="240" w:lineRule="auto"/>
        <w:rPr>
          <w:rFonts w:ascii="Calibri" w:eastAsia="Calibri" w:hAnsi="Calibri" w:cs="Calibri"/>
        </w:rPr>
      </w:pPr>
    </w:p>
    <w:p w14:paraId="78E7D5D4" w14:textId="231D62EF" w:rsidR="00C120CA" w:rsidRDefault="00C120CA" w:rsidP="00C120CA">
      <w:pPr>
        <w:autoSpaceDE w:val="0"/>
        <w:autoSpaceDN w:val="0"/>
        <w:adjustRightInd w:val="0"/>
        <w:spacing w:after="0" w:line="240" w:lineRule="auto"/>
        <w:rPr>
          <w:rFonts w:ascii="Calibri" w:eastAsia="Calibri" w:hAnsi="Calibri" w:cs="Calibri"/>
        </w:rPr>
      </w:pPr>
      <w:r>
        <w:rPr>
          <w:rFonts w:ascii="Calibri" w:eastAsia="Calibri" w:hAnsi="Calibri" w:cs="Calibri"/>
        </w:rPr>
        <w:t>Specific missing data rates for the major morbidity endpoints for AVR+CABG are listed in the table below.</w:t>
      </w:r>
    </w:p>
    <w:p w14:paraId="71032FBB" w14:textId="77777777" w:rsidR="00C120CA" w:rsidRDefault="00C120CA" w:rsidP="00C120CA">
      <w:pPr>
        <w:autoSpaceDE w:val="0"/>
        <w:autoSpaceDN w:val="0"/>
        <w:adjustRightInd w:val="0"/>
        <w:spacing w:after="0" w:line="240" w:lineRule="auto"/>
        <w:rPr>
          <w:rFonts w:ascii="Calibri" w:eastAsia="Calibri" w:hAnsi="Calibri" w:cs="Calibri"/>
        </w:rPr>
      </w:pPr>
    </w:p>
    <w:tbl>
      <w:tblPr>
        <w:tblStyle w:val="TableGrid"/>
        <w:tblW w:w="6115" w:type="dxa"/>
        <w:tblLook w:val="04A0" w:firstRow="1" w:lastRow="0" w:firstColumn="1" w:lastColumn="0" w:noHBand="0" w:noVBand="1"/>
      </w:tblPr>
      <w:tblGrid>
        <w:gridCol w:w="4405"/>
        <w:gridCol w:w="1710"/>
      </w:tblGrid>
      <w:tr w:rsidR="00C120CA" w14:paraId="20AC3819" w14:textId="77777777" w:rsidTr="00724C38">
        <w:tc>
          <w:tcPr>
            <w:tcW w:w="4405" w:type="dxa"/>
            <w:shd w:val="clear" w:color="auto" w:fill="D9D9D9" w:themeFill="background1" w:themeFillShade="D9"/>
          </w:tcPr>
          <w:p w14:paraId="224B13BE" w14:textId="77777777" w:rsidR="00C120CA" w:rsidRDefault="00C120CA" w:rsidP="00724C38">
            <w:pPr>
              <w:autoSpaceDE w:val="0"/>
              <w:autoSpaceDN w:val="0"/>
              <w:adjustRightInd w:val="0"/>
              <w:rPr>
                <w:rFonts w:ascii="Calibri" w:eastAsia="Calibri" w:hAnsi="Calibri" w:cs="Calibri"/>
              </w:rPr>
            </w:pPr>
            <w:r>
              <w:rPr>
                <w:b/>
                <w:bCs/>
              </w:rPr>
              <w:t>Endpoint</w:t>
            </w:r>
          </w:p>
        </w:tc>
        <w:tc>
          <w:tcPr>
            <w:tcW w:w="1710" w:type="dxa"/>
            <w:shd w:val="clear" w:color="auto" w:fill="D9D9D9" w:themeFill="background1" w:themeFillShade="D9"/>
          </w:tcPr>
          <w:p w14:paraId="35412EC6" w14:textId="77777777" w:rsidR="00C120CA" w:rsidRDefault="00C120CA" w:rsidP="00724C38">
            <w:pPr>
              <w:autoSpaceDE w:val="0"/>
              <w:autoSpaceDN w:val="0"/>
              <w:adjustRightInd w:val="0"/>
              <w:rPr>
                <w:rFonts w:ascii="Calibri" w:eastAsia="Calibri" w:hAnsi="Calibri" w:cs="Calibri"/>
              </w:rPr>
            </w:pPr>
            <w:r>
              <w:rPr>
                <w:b/>
                <w:bCs/>
              </w:rPr>
              <w:t>% Missing</w:t>
            </w:r>
          </w:p>
        </w:tc>
      </w:tr>
      <w:tr w:rsidR="00C120CA" w14:paraId="65FFF483" w14:textId="77777777" w:rsidTr="00724C38">
        <w:tc>
          <w:tcPr>
            <w:tcW w:w="4405" w:type="dxa"/>
          </w:tcPr>
          <w:p w14:paraId="09F0EC94" w14:textId="77777777" w:rsidR="00C120CA" w:rsidRDefault="00C120CA" w:rsidP="00724C38">
            <w:pPr>
              <w:autoSpaceDE w:val="0"/>
              <w:autoSpaceDN w:val="0"/>
              <w:adjustRightInd w:val="0"/>
              <w:rPr>
                <w:rFonts w:ascii="Calibri" w:eastAsia="Calibri" w:hAnsi="Calibri" w:cs="Calibri"/>
              </w:rPr>
            </w:pPr>
            <w:r>
              <w:t>Stroke/CVA</w:t>
            </w:r>
          </w:p>
        </w:tc>
        <w:tc>
          <w:tcPr>
            <w:tcW w:w="1710" w:type="dxa"/>
          </w:tcPr>
          <w:p w14:paraId="7AB0A6E7" w14:textId="77777777" w:rsidR="00C120CA" w:rsidRDefault="00C120CA" w:rsidP="00724C38">
            <w:pPr>
              <w:autoSpaceDE w:val="0"/>
              <w:autoSpaceDN w:val="0"/>
              <w:adjustRightInd w:val="0"/>
              <w:rPr>
                <w:rFonts w:ascii="Calibri" w:eastAsia="Calibri" w:hAnsi="Calibri" w:cs="Calibri"/>
              </w:rPr>
            </w:pPr>
            <w:r>
              <w:t>0.19%</w:t>
            </w:r>
          </w:p>
        </w:tc>
      </w:tr>
      <w:tr w:rsidR="00C120CA" w14:paraId="35DB90CF" w14:textId="77777777" w:rsidTr="00724C38">
        <w:tc>
          <w:tcPr>
            <w:tcW w:w="4405" w:type="dxa"/>
          </w:tcPr>
          <w:p w14:paraId="27542487" w14:textId="77777777" w:rsidR="00C120CA" w:rsidRDefault="00C120CA" w:rsidP="00724C38">
            <w:pPr>
              <w:autoSpaceDE w:val="0"/>
              <w:autoSpaceDN w:val="0"/>
              <w:adjustRightInd w:val="0"/>
              <w:rPr>
                <w:rFonts w:ascii="Calibri" w:eastAsia="Calibri" w:hAnsi="Calibri" w:cs="Calibri"/>
              </w:rPr>
            </w:pPr>
            <w:r>
              <w:t>Renal Failure</w:t>
            </w:r>
          </w:p>
        </w:tc>
        <w:tc>
          <w:tcPr>
            <w:tcW w:w="1710" w:type="dxa"/>
          </w:tcPr>
          <w:p w14:paraId="620A07D6" w14:textId="77777777" w:rsidR="00C120CA" w:rsidRDefault="00C120CA" w:rsidP="00724C38">
            <w:pPr>
              <w:autoSpaceDE w:val="0"/>
              <w:autoSpaceDN w:val="0"/>
              <w:adjustRightInd w:val="0"/>
              <w:rPr>
                <w:rFonts w:ascii="Calibri" w:eastAsia="Calibri" w:hAnsi="Calibri" w:cs="Calibri"/>
              </w:rPr>
            </w:pPr>
            <w:r>
              <w:t>0.18%</w:t>
            </w:r>
          </w:p>
        </w:tc>
      </w:tr>
      <w:tr w:rsidR="00C120CA" w14:paraId="133F9B7B" w14:textId="77777777" w:rsidTr="00724C38">
        <w:tc>
          <w:tcPr>
            <w:tcW w:w="4405" w:type="dxa"/>
          </w:tcPr>
          <w:p w14:paraId="434F1689" w14:textId="77777777" w:rsidR="00C120CA" w:rsidRDefault="00C120CA" w:rsidP="00724C38">
            <w:pPr>
              <w:autoSpaceDE w:val="0"/>
              <w:autoSpaceDN w:val="0"/>
              <w:adjustRightInd w:val="0"/>
              <w:rPr>
                <w:rFonts w:ascii="Calibri" w:eastAsia="Calibri" w:hAnsi="Calibri" w:cs="Calibri"/>
              </w:rPr>
            </w:pPr>
            <w:r>
              <w:t>Prolonged Ventilation</w:t>
            </w:r>
          </w:p>
        </w:tc>
        <w:tc>
          <w:tcPr>
            <w:tcW w:w="1710" w:type="dxa"/>
          </w:tcPr>
          <w:p w14:paraId="4C206E98" w14:textId="77777777" w:rsidR="00C120CA" w:rsidRDefault="00C120CA" w:rsidP="00724C38">
            <w:pPr>
              <w:autoSpaceDE w:val="0"/>
              <w:autoSpaceDN w:val="0"/>
              <w:adjustRightInd w:val="0"/>
              <w:rPr>
                <w:rFonts w:ascii="Calibri" w:eastAsia="Calibri" w:hAnsi="Calibri" w:cs="Calibri"/>
              </w:rPr>
            </w:pPr>
            <w:r>
              <w:t>&lt;0.01%</w:t>
            </w:r>
          </w:p>
        </w:tc>
      </w:tr>
      <w:tr w:rsidR="00C120CA" w14:paraId="5C6262DB" w14:textId="77777777" w:rsidTr="00724C38">
        <w:tc>
          <w:tcPr>
            <w:tcW w:w="4405" w:type="dxa"/>
          </w:tcPr>
          <w:p w14:paraId="0A3C847F" w14:textId="77777777" w:rsidR="00C120CA" w:rsidRDefault="00C120CA" w:rsidP="00724C38">
            <w:pPr>
              <w:autoSpaceDE w:val="0"/>
              <w:autoSpaceDN w:val="0"/>
              <w:adjustRightInd w:val="0"/>
              <w:rPr>
                <w:rFonts w:ascii="Calibri" w:eastAsia="Calibri" w:hAnsi="Calibri" w:cs="Calibri"/>
              </w:rPr>
            </w:pPr>
            <w:r>
              <w:t>Reoperation</w:t>
            </w:r>
          </w:p>
        </w:tc>
        <w:tc>
          <w:tcPr>
            <w:tcW w:w="1710" w:type="dxa"/>
          </w:tcPr>
          <w:p w14:paraId="4EB3A233" w14:textId="77777777" w:rsidR="00C120CA" w:rsidRDefault="00C120CA" w:rsidP="00724C38">
            <w:pPr>
              <w:autoSpaceDE w:val="0"/>
              <w:autoSpaceDN w:val="0"/>
              <w:adjustRightInd w:val="0"/>
              <w:rPr>
                <w:rFonts w:ascii="Calibri" w:eastAsia="Calibri" w:hAnsi="Calibri" w:cs="Calibri"/>
              </w:rPr>
            </w:pPr>
            <w:r>
              <w:t>0.01%</w:t>
            </w:r>
          </w:p>
        </w:tc>
      </w:tr>
      <w:tr w:rsidR="00C120CA" w14:paraId="045841D4" w14:textId="77777777" w:rsidTr="00724C38">
        <w:tc>
          <w:tcPr>
            <w:tcW w:w="4405" w:type="dxa"/>
          </w:tcPr>
          <w:p w14:paraId="45774DB7" w14:textId="77777777" w:rsidR="00C120CA" w:rsidRDefault="00C120CA" w:rsidP="00724C38">
            <w:pPr>
              <w:autoSpaceDE w:val="0"/>
              <w:autoSpaceDN w:val="0"/>
              <w:adjustRightInd w:val="0"/>
              <w:rPr>
                <w:rFonts w:ascii="Calibri" w:eastAsia="Calibri" w:hAnsi="Calibri" w:cs="Calibri"/>
              </w:rPr>
            </w:pPr>
            <w:r>
              <w:t xml:space="preserve">Deep Sternal Wound Infection / </w:t>
            </w:r>
            <w:proofErr w:type="spellStart"/>
            <w:r>
              <w:t>Mediastinitis</w:t>
            </w:r>
            <w:proofErr w:type="spellEnd"/>
          </w:p>
        </w:tc>
        <w:tc>
          <w:tcPr>
            <w:tcW w:w="1710" w:type="dxa"/>
          </w:tcPr>
          <w:p w14:paraId="0CED3D60" w14:textId="77777777" w:rsidR="00C120CA" w:rsidRDefault="00C120CA" w:rsidP="00724C38">
            <w:pPr>
              <w:autoSpaceDE w:val="0"/>
              <w:autoSpaceDN w:val="0"/>
              <w:adjustRightInd w:val="0"/>
              <w:rPr>
                <w:rFonts w:ascii="Calibri" w:eastAsia="Calibri" w:hAnsi="Calibri" w:cs="Calibri"/>
              </w:rPr>
            </w:pPr>
            <w:r>
              <w:t>0.21%</w:t>
            </w:r>
          </w:p>
        </w:tc>
      </w:tr>
    </w:tbl>
    <w:p w14:paraId="48E20D19" w14:textId="77777777" w:rsidR="00C120CA" w:rsidRPr="0086656F" w:rsidRDefault="00C120CA" w:rsidP="00C120CA">
      <w:pPr>
        <w:autoSpaceDE w:val="0"/>
        <w:autoSpaceDN w:val="0"/>
        <w:adjustRightInd w:val="0"/>
        <w:spacing w:after="0" w:line="240" w:lineRule="auto"/>
        <w:rPr>
          <w:rFonts w:ascii="Calibri" w:eastAsia="Calibri" w:hAnsi="Calibri" w:cs="Calibri"/>
        </w:rPr>
      </w:pPr>
    </w:p>
    <w:p w14:paraId="3D89480D" w14:textId="77777777" w:rsidR="00891344" w:rsidRPr="008B79BA" w:rsidRDefault="00891344" w:rsidP="00891344">
      <w:pPr>
        <w:spacing w:after="0" w:line="240" w:lineRule="auto"/>
        <w:rPr>
          <w:rFonts w:ascii="Calibri" w:eastAsia="Calibri" w:hAnsi="Calibri" w:cs="Calibri"/>
        </w:rPr>
      </w:pPr>
      <w:r w:rsidRPr="002A6D3E">
        <w:rPr>
          <w:rFonts w:ascii="Calibri" w:eastAsia="Calibri" w:hAnsi="Calibri" w:cs="Calibri"/>
        </w:rPr>
        <w:t xml:space="preserve">Model variables with more than 1% missing data in the study sample were ejection fraction (8.9%), NYHA class (4.9%), tricuspid insufficiency (2.7%), aortic insufficiency (2.0%), mitral insufficiency (1.6%), </w:t>
      </w:r>
      <w:r w:rsidRPr="002A6D3E">
        <w:rPr>
          <w:rFonts w:ascii="Calibri" w:eastAsia="Calibri" w:hAnsi="Calibri" w:cs="Calibri"/>
        </w:rPr>
        <w:lastRenderedPageBreak/>
        <w:t>left main disease (1.5%), creatinine/dialysis (1.6%), and number of diseased vessels (1.4%). [1] The method of imputing missing data was identical to that employed in the isolated CABG models and described in Part 1 of this series. [2] Briefly, binary risk factors were modeled as yes versus no or missing (</w:t>
      </w:r>
      <w:proofErr w:type="spellStart"/>
      <w:r w:rsidRPr="002A6D3E">
        <w:rPr>
          <w:rFonts w:ascii="Calibri" w:eastAsia="Calibri" w:hAnsi="Calibri" w:cs="Calibri"/>
        </w:rPr>
        <w:t>ie</w:t>
      </w:r>
      <w:proofErr w:type="spellEnd"/>
      <w:r w:rsidRPr="002A6D3E">
        <w:rPr>
          <w:rFonts w:ascii="Calibri" w:eastAsia="Calibri" w:hAnsi="Calibri" w:cs="Calibri"/>
        </w:rPr>
        <w:t xml:space="preserve">, missing values were analyzed as if the endpoint did not occur). Missing data on categorical variables were imputed to the lowest risk value, typically the mode, and outcomes were typically similar for missing data and lowest risk patients. Missing data on continuous variables were imputed by grouping patients into strata and assigning the stratum-specific median value. For example, ejection fraction was imputed by grouping on sex and congestive heart failure and calculating the median ejection fraction among patients with </w:t>
      </w:r>
      <w:proofErr w:type="spellStart"/>
      <w:r w:rsidRPr="002A6D3E">
        <w:rPr>
          <w:rFonts w:ascii="Calibri" w:eastAsia="Calibri" w:hAnsi="Calibri" w:cs="Calibri"/>
        </w:rPr>
        <w:t>nonmissing</w:t>
      </w:r>
      <w:proofErr w:type="spellEnd"/>
      <w:r w:rsidRPr="002A6D3E">
        <w:rPr>
          <w:rFonts w:ascii="Calibri" w:eastAsia="Calibri" w:hAnsi="Calibri" w:cs="Calibri"/>
        </w:rPr>
        <w:t xml:space="preserve"> ejection fraction in each group.</w:t>
      </w:r>
    </w:p>
    <w:p w14:paraId="569DE7BF" w14:textId="77777777" w:rsidR="00891344" w:rsidRDefault="00891344" w:rsidP="00891344">
      <w:pPr>
        <w:spacing w:after="0" w:line="240" w:lineRule="auto"/>
        <w:rPr>
          <w:rFonts w:ascii="Calibri" w:eastAsia="Calibri" w:hAnsi="Calibri" w:cs="Calibri"/>
        </w:rPr>
      </w:pPr>
    </w:p>
    <w:p w14:paraId="02D0801A" w14:textId="77777777" w:rsidR="00891344" w:rsidRPr="00C31AC5" w:rsidRDefault="00891344" w:rsidP="00891344">
      <w:pPr>
        <w:spacing w:after="0" w:line="240" w:lineRule="auto"/>
        <w:rPr>
          <w:rFonts w:ascii="Calibri" w:eastAsia="Calibri" w:hAnsi="Calibri" w:cs="Calibri"/>
        </w:rPr>
      </w:pPr>
      <w:r w:rsidRPr="002A6D3E">
        <w:rPr>
          <w:rFonts w:ascii="Calibri" w:eastAsia="Calibri" w:hAnsi="Calibri" w:cs="Calibri"/>
        </w:rPr>
        <w:t>Although multiple imputation is generally preferable to single imputation [3], single imputation was chosen for this analysis mainly because of practical considerations. Furthermore, because of the small fraction of missing data, the impact of single versus multiple imputation was considered to be inconsequential. Subsequent sensitivity analyses confirmed that the choice between single versus multiple imputation had little impact on the final regression coefficients, risk estimates, and confidence intervals.</w:t>
      </w:r>
    </w:p>
    <w:p w14:paraId="13CF26A3" w14:textId="77777777" w:rsidR="00891344" w:rsidRDefault="00891344" w:rsidP="00891344">
      <w:pPr>
        <w:pStyle w:val="ListParagraph"/>
        <w:autoSpaceDE w:val="0"/>
        <w:autoSpaceDN w:val="0"/>
        <w:adjustRightInd w:val="0"/>
        <w:spacing w:after="0" w:line="240" w:lineRule="auto"/>
        <w:ind w:left="0"/>
        <w:rPr>
          <w:rFonts w:cstheme="minorHAnsi"/>
          <w:bCs/>
        </w:rPr>
      </w:pPr>
    </w:p>
    <w:p w14:paraId="0D09EFBF" w14:textId="77777777" w:rsidR="00891344" w:rsidRPr="002A6D3E" w:rsidRDefault="00891344" w:rsidP="00891344">
      <w:pPr>
        <w:pStyle w:val="ListParagraph"/>
        <w:autoSpaceDE w:val="0"/>
        <w:autoSpaceDN w:val="0"/>
        <w:adjustRightInd w:val="0"/>
        <w:spacing w:after="0" w:line="240" w:lineRule="auto"/>
        <w:ind w:left="0"/>
        <w:rPr>
          <w:rFonts w:eastAsia="Times New Roman"/>
        </w:rPr>
      </w:pPr>
      <w:r w:rsidRPr="002A6D3E">
        <w:rPr>
          <w:rFonts w:ascii="Calibri" w:eastAsia="Calibri" w:hAnsi="Calibri" w:cs="Calibri"/>
        </w:rPr>
        <w:t xml:space="preserve">1. </w:t>
      </w:r>
      <w:r w:rsidRPr="002A6D3E">
        <w:rPr>
          <w:rFonts w:eastAsia="Times New Roman"/>
        </w:rPr>
        <w:t xml:space="preserve">O’Brien SM, Shahian DM, Filardo G, et al. The Society of Thoracic Surgeons 2008 cardiac surgery risk models: part 2—isolated valve surgery. Ann </w:t>
      </w:r>
      <w:proofErr w:type="spellStart"/>
      <w:r w:rsidRPr="002A6D3E">
        <w:rPr>
          <w:rFonts w:eastAsia="Times New Roman"/>
        </w:rPr>
        <w:t>Thorac</w:t>
      </w:r>
      <w:proofErr w:type="spellEnd"/>
      <w:r w:rsidRPr="002A6D3E">
        <w:rPr>
          <w:rFonts w:eastAsia="Times New Roman"/>
        </w:rPr>
        <w:t xml:space="preserve"> </w:t>
      </w:r>
      <w:proofErr w:type="spellStart"/>
      <w:r w:rsidRPr="002A6D3E">
        <w:rPr>
          <w:rFonts w:eastAsia="Times New Roman"/>
        </w:rPr>
        <w:t>Surg</w:t>
      </w:r>
      <w:proofErr w:type="spellEnd"/>
      <w:r w:rsidRPr="002A6D3E">
        <w:rPr>
          <w:rFonts w:eastAsia="Times New Roman"/>
        </w:rPr>
        <w:t xml:space="preserve"> 2009</w:t>
      </w:r>
      <w:proofErr w:type="gramStart"/>
      <w:r w:rsidRPr="002A6D3E">
        <w:rPr>
          <w:rFonts w:eastAsia="Times New Roman"/>
        </w:rPr>
        <w:t>;88</w:t>
      </w:r>
      <w:proofErr w:type="gramEnd"/>
      <w:r w:rsidRPr="002A6D3E">
        <w:rPr>
          <w:rFonts w:eastAsia="Times New Roman"/>
        </w:rPr>
        <w:t xml:space="preserve">(1 </w:t>
      </w:r>
      <w:proofErr w:type="spellStart"/>
      <w:r w:rsidRPr="002A6D3E">
        <w:rPr>
          <w:rFonts w:eastAsia="Times New Roman"/>
        </w:rPr>
        <w:t>Suppl</w:t>
      </w:r>
      <w:proofErr w:type="spellEnd"/>
      <w:r w:rsidRPr="002A6D3E">
        <w:rPr>
          <w:rFonts w:eastAsia="Times New Roman"/>
        </w:rPr>
        <w:t>):S23–42.</w:t>
      </w:r>
    </w:p>
    <w:p w14:paraId="513F232A" w14:textId="77777777" w:rsidR="00891344" w:rsidRPr="002A6D3E" w:rsidRDefault="00891344" w:rsidP="00891344">
      <w:pPr>
        <w:pStyle w:val="ListParagraph"/>
        <w:autoSpaceDE w:val="0"/>
        <w:autoSpaceDN w:val="0"/>
        <w:adjustRightInd w:val="0"/>
        <w:spacing w:after="0" w:line="240" w:lineRule="auto"/>
        <w:ind w:left="0"/>
        <w:rPr>
          <w:rFonts w:ascii="Calibri" w:eastAsia="Times New Roman" w:hAnsi="Calibri" w:cs="Calibri"/>
        </w:rPr>
      </w:pPr>
    </w:p>
    <w:p w14:paraId="7E34E59C" w14:textId="77777777" w:rsidR="00891344" w:rsidRPr="002A6D3E" w:rsidRDefault="00891344" w:rsidP="00891344">
      <w:pPr>
        <w:pStyle w:val="ListParagraph"/>
        <w:autoSpaceDE w:val="0"/>
        <w:autoSpaceDN w:val="0"/>
        <w:adjustRightInd w:val="0"/>
        <w:spacing w:after="0" w:line="240" w:lineRule="auto"/>
        <w:ind w:left="0"/>
        <w:rPr>
          <w:rFonts w:ascii="Calibri" w:eastAsia="Times New Roman" w:hAnsi="Calibri" w:cs="Calibri"/>
        </w:rPr>
      </w:pPr>
      <w:r w:rsidRPr="002A6D3E">
        <w:rPr>
          <w:rFonts w:ascii="Calibri" w:eastAsia="Calibri" w:hAnsi="Calibri" w:cs="Calibri"/>
        </w:rPr>
        <w:t>2</w:t>
      </w:r>
      <w:r w:rsidRPr="002A6D3E">
        <w:rPr>
          <w:rFonts w:ascii="Calibri" w:eastAsia="Times New Roman" w:hAnsi="Calibri" w:cs="Calibri"/>
        </w:rPr>
        <w:t xml:space="preserve">. Shahian DM, O'Brien SM, Filardo G, Ferraris VA, et al.  The Society of Thoracic Surgeons 2008 cardiac surgery risk models: part 1--coronary artery bypass grafting surgery. Ann </w:t>
      </w:r>
      <w:proofErr w:type="spellStart"/>
      <w:r w:rsidRPr="002A6D3E">
        <w:rPr>
          <w:rFonts w:ascii="Calibri" w:eastAsia="Times New Roman" w:hAnsi="Calibri" w:cs="Calibri"/>
        </w:rPr>
        <w:t>Thorac</w:t>
      </w:r>
      <w:proofErr w:type="spellEnd"/>
      <w:r w:rsidRPr="002A6D3E">
        <w:rPr>
          <w:rFonts w:ascii="Calibri" w:eastAsia="Times New Roman" w:hAnsi="Calibri" w:cs="Calibri"/>
        </w:rPr>
        <w:t xml:space="preserve"> Surg. 2009 Jul</w:t>
      </w:r>
      <w:proofErr w:type="gramStart"/>
      <w:r w:rsidRPr="002A6D3E">
        <w:rPr>
          <w:rFonts w:ascii="Calibri" w:eastAsia="Times New Roman" w:hAnsi="Calibri" w:cs="Calibri"/>
        </w:rPr>
        <w:t>;88</w:t>
      </w:r>
      <w:proofErr w:type="gramEnd"/>
      <w:r w:rsidRPr="002A6D3E">
        <w:rPr>
          <w:rFonts w:ascii="Calibri" w:eastAsia="Times New Roman" w:hAnsi="Calibri" w:cs="Calibri"/>
        </w:rPr>
        <w:t xml:space="preserve">(1 </w:t>
      </w:r>
      <w:proofErr w:type="spellStart"/>
      <w:r w:rsidRPr="002A6D3E">
        <w:rPr>
          <w:rFonts w:ascii="Calibri" w:eastAsia="Times New Roman" w:hAnsi="Calibri" w:cs="Calibri"/>
        </w:rPr>
        <w:t>Suppl</w:t>
      </w:r>
      <w:proofErr w:type="spellEnd"/>
      <w:r w:rsidRPr="002A6D3E">
        <w:rPr>
          <w:rFonts w:ascii="Calibri" w:eastAsia="Times New Roman" w:hAnsi="Calibri" w:cs="Calibri"/>
        </w:rPr>
        <w:t>):S2-22.</w:t>
      </w:r>
    </w:p>
    <w:p w14:paraId="4E598C54" w14:textId="77777777" w:rsidR="00891344" w:rsidRPr="002A6D3E" w:rsidRDefault="00891344" w:rsidP="00891344">
      <w:pPr>
        <w:pStyle w:val="ListParagraph"/>
        <w:autoSpaceDE w:val="0"/>
        <w:autoSpaceDN w:val="0"/>
        <w:adjustRightInd w:val="0"/>
        <w:spacing w:after="0" w:line="240" w:lineRule="auto"/>
        <w:ind w:left="0"/>
        <w:rPr>
          <w:rFonts w:cstheme="minorHAnsi"/>
          <w:bCs/>
        </w:rPr>
      </w:pPr>
    </w:p>
    <w:p w14:paraId="5C6959B1" w14:textId="77777777" w:rsidR="00891344" w:rsidRDefault="00891344" w:rsidP="00891344">
      <w:pPr>
        <w:autoSpaceDE w:val="0"/>
        <w:autoSpaceDN w:val="0"/>
        <w:adjustRightInd w:val="0"/>
        <w:spacing w:after="0" w:line="240" w:lineRule="auto"/>
        <w:rPr>
          <w:rFonts w:cstheme="minorHAnsi"/>
          <w:bCs/>
        </w:rPr>
      </w:pPr>
      <w:r w:rsidRPr="002A6D3E">
        <w:rPr>
          <w:rFonts w:cstheme="minorHAnsi"/>
          <w:bCs/>
        </w:rPr>
        <w:t>3. Little RJA, Rubin DB. Statistical analysis with missing data. 2nd ed. Hoboken, NJ: Wiley-</w:t>
      </w:r>
      <w:proofErr w:type="spellStart"/>
      <w:r w:rsidRPr="002A6D3E">
        <w:rPr>
          <w:rFonts w:cstheme="minorHAnsi"/>
          <w:bCs/>
        </w:rPr>
        <w:t>Interscience</w:t>
      </w:r>
      <w:proofErr w:type="spellEnd"/>
      <w:r w:rsidRPr="002A6D3E">
        <w:rPr>
          <w:rFonts w:cstheme="minorHAnsi"/>
          <w:bCs/>
        </w:rPr>
        <w:t>, 2002.</w:t>
      </w:r>
    </w:p>
    <w:p w14:paraId="374C83D0" w14:textId="77777777" w:rsidR="00891344" w:rsidRPr="00296488" w:rsidRDefault="00891344" w:rsidP="00F41854">
      <w:pPr>
        <w:spacing w:after="0" w:line="240" w:lineRule="auto"/>
        <w:rPr>
          <w:rFonts w:ascii="Calibri" w:eastAsia="Calibri" w:hAnsi="Calibri" w:cs="Calibri"/>
        </w:rPr>
      </w:pPr>
    </w:p>
    <w:p w14:paraId="0FB67DF9" w14:textId="46FA5C6B"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7271EC39" w14:textId="446FBB98" w:rsidR="00F41854" w:rsidRPr="002339F4" w:rsidRDefault="00F41854" w:rsidP="00F41854">
      <w:pPr>
        <w:autoSpaceDE w:val="0"/>
        <w:autoSpaceDN w:val="0"/>
        <w:adjustRightInd w:val="0"/>
        <w:spacing w:after="0" w:line="240" w:lineRule="auto"/>
        <w:rPr>
          <w:rFonts w:cstheme="minorHAnsi"/>
          <w:bCs/>
        </w:rPr>
      </w:pPr>
      <w:r w:rsidRPr="002339F4">
        <w:rPr>
          <w:rFonts w:cstheme="minorHAnsi"/>
          <w:bCs/>
        </w:rPr>
        <w:t>The frequency of missing</w:t>
      </w:r>
      <w:r w:rsidR="00530298">
        <w:rPr>
          <w:rFonts w:cstheme="minorHAnsi"/>
          <w:bCs/>
        </w:rPr>
        <w:t xml:space="preserve"> data</w:t>
      </w:r>
      <w:r w:rsidRPr="002339F4">
        <w:rPr>
          <w:rFonts w:cstheme="minorHAnsi"/>
          <w:bCs/>
        </w:rPr>
        <w:t xml:space="preserve"> is very low at 0.04%. The 20 operations with missing data were distributed across 12 participants.</w:t>
      </w:r>
    </w:p>
    <w:p w14:paraId="0FB67DFA" w14:textId="77777777" w:rsidR="008F7E67" w:rsidRPr="00E1508F" w:rsidRDefault="008F7E67" w:rsidP="008F7E67">
      <w:pPr>
        <w:autoSpaceDE w:val="0"/>
        <w:autoSpaceDN w:val="0"/>
        <w:adjustRightInd w:val="0"/>
        <w:spacing w:after="0" w:line="240" w:lineRule="auto"/>
        <w:rPr>
          <w:rFonts w:cstheme="minorHAnsi"/>
          <w:bCs/>
        </w:rPr>
      </w:pPr>
    </w:p>
    <w:p w14:paraId="0FB67DFB" w14:textId="0DB85E86" w:rsidR="008B604D"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F0AABF2" w14:textId="77777777" w:rsidR="00F41854" w:rsidRDefault="00F41854">
      <w:pPr>
        <w:autoSpaceDE w:val="0"/>
        <w:autoSpaceDN w:val="0"/>
        <w:adjustRightInd w:val="0"/>
        <w:spacing w:after="0" w:line="240" w:lineRule="auto"/>
        <w:rPr>
          <w:rFonts w:cstheme="minorHAnsi"/>
          <w:bCs/>
        </w:rPr>
      </w:pPr>
    </w:p>
    <w:p w14:paraId="02EA7DF4" w14:textId="77777777" w:rsidR="008379B2" w:rsidRDefault="008379B2" w:rsidP="008379B2">
      <w:pPr>
        <w:autoSpaceDE w:val="0"/>
        <w:autoSpaceDN w:val="0"/>
        <w:adjustRightInd w:val="0"/>
        <w:spacing w:after="0" w:line="240" w:lineRule="auto"/>
        <w:rPr>
          <w:rFonts w:cstheme="minorHAnsi"/>
          <w:bCs/>
        </w:rPr>
      </w:pPr>
      <w:r>
        <w:rPr>
          <w:rFonts w:cstheme="minorHAnsi"/>
          <w:bCs/>
        </w:rPr>
        <w:t xml:space="preserve">See sections </w:t>
      </w:r>
      <w:r>
        <w:rPr>
          <w:rFonts w:cstheme="minorHAnsi"/>
          <w:b/>
          <w:bCs/>
        </w:rPr>
        <w:t xml:space="preserve">2b6.1 </w:t>
      </w:r>
      <w:r w:rsidRPr="001B2B61">
        <w:rPr>
          <w:rFonts w:cstheme="minorHAnsi"/>
          <w:bCs/>
        </w:rPr>
        <w:t>and</w:t>
      </w:r>
      <w:r>
        <w:rPr>
          <w:rFonts w:cstheme="minorHAnsi"/>
          <w:b/>
          <w:bCs/>
        </w:rPr>
        <w:t xml:space="preserve"> 2b6.2 </w:t>
      </w:r>
      <w:r>
        <w:rPr>
          <w:rFonts w:cstheme="minorHAnsi"/>
          <w:bCs/>
        </w:rPr>
        <w:t>above.</w:t>
      </w:r>
    </w:p>
    <w:p w14:paraId="0FB67DFC" w14:textId="77777777" w:rsidR="00BA053B" w:rsidRDefault="00BA053B">
      <w:pPr>
        <w:autoSpaceDE w:val="0"/>
        <w:autoSpaceDN w:val="0"/>
        <w:adjustRightInd w:val="0"/>
        <w:spacing w:after="0" w:line="240" w:lineRule="auto"/>
        <w:rPr>
          <w:rFonts w:cstheme="minorHAnsi"/>
          <w:bCs/>
        </w:rPr>
      </w:pP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FC5DE1" w:rsidRDefault="0063652A" w:rsidP="0063652A">
      <w:pPr>
        <w:autoSpaceDE w:val="0"/>
        <w:autoSpaceDN w:val="0"/>
        <w:adjustRightInd w:val="0"/>
        <w:spacing w:after="0" w:line="240" w:lineRule="auto"/>
        <w:rPr>
          <w:rFonts w:cstheme="minorHAnsi"/>
          <w:b/>
          <w:bCs/>
        </w:rPr>
      </w:pPr>
    </w:p>
    <w:p w14:paraId="0FB67E00"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lastRenderedPageBreak/>
        <w:t>2d1.  Empirical analysis demonstrating that the component measures fit the quality construct, add value to the overall composite, and achieve the object of parsimony to the extent possible.</w:t>
      </w:r>
    </w:p>
    <w:p w14:paraId="7E781021" w14:textId="77777777" w:rsidR="00AE1AE1" w:rsidRPr="00FC5DE1" w:rsidRDefault="00AE1AE1" w:rsidP="0063652A">
      <w:pPr>
        <w:autoSpaceDE w:val="0"/>
        <w:autoSpaceDN w:val="0"/>
        <w:adjustRightInd w:val="0"/>
        <w:spacing w:after="0" w:line="240" w:lineRule="auto"/>
        <w:rPr>
          <w:rFonts w:cstheme="minorHAnsi"/>
          <w:b/>
          <w:bCs/>
        </w:rPr>
      </w:pPr>
    </w:p>
    <w:p w14:paraId="49F829B2" w14:textId="77777777" w:rsidR="00F41854" w:rsidRDefault="0063652A" w:rsidP="0063652A">
      <w:pPr>
        <w:autoSpaceDE w:val="0"/>
        <w:autoSpaceDN w:val="0"/>
        <w:adjustRightInd w:val="0"/>
        <w:spacing w:after="0" w:line="240" w:lineRule="auto"/>
        <w:rPr>
          <w:rFonts w:cstheme="minorHAnsi"/>
          <w:bCs/>
          <w:i/>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p>
    <w:p w14:paraId="4BFBAE70" w14:textId="77777777" w:rsidR="00AD4907" w:rsidRDefault="00AD4907" w:rsidP="00AD4907">
      <w:pPr>
        <w:autoSpaceDE w:val="0"/>
        <w:autoSpaceDN w:val="0"/>
        <w:adjustRightInd w:val="0"/>
        <w:spacing w:after="0" w:line="240" w:lineRule="auto"/>
        <w:rPr>
          <w:rFonts w:cstheme="minorHAnsi"/>
          <w:bCs/>
        </w:rPr>
      </w:pPr>
    </w:p>
    <w:p w14:paraId="537B9153" w14:textId="77777777" w:rsidR="00AD4907" w:rsidRDefault="00AD4907" w:rsidP="00AD4907">
      <w:pPr>
        <w:autoSpaceDE w:val="0"/>
        <w:autoSpaceDN w:val="0"/>
        <w:adjustRightInd w:val="0"/>
        <w:spacing w:after="0" w:line="240" w:lineRule="auto"/>
        <w:rPr>
          <w:rFonts w:cstheme="minorHAnsi"/>
          <w:bCs/>
        </w:rPr>
      </w:pPr>
      <w:r w:rsidRPr="00370225">
        <w:rPr>
          <w:rFonts w:cstheme="minorHAnsi"/>
          <w:bCs/>
        </w:rPr>
        <w:t xml:space="preserve">The STS composite measure combines two </w:t>
      </w:r>
      <w:r>
        <w:rPr>
          <w:rFonts w:cstheme="minorHAnsi"/>
          <w:bCs/>
        </w:rPr>
        <w:t>separate domain-specific scores:</w:t>
      </w:r>
    </w:p>
    <w:p w14:paraId="4682F14C" w14:textId="77777777" w:rsidR="00AD4907" w:rsidRDefault="00AD4907" w:rsidP="00AD490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2155"/>
        <w:gridCol w:w="4078"/>
        <w:gridCol w:w="3117"/>
      </w:tblGrid>
      <w:tr w:rsidR="00AD4907" w14:paraId="19A03606" w14:textId="77777777" w:rsidTr="00724C38">
        <w:tc>
          <w:tcPr>
            <w:tcW w:w="2155" w:type="dxa"/>
            <w:shd w:val="clear" w:color="auto" w:fill="D9D9D9" w:themeFill="background1" w:themeFillShade="D9"/>
          </w:tcPr>
          <w:p w14:paraId="286FC9C7" w14:textId="77777777" w:rsidR="00AD4907" w:rsidRDefault="00AD4907" w:rsidP="00724C38">
            <w:pPr>
              <w:autoSpaceDE w:val="0"/>
              <w:autoSpaceDN w:val="0"/>
              <w:adjustRightInd w:val="0"/>
              <w:rPr>
                <w:rFonts w:cstheme="minorHAnsi"/>
                <w:bCs/>
              </w:rPr>
            </w:pPr>
            <w:r w:rsidRPr="002E3747">
              <w:rPr>
                <w:rFonts w:ascii="Calibri" w:hAnsi="Calibri" w:cs="Calibri"/>
              </w:rPr>
              <w:t>Domain</w:t>
            </w:r>
          </w:p>
        </w:tc>
        <w:tc>
          <w:tcPr>
            <w:tcW w:w="4078" w:type="dxa"/>
            <w:shd w:val="clear" w:color="auto" w:fill="D9D9D9" w:themeFill="background1" w:themeFillShade="D9"/>
          </w:tcPr>
          <w:p w14:paraId="639C909C" w14:textId="77777777" w:rsidR="00AD4907" w:rsidRDefault="00AD4907" w:rsidP="00724C38">
            <w:pPr>
              <w:autoSpaceDE w:val="0"/>
              <w:autoSpaceDN w:val="0"/>
              <w:adjustRightInd w:val="0"/>
              <w:rPr>
                <w:rFonts w:cstheme="minorHAnsi"/>
                <w:bCs/>
              </w:rPr>
            </w:pPr>
            <w:r>
              <w:rPr>
                <w:rFonts w:ascii="Calibri" w:hAnsi="Calibri" w:cs="Calibri"/>
              </w:rPr>
              <w:t>Numerator</w:t>
            </w:r>
          </w:p>
        </w:tc>
        <w:tc>
          <w:tcPr>
            <w:tcW w:w="3117" w:type="dxa"/>
            <w:shd w:val="clear" w:color="auto" w:fill="D9D9D9" w:themeFill="background1" w:themeFillShade="D9"/>
          </w:tcPr>
          <w:p w14:paraId="0864AF28" w14:textId="77777777" w:rsidR="00AD4907" w:rsidRDefault="00AD4907" w:rsidP="00724C38">
            <w:pPr>
              <w:autoSpaceDE w:val="0"/>
              <w:autoSpaceDN w:val="0"/>
              <w:adjustRightInd w:val="0"/>
              <w:rPr>
                <w:rFonts w:cstheme="minorHAnsi"/>
                <w:bCs/>
              </w:rPr>
            </w:pPr>
            <w:r>
              <w:rPr>
                <w:rFonts w:ascii="Calibri" w:hAnsi="Calibri" w:cs="Calibri"/>
              </w:rPr>
              <w:t>Denominator</w:t>
            </w:r>
          </w:p>
        </w:tc>
      </w:tr>
      <w:tr w:rsidR="00AD4907" w14:paraId="22E10AA5" w14:textId="77777777" w:rsidTr="00724C38">
        <w:tc>
          <w:tcPr>
            <w:tcW w:w="2155" w:type="dxa"/>
          </w:tcPr>
          <w:p w14:paraId="32454944" w14:textId="77777777" w:rsidR="00AD4907" w:rsidRDefault="00AD4907" w:rsidP="00724C38">
            <w:pPr>
              <w:autoSpaceDE w:val="0"/>
              <w:autoSpaceDN w:val="0"/>
              <w:adjustRightInd w:val="0"/>
              <w:rPr>
                <w:rFonts w:cstheme="minorHAnsi"/>
                <w:bCs/>
              </w:rPr>
            </w:pPr>
            <w:r w:rsidRPr="002E3747">
              <w:rPr>
                <w:rFonts w:ascii="Calibri" w:hAnsi="Calibri" w:cs="Calibri"/>
              </w:rPr>
              <w:t>Absence of</w:t>
            </w:r>
            <w:r>
              <w:rPr>
                <w:rFonts w:ascii="Calibri" w:hAnsi="Calibri" w:cs="Calibri"/>
              </w:rPr>
              <w:t xml:space="preserve"> </w:t>
            </w:r>
            <w:r w:rsidRPr="002E3747">
              <w:rPr>
                <w:rFonts w:ascii="Calibri" w:hAnsi="Calibri" w:cs="Calibri"/>
              </w:rPr>
              <w:t>Operative Mortality</w:t>
            </w:r>
          </w:p>
        </w:tc>
        <w:tc>
          <w:tcPr>
            <w:tcW w:w="4078" w:type="dxa"/>
          </w:tcPr>
          <w:p w14:paraId="27187B50" w14:textId="38662275" w:rsidR="00AD4907" w:rsidRDefault="00AD4907" w:rsidP="00EE2507">
            <w:pPr>
              <w:autoSpaceDE w:val="0"/>
              <w:autoSpaceDN w:val="0"/>
              <w:adjustRightInd w:val="0"/>
              <w:rPr>
                <w:rFonts w:cstheme="minorHAnsi"/>
                <w:bCs/>
              </w:rPr>
            </w:pPr>
            <w:r>
              <w:rPr>
                <w:rFonts w:ascii="Calibri" w:hAnsi="Calibri" w:cs="Calibri"/>
              </w:rPr>
              <w:t xml:space="preserve">Number of patients undergoing </w:t>
            </w:r>
            <w:r w:rsidRPr="00EE2507">
              <w:rPr>
                <w:rFonts w:ascii="Calibri" w:hAnsi="Calibri" w:cs="Calibri"/>
              </w:rPr>
              <w:t>AVR</w:t>
            </w:r>
            <w:r w:rsidR="00EE2507" w:rsidRPr="00EE2507">
              <w:rPr>
                <w:rFonts w:ascii="Calibri" w:hAnsi="Calibri" w:cs="Calibri"/>
              </w:rPr>
              <w:t>+</w:t>
            </w:r>
            <w:r w:rsidR="00EE2507">
              <w:rPr>
                <w:rFonts w:ascii="Calibri" w:hAnsi="Calibri" w:cs="Calibri"/>
              </w:rPr>
              <w:t>CABG</w:t>
            </w:r>
            <w:r>
              <w:rPr>
                <w:rFonts w:ascii="Calibri" w:hAnsi="Calibri" w:cs="Calibri"/>
              </w:rPr>
              <w:t xml:space="preserve"> who survived until after discharge and &gt;30 days post‐surgery</w:t>
            </w:r>
          </w:p>
        </w:tc>
        <w:tc>
          <w:tcPr>
            <w:tcW w:w="3117" w:type="dxa"/>
          </w:tcPr>
          <w:p w14:paraId="713F7C15" w14:textId="77777777" w:rsidR="00AD4907" w:rsidRDefault="00AD4907" w:rsidP="00724C38">
            <w:pPr>
              <w:autoSpaceDE w:val="0"/>
              <w:autoSpaceDN w:val="0"/>
              <w:adjustRightInd w:val="0"/>
              <w:rPr>
                <w:rFonts w:ascii="Calibri" w:hAnsi="Calibri" w:cs="Calibri"/>
              </w:rPr>
            </w:pPr>
            <w:r>
              <w:rPr>
                <w:rFonts w:ascii="Calibri" w:hAnsi="Calibri" w:cs="Calibri"/>
              </w:rPr>
              <w:t>Number of patients undergoing</w:t>
            </w:r>
          </w:p>
          <w:p w14:paraId="2B883188" w14:textId="4087FB40" w:rsidR="00AD4907" w:rsidRDefault="00EE2507" w:rsidP="00724C38">
            <w:pPr>
              <w:autoSpaceDE w:val="0"/>
              <w:autoSpaceDN w:val="0"/>
              <w:adjustRightInd w:val="0"/>
              <w:rPr>
                <w:rFonts w:cstheme="minorHAnsi"/>
                <w:bCs/>
              </w:rPr>
            </w:pPr>
            <w:r w:rsidRPr="00EE2507">
              <w:rPr>
                <w:rFonts w:ascii="Calibri" w:hAnsi="Calibri" w:cs="Calibri"/>
              </w:rPr>
              <w:t>AVR+</w:t>
            </w:r>
            <w:r>
              <w:rPr>
                <w:rFonts w:ascii="Calibri" w:hAnsi="Calibri" w:cs="Calibri"/>
              </w:rPr>
              <w:t xml:space="preserve">CABG </w:t>
            </w:r>
            <w:r w:rsidR="00AD4907">
              <w:rPr>
                <w:rFonts w:ascii="Calibri" w:hAnsi="Calibri" w:cs="Calibri"/>
              </w:rPr>
              <w:t>during the measurement period</w:t>
            </w:r>
          </w:p>
        </w:tc>
      </w:tr>
      <w:tr w:rsidR="00AD4907" w14:paraId="4A5625C7" w14:textId="77777777" w:rsidTr="00724C38">
        <w:tc>
          <w:tcPr>
            <w:tcW w:w="2155" w:type="dxa"/>
          </w:tcPr>
          <w:p w14:paraId="2E62266C" w14:textId="77777777" w:rsidR="00AD4907" w:rsidRDefault="00AD4907" w:rsidP="00724C38">
            <w:pPr>
              <w:autoSpaceDE w:val="0"/>
              <w:autoSpaceDN w:val="0"/>
              <w:adjustRightInd w:val="0"/>
              <w:rPr>
                <w:rFonts w:ascii="Calibri" w:hAnsi="Calibri" w:cs="Calibri"/>
              </w:rPr>
            </w:pPr>
            <w:r>
              <w:rPr>
                <w:rFonts w:ascii="Calibri" w:hAnsi="Calibri" w:cs="Calibri"/>
              </w:rPr>
              <w:t>Absence of Major</w:t>
            </w:r>
          </w:p>
          <w:p w14:paraId="0668C5D8" w14:textId="77777777" w:rsidR="00AD4907" w:rsidRDefault="00AD4907" w:rsidP="00724C38">
            <w:pPr>
              <w:autoSpaceDE w:val="0"/>
              <w:autoSpaceDN w:val="0"/>
              <w:adjustRightInd w:val="0"/>
              <w:rPr>
                <w:rFonts w:cstheme="minorHAnsi"/>
                <w:bCs/>
              </w:rPr>
            </w:pPr>
            <w:r>
              <w:rPr>
                <w:rFonts w:ascii="Calibri" w:hAnsi="Calibri" w:cs="Calibri"/>
              </w:rPr>
              <w:t>Morbidity</w:t>
            </w:r>
          </w:p>
        </w:tc>
        <w:tc>
          <w:tcPr>
            <w:tcW w:w="4078" w:type="dxa"/>
          </w:tcPr>
          <w:p w14:paraId="07D84EF1" w14:textId="6D87B577" w:rsidR="00AD4907" w:rsidRDefault="00AD4907" w:rsidP="00724C38">
            <w:pPr>
              <w:autoSpaceDE w:val="0"/>
              <w:autoSpaceDN w:val="0"/>
              <w:adjustRightInd w:val="0"/>
              <w:rPr>
                <w:rFonts w:ascii="Calibri" w:hAnsi="Calibri" w:cs="Calibri"/>
              </w:rPr>
            </w:pPr>
            <w:r>
              <w:rPr>
                <w:rFonts w:ascii="Calibri" w:hAnsi="Calibri" w:cs="Calibri"/>
              </w:rPr>
              <w:t xml:space="preserve">Number of patients undergoing </w:t>
            </w:r>
            <w:r w:rsidR="00EE2507" w:rsidRPr="00EE2507">
              <w:rPr>
                <w:rFonts w:ascii="Calibri" w:hAnsi="Calibri" w:cs="Calibri"/>
              </w:rPr>
              <w:t>AVR+</w:t>
            </w:r>
            <w:r w:rsidR="00EE2507">
              <w:rPr>
                <w:rFonts w:ascii="Calibri" w:hAnsi="Calibri" w:cs="Calibri"/>
              </w:rPr>
              <w:t>CABG</w:t>
            </w:r>
            <w:r>
              <w:rPr>
                <w:rFonts w:ascii="Calibri" w:hAnsi="Calibri" w:cs="Calibri"/>
              </w:rPr>
              <w:t xml:space="preserve"> who did not experience any of the</w:t>
            </w:r>
          </w:p>
          <w:p w14:paraId="1059386A" w14:textId="77777777" w:rsidR="00AD4907" w:rsidRDefault="00AD4907" w:rsidP="00724C38">
            <w:pPr>
              <w:autoSpaceDE w:val="0"/>
              <w:autoSpaceDN w:val="0"/>
              <w:adjustRightInd w:val="0"/>
              <w:rPr>
                <w:rFonts w:cstheme="minorHAnsi"/>
                <w:bCs/>
              </w:rPr>
            </w:pPr>
            <w:r>
              <w:rPr>
                <w:rFonts w:ascii="Calibri" w:hAnsi="Calibri" w:cs="Calibri"/>
              </w:rPr>
              <w:t>five specified major morbidity endpoints.</w:t>
            </w:r>
            <w:r w:rsidRPr="00F57693">
              <w:rPr>
                <w:rFonts w:ascii="Calibri" w:hAnsi="Calibri" w:cs="Calibri"/>
                <w:vertAlign w:val="superscript"/>
              </w:rPr>
              <w:t>1</w:t>
            </w:r>
          </w:p>
        </w:tc>
        <w:tc>
          <w:tcPr>
            <w:tcW w:w="3117" w:type="dxa"/>
          </w:tcPr>
          <w:p w14:paraId="49D5EB36" w14:textId="77777777" w:rsidR="00AD4907" w:rsidRDefault="00AD4907" w:rsidP="00724C38">
            <w:pPr>
              <w:autoSpaceDE w:val="0"/>
              <w:autoSpaceDN w:val="0"/>
              <w:adjustRightInd w:val="0"/>
              <w:rPr>
                <w:rFonts w:ascii="Calibri" w:hAnsi="Calibri" w:cs="Calibri"/>
              </w:rPr>
            </w:pPr>
            <w:r>
              <w:rPr>
                <w:rFonts w:ascii="Calibri" w:hAnsi="Calibri" w:cs="Calibri"/>
              </w:rPr>
              <w:t>Number of patients undergoing</w:t>
            </w:r>
          </w:p>
          <w:p w14:paraId="2EAD5301" w14:textId="1C88F317" w:rsidR="00AD4907" w:rsidRPr="00F57693" w:rsidRDefault="00EE2507" w:rsidP="00724C38">
            <w:pPr>
              <w:autoSpaceDE w:val="0"/>
              <w:autoSpaceDN w:val="0"/>
              <w:adjustRightInd w:val="0"/>
              <w:rPr>
                <w:rFonts w:ascii="Calibri" w:hAnsi="Calibri" w:cs="Calibri"/>
              </w:rPr>
            </w:pPr>
            <w:r w:rsidRPr="00EE2507">
              <w:rPr>
                <w:rFonts w:ascii="Calibri" w:hAnsi="Calibri" w:cs="Calibri"/>
              </w:rPr>
              <w:t>AVR+</w:t>
            </w:r>
            <w:r>
              <w:rPr>
                <w:rFonts w:ascii="Calibri" w:hAnsi="Calibri" w:cs="Calibri"/>
              </w:rPr>
              <w:t xml:space="preserve">CABG </w:t>
            </w:r>
            <w:r w:rsidR="00AD4907">
              <w:rPr>
                <w:rFonts w:ascii="Calibri" w:hAnsi="Calibri" w:cs="Calibri"/>
              </w:rPr>
              <w:t>during the measurement period</w:t>
            </w:r>
          </w:p>
        </w:tc>
      </w:tr>
    </w:tbl>
    <w:p w14:paraId="65F42A05" w14:textId="77777777" w:rsidR="00AD4907" w:rsidRDefault="00AD4907" w:rsidP="00AD4907">
      <w:pPr>
        <w:autoSpaceDE w:val="0"/>
        <w:autoSpaceDN w:val="0"/>
        <w:adjustRightInd w:val="0"/>
        <w:spacing w:after="0" w:line="240" w:lineRule="auto"/>
        <w:rPr>
          <w:rFonts w:ascii="Calibri" w:hAnsi="Calibri" w:cs="Calibri"/>
        </w:rPr>
      </w:pPr>
      <w:r w:rsidRPr="00F57693">
        <w:rPr>
          <w:rFonts w:ascii="Calibri" w:hAnsi="Calibri" w:cs="Calibri"/>
          <w:vertAlign w:val="superscript"/>
        </w:rPr>
        <w:t>1</w:t>
      </w:r>
      <w:r>
        <w:rPr>
          <w:rFonts w:ascii="Calibri" w:hAnsi="Calibri" w:cs="Calibri"/>
        </w:rPr>
        <w:t xml:space="preserve"> Morbidity endpoints consist of postoperative stroke/cerebrovascular accident, surgical re‐exploration,</w:t>
      </w:r>
    </w:p>
    <w:p w14:paraId="62FCDCC7" w14:textId="77777777" w:rsidR="00AD4907" w:rsidRDefault="00AD4907" w:rsidP="00AD4907">
      <w:pPr>
        <w:autoSpaceDE w:val="0"/>
        <w:autoSpaceDN w:val="0"/>
        <w:adjustRightInd w:val="0"/>
        <w:spacing w:after="0" w:line="240" w:lineRule="auto"/>
        <w:rPr>
          <w:rFonts w:ascii="Calibri" w:hAnsi="Calibri" w:cs="Calibri"/>
        </w:rPr>
      </w:pPr>
      <w:proofErr w:type="gramStart"/>
      <w:r>
        <w:rPr>
          <w:rFonts w:ascii="Calibri" w:hAnsi="Calibri" w:cs="Calibri"/>
        </w:rPr>
        <w:t>deep</w:t>
      </w:r>
      <w:proofErr w:type="gramEnd"/>
      <w:r>
        <w:rPr>
          <w:rFonts w:ascii="Calibri" w:hAnsi="Calibri" w:cs="Calibri"/>
        </w:rPr>
        <w:t xml:space="preserve"> sternal wound infection, renal failure, prolonged intubation (ventilation). Patients with</w:t>
      </w:r>
    </w:p>
    <w:p w14:paraId="19AEABC4" w14:textId="77777777" w:rsidR="00AD4907" w:rsidRDefault="00AD4907" w:rsidP="00AD4907">
      <w:pPr>
        <w:autoSpaceDE w:val="0"/>
        <w:autoSpaceDN w:val="0"/>
        <w:adjustRightInd w:val="0"/>
        <w:spacing w:after="0" w:line="240" w:lineRule="auto"/>
        <w:rPr>
          <w:rFonts w:ascii="Calibri" w:hAnsi="Calibri" w:cs="Calibri"/>
        </w:rPr>
      </w:pPr>
      <w:proofErr w:type="gramStart"/>
      <w:r>
        <w:rPr>
          <w:rFonts w:ascii="Calibri" w:hAnsi="Calibri" w:cs="Calibri"/>
        </w:rPr>
        <w:t>documented</w:t>
      </w:r>
      <w:proofErr w:type="gramEnd"/>
      <w:r>
        <w:rPr>
          <w:rFonts w:ascii="Calibri" w:hAnsi="Calibri" w:cs="Calibri"/>
        </w:rPr>
        <w:t xml:space="preserve"> history of renal failure (i.e., dialysis or baseline serum creatinine of 4.0 or higher) are</w:t>
      </w:r>
    </w:p>
    <w:p w14:paraId="5D004023" w14:textId="77777777" w:rsidR="00AD4907" w:rsidRDefault="00AD4907" w:rsidP="00AD4907">
      <w:pPr>
        <w:autoSpaceDE w:val="0"/>
        <w:autoSpaceDN w:val="0"/>
        <w:adjustRightInd w:val="0"/>
        <w:spacing w:after="0" w:line="240" w:lineRule="auto"/>
        <w:rPr>
          <w:rFonts w:cstheme="minorHAnsi"/>
          <w:bCs/>
        </w:rPr>
      </w:pPr>
      <w:proofErr w:type="gramStart"/>
      <w:r>
        <w:rPr>
          <w:rFonts w:ascii="Calibri" w:hAnsi="Calibri" w:cs="Calibri"/>
        </w:rPr>
        <w:t>excluded</w:t>
      </w:r>
      <w:proofErr w:type="gramEnd"/>
      <w:r>
        <w:rPr>
          <w:rFonts w:ascii="Calibri" w:hAnsi="Calibri" w:cs="Calibri"/>
        </w:rPr>
        <w:t xml:space="preserve"> when counting renal failure outcomes.</w:t>
      </w:r>
    </w:p>
    <w:p w14:paraId="6DA978EC" w14:textId="77777777" w:rsidR="00AD4907" w:rsidRDefault="00AD4907" w:rsidP="00AD4907">
      <w:pPr>
        <w:autoSpaceDE w:val="0"/>
        <w:autoSpaceDN w:val="0"/>
        <w:adjustRightInd w:val="0"/>
        <w:spacing w:after="0" w:line="240" w:lineRule="auto"/>
        <w:rPr>
          <w:rFonts w:cstheme="minorHAnsi"/>
          <w:bCs/>
        </w:rPr>
      </w:pPr>
    </w:p>
    <w:p w14:paraId="1990D964" w14:textId="77777777" w:rsidR="00AD4907" w:rsidRDefault="00AD4907" w:rsidP="00AD4907">
      <w:pPr>
        <w:autoSpaceDE w:val="0"/>
        <w:autoSpaceDN w:val="0"/>
        <w:adjustRightInd w:val="0"/>
        <w:spacing w:after="0" w:line="240" w:lineRule="auto"/>
        <w:rPr>
          <w:rFonts w:cstheme="minorHAnsi"/>
          <w:bCs/>
        </w:rPr>
      </w:pPr>
      <w:r>
        <w:rPr>
          <w:rFonts w:ascii="Calibri" w:hAnsi="Calibri" w:cs="Calibri"/>
        </w:rPr>
        <w:t>STS AVR risk models are used to estimate expected rates of mortality and “any‐or‐none” morbidity.  To enhance interpretation, mortality rates are converted to survival rates (risk‐standardized survival rate = 100 – risk‐standardized mortality rate), and morbidity rates are converted to “absence of morbidity” rates (risk‐standardized absence of morbidity rate =100 – risk‐standardized morbidity rate). Defining scores in this manner ensures that increasingly positive values reflect better performance, which is easier for consumers to interpret.</w:t>
      </w:r>
    </w:p>
    <w:p w14:paraId="64F09B48" w14:textId="77777777" w:rsidR="00AD4907" w:rsidRDefault="00AD4907" w:rsidP="00AD4907">
      <w:pPr>
        <w:autoSpaceDE w:val="0"/>
        <w:autoSpaceDN w:val="0"/>
        <w:adjustRightInd w:val="0"/>
        <w:spacing w:after="0" w:line="240" w:lineRule="auto"/>
        <w:rPr>
          <w:rFonts w:cstheme="minorHAnsi"/>
          <w:bCs/>
        </w:rPr>
      </w:pPr>
    </w:p>
    <w:p w14:paraId="7D81FDB5" w14:textId="77777777" w:rsidR="00AD4907" w:rsidRPr="00A148C7" w:rsidRDefault="00AD4907" w:rsidP="00AD4907">
      <w:pPr>
        <w:autoSpaceDE w:val="0"/>
        <w:autoSpaceDN w:val="0"/>
        <w:adjustRightInd w:val="0"/>
        <w:spacing w:after="0" w:line="240" w:lineRule="auto"/>
        <w:rPr>
          <w:rFonts w:cstheme="minorHAnsi"/>
          <w:bCs/>
        </w:rPr>
      </w:pPr>
      <w:r w:rsidRPr="00CB3EBE">
        <w:rPr>
          <w:rFonts w:cstheme="minorHAnsi"/>
          <w:bCs/>
        </w:rPr>
        <w:t xml:space="preserve">To compute an overall composite score, the </w:t>
      </w:r>
      <w:r>
        <w:rPr>
          <w:rFonts w:cstheme="minorHAnsi"/>
          <w:bCs/>
        </w:rPr>
        <w:t xml:space="preserve">STS rescales </w:t>
      </w:r>
      <w:r w:rsidRPr="00CB3EBE">
        <w:rPr>
          <w:rFonts w:cstheme="minorHAnsi"/>
          <w:bCs/>
        </w:rPr>
        <w:t>the domain-specific estimates by the reciprocals</w:t>
      </w:r>
      <w:r>
        <w:rPr>
          <w:rFonts w:cstheme="minorHAnsi"/>
          <w:bCs/>
        </w:rPr>
        <w:t xml:space="preserve"> </w:t>
      </w:r>
      <w:r w:rsidRPr="00CB3EBE">
        <w:rPr>
          <w:rFonts w:cstheme="minorHAnsi"/>
          <w:bCs/>
        </w:rPr>
        <w:t>of thei</w:t>
      </w:r>
      <w:r>
        <w:rPr>
          <w:rFonts w:cstheme="minorHAnsi"/>
          <w:bCs/>
        </w:rPr>
        <w:t xml:space="preserve">r standard deviations, then adds </w:t>
      </w:r>
      <w:r w:rsidRPr="00CB3EBE">
        <w:rPr>
          <w:rFonts w:cstheme="minorHAnsi"/>
          <w:bCs/>
        </w:rPr>
        <w:t>these rescaled</w:t>
      </w:r>
      <w:r>
        <w:rPr>
          <w:rFonts w:cstheme="minorHAnsi"/>
          <w:bCs/>
        </w:rPr>
        <w:t xml:space="preserve"> </w:t>
      </w:r>
      <w:r w:rsidRPr="00CB3EBE">
        <w:rPr>
          <w:rFonts w:cstheme="minorHAnsi"/>
          <w:bCs/>
        </w:rPr>
        <w:t xml:space="preserve">estimates. </w:t>
      </w:r>
      <w:r>
        <w:rPr>
          <w:rFonts w:ascii="Calibri" w:hAnsi="Calibri" w:cs="Calibri"/>
        </w:rPr>
        <w:t xml:space="preserve">The overall composite score is calculated for each participant </w:t>
      </w:r>
      <w:r w:rsidRPr="00C2702B">
        <w:rPr>
          <w:rFonts w:ascii="Calibri" w:hAnsi="Calibri" w:cs="Calibri"/>
          <w:i/>
        </w:rPr>
        <w:t>(j)</w:t>
      </w:r>
      <w:r>
        <w:rPr>
          <w:rFonts w:ascii="Calibri" w:hAnsi="Calibri" w:cs="Calibri"/>
        </w:rPr>
        <w:t xml:space="preserve"> by using the following formula:</w:t>
      </w:r>
    </w:p>
    <w:p w14:paraId="7EEEFFD0" w14:textId="77777777" w:rsidR="00AD4907" w:rsidRDefault="00AD4907" w:rsidP="00AD4907">
      <w:r w:rsidRPr="00FE41F2">
        <w:rPr>
          <w:noProof/>
        </w:rPr>
        <w:drawing>
          <wp:inline distT="0" distB="0" distL="0" distR="0" wp14:anchorId="06F3E28A" wp14:editId="55468067">
            <wp:extent cx="2362810" cy="6129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3112" cy="618174"/>
                    </a:xfrm>
                    <a:prstGeom prst="rect">
                      <a:avLst/>
                    </a:prstGeom>
                    <a:noFill/>
                    <a:ln>
                      <a:noFill/>
                    </a:ln>
                  </pic:spPr>
                </pic:pic>
              </a:graphicData>
            </a:graphic>
          </wp:inline>
        </w:drawing>
      </w:r>
    </w:p>
    <w:p w14:paraId="31D8C088" w14:textId="77777777" w:rsidR="00AD4907" w:rsidRDefault="00AD4907" w:rsidP="00AD4907">
      <w:r>
        <w:t>Where</w:t>
      </w:r>
    </w:p>
    <w:p w14:paraId="635EDF85" w14:textId="77777777" w:rsidR="00AD4907" w:rsidRDefault="00AD4907" w:rsidP="00AD4907">
      <w:r w:rsidRPr="00FE41F2">
        <w:rPr>
          <w:noProof/>
        </w:rPr>
        <w:drawing>
          <wp:inline distT="0" distB="0" distL="0" distR="0" wp14:anchorId="0CB8D912" wp14:editId="2A6C3F5D">
            <wp:extent cx="1250899" cy="486409"/>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1441" cy="490508"/>
                    </a:xfrm>
                    <a:prstGeom prst="rect">
                      <a:avLst/>
                    </a:prstGeom>
                    <a:noFill/>
                    <a:ln>
                      <a:noFill/>
                    </a:ln>
                  </pic:spPr>
                </pic:pic>
              </a:graphicData>
            </a:graphic>
          </wp:inline>
        </w:drawing>
      </w:r>
    </w:p>
    <w:p w14:paraId="49B1E169" w14:textId="77777777" w:rsidR="00AD4907" w:rsidRDefault="00AD4907" w:rsidP="00AD4907">
      <w:pPr>
        <w:autoSpaceDE w:val="0"/>
        <w:autoSpaceDN w:val="0"/>
        <w:adjustRightInd w:val="0"/>
        <w:spacing w:after="0" w:line="240" w:lineRule="auto"/>
      </w:pPr>
      <w:r>
        <w:rPr>
          <w:rFonts w:ascii="Calibri" w:hAnsi="Calibri" w:cs="Calibri"/>
        </w:rPr>
        <w:t>where “</w:t>
      </w:r>
      <w:proofErr w:type="spellStart"/>
      <w:r>
        <w:rPr>
          <w:rFonts w:ascii="Calibri" w:hAnsi="Calibri" w:cs="Calibri"/>
        </w:rPr>
        <w:t>score</w:t>
      </w:r>
      <w:r>
        <w:rPr>
          <w:rFonts w:ascii="Calibri-Italic" w:hAnsi="Calibri-Italic" w:cs="Calibri-Italic"/>
          <w:i/>
          <w:iCs/>
          <w:sz w:val="16"/>
          <w:szCs w:val="16"/>
        </w:rPr>
        <w:t>mort,j</w:t>
      </w:r>
      <w:proofErr w:type="spellEnd"/>
      <w:r>
        <w:rPr>
          <w:rFonts w:ascii="Calibri" w:hAnsi="Calibri" w:cs="Calibri"/>
        </w:rPr>
        <w:t xml:space="preserve">” denotes the </w:t>
      </w:r>
      <w:r>
        <w:rPr>
          <w:rFonts w:ascii="Calibri-Italic" w:hAnsi="Calibri-Italic" w:cs="Calibri-Italic"/>
          <w:i/>
          <w:iCs/>
        </w:rPr>
        <w:t>j</w:t>
      </w:r>
      <w:r>
        <w:rPr>
          <w:rFonts w:ascii="Calibri" w:hAnsi="Calibri" w:cs="Calibri"/>
        </w:rPr>
        <w:t>‐</w:t>
      </w:r>
      <w:proofErr w:type="spellStart"/>
      <w:r>
        <w:rPr>
          <w:rFonts w:ascii="Calibri" w:hAnsi="Calibri" w:cs="Calibri"/>
        </w:rPr>
        <w:t>th</w:t>
      </w:r>
      <w:proofErr w:type="spellEnd"/>
      <w:r>
        <w:rPr>
          <w:rFonts w:ascii="Calibri" w:hAnsi="Calibri" w:cs="Calibri"/>
        </w:rPr>
        <w:t xml:space="preserve"> participant’s estimated risk‐standardized survival rate and “</w:t>
      </w:r>
      <w:proofErr w:type="spellStart"/>
      <w:r>
        <w:rPr>
          <w:rFonts w:ascii="Calibri" w:hAnsi="Calibri" w:cs="Calibri"/>
        </w:rPr>
        <w:t>score</w:t>
      </w:r>
      <w:r>
        <w:rPr>
          <w:rFonts w:ascii="Calibri-Italic" w:hAnsi="Calibri-Italic" w:cs="Calibri-Italic"/>
          <w:i/>
          <w:iCs/>
          <w:sz w:val="16"/>
          <w:szCs w:val="16"/>
        </w:rPr>
        <w:t>morb,j</w:t>
      </w:r>
      <w:proofErr w:type="spellEnd"/>
      <w:r>
        <w:rPr>
          <w:rFonts w:ascii="Calibri" w:hAnsi="Calibri" w:cs="Calibri"/>
        </w:rPr>
        <w:t xml:space="preserve">” denotes the </w:t>
      </w:r>
      <w:r>
        <w:rPr>
          <w:rFonts w:ascii="Calibri-Italic" w:hAnsi="Calibri-Italic" w:cs="Calibri-Italic"/>
          <w:i/>
          <w:iCs/>
        </w:rPr>
        <w:t>j</w:t>
      </w:r>
      <w:r>
        <w:rPr>
          <w:rFonts w:ascii="Calibri" w:hAnsi="Calibri" w:cs="Calibri"/>
        </w:rPr>
        <w:t>‐</w:t>
      </w:r>
      <w:proofErr w:type="spellStart"/>
      <w:r>
        <w:rPr>
          <w:rFonts w:ascii="Calibri" w:hAnsi="Calibri" w:cs="Calibri"/>
        </w:rPr>
        <w:t>th</w:t>
      </w:r>
      <w:proofErr w:type="spellEnd"/>
      <w:r>
        <w:rPr>
          <w:rFonts w:ascii="Calibri" w:hAnsi="Calibri" w:cs="Calibri"/>
        </w:rPr>
        <w:t xml:space="preserve"> participant’s estimated risk‐standardized absence of morbidity rate, and “</w:t>
      </w:r>
      <w:proofErr w:type="spellStart"/>
      <w:r>
        <w:rPr>
          <w:rFonts w:ascii="Calibri" w:hAnsi="Calibri" w:cs="Calibri"/>
        </w:rPr>
        <w:t>sd</w:t>
      </w:r>
      <w:r>
        <w:rPr>
          <w:rFonts w:ascii="Calibri-Italic" w:hAnsi="Calibri-Italic" w:cs="Calibri-Italic"/>
          <w:i/>
          <w:iCs/>
          <w:sz w:val="16"/>
          <w:szCs w:val="16"/>
        </w:rPr>
        <w:t>mort</w:t>
      </w:r>
      <w:proofErr w:type="spellEnd"/>
      <w:r>
        <w:rPr>
          <w:rFonts w:ascii="Calibri" w:hAnsi="Calibri" w:cs="Calibri"/>
        </w:rPr>
        <w:t>” and “</w:t>
      </w:r>
      <w:proofErr w:type="spellStart"/>
      <w:r>
        <w:rPr>
          <w:rFonts w:ascii="Calibri" w:hAnsi="Calibri" w:cs="Calibri"/>
        </w:rPr>
        <w:t>sd</w:t>
      </w:r>
      <w:r>
        <w:rPr>
          <w:rFonts w:ascii="Calibri-Italic" w:hAnsi="Calibri-Italic" w:cs="Calibri-Italic"/>
          <w:i/>
          <w:iCs/>
          <w:sz w:val="16"/>
          <w:szCs w:val="16"/>
        </w:rPr>
        <w:t>morb</w:t>
      </w:r>
      <w:proofErr w:type="spellEnd"/>
      <w:r>
        <w:rPr>
          <w:rFonts w:ascii="Calibri" w:hAnsi="Calibri" w:cs="Calibri"/>
        </w:rPr>
        <w:t>” denote the respective estimated standard deviations (SD) across participants. An equivalent formula is:</w:t>
      </w:r>
    </w:p>
    <w:p w14:paraId="482148CB" w14:textId="77777777" w:rsidR="00AD4907" w:rsidRDefault="00AD4907" w:rsidP="00AD4907">
      <w:r w:rsidRPr="00FE41F2">
        <w:rPr>
          <w:noProof/>
        </w:rPr>
        <w:lastRenderedPageBreak/>
        <w:drawing>
          <wp:inline distT="0" distB="0" distL="0" distR="0" wp14:anchorId="15C792A1" wp14:editId="2450D4AD">
            <wp:extent cx="2955341" cy="10504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4689" cy="1053811"/>
                    </a:xfrm>
                    <a:prstGeom prst="rect">
                      <a:avLst/>
                    </a:prstGeom>
                    <a:noFill/>
                    <a:ln>
                      <a:noFill/>
                    </a:ln>
                  </pic:spPr>
                </pic:pic>
              </a:graphicData>
            </a:graphic>
          </wp:inline>
        </w:drawing>
      </w:r>
    </w:p>
    <w:p w14:paraId="3FF270CF" w14:textId="302DF979" w:rsidR="00AD4907" w:rsidRDefault="00AD4907" w:rsidP="00AD4907">
      <w:pPr>
        <w:autoSpaceDE w:val="0"/>
        <w:autoSpaceDN w:val="0"/>
        <w:adjustRightInd w:val="0"/>
        <w:spacing w:after="0" w:line="240" w:lineRule="auto"/>
        <w:rPr>
          <w:rFonts w:ascii="Calibri" w:hAnsi="Calibri" w:cs="Calibri"/>
        </w:rPr>
      </w:pPr>
      <w:r w:rsidRPr="00EE2507">
        <w:rPr>
          <w:rFonts w:ascii="Calibri" w:hAnsi="Calibri" w:cs="Calibri"/>
        </w:rPr>
        <w:t>Thus the method is equivalent to calculating a weighted average, with weights proportional to the inverse of the SD. For example, in one calculation of the STS AVR</w:t>
      </w:r>
      <w:r w:rsidR="00EE2507" w:rsidRPr="00EE2507">
        <w:rPr>
          <w:rFonts w:ascii="Calibri" w:hAnsi="Calibri" w:cs="Calibri"/>
        </w:rPr>
        <w:t>+CABG</w:t>
      </w:r>
      <w:r w:rsidRPr="00EE2507">
        <w:rPr>
          <w:rFonts w:ascii="Calibri" w:hAnsi="Calibri" w:cs="Calibri"/>
        </w:rPr>
        <w:t xml:space="preserve"> Composite Score based on data from July 2010 – June 2013, </w:t>
      </w:r>
      <w:proofErr w:type="spellStart"/>
      <w:r w:rsidRPr="00EE2507">
        <w:rPr>
          <w:rFonts w:ascii="Calibri" w:hAnsi="Calibri" w:cs="Calibri"/>
        </w:rPr>
        <w:t>wt</w:t>
      </w:r>
      <w:r w:rsidRPr="00EE2507">
        <w:rPr>
          <w:rFonts w:ascii="Calibri" w:hAnsi="Calibri" w:cs="Calibri"/>
          <w:sz w:val="16"/>
          <w:szCs w:val="16"/>
        </w:rPr>
        <w:t>mort</w:t>
      </w:r>
      <w:proofErr w:type="spellEnd"/>
      <w:r w:rsidR="00EE2507" w:rsidRPr="00EE2507">
        <w:rPr>
          <w:rFonts w:ascii="Calibri" w:hAnsi="Calibri" w:cs="Calibri"/>
        </w:rPr>
        <w:t>=0.77</w:t>
      </w:r>
      <w:r w:rsidRPr="00EE2507">
        <w:rPr>
          <w:rFonts w:ascii="Calibri" w:hAnsi="Calibri" w:cs="Calibri"/>
        </w:rPr>
        <w:t xml:space="preserve"> and </w:t>
      </w:r>
      <w:proofErr w:type="spellStart"/>
      <w:r w:rsidRPr="00EE2507">
        <w:rPr>
          <w:rFonts w:ascii="Calibri" w:hAnsi="Calibri" w:cs="Calibri"/>
        </w:rPr>
        <w:t>wt</w:t>
      </w:r>
      <w:r w:rsidRPr="00EE2507">
        <w:rPr>
          <w:rFonts w:ascii="Calibri" w:hAnsi="Calibri" w:cs="Calibri"/>
          <w:sz w:val="16"/>
          <w:szCs w:val="16"/>
        </w:rPr>
        <w:t>morb</w:t>
      </w:r>
      <w:proofErr w:type="spellEnd"/>
      <w:r w:rsidRPr="00EE2507">
        <w:rPr>
          <w:rFonts w:ascii="Calibri" w:hAnsi="Calibri" w:cs="Calibri"/>
          <w:sz w:val="16"/>
          <w:szCs w:val="16"/>
        </w:rPr>
        <w:t xml:space="preserve"> </w:t>
      </w:r>
      <w:r w:rsidR="00EE2507" w:rsidRPr="00EE2507">
        <w:rPr>
          <w:rFonts w:ascii="Calibri" w:hAnsi="Calibri" w:cs="Calibri"/>
        </w:rPr>
        <w:t>= 0.23</w:t>
      </w:r>
      <w:r w:rsidRPr="00EE2507">
        <w:rPr>
          <w:rFonts w:ascii="Calibri" w:hAnsi="Calibri" w:cs="Calibri"/>
        </w:rPr>
        <w:t>.</w:t>
      </w:r>
    </w:p>
    <w:p w14:paraId="52DE7F9A" w14:textId="77777777" w:rsidR="00AD4907" w:rsidRDefault="00AD4907" w:rsidP="00AD4907">
      <w:pPr>
        <w:autoSpaceDE w:val="0"/>
        <w:autoSpaceDN w:val="0"/>
        <w:adjustRightInd w:val="0"/>
        <w:spacing w:after="0" w:line="240" w:lineRule="auto"/>
        <w:rPr>
          <w:rFonts w:ascii="Calibri" w:hAnsi="Calibri" w:cs="Calibri"/>
        </w:rPr>
      </w:pPr>
    </w:p>
    <w:p w14:paraId="3CD21EF2" w14:textId="77777777" w:rsidR="00AD4907" w:rsidRDefault="00AD4907" w:rsidP="00AD4907">
      <w:pPr>
        <w:autoSpaceDE w:val="0"/>
        <w:autoSpaceDN w:val="0"/>
        <w:adjustRightInd w:val="0"/>
        <w:spacing w:after="0" w:line="240" w:lineRule="auto"/>
        <w:rPr>
          <w:rFonts w:ascii="Calibri" w:hAnsi="Calibri" w:cs="Calibri"/>
        </w:rPr>
      </w:pPr>
      <w:r>
        <w:rPr>
          <w:rFonts w:ascii="Calibri" w:hAnsi="Calibri" w:cs="Calibri"/>
        </w:rPr>
        <w:t>(For additional details:</w:t>
      </w:r>
    </w:p>
    <w:p w14:paraId="63FA083F" w14:textId="77777777" w:rsidR="00AD4907" w:rsidRDefault="00AD4907" w:rsidP="00AD4907">
      <w:pPr>
        <w:autoSpaceDE w:val="0"/>
        <w:autoSpaceDN w:val="0"/>
        <w:adjustRightInd w:val="0"/>
        <w:spacing w:after="0" w:line="240" w:lineRule="auto"/>
        <w:rPr>
          <w:rFonts w:ascii="Calibri" w:hAnsi="Calibri" w:cs="Calibri"/>
        </w:rPr>
      </w:pPr>
      <w:r>
        <w:rPr>
          <w:rFonts w:ascii="Calibri" w:hAnsi="Calibri" w:cs="Calibri"/>
        </w:rPr>
        <w:t xml:space="preserve">Shahian DM, He X, Jacobs JP, et al. The Society of Thoracic Surgeons Isolated Aortic Valve Replacement (AVR) Composite Score: a report of the STS Quality Measurement Task Force. Ann </w:t>
      </w:r>
      <w:proofErr w:type="spellStart"/>
      <w:r>
        <w:rPr>
          <w:rFonts w:ascii="Calibri" w:hAnsi="Calibri" w:cs="Calibri"/>
        </w:rPr>
        <w:t>Thorac</w:t>
      </w:r>
      <w:proofErr w:type="spellEnd"/>
      <w:r>
        <w:rPr>
          <w:rFonts w:ascii="Calibri" w:hAnsi="Calibri" w:cs="Calibri"/>
        </w:rPr>
        <w:t xml:space="preserve"> </w:t>
      </w:r>
      <w:proofErr w:type="spellStart"/>
      <w:r>
        <w:rPr>
          <w:rFonts w:ascii="Calibri" w:hAnsi="Calibri" w:cs="Calibri"/>
        </w:rPr>
        <w:t>Surg</w:t>
      </w:r>
      <w:proofErr w:type="spellEnd"/>
      <w:r>
        <w:rPr>
          <w:rFonts w:ascii="Calibri" w:hAnsi="Calibri" w:cs="Calibri"/>
        </w:rPr>
        <w:t xml:space="preserve"> 2012</w:t>
      </w:r>
      <w:proofErr w:type="gramStart"/>
      <w:r>
        <w:rPr>
          <w:rFonts w:ascii="Calibri" w:hAnsi="Calibri" w:cs="Calibri"/>
        </w:rPr>
        <w:t>;94:2166</w:t>
      </w:r>
      <w:proofErr w:type="gramEnd"/>
      <w:r>
        <w:rPr>
          <w:rFonts w:ascii="Calibri" w:hAnsi="Calibri" w:cs="Calibri"/>
        </w:rPr>
        <w:t>‐71.)</w:t>
      </w:r>
    </w:p>
    <w:p w14:paraId="0A1B4D07" w14:textId="77777777" w:rsidR="00AD4907" w:rsidRDefault="00AD4907" w:rsidP="00AD4907">
      <w:pPr>
        <w:autoSpaceDE w:val="0"/>
        <w:autoSpaceDN w:val="0"/>
        <w:adjustRightInd w:val="0"/>
        <w:spacing w:after="0" w:line="240" w:lineRule="auto"/>
        <w:rPr>
          <w:rFonts w:cstheme="minorHAnsi"/>
          <w:bCs/>
        </w:rPr>
      </w:pPr>
    </w:p>
    <w:p w14:paraId="5466CDD9" w14:textId="77777777" w:rsidR="00AD4907" w:rsidRPr="00FC5DE1" w:rsidRDefault="00AD4907" w:rsidP="00AD4907">
      <w:pPr>
        <w:autoSpaceDE w:val="0"/>
        <w:autoSpaceDN w:val="0"/>
        <w:adjustRightInd w:val="0"/>
        <w:spacing w:after="0" w:line="240" w:lineRule="auto"/>
        <w:rPr>
          <w:rFonts w:cstheme="minorHAnsi"/>
          <w:bCs/>
        </w:rPr>
      </w:pPr>
      <w:r w:rsidRPr="00370225">
        <w:rPr>
          <w:rFonts w:cstheme="minorHAnsi"/>
          <w:bCs/>
        </w:rPr>
        <w:t>To verify that each domain contributes statistical information but does not dominate the composite, we calculated the correlations between each domain-specific estimate and the overall comprehensive score.</w:t>
      </w:r>
    </w:p>
    <w:p w14:paraId="0FB67E03" w14:textId="77777777" w:rsidR="0063652A" w:rsidRPr="00FC5DE1" w:rsidRDefault="0063652A" w:rsidP="0063652A">
      <w:pPr>
        <w:autoSpaceDE w:val="0"/>
        <w:autoSpaceDN w:val="0"/>
        <w:adjustRightInd w:val="0"/>
        <w:spacing w:after="0" w:line="240" w:lineRule="auto"/>
        <w:rPr>
          <w:rFonts w:cstheme="minorHAnsi"/>
          <w:bCs/>
        </w:rPr>
      </w:pPr>
    </w:p>
    <w:p w14:paraId="0FB67E04" w14:textId="77777777"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 xml:space="preserve">2d1.2.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r w:rsidRPr="00FC5DE1">
        <w:rPr>
          <w:rFonts w:cstheme="minorHAnsi"/>
          <w:bCs/>
        </w:rPr>
        <w:br/>
      </w:r>
    </w:p>
    <w:p w14:paraId="6A8F5E1D" w14:textId="77777777" w:rsidR="000E3495" w:rsidRDefault="000E3495" w:rsidP="000E3495">
      <w:pPr>
        <w:spacing w:after="0" w:line="240" w:lineRule="auto"/>
        <w:rPr>
          <w:rFonts w:cstheme="minorHAnsi"/>
          <w:bCs/>
        </w:rPr>
      </w:pPr>
      <w:r w:rsidRPr="00E91BBA">
        <w:rPr>
          <w:rFonts w:cstheme="minorHAnsi"/>
          <w:bCs/>
        </w:rPr>
        <w:t>The Pearson correlations were 0.31 for mortality and overall composite measure, and 0.66 for morbidity domain score versus overall score.</w:t>
      </w:r>
    </w:p>
    <w:p w14:paraId="7FFC6D02" w14:textId="77777777" w:rsidR="00E91BBA" w:rsidRDefault="00E91BBA" w:rsidP="000E3495">
      <w:pPr>
        <w:spacing w:after="0" w:line="240" w:lineRule="auto"/>
        <w:rPr>
          <w:rFonts w:cstheme="minorHAnsi"/>
          <w:bCs/>
        </w:rPr>
      </w:pPr>
    </w:p>
    <w:p w14:paraId="19D9AF37" w14:textId="77777777" w:rsidR="00E91BBA" w:rsidRDefault="00E91BBA" w:rsidP="00E91BBA">
      <w:pPr>
        <w:spacing w:after="0" w:line="240" w:lineRule="auto"/>
        <w:rPr>
          <w:rFonts w:cstheme="minorHAnsi"/>
          <w:bCs/>
        </w:rPr>
      </w:pPr>
      <w:r>
        <w:rPr>
          <w:rFonts w:cstheme="minorHAnsi"/>
          <w:bCs/>
        </w:rPr>
        <w:t>Additionally, the correlation coefficients between the individual components of morbidity and the major morbidity domain score are provided in the table below.</w:t>
      </w:r>
    </w:p>
    <w:p w14:paraId="0FB67E05" w14:textId="77777777" w:rsidR="0063652A" w:rsidRDefault="0063652A" w:rsidP="0063652A">
      <w:pPr>
        <w:autoSpaceDE w:val="0"/>
        <w:autoSpaceDN w:val="0"/>
        <w:adjustRightInd w:val="0"/>
        <w:spacing w:after="0" w:line="240" w:lineRule="auto"/>
        <w:rPr>
          <w:rFonts w:cstheme="minorHAnsi"/>
          <w:bCs/>
        </w:rPr>
      </w:pPr>
    </w:p>
    <w:tbl>
      <w:tblPr>
        <w:tblW w:w="0" w:type="auto"/>
        <w:tblInd w:w="60" w:type="dxa"/>
        <w:tblLayout w:type="fixed"/>
        <w:tblCellMar>
          <w:left w:w="0" w:type="dxa"/>
          <w:right w:w="0" w:type="dxa"/>
        </w:tblCellMar>
        <w:tblLook w:val="0000" w:firstRow="0" w:lastRow="0" w:firstColumn="0" w:lastColumn="0" w:noHBand="0" w:noVBand="0"/>
      </w:tblPr>
      <w:tblGrid>
        <w:gridCol w:w="2272"/>
        <w:gridCol w:w="2430"/>
        <w:gridCol w:w="2520"/>
      </w:tblGrid>
      <w:tr w:rsidR="00E91BBA" w14:paraId="6A59B3BD" w14:textId="77777777" w:rsidTr="00860325">
        <w:tblPrEx>
          <w:tblCellMar>
            <w:top w:w="0" w:type="dxa"/>
            <w:left w:w="0" w:type="dxa"/>
            <w:bottom w:w="0" w:type="dxa"/>
            <w:right w:w="0" w:type="dxa"/>
          </w:tblCellMar>
        </w:tblPrEx>
        <w:trPr>
          <w:cantSplit/>
          <w:tblHeader/>
        </w:trPr>
        <w:tc>
          <w:tcPr>
            <w:tcW w:w="7222" w:type="dxa"/>
            <w:gridSpan w:val="3"/>
            <w:tcBorders>
              <w:top w:val="single" w:sz="6" w:space="0" w:color="000000"/>
              <w:left w:val="single" w:sz="6" w:space="0" w:color="000000"/>
              <w:bottom w:val="single" w:sz="2" w:space="0" w:color="000000"/>
              <w:right w:val="single" w:sz="2" w:space="0" w:color="000000"/>
            </w:tcBorders>
            <w:shd w:val="clear" w:color="auto" w:fill="D9D9D9" w:themeFill="background1" w:themeFillShade="D9"/>
            <w:tcMar>
              <w:left w:w="60" w:type="dxa"/>
              <w:right w:w="60" w:type="dxa"/>
            </w:tcMar>
            <w:vAlign w:val="center"/>
          </w:tcPr>
          <w:p w14:paraId="05B0CA9E" w14:textId="77777777" w:rsidR="00E91BBA" w:rsidRDefault="00E91BBA" w:rsidP="00B55DE3">
            <w:pPr>
              <w:keepNext/>
              <w:adjustRightInd w:val="0"/>
              <w:spacing w:before="60" w:after="60"/>
              <w:jc w:val="center"/>
              <w:rPr>
                <w:rFonts w:ascii="Times" w:hAnsi="Times" w:cs="Times"/>
                <w:b/>
                <w:bCs/>
                <w:color w:val="000000"/>
              </w:rPr>
            </w:pPr>
            <w:r>
              <w:rPr>
                <w:rFonts w:ascii="Times" w:hAnsi="Times" w:cs="Times"/>
                <w:b/>
                <w:bCs/>
                <w:color w:val="000000"/>
              </w:rPr>
              <w:t>AVR + CABG Population</w:t>
            </w:r>
            <w:r>
              <w:rPr>
                <w:rFonts w:ascii="Times" w:hAnsi="Times" w:cs="Times"/>
                <w:b/>
                <w:bCs/>
                <w:color w:val="000000"/>
              </w:rPr>
              <w:br/>
              <w:t>Correlation with Major Morbidity Composite Rate</w:t>
            </w:r>
          </w:p>
        </w:tc>
      </w:tr>
      <w:tr w:rsidR="00E91BBA" w14:paraId="221A970A" w14:textId="77777777" w:rsidTr="00860325">
        <w:tblPrEx>
          <w:tblCellMar>
            <w:top w:w="0" w:type="dxa"/>
            <w:left w:w="0" w:type="dxa"/>
            <w:bottom w:w="0" w:type="dxa"/>
            <w:right w:w="0" w:type="dxa"/>
          </w:tblCellMar>
        </w:tblPrEx>
        <w:trPr>
          <w:cantSplit/>
          <w:tblHeader/>
        </w:trPr>
        <w:tc>
          <w:tcPr>
            <w:tcW w:w="2272" w:type="dxa"/>
            <w:tcBorders>
              <w:top w:val="single" w:sz="6" w:space="0" w:color="000000"/>
              <w:left w:val="single" w:sz="6" w:space="0" w:color="000000"/>
              <w:bottom w:val="single" w:sz="2" w:space="0" w:color="000000"/>
              <w:right w:val="nil"/>
            </w:tcBorders>
            <w:shd w:val="clear" w:color="auto" w:fill="D9D9D9" w:themeFill="background1" w:themeFillShade="D9"/>
            <w:tcMar>
              <w:left w:w="60" w:type="dxa"/>
              <w:right w:w="60" w:type="dxa"/>
            </w:tcMar>
            <w:vAlign w:val="bottom"/>
          </w:tcPr>
          <w:p w14:paraId="0E51372D" w14:textId="0BA28A38" w:rsidR="00E91BBA" w:rsidRDefault="00E91BBA" w:rsidP="00E91BBA">
            <w:pPr>
              <w:keepNext/>
              <w:adjustRightInd w:val="0"/>
              <w:spacing w:before="60" w:after="60"/>
              <w:jc w:val="center"/>
              <w:rPr>
                <w:rFonts w:ascii="Times" w:hAnsi="Times" w:cs="Times"/>
                <w:b/>
                <w:bCs/>
                <w:color w:val="000000"/>
              </w:rPr>
            </w:pPr>
            <w:r>
              <w:rPr>
                <w:rFonts w:ascii="Times" w:hAnsi="Times" w:cs="Times"/>
                <w:b/>
                <w:bCs/>
                <w:color w:val="000000"/>
              </w:rPr>
              <w:t xml:space="preserve">Major </w:t>
            </w:r>
            <w:r>
              <w:rPr>
                <w:rFonts w:ascii="Times" w:hAnsi="Times" w:cs="Times"/>
                <w:b/>
                <w:bCs/>
                <w:color w:val="000000"/>
              </w:rPr>
              <w:t>Morbidity</w:t>
            </w:r>
            <w:r>
              <w:rPr>
                <w:rFonts w:ascii="Times" w:hAnsi="Times" w:cs="Times"/>
                <w:b/>
                <w:bCs/>
                <w:color w:val="000000"/>
              </w:rPr>
              <w:br/>
              <w:t>Components</w:t>
            </w:r>
          </w:p>
        </w:tc>
        <w:tc>
          <w:tcPr>
            <w:tcW w:w="2430" w:type="dxa"/>
            <w:tcBorders>
              <w:top w:val="single" w:sz="6" w:space="0" w:color="000000"/>
              <w:left w:val="single" w:sz="2" w:space="0" w:color="000000"/>
              <w:bottom w:val="single" w:sz="2" w:space="0" w:color="000000"/>
              <w:right w:val="nil"/>
            </w:tcBorders>
            <w:shd w:val="clear" w:color="auto" w:fill="D9D9D9" w:themeFill="background1" w:themeFillShade="D9"/>
            <w:tcMar>
              <w:left w:w="60" w:type="dxa"/>
              <w:right w:w="60" w:type="dxa"/>
            </w:tcMar>
            <w:vAlign w:val="bottom"/>
          </w:tcPr>
          <w:p w14:paraId="62198EB6" w14:textId="7789D0A1" w:rsidR="00E91BBA" w:rsidRDefault="00E91BBA" w:rsidP="00E91BBA">
            <w:pPr>
              <w:keepNext/>
              <w:adjustRightInd w:val="0"/>
              <w:spacing w:before="60" w:after="60"/>
              <w:jc w:val="center"/>
              <w:rPr>
                <w:rFonts w:ascii="Times" w:hAnsi="Times" w:cs="Times"/>
                <w:b/>
                <w:bCs/>
                <w:color w:val="000000"/>
              </w:rPr>
            </w:pPr>
            <w:r>
              <w:rPr>
                <w:rFonts w:ascii="Times" w:hAnsi="Times" w:cs="Times"/>
                <w:b/>
                <w:bCs/>
                <w:color w:val="000000"/>
              </w:rPr>
              <w:t>Pearson Correlation </w:t>
            </w:r>
          </w:p>
          <w:p w14:paraId="5CBE60D5" w14:textId="0984B97B" w:rsidR="00E91BBA" w:rsidRDefault="00E91BBA" w:rsidP="00E91BBA">
            <w:pPr>
              <w:keepNext/>
              <w:adjustRightInd w:val="0"/>
              <w:spacing w:before="60" w:after="60"/>
              <w:jc w:val="center"/>
              <w:rPr>
                <w:rFonts w:ascii="Times" w:hAnsi="Times" w:cs="Times"/>
                <w:b/>
                <w:bCs/>
                <w:color w:val="000000"/>
              </w:rPr>
            </w:pPr>
            <w:r>
              <w:rPr>
                <w:rFonts w:ascii="Times" w:hAnsi="Times" w:cs="Times"/>
                <w:b/>
                <w:bCs/>
                <w:color w:val="000000"/>
              </w:rPr>
              <w:t>Coefficient</w:t>
            </w:r>
          </w:p>
        </w:tc>
        <w:tc>
          <w:tcPr>
            <w:tcW w:w="2520" w:type="dxa"/>
            <w:tcBorders>
              <w:top w:val="single" w:sz="6" w:space="0" w:color="000000"/>
              <w:left w:val="single" w:sz="2" w:space="0" w:color="000000"/>
              <w:bottom w:val="single" w:sz="2" w:space="0" w:color="000000"/>
              <w:right w:val="single" w:sz="2" w:space="0" w:color="000000"/>
            </w:tcBorders>
            <w:shd w:val="clear" w:color="auto" w:fill="D9D9D9" w:themeFill="background1" w:themeFillShade="D9"/>
            <w:vAlign w:val="bottom"/>
          </w:tcPr>
          <w:p w14:paraId="2F60A515" w14:textId="7D15B33C" w:rsidR="00E91BBA" w:rsidRDefault="00E91BBA" w:rsidP="00E91BBA">
            <w:pPr>
              <w:keepNext/>
              <w:adjustRightInd w:val="0"/>
              <w:spacing w:before="60" w:after="60"/>
              <w:jc w:val="center"/>
              <w:rPr>
                <w:rFonts w:ascii="Times" w:hAnsi="Times" w:cs="Times"/>
                <w:b/>
                <w:bCs/>
                <w:color w:val="000000"/>
              </w:rPr>
            </w:pPr>
            <w:r>
              <w:rPr>
                <w:rFonts w:ascii="Times" w:hAnsi="Times" w:cs="Times"/>
                <w:b/>
                <w:bCs/>
                <w:color w:val="000000"/>
              </w:rPr>
              <w:t>Spearman Correlation </w:t>
            </w:r>
          </w:p>
          <w:p w14:paraId="0E95C105" w14:textId="29A9D07A" w:rsidR="00E91BBA" w:rsidRDefault="00E91BBA" w:rsidP="00E91BBA">
            <w:pPr>
              <w:keepNext/>
              <w:adjustRightInd w:val="0"/>
              <w:spacing w:before="60" w:after="60"/>
              <w:jc w:val="center"/>
              <w:rPr>
                <w:rFonts w:ascii="Times" w:hAnsi="Times" w:cs="Times"/>
                <w:b/>
                <w:bCs/>
                <w:color w:val="000000"/>
              </w:rPr>
            </w:pPr>
            <w:r>
              <w:rPr>
                <w:rFonts w:ascii="Times" w:hAnsi="Times" w:cs="Times"/>
                <w:b/>
                <w:bCs/>
                <w:color w:val="000000"/>
              </w:rPr>
              <w:t>Coefficient</w:t>
            </w:r>
          </w:p>
        </w:tc>
      </w:tr>
      <w:tr w:rsidR="00E91BBA" w14:paraId="3380E002" w14:textId="77777777" w:rsidTr="00E91BBA">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71211347" w14:textId="77777777" w:rsidR="00E91BBA" w:rsidRDefault="00E91BBA" w:rsidP="00B55DE3">
            <w:pPr>
              <w:adjustRightInd w:val="0"/>
              <w:spacing w:before="60" w:after="60"/>
              <w:rPr>
                <w:rFonts w:ascii="Times" w:hAnsi="Times" w:cs="Times"/>
                <w:color w:val="000000"/>
              </w:rPr>
            </w:pPr>
            <w:r>
              <w:rPr>
                <w:rFonts w:ascii="Times" w:hAnsi="Times" w:cs="Times"/>
                <w:color w:val="000000"/>
              </w:rPr>
              <w:t>Prolonged Ventilation</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1CED70EC"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0.89589</w:t>
            </w:r>
          </w:p>
        </w:tc>
        <w:tc>
          <w:tcPr>
            <w:tcW w:w="2520" w:type="dxa"/>
            <w:tcBorders>
              <w:top w:val="nil"/>
              <w:left w:val="single" w:sz="2" w:space="0" w:color="000000"/>
              <w:bottom w:val="single" w:sz="2" w:space="0" w:color="000000"/>
              <w:right w:val="single" w:sz="2" w:space="0" w:color="000000"/>
            </w:tcBorders>
            <w:shd w:val="clear" w:color="auto" w:fill="FFFFFF"/>
          </w:tcPr>
          <w:p w14:paraId="5C11D763"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0.87980</w:t>
            </w:r>
          </w:p>
        </w:tc>
      </w:tr>
      <w:tr w:rsidR="00E91BBA" w14:paraId="62A0D84D" w14:textId="77777777" w:rsidTr="00E91BBA">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721E8DE8" w14:textId="77777777" w:rsidR="00E91BBA" w:rsidRDefault="00E91BBA" w:rsidP="00B55DE3">
            <w:pPr>
              <w:adjustRightInd w:val="0"/>
              <w:spacing w:before="60" w:after="60"/>
              <w:rPr>
                <w:rFonts w:ascii="Times" w:hAnsi="Times" w:cs="Times"/>
                <w:color w:val="000000"/>
              </w:rPr>
            </w:pPr>
            <w:r>
              <w:rPr>
                <w:rFonts w:ascii="Times" w:hAnsi="Times" w:cs="Times"/>
                <w:color w:val="000000"/>
              </w:rPr>
              <w:t>DSWI</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1936EDAD"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0.15595</w:t>
            </w:r>
          </w:p>
        </w:tc>
        <w:tc>
          <w:tcPr>
            <w:tcW w:w="2520" w:type="dxa"/>
            <w:tcBorders>
              <w:top w:val="nil"/>
              <w:left w:val="single" w:sz="2" w:space="0" w:color="000000"/>
              <w:bottom w:val="single" w:sz="2" w:space="0" w:color="000000"/>
              <w:right w:val="single" w:sz="2" w:space="0" w:color="000000"/>
            </w:tcBorders>
            <w:shd w:val="clear" w:color="auto" w:fill="FFFFFF"/>
          </w:tcPr>
          <w:p w14:paraId="6B48CB01"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0.10954</w:t>
            </w:r>
          </w:p>
        </w:tc>
      </w:tr>
      <w:tr w:rsidR="00E91BBA" w14:paraId="6610C93E" w14:textId="77777777" w:rsidTr="00E91BBA">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4F96F463" w14:textId="77777777" w:rsidR="00E91BBA" w:rsidRDefault="00E91BBA" w:rsidP="00B55DE3">
            <w:pPr>
              <w:adjustRightInd w:val="0"/>
              <w:spacing w:before="60" w:after="60"/>
              <w:rPr>
                <w:rFonts w:ascii="Times" w:hAnsi="Times" w:cs="Times"/>
                <w:color w:val="000000"/>
              </w:rPr>
            </w:pPr>
            <w:r>
              <w:rPr>
                <w:rFonts w:ascii="Times" w:hAnsi="Times" w:cs="Times"/>
                <w:color w:val="000000"/>
              </w:rPr>
              <w:t>Permanent Stroke</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6D2A61D0"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0.27948</w:t>
            </w:r>
          </w:p>
        </w:tc>
        <w:tc>
          <w:tcPr>
            <w:tcW w:w="2520" w:type="dxa"/>
            <w:tcBorders>
              <w:top w:val="nil"/>
              <w:left w:val="single" w:sz="2" w:space="0" w:color="000000"/>
              <w:bottom w:val="single" w:sz="2" w:space="0" w:color="000000"/>
              <w:right w:val="single" w:sz="2" w:space="0" w:color="000000"/>
            </w:tcBorders>
            <w:shd w:val="clear" w:color="auto" w:fill="FFFFFF"/>
          </w:tcPr>
          <w:p w14:paraId="0DF75F54"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0.26332</w:t>
            </w:r>
          </w:p>
        </w:tc>
      </w:tr>
      <w:tr w:rsidR="00E91BBA" w14:paraId="59DBCB9D" w14:textId="77777777" w:rsidTr="00E91BBA">
        <w:tblPrEx>
          <w:tblCellMar>
            <w:top w:w="0" w:type="dxa"/>
            <w:left w:w="0" w:type="dxa"/>
            <w:bottom w:w="0" w:type="dxa"/>
            <w:right w:w="0" w:type="dxa"/>
          </w:tblCellMar>
        </w:tblPrEx>
        <w:trPr>
          <w:cantSplit/>
        </w:trPr>
        <w:tc>
          <w:tcPr>
            <w:tcW w:w="2272" w:type="dxa"/>
            <w:tcBorders>
              <w:top w:val="nil"/>
              <w:left w:val="single" w:sz="6" w:space="0" w:color="000000"/>
              <w:bottom w:val="single" w:sz="2" w:space="0" w:color="000000"/>
              <w:right w:val="nil"/>
            </w:tcBorders>
            <w:shd w:val="clear" w:color="auto" w:fill="FFFFFF"/>
            <w:tcMar>
              <w:left w:w="60" w:type="dxa"/>
              <w:right w:w="60" w:type="dxa"/>
            </w:tcMar>
          </w:tcPr>
          <w:p w14:paraId="2D05446A" w14:textId="77777777" w:rsidR="00E91BBA" w:rsidRDefault="00E91BBA" w:rsidP="00B55DE3">
            <w:pPr>
              <w:keepNext/>
              <w:adjustRightInd w:val="0"/>
              <w:spacing w:before="60" w:after="60"/>
              <w:rPr>
                <w:rFonts w:ascii="Times" w:hAnsi="Times" w:cs="Times"/>
                <w:color w:val="000000"/>
              </w:rPr>
            </w:pPr>
            <w:r>
              <w:rPr>
                <w:rFonts w:ascii="Times" w:hAnsi="Times" w:cs="Times"/>
                <w:color w:val="000000"/>
              </w:rPr>
              <w:t>Reoperation</w:t>
            </w:r>
          </w:p>
        </w:tc>
        <w:tc>
          <w:tcPr>
            <w:tcW w:w="2430" w:type="dxa"/>
            <w:tcBorders>
              <w:top w:val="nil"/>
              <w:left w:val="single" w:sz="2" w:space="0" w:color="000000"/>
              <w:bottom w:val="single" w:sz="2" w:space="0" w:color="000000"/>
              <w:right w:val="nil"/>
            </w:tcBorders>
            <w:shd w:val="clear" w:color="auto" w:fill="FFFFFF"/>
            <w:tcMar>
              <w:left w:w="60" w:type="dxa"/>
              <w:right w:w="60" w:type="dxa"/>
            </w:tcMar>
          </w:tcPr>
          <w:p w14:paraId="3E1E57C5" w14:textId="77777777" w:rsidR="00E91BBA" w:rsidRDefault="00E91BBA" w:rsidP="00B55DE3">
            <w:pPr>
              <w:keepNext/>
              <w:adjustRightInd w:val="0"/>
              <w:spacing w:before="60" w:after="60"/>
              <w:jc w:val="center"/>
              <w:rPr>
                <w:rFonts w:ascii="Times" w:hAnsi="Times" w:cs="Times"/>
                <w:color w:val="000000"/>
              </w:rPr>
            </w:pPr>
            <w:r>
              <w:rPr>
                <w:rFonts w:ascii="Times" w:hAnsi="Times" w:cs="Times"/>
                <w:color w:val="000000"/>
              </w:rPr>
              <w:t>0.46282</w:t>
            </w:r>
          </w:p>
        </w:tc>
        <w:tc>
          <w:tcPr>
            <w:tcW w:w="2520" w:type="dxa"/>
            <w:tcBorders>
              <w:top w:val="nil"/>
              <w:left w:val="single" w:sz="2" w:space="0" w:color="000000"/>
              <w:bottom w:val="single" w:sz="2" w:space="0" w:color="000000"/>
              <w:right w:val="single" w:sz="2" w:space="0" w:color="000000"/>
            </w:tcBorders>
            <w:shd w:val="clear" w:color="auto" w:fill="FFFFFF"/>
          </w:tcPr>
          <w:p w14:paraId="2D1A026D" w14:textId="77777777" w:rsidR="00E91BBA" w:rsidRDefault="00E91BBA" w:rsidP="00B55DE3">
            <w:pPr>
              <w:keepNext/>
              <w:adjustRightInd w:val="0"/>
              <w:spacing w:before="60" w:after="60"/>
              <w:jc w:val="center"/>
              <w:rPr>
                <w:rFonts w:ascii="Times" w:hAnsi="Times" w:cs="Times"/>
                <w:color w:val="000000"/>
              </w:rPr>
            </w:pPr>
            <w:r>
              <w:rPr>
                <w:rFonts w:ascii="Times" w:hAnsi="Times" w:cs="Times"/>
                <w:color w:val="000000"/>
              </w:rPr>
              <w:t>0.44643</w:t>
            </w:r>
          </w:p>
        </w:tc>
      </w:tr>
      <w:tr w:rsidR="00E91BBA" w14:paraId="0FBB1E47" w14:textId="77777777" w:rsidTr="00E91BBA">
        <w:tblPrEx>
          <w:tblCellMar>
            <w:top w:w="0" w:type="dxa"/>
            <w:left w:w="0" w:type="dxa"/>
            <w:bottom w:w="0" w:type="dxa"/>
            <w:right w:w="0" w:type="dxa"/>
          </w:tblCellMar>
        </w:tblPrEx>
        <w:trPr>
          <w:cantSplit/>
        </w:trPr>
        <w:tc>
          <w:tcPr>
            <w:tcW w:w="2272" w:type="dxa"/>
            <w:tcBorders>
              <w:top w:val="nil"/>
              <w:left w:val="single" w:sz="6" w:space="0" w:color="000000"/>
              <w:bottom w:val="single" w:sz="6" w:space="0" w:color="000000"/>
              <w:right w:val="nil"/>
            </w:tcBorders>
            <w:shd w:val="clear" w:color="auto" w:fill="FFFFFF"/>
            <w:tcMar>
              <w:left w:w="60" w:type="dxa"/>
              <w:right w:w="60" w:type="dxa"/>
            </w:tcMar>
          </w:tcPr>
          <w:p w14:paraId="601F32D4" w14:textId="77777777" w:rsidR="00E91BBA" w:rsidRDefault="00E91BBA" w:rsidP="00B55DE3">
            <w:pPr>
              <w:adjustRightInd w:val="0"/>
              <w:spacing w:before="60" w:after="60"/>
              <w:rPr>
                <w:rFonts w:ascii="Times" w:hAnsi="Times" w:cs="Times"/>
                <w:color w:val="000000"/>
              </w:rPr>
            </w:pPr>
            <w:r>
              <w:rPr>
                <w:rFonts w:ascii="Times" w:hAnsi="Times" w:cs="Times"/>
                <w:color w:val="000000"/>
              </w:rPr>
              <w:t>New Case RF</w:t>
            </w:r>
          </w:p>
        </w:tc>
        <w:tc>
          <w:tcPr>
            <w:tcW w:w="2430" w:type="dxa"/>
            <w:tcBorders>
              <w:top w:val="nil"/>
              <w:left w:val="single" w:sz="2" w:space="0" w:color="000000"/>
              <w:bottom w:val="single" w:sz="6" w:space="0" w:color="000000"/>
              <w:right w:val="nil"/>
            </w:tcBorders>
            <w:shd w:val="clear" w:color="auto" w:fill="FFFFFF"/>
            <w:tcMar>
              <w:left w:w="60" w:type="dxa"/>
              <w:right w:w="60" w:type="dxa"/>
            </w:tcMar>
          </w:tcPr>
          <w:p w14:paraId="27EDE554"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0.45607</w:t>
            </w:r>
          </w:p>
        </w:tc>
        <w:tc>
          <w:tcPr>
            <w:tcW w:w="2520" w:type="dxa"/>
            <w:tcBorders>
              <w:top w:val="nil"/>
              <w:left w:val="single" w:sz="2" w:space="0" w:color="000000"/>
              <w:bottom w:val="single" w:sz="6" w:space="0" w:color="000000"/>
              <w:right w:val="single" w:sz="2" w:space="0" w:color="000000"/>
            </w:tcBorders>
            <w:shd w:val="clear" w:color="auto" w:fill="FFFFFF"/>
          </w:tcPr>
          <w:p w14:paraId="6C839A16" w14:textId="77777777" w:rsidR="00E91BBA" w:rsidRDefault="00E91BBA" w:rsidP="00B55DE3">
            <w:pPr>
              <w:adjustRightInd w:val="0"/>
              <w:spacing w:before="60" w:after="60"/>
              <w:jc w:val="center"/>
              <w:rPr>
                <w:rFonts w:ascii="Times" w:hAnsi="Times" w:cs="Times"/>
                <w:color w:val="000000"/>
              </w:rPr>
            </w:pPr>
            <w:r>
              <w:rPr>
                <w:rFonts w:ascii="Times" w:hAnsi="Times" w:cs="Times"/>
                <w:color w:val="000000"/>
              </w:rPr>
              <w:t>0.41481</w:t>
            </w:r>
          </w:p>
        </w:tc>
      </w:tr>
    </w:tbl>
    <w:p w14:paraId="1FCE577D" w14:textId="77777777" w:rsidR="00E91BBA" w:rsidRDefault="00E91BBA" w:rsidP="0063652A">
      <w:pPr>
        <w:autoSpaceDE w:val="0"/>
        <w:autoSpaceDN w:val="0"/>
        <w:adjustRightInd w:val="0"/>
        <w:spacing w:after="0" w:line="240" w:lineRule="auto"/>
        <w:rPr>
          <w:rFonts w:cstheme="minorHAnsi"/>
          <w:bCs/>
        </w:rPr>
      </w:pPr>
    </w:p>
    <w:p w14:paraId="5EDBECB0" w14:textId="77777777" w:rsidR="00E91BBA" w:rsidRPr="00FC5DE1" w:rsidRDefault="00E91BBA" w:rsidP="0063652A">
      <w:pPr>
        <w:autoSpaceDE w:val="0"/>
        <w:autoSpaceDN w:val="0"/>
        <w:adjustRightInd w:val="0"/>
        <w:spacing w:after="0" w:line="240" w:lineRule="auto"/>
        <w:rPr>
          <w:rFonts w:cstheme="minorHAnsi"/>
          <w:bCs/>
        </w:rPr>
      </w:pPr>
      <w:bookmarkStart w:id="15" w:name="_GoBack"/>
      <w:bookmarkEnd w:id="15"/>
    </w:p>
    <w:p w14:paraId="115FE45E" w14:textId="77777777" w:rsidR="00AD4907" w:rsidRDefault="0063652A" w:rsidP="0063652A">
      <w:pPr>
        <w:autoSpaceDE w:val="0"/>
        <w:autoSpaceDN w:val="0"/>
        <w:adjustRightInd w:val="0"/>
        <w:spacing w:after="0" w:line="240" w:lineRule="auto"/>
        <w:rPr>
          <w:rFonts w:cstheme="minorHAnsi"/>
          <w:bCs/>
        </w:rPr>
      </w:pPr>
      <w:r w:rsidRPr="00FC5DE1">
        <w:rPr>
          <w:rFonts w:cstheme="minorHAnsi"/>
          <w:b/>
          <w:bCs/>
        </w:rPr>
        <w:t xml:space="preserve">2d1.3.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that the components included in the composite are consistent with the described quality construct and add value to the </w:t>
      </w:r>
      <w:r w:rsidRPr="00FC5DE1">
        <w:rPr>
          <w:rFonts w:cstheme="minorHAnsi"/>
          <w:b/>
          <w:bCs/>
        </w:rPr>
        <w:lastRenderedPageBreak/>
        <w:t>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20991913" w14:textId="26C8B048" w:rsidR="00975DE0" w:rsidRPr="00FC5DE1" w:rsidRDefault="00975DE0" w:rsidP="0063652A">
      <w:pPr>
        <w:autoSpaceDE w:val="0"/>
        <w:autoSpaceDN w:val="0"/>
        <w:adjustRightInd w:val="0"/>
        <w:spacing w:after="0" w:line="240" w:lineRule="auto"/>
        <w:rPr>
          <w:rFonts w:cstheme="minorHAnsi"/>
          <w:bCs/>
        </w:rPr>
      </w:pPr>
      <w:r w:rsidRPr="002339F4">
        <w:rPr>
          <w:rFonts w:cstheme="minorHAnsi"/>
          <w:bCs/>
        </w:rPr>
        <w:t>Although risk-adjusted morbidity explains much of the variation in the overall comprehensive score, it does not dominate. Risk-adjusted mortality also contributes statistical information</w:t>
      </w:r>
      <w:r>
        <w:rPr>
          <w:rFonts w:cstheme="minorHAnsi"/>
          <w:bCs/>
        </w:rPr>
        <w:t>.</w:t>
      </w:r>
    </w:p>
    <w:p w14:paraId="0FB67E07" w14:textId="77777777" w:rsidR="0063652A" w:rsidRPr="00FC5DE1" w:rsidRDefault="0063652A" w:rsidP="0063652A">
      <w:pPr>
        <w:autoSpaceDE w:val="0"/>
        <w:autoSpaceDN w:val="0"/>
        <w:adjustRightInd w:val="0"/>
        <w:spacing w:after="0" w:line="240" w:lineRule="auto"/>
        <w:rPr>
          <w:rFonts w:cstheme="minorHAnsi"/>
          <w:b/>
          <w:bCs/>
        </w:rPr>
      </w:pPr>
    </w:p>
    <w:p w14:paraId="0FB67E08"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2d2.  Empirical analysis demonstrating that the aggregations and weighting rules are consistent with the quality construct and achieve the objective of simplicity to the extent possible</w:t>
      </w:r>
    </w:p>
    <w:p w14:paraId="0FB67E09" w14:textId="77777777" w:rsidR="0063652A" w:rsidRPr="00FC5DE1" w:rsidRDefault="0063652A" w:rsidP="0063652A">
      <w:pPr>
        <w:autoSpaceDE w:val="0"/>
        <w:autoSpaceDN w:val="0"/>
        <w:adjustRightInd w:val="0"/>
        <w:spacing w:after="0" w:line="240" w:lineRule="auto"/>
        <w:rPr>
          <w:rFonts w:cstheme="minorHAnsi"/>
          <w:b/>
          <w:bCs/>
        </w:rPr>
      </w:pPr>
    </w:p>
    <w:p w14:paraId="7357525C" w14:textId="77777777" w:rsidR="00AD4907" w:rsidRDefault="0063652A" w:rsidP="00975DE0">
      <w:pPr>
        <w:autoSpaceDE w:val="0"/>
        <w:autoSpaceDN w:val="0"/>
        <w:adjustRightInd w:val="0"/>
        <w:spacing w:after="0" w:line="240" w:lineRule="auto"/>
        <w:rPr>
          <w:rFonts w:cstheme="minorHAnsi"/>
          <w:bCs/>
        </w:rPr>
      </w:pPr>
      <w:r w:rsidRPr="00FC5DE1">
        <w:rPr>
          <w:rFonts w:cstheme="minorHAnsi"/>
          <w:b/>
          <w:bCs/>
        </w:rPr>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00AD4907">
        <w:rPr>
          <w:rFonts w:cstheme="minorHAnsi"/>
          <w:bCs/>
        </w:rPr>
        <w:br/>
      </w:r>
    </w:p>
    <w:p w14:paraId="59698CEA" w14:textId="1769B38E" w:rsidR="00975DE0" w:rsidRPr="00EE2507" w:rsidRDefault="00AD4907" w:rsidP="00975DE0">
      <w:pPr>
        <w:autoSpaceDE w:val="0"/>
        <w:autoSpaceDN w:val="0"/>
        <w:adjustRightInd w:val="0"/>
        <w:spacing w:after="0" w:line="240" w:lineRule="auto"/>
        <w:rPr>
          <w:rFonts w:cstheme="minorHAnsi"/>
          <w:bCs/>
        </w:rPr>
      </w:pPr>
      <w:r w:rsidRPr="00EE2507">
        <w:rPr>
          <w:rFonts w:cstheme="minorHAnsi"/>
          <w:bCs/>
        </w:rPr>
        <w:t xml:space="preserve">The overall composite score is a weighted average of scores from the two domains of quality. </w:t>
      </w:r>
      <w:r w:rsidR="00975DE0" w:rsidRPr="00EE2507">
        <w:rPr>
          <w:rFonts w:cstheme="minorHAnsi"/>
          <w:bCs/>
        </w:rPr>
        <w:t>The domain scores are standardized to the have the same standard deviation. This standardization was used to ensure that items with larger standard deviation (morbidity) would not dominate the overall composite score. This is consistent with the conceptual construct of the composite measure.</w:t>
      </w:r>
    </w:p>
    <w:p w14:paraId="414FE15F" w14:textId="77777777" w:rsidR="00975DE0" w:rsidRPr="00EE2507" w:rsidRDefault="00975DE0" w:rsidP="00975DE0">
      <w:pPr>
        <w:autoSpaceDE w:val="0"/>
        <w:autoSpaceDN w:val="0"/>
        <w:adjustRightInd w:val="0"/>
        <w:spacing w:after="0" w:line="240" w:lineRule="auto"/>
        <w:rPr>
          <w:rFonts w:cstheme="minorHAnsi"/>
          <w:bCs/>
        </w:rPr>
      </w:pPr>
    </w:p>
    <w:p w14:paraId="5ADC8866" w14:textId="3085D6B9" w:rsidR="00975DE0" w:rsidRPr="00EE2507" w:rsidRDefault="00975DE0" w:rsidP="00975DE0">
      <w:pPr>
        <w:autoSpaceDE w:val="0"/>
        <w:autoSpaceDN w:val="0"/>
        <w:adjustRightInd w:val="0"/>
        <w:spacing w:after="0" w:line="240" w:lineRule="auto"/>
        <w:rPr>
          <w:rFonts w:cstheme="minorHAnsi"/>
          <w:bCs/>
        </w:rPr>
      </w:pPr>
      <w:r w:rsidRPr="00EE2507">
        <w:rPr>
          <w:rFonts w:cstheme="minorHAnsi"/>
          <w:bCs/>
        </w:rPr>
        <w:t>We assessed the stability of the standardization by checking whether rescaling by range instead of standard deviation affects the results</w:t>
      </w:r>
    </w:p>
    <w:p w14:paraId="0FB67E0B" w14:textId="77777777" w:rsidR="0063652A" w:rsidRPr="00EE2507" w:rsidRDefault="0063652A" w:rsidP="0063652A">
      <w:pPr>
        <w:autoSpaceDE w:val="0"/>
        <w:autoSpaceDN w:val="0"/>
        <w:adjustRightInd w:val="0"/>
        <w:spacing w:after="0" w:line="240" w:lineRule="auto"/>
        <w:rPr>
          <w:rFonts w:cstheme="minorHAnsi"/>
          <w:bCs/>
        </w:rPr>
      </w:pPr>
    </w:p>
    <w:p w14:paraId="5564FC3C" w14:textId="77777777" w:rsidR="00AD4907" w:rsidRPr="00EE2507" w:rsidRDefault="0063652A" w:rsidP="00975DE0">
      <w:pPr>
        <w:autoSpaceDE w:val="0"/>
        <w:autoSpaceDN w:val="0"/>
        <w:adjustRightInd w:val="0"/>
        <w:spacing w:after="0" w:line="240" w:lineRule="auto"/>
        <w:rPr>
          <w:rFonts w:cstheme="minorHAnsi"/>
          <w:bCs/>
        </w:rPr>
      </w:pPr>
      <w:r w:rsidRPr="00EE2507">
        <w:rPr>
          <w:rFonts w:cstheme="minorHAnsi"/>
          <w:b/>
          <w:bCs/>
        </w:rPr>
        <w:t xml:space="preserve">2d2.2. </w:t>
      </w:r>
      <w:proofErr w:type="gramStart"/>
      <w:r w:rsidRPr="00EE2507">
        <w:rPr>
          <w:rFonts w:cstheme="minorHAnsi"/>
          <w:b/>
          <w:bCs/>
        </w:rPr>
        <w:t>What</w:t>
      </w:r>
      <w:proofErr w:type="gramEnd"/>
      <w:r w:rsidRPr="00EE2507">
        <w:rPr>
          <w:rFonts w:cstheme="minorHAnsi"/>
          <w:b/>
          <w:bCs/>
        </w:rPr>
        <w:t xml:space="preserve"> were the statistical results obtained from the analysis of the aggregation and weighting rules?</w:t>
      </w:r>
      <w:r w:rsidRPr="00EE2507">
        <w:rPr>
          <w:rFonts w:cstheme="minorHAnsi"/>
          <w:bCs/>
        </w:rPr>
        <w:t xml:space="preserve"> (e.g.,</w:t>
      </w:r>
      <w:r w:rsidRPr="00EE2507">
        <w:rPr>
          <w:rFonts w:cstheme="minorHAnsi"/>
          <w:bCs/>
          <w:i/>
        </w:rPr>
        <w:t xml:space="preserve"> results of sensitivity analysis of effect of different aggregations and/or weighting rules; </w:t>
      </w:r>
      <w:r w:rsidRPr="00EE2507">
        <w:rPr>
          <w:rFonts w:cstheme="minorHAnsi"/>
          <w:bCs/>
          <w:i/>
          <w:u w:val="single"/>
        </w:rPr>
        <w:t>if no empirical analysis</w:t>
      </w:r>
      <w:r w:rsidRPr="00EE2507">
        <w:rPr>
          <w:rFonts w:cstheme="minorHAnsi"/>
          <w:bCs/>
          <w:i/>
        </w:rPr>
        <w:t>, identify the aggregation and weighting rules that were considered and the pros and cons of each</w:t>
      </w:r>
      <w:r w:rsidRPr="00EE2507">
        <w:rPr>
          <w:rFonts w:cstheme="minorHAnsi"/>
          <w:bCs/>
        </w:rPr>
        <w:t>)</w:t>
      </w:r>
      <w:r w:rsidRPr="00EE2507">
        <w:rPr>
          <w:rFonts w:cstheme="minorHAnsi"/>
          <w:bCs/>
        </w:rPr>
        <w:br/>
      </w:r>
    </w:p>
    <w:p w14:paraId="4824ECC7" w14:textId="1E2D6A15" w:rsidR="00975DE0" w:rsidRPr="00EE2507" w:rsidRDefault="00975DE0" w:rsidP="00975DE0">
      <w:pPr>
        <w:autoSpaceDE w:val="0"/>
        <w:autoSpaceDN w:val="0"/>
        <w:adjustRightInd w:val="0"/>
        <w:spacing w:after="0" w:line="240" w:lineRule="auto"/>
        <w:rPr>
          <w:rFonts w:cstheme="minorHAnsi"/>
          <w:bCs/>
        </w:rPr>
      </w:pPr>
      <w:r w:rsidRPr="00EE2507">
        <w:rPr>
          <w:rFonts w:cstheme="minorHAnsi"/>
          <w:bCs/>
        </w:rPr>
        <w:t>The Spearman and Pearson correlations are both 0.999 between the adopted implementation and one that standardizes the domains by range.</w:t>
      </w:r>
    </w:p>
    <w:p w14:paraId="4F4B6AC4" w14:textId="77777777" w:rsidR="00AD4907" w:rsidRPr="00EE2507" w:rsidRDefault="00AD4907" w:rsidP="00975DE0">
      <w:pPr>
        <w:autoSpaceDE w:val="0"/>
        <w:autoSpaceDN w:val="0"/>
        <w:adjustRightInd w:val="0"/>
        <w:spacing w:after="0" w:line="240" w:lineRule="auto"/>
        <w:rPr>
          <w:rFonts w:cstheme="minorHAnsi"/>
          <w:bCs/>
        </w:rPr>
      </w:pPr>
    </w:p>
    <w:p w14:paraId="41E37739" w14:textId="77777777" w:rsidR="00AD4907" w:rsidRPr="00EE2507" w:rsidRDefault="00AD4907" w:rsidP="00AD4907">
      <w:pPr>
        <w:autoSpaceDE w:val="0"/>
        <w:autoSpaceDN w:val="0"/>
        <w:adjustRightInd w:val="0"/>
        <w:spacing w:after="0" w:line="240" w:lineRule="auto"/>
        <w:rPr>
          <w:rFonts w:cstheme="minorHAnsi"/>
          <w:bCs/>
        </w:rPr>
      </w:pPr>
      <w:r w:rsidRPr="00EE2507">
        <w:rPr>
          <w:rFonts w:cstheme="minorHAnsi"/>
          <w:bCs/>
        </w:rPr>
        <w:t>(For additional background information on composite scoring and weighting methodologies considered by the STS, their respective pros and cons, etc., see:</w:t>
      </w:r>
    </w:p>
    <w:p w14:paraId="4E619581" w14:textId="77777777" w:rsidR="00AD4907" w:rsidRPr="00EE2507" w:rsidRDefault="00AD4907" w:rsidP="00AD4907">
      <w:pPr>
        <w:autoSpaceDE w:val="0"/>
        <w:autoSpaceDN w:val="0"/>
        <w:adjustRightInd w:val="0"/>
        <w:spacing w:after="0" w:line="240" w:lineRule="auto"/>
        <w:rPr>
          <w:rFonts w:ascii="Calibri" w:hAnsi="Calibri" w:cs="Calibri"/>
        </w:rPr>
      </w:pPr>
      <w:r w:rsidRPr="00EE2507">
        <w:rPr>
          <w:rFonts w:ascii="Calibri" w:hAnsi="Calibri" w:cs="Calibri"/>
        </w:rPr>
        <w:t xml:space="preserve">O’Brien SM, Shahian DM, DeLong ER, et al. Quality measurement in adult cardiac surgery: Part 2—Statistical considerations in composite measure scoring and provider rating. Ann </w:t>
      </w:r>
      <w:proofErr w:type="spellStart"/>
      <w:r w:rsidRPr="00EE2507">
        <w:rPr>
          <w:rFonts w:ascii="Calibri" w:hAnsi="Calibri" w:cs="Calibri"/>
        </w:rPr>
        <w:t>Thorac</w:t>
      </w:r>
      <w:proofErr w:type="spellEnd"/>
      <w:r w:rsidRPr="00EE2507">
        <w:rPr>
          <w:rFonts w:ascii="Calibri" w:hAnsi="Calibri" w:cs="Calibri"/>
        </w:rPr>
        <w:t xml:space="preserve"> </w:t>
      </w:r>
      <w:proofErr w:type="spellStart"/>
      <w:r w:rsidRPr="00EE2507">
        <w:rPr>
          <w:rFonts w:ascii="Calibri" w:hAnsi="Calibri" w:cs="Calibri"/>
        </w:rPr>
        <w:t>Surg</w:t>
      </w:r>
      <w:proofErr w:type="spellEnd"/>
      <w:r w:rsidRPr="00EE2507">
        <w:rPr>
          <w:rFonts w:ascii="Calibri" w:hAnsi="Calibri" w:cs="Calibri"/>
        </w:rPr>
        <w:t xml:space="preserve"> 2007</w:t>
      </w:r>
      <w:proofErr w:type="gramStart"/>
      <w:r w:rsidRPr="00EE2507">
        <w:rPr>
          <w:rFonts w:ascii="Calibri" w:hAnsi="Calibri" w:cs="Calibri"/>
        </w:rPr>
        <w:t>;83:S13</w:t>
      </w:r>
      <w:proofErr w:type="gramEnd"/>
      <w:r w:rsidRPr="00EE2507">
        <w:rPr>
          <w:rFonts w:ascii="Calibri" w:hAnsi="Calibri" w:cs="Calibri"/>
        </w:rPr>
        <w:t>–26.)</w:t>
      </w:r>
    </w:p>
    <w:p w14:paraId="0FB67E0D" w14:textId="77777777" w:rsidR="0063652A" w:rsidRPr="00EE2507" w:rsidRDefault="0063652A" w:rsidP="0063652A">
      <w:pPr>
        <w:autoSpaceDE w:val="0"/>
        <w:autoSpaceDN w:val="0"/>
        <w:adjustRightInd w:val="0"/>
        <w:spacing w:after="0" w:line="240" w:lineRule="auto"/>
        <w:rPr>
          <w:rFonts w:cstheme="minorHAnsi"/>
          <w:bCs/>
        </w:rPr>
      </w:pPr>
    </w:p>
    <w:p w14:paraId="3DC987AC" w14:textId="77777777" w:rsidR="00975DE0" w:rsidRPr="00EE2507" w:rsidRDefault="0063652A" w:rsidP="00975DE0">
      <w:pPr>
        <w:autoSpaceDE w:val="0"/>
        <w:autoSpaceDN w:val="0"/>
        <w:adjustRightInd w:val="0"/>
        <w:spacing w:after="0" w:line="240" w:lineRule="auto"/>
        <w:rPr>
          <w:rFonts w:cstheme="minorHAnsi"/>
          <w:bCs/>
        </w:rPr>
      </w:pPr>
      <w:r w:rsidRPr="00EE2507">
        <w:rPr>
          <w:rFonts w:cstheme="minorHAnsi"/>
          <w:b/>
          <w:bCs/>
        </w:rPr>
        <w:t xml:space="preserve">2d2.3. </w:t>
      </w:r>
      <w:proofErr w:type="gramStart"/>
      <w:r w:rsidRPr="00EE2507">
        <w:rPr>
          <w:rFonts w:cstheme="minorHAnsi"/>
          <w:b/>
          <w:bCs/>
        </w:rPr>
        <w:t>What</w:t>
      </w:r>
      <w:proofErr w:type="gramEnd"/>
      <w:r w:rsidRPr="00EE2507">
        <w:rPr>
          <w:rFonts w:cstheme="minorHAnsi"/>
          <w:b/>
          <w:bCs/>
        </w:rPr>
        <w:t xml:space="preserve"> is your interpretation of the results in terms of demonstrating the aggregation and weighting rules are consistent with the described quality construct?</w:t>
      </w:r>
      <w:r w:rsidRPr="00EE2507">
        <w:rPr>
          <w:rFonts w:cstheme="minorHAnsi"/>
          <w:bCs/>
        </w:rPr>
        <w:t xml:space="preserve"> (i</w:t>
      </w:r>
      <w:r w:rsidRPr="00EE2507">
        <w:rPr>
          <w:rFonts w:cstheme="minorHAnsi"/>
          <w:bCs/>
          <w:i/>
        </w:rPr>
        <w:t xml:space="preserve">.e., what do the results mean in terms of supporting the selected rules for aggregation and weighting; </w:t>
      </w:r>
      <w:r w:rsidRPr="00EE2507">
        <w:rPr>
          <w:rFonts w:cstheme="minorHAnsi"/>
          <w:bCs/>
          <w:i/>
          <w:u w:val="single"/>
        </w:rPr>
        <w:t>if no empirical analysis</w:t>
      </w:r>
      <w:r w:rsidRPr="00EE2507">
        <w:rPr>
          <w:rFonts w:cstheme="minorHAnsi"/>
          <w:bCs/>
          <w:i/>
        </w:rPr>
        <w:t>, provide rationale for the selected rules for aggregation and weighting</w:t>
      </w:r>
      <w:r w:rsidRPr="00EE2507">
        <w:rPr>
          <w:rFonts w:cstheme="minorHAnsi"/>
          <w:bCs/>
        </w:rPr>
        <w:t>)</w:t>
      </w:r>
      <w:r w:rsidRPr="00EE2507">
        <w:rPr>
          <w:rFonts w:cstheme="minorHAnsi"/>
          <w:bCs/>
        </w:rPr>
        <w:br/>
      </w:r>
    </w:p>
    <w:p w14:paraId="44F4E904" w14:textId="560D51F9" w:rsidR="00975DE0" w:rsidRPr="00DB3627" w:rsidRDefault="00975DE0" w:rsidP="00975DE0">
      <w:pPr>
        <w:autoSpaceDE w:val="0"/>
        <w:autoSpaceDN w:val="0"/>
        <w:adjustRightInd w:val="0"/>
        <w:spacing w:after="0" w:line="240" w:lineRule="auto"/>
        <w:rPr>
          <w:rFonts w:cstheme="minorHAnsi"/>
          <w:bCs/>
        </w:rPr>
      </w:pPr>
      <w:r w:rsidRPr="00EE2507">
        <w:rPr>
          <w:rFonts w:cstheme="minorHAnsi"/>
          <w:bCs/>
        </w:rPr>
        <w:t xml:space="preserve">The purpose of the composite score is to incorporate morbidity and mortality into a more comprehensive quality measure for AVR + CABG quality. </w:t>
      </w:r>
      <w:r w:rsidR="00D71059" w:rsidRPr="00D71059">
        <w:rPr>
          <w:rFonts w:cstheme="minorHAnsi"/>
          <w:bCs/>
        </w:rPr>
        <w:t xml:space="preserve">Our approach to combining the two domains does not make any a priori, subjective weighting decisions, but rather weights the domains by the reciprocals of the </w:t>
      </w:r>
      <w:r w:rsidR="00D71059">
        <w:rPr>
          <w:rFonts w:ascii="Calibri" w:hAnsi="Calibri" w:cs="Calibri"/>
        </w:rPr>
        <w:t>standard deviations</w:t>
      </w:r>
      <w:r w:rsidR="00D71059" w:rsidRPr="00D71059">
        <w:rPr>
          <w:rFonts w:cstheme="minorHAnsi"/>
          <w:bCs/>
        </w:rPr>
        <w:t>, an empirical approach driven by the spread of measurements in each domain</w:t>
      </w:r>
      <w:r w:rsidR="00D71059">
        <w:rPr>
          <w:rFonts w:cstheme="minorHAnsi"/>
          <w:bCs/>
        </w:rPr>
        <w:t xml:space="preserve">.  </w:t>
      </w:r>
      <w:r w:rsidRPr="00EE2507">
        <w:rPr>
          <w:rFonts w:cstheme="minorHAnsi"/>
          <w:bCs/>
        </w:rPr>
        <w:t>The test results support that our standardization approach is not susceptible to change by using different scale statistic.</w:t>
      </w:r>
    </w:p>
    <w:p w14:paraId="0FB67E0F" w14:textId="77777777" w:rsidR="0063652A" w:rsidRPr="005560E7" w:rsidRDefault="0063652A">
      <w:pPr>
        <w:autoSpaceDE w:val="0"/>
        <w:autoSpaceDN w:val="0"/>
        <w:adjustRightInd w:val="0"/>
        <w:spacing w:after="0" w:line="240" w:lineRule="auto"/>
        <w:rPr>
          <w:rFonts w:cstheme="minorHAnsi"/>
          <w:bCs/>
        </w:rPr>
      </w:pPr>
    </w:p>
    <w:sectPr w:rsidR="0063652A" w:rsidRPr="005560E7" w:rsidSect="008505D1">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E8EE" w14:textId="77777777" w:rsidR="008379B2" w:rsidRDefault="008379B2" w:rsidP="005C73CA">
      <w:pPr>
        <w:spacing w:after="0" w:line="240" w:lineRule="auto"/>
      </w:pPr>
      <w:r>
        <w:separator/>
      </w:r>
    </w:p>
  </w:endnote>
  <w:endnote w:type="continuationSeparator" w:id="0">
    <w:p w14:paraId="324525CC" w14:textId="77777777" w:rsidR="008379B2" w:rsidRDefault="008379B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7553" w14:textId="77777777" w:rsidR="008379B2" w:rsidRDefault="008379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7" w14:textId="19B91559" w:rsidR="008379B2" w:rsidRDefault="008379B2">
    <w:pPr>
      <w:pStyle w:val="Footer"/>
    </w:pPr>
    <w:r>
      <w:t xml:space="preserve">Version </w:t>
    </w:r>
    <w:r w:rsidRPr="006C4E45">
      <w:t>3</w:t>
    </w:r>
    <w:r>
      <w:t>.0 9/06/2017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829C4" w14:textId="77777777" w:rsidR="008379B2" w:rsidRDefault="008379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3A8E" w14:textId="77777777" w:rsidR="008379B2" w:rsidRDefault="008379B2" w:rsidP="005C73CA">
      <w:pPr>
        <w:spacing w:after="0" w:line="240" w:lineRule="auto"/>
      </w:pPr>
      <w:r>
        <w:separator/>
      </w:r>
    </w:p>
  </w:footnote>
  <w:footnote w:type="continuationSeparator" w:id="0">
    <w:p w14:paraId="447B52F1" w14:textId="77777777" w:rsidR="008379B2" w:rsidRDefault="008379B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2824" w14:textId="77777777" w:rsidR="008379B2" w:rsidRDefault="008379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5" w14:textId="77777777" w:rsidR="008379B2" w:rsidRPr="00105D8B" w:rsidRDefault="008379B2"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35260" w14:textId="77777777" w:rsidR="008379B2" w:rsidRDefault="008379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C424F3"/>
    <w:multiLevelType w:val="hybridMultilevel"/>
    <w:tmpl w:val="2FEE4A22"/>
    <w:lvl w:ilvl="0" w:tplc="607CC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70F6A"/>
    <w:multiLevelType w:val="hybridMultilevel"/>
    <w:tmpl w:val="AE847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A5857"/>
    <w:multiLevelType w:val="hybridMultilevel"/>
    <w:tmpl w:val="A6605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8"/>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6"/>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9"/>
  </w:num>
  <w:num w:numId="27">
    <w:abstractNumId w:val="0"/>
  </w:num>
  <w:num w:numId="28">
    <w:abstractNumId w:val="9"/>
  </w:num>
  <w:num w:numId="29">
    <w:abstractNumId w:val="17"/>
  </w:num>
  <w:num w:numId="30">
    <w:abstractNumId w:val="27"/>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1B15"/>
    <w:rsid w:val="0006234F"/>
    <w:rsid w:val="0007346E"/>
    <w:rsid w:val="000775F8"/>
    <w:rsid w:val="00080CF7"/>
    <w:rsid w:val="000851B2"/>
    <w:rsid w:val="00092566"/>
    <w:rsid w:val="000968F8"/>
    <w:rsid w:val="00097012"/>
    <w:rsid w:val="000B032A"/>
    <w:rsid w:val="000B2DF7"/>
    <w:rsid w:val="000B3880"/>
    <w:rsid w:val="000B7D57"/>
    <w:rsid w:val="000C0FF8"/>
    <w:rsid w:val="000D7948"/>
    <w:rsid w:val="000D7C84"/>
    <w:rsid w:val="000E3495"/>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7696D"/>
    <w:rsid w:val="00182B19"/>
    <w:rsid w:val="001848FC"/>
    <w:rsid w:val="00193F21"/>
    <w:rsid w:val="00196129"/>
    <w:rsid w:val="001969C5"/>
    <w:rsid w:val="001A6608"/>
    <w:rsid w:val="001A6CDD"/>
    <w:rsid w:val="001C12EE"/>
    <w:rsid w:val="001C67BA"/>
    <w:rsid w:val="001C7B02"/>
    <w:rsid w:val="001E4DD4"/>
    <w:rsid w:val="001E69DC"/>
    <w:rsid w:val="001F169D"/>
    <w:rsid w:val="001F1DA1"/>
    <w:rsid w:val="001F6F93"/>
    <w:rsid w:val="001F7A20"/>
    <w:rsid w:val="0021054A"/>
    <w:rsid w:val="0021195A"/>
    <w:rsid w:val="00213383"/>
    <w:rsid w:val="00220250"/>
    <w:rsid w:val="00220311"/>
    <w:rsid w:val="00222444"/>
    <w:rsid w:val="0022691B"/>
    <w:rsid w:val="00232163"/>
    <w:rsid w:val="002376F8"/>
    <w:rsid w:val="00240459"/>
    <w:rsid w:val="002408E4"/>
    <w:rsid w:val="00241591"/>
    <w:rsid w:val="00247461"/>
    <w:rsid w:val="00250B4F"/>
    <w:rsid w:val="00254935"/>
    <w:rsid w:val="0025762F"/>
    <w:rsid w:val="00262185"/>
    <w:rsid w:val="0028114D"/>
    <w:rsid w:val="00287649"/>
    <w:rsid w:val="00287E84"/>
    <w:rsid w:val="0029286C"/>
    <w:rsid w:val="0029300E"/>
    <w:rsid w:val="002A107A"/>
    <w:rsid w:val="002A7B78"/>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174EE"/>
    <w:rsid w:val="00323413"/>
    <w:rsid w:val="00330144"/>
    <w:rsid w:val="00345CBA"/>
    <w:rsid w:val="00346245"/>
    <w:rsid w:val="00356267"/>
    <w:rsid w:val="00356BAD"/>
    <w:rsid w:val="003605B4"/>
    <w:rsid w:val="003627AC"/>
    <w:rsid w:val="003648BF"/>
    <w:rsid w:val="00366914"/>
    <w:rsid w:val="00372FE3"/>
    <w:rsid w:val="003755CB"/>
    <w:rsid w:val="00383F85"/>
    <w:rsid w:val="00387BA1"/>
    <w:rsid w:val="003A306C"/>
    <w:rsid w:val="003A69E2"/>
    <w:rsid w:val="003A7DE7"/>
    <w:rsid w:val="003B1006"/>
    <w:rsid w:val="003C5F11"/>
    <w:rsid w:val="003D294B"/>
    <w:rsid w:val="003D6401"/>
    <w:rsid w:val="003E1863"/>
    <w:rsid w:val="0041606D"/>
    <w:rsid w:val="00416962"/>
    <w:rsid w:val="00417174"/>
    <w:rsid w:val="004348CC"/>
    <w:rsid w:val="00437E06"/>
    <w:rsid w:val="004658FF"/>
    <w:rsid w:val="00474ED7"/>
    <w:rsid w:val="004756E1"/>
    <w:rsid w:val="0048008A"/>
    <w:rsid w:val="0048090F"/>
    <w:rsid w:val="00483E94"/>
    <w:rsid w:val="00484120"/>
    <w:rsid w:val="004853A0"/>
    <w:rsid w:val="00496B5F"/>
    <w:rsid w:val="004A2E10"/>
    <w:rsid w:val="004B17FF"/>
    <w:rsid w:val="004B1BA0"/>
    <w:rsid w:val="004B6CEE"/>
    <w:rsid w:val="004C2443"/>
    <w:rsid w:val="004C498F"/>
    <w:rsid w:val="004C5D29"/>
    <w:rsid w:val="004C681A"/>
    <w:rsid w:val="004C7F1C"/>
    <w:rsid w:val="004D4D8A"/>
    <w:rsid w:val="004F68EE"/>
    <w:rsid w:val="005038D5"/>
    <w:rsid w:val="00511BA4"/>
    <w:rsid w:val="005149E7"/>
    <w:rsid w:val="005232D6"/>
    <w:rsid w:val="00530298"/>
    <w:rsid w:val="005333CC"/>
    <w:rsid w:val="005363F1"/>
    <w:rsid w:val="00537C1B"/>
    <w:rsid w:val="00542758"/>
    <w:rsid w:val="00547E84"/>
    <w:rsid w:val="0055007C"/>
    <w:rsid w:val="00554922"/>
    <w:rsid w:val="00555282"/>
    <w:rsid w:val="005560E7"/>
    <w:rsid w:val="005612CC"/>
    <w:rsid w:val="00563029"/>
    <w:rsid w:val="00567D12"/>
    <w:rsid w:val="00576062"/>
    <w:rsid w:val="0059559F"/>
    <w:rsid w:val="005A49FF"/>
    <w:rsid w:val="005A7634"/>
    <w:rsid w:val="005B6F04"/>
    <w:rsid w:val="005C0447"/>
    <w:rsid w:val="005C19D8"/>
    <w:rsid w:val="005C739F"/>
    <w:rsid w:val="005C73CA"/>
    <w:rsid w:val="005D4768"/>
    <w:rsid w:val="005E2CAB"/>
    <w:rsid w:val="005E429E"/>
    <w:rsid w:val="00601ED4"/>
    <w:rsid w:val="006030BC"/>
    <w:rsid w:val="00612866"/>
    <w:rsid w:val="00613A3D"/>
    <w:rsid w:val="00616EB5"/>
    <w:rsid w:val="006269D4"/>
    <w:rsid w:val="006327D8"/>
    <w:rsid w:val="0063652A"/>
    <w:rsid w:val="0064070A"/>
    <w:rsid w:val="00643A01"/>
    <w:rsid w:val="00650777"/>
    <w:rsid w:val="006574D2"/>
    <w:rsid w:val="00663563"/>
    <w:rsid w:val="006676D4"/>
    <w:rsid w:val="00675535"/>
    <w:rsid w:val="00681359"/>
    <w:rsid w:val="0069157C"/>
    <w:rsid w:val="00696262"/>
    <w:rsid w:val="006C3A4F"/>
    <w:rsid w:val="006C4845"/>
    <w:rsid w:val="006C4E45"/>
    <w:rsid w:val="006C764C"/>
    <w:rsid w:val="006D6BC1"/>
    <w:rsid w:val="006E2BFC"/>
    <w:rsid w:val="006E5C57"/>
    <w:rsid w:val="006E6D9D"/>
    <w:rsid w:val="006F22A5"/>
    <w:rsid w:val="00702C73"/>
    <w:rsid w:val="00713394"/>
    <w:rsid w:val="00724677"/>
    <w:rsid w:val="00725AC2"/>
    <w:rsid w:val="00732880"/>
    <w:rsid w:val="0074027A"/>
    <w:rsid w:val="007416B9"/>
    <w:rsid w:val="007422FD"/>
    <w:rsid w:val="00743E46"/>
    <w:rsid w:val="00747C45"/>
    <w:rsid w:val="00753282"/>
    <w:rsid w:val="00756FDB"/>
    <w:rsid w:val="007629B6"/>
    <w:rsid w:val="007665BF"/>
    <w:rsid w:val="00771B2A"/>
    <w:rsid w:val="007757CE"/>
    <w:rsid w:val="00775800"/>
    <w:rsid w:val="0079180E"/>
    <w:rsid w:val="007950CC"/>
    <w:rsid w:val="0079538B"/>
    <w:rsid w:val="007961B8"/>
    <w:rsid w:val="00797624"/>
    <w:rsid w:val="007A4828"/>
    <w:rsid w:val="007A5896"/>
    <w:rsid w:val="007B093D"/>
    <w:rsid w:val="007B2069"/>
    <w:rsid w:val="007C04A1"/>
    <w:rsid w:val="007C21FA"/>
    <w:rsid w:val="007D13B1"/>
    <w:rsid w:val="007D4351"/>
    <w:rsid w:val="007D7019"/>
    <w:rsid w:val="007E18DB"/>
    <w:rsid w:val="007E6F1C"/>
    <w:rsid w:val="00802539"/>
    <w:rsid w:val="00804C69"/>
    <w:rsid w:val="0080711D"/>
    <w:rsid w:val="008155CD"/>
    <w:rsid w:val="00833325"/>
    <w:rsid w:val="008363A0"/>
    <w:rsid w:val="008379B2"/>
    <w:rsid w:val="00840A41"/>
    <w:rsid w:val="00842F3C"/>
    <w:rsid w:val="008441DB"/>
    <w:rsid w:val="008505D1"/>
    <w:rsid w:val="00855158"/>
    <w:rsid w:val="00857EE8"/>
    <w:rsid w:val="00860325"/>
    <w:rsid w:val="00861D72"/>
    <w:rsid w:val="0086464B"/>
    <w:rsid w:val="008647FC"/>
    <w:rsid w:val="00864CA8"/>
    <w:rsid w:val="00865E2D"/>
    <w:rsid w:val="00870E6C"/>
    <w:rsid w:val="00875846"/>
    <w:rsid w:val="00884486"/>
    <w:rsid w:val="008871A9"/>
    <w:rsid w:val="00891344"/>
    <w:rsid w:val="008916BA"/>
    <w:rsid w:val="00892176"/>
    <w:rsid w:val="00894989"/>
    <w:rsid w:val="008A1DB7"/>
    <w:rsid w:val="008A403A"/>
    <w:rsid w:val="008A4C13"/>
    <w:rsid w:val="008B046F"/>
    <w:rsid w:val="008B0BDF"/>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1CB0"/>
    <w:rsid w:val="00953234"/>
    <w:rsid w:val="00961EAF"/>
    <w:rsid w:val="0096278F"/>
    <w:rsid w:val="009726E1"/>
    <w:rsid w:val="00972A04"/>
    <w:rsid w:val="00975DE0"/>
    <w:rsid w:val="00977591"/>
    <w:rsid w:val="00980E75"/>
    <w:rsid w:val="00994BE0"/>
    <w:rsid w:val="009A25B1"/>
    <w:rsid w:val="009A4608"/>
    <w:rsid w:val="009A6A57"/>
    <w:rsid w:val="009A70BF"/>
    <w:rsid w:val="009B1A15"/>
    <w:rsid w:val="009B626B"/>
    <w:rsid w:val="009C0852"/>
    <w:rsid w:val="009C13CA"/>
    <w:rsid w:val="009C32C6"/>
    <w:rsid w:val="009C665F"/>
    <w:rsid w:val="009D7E38"/>
    <w:rsid w:val="009E095B"/>
    <w:rsid w:val="009E1846"/>
    <w:rsid w:val="009E78FF"/>
    <w:rsid w:val="00A01494"/>
    <w:rsid w:val="00A024A6"/>
    <w:rsid w:val="00A22FA9"/>
    <w:rsid w:val="00A25024"/>
    <w:rsid w:val="00A35F8F"/>
    <w:rsid w:val="00A41377"/>
    <w:rsid w:val="00A4263D"/>
    <w:rsid w:val="00A509B8"/>
    <w:rsid w:val="00A52AB9"/>
    <w:rsid w:val="00A564F9"/>
    <w:rsid w:val="00A6210B"/>
    <w:rsid w:val="00A6449E"/>
    <w:rsid w:val="00A64EBF"/>
    <w:rsid w:val="00A66116"/>
    <w:rsid w:val="00A70902"/>
    <w:rsid w:val="00A71200"/>
    <w:rsid w:val="00A7323A"/>
    <w:rsid w:val="00A831B4"/>
    <w:rsid w:val="00A97798"/>
    <w:rsid w:val="00A97C65"/>
    <w:rsid w:val="00AA5213"/>
    <w:rsid w:val="00AA65A6"/>
    <w:rsid w:val="00AC1D8E"/>
    <w:rsid w:val="00AC48FA"/>
    <w:rsid w:val="00AD0240"/>
    <w:rsid w:val="00AD4137"/>
    <w:rsid w:val="00AD4907"/>
    <w:rsid w:val="00AE1AE1"/>
    <w:rsid w:val="00AE1CE6"/>
    <w:rsid w:val="00B037BA"/>
    <w:rsid w:val="00B20139"/>
    <w:rsid w:val="00B218DA"/>
    <w:rsid w:val="00B342FA"/>
    <w:rsid w:val="00B53E8B"/>
    <w:rsid w:val="00B774D2"/>
    <w:rsid w:val="00B7753C"/>
    <w:rsid w:val="00B8015A"/>
    <w:rsid w:val="00B82A57"/>
    <w:rsid w:val="00BA053B"/>
    <w:rsid w:val="00BB35AE"/>
    <w:rsid w:val="00BC03A1"/>
    <w:rsid w:val="00BC0D25"/>
    <w:rsid w:val="00BD01D4"/>
    <w:rsid w:val="00BD2505"/>
    <w:rsid w:val="00BE592D"/>
    <w:rsid w:val="00BF52B0"/>
    <w:rsid w:val="00BF5697"/>
    <w:rsid w:val="00C026E3"/>
    <w:rsid w:val="00C120CA"/>
    <w:rsid w:val="00C14CCC"/>
    <w:rsid w:val="00C15525"/>
    <w:rsid w:val="00C1695E"/>
    <w:rsid w:val="00C22C1C"/>
    <w:rsid w:val="00C33F2E"/>
    <w:rsid w:val="00C34936"/>
    <w:rsid w:val="00C34C14"/>
    <w:rsid w:val="00C355B9"/>
    <w:rsid w:val="00C37EF1"/>
    <w:rsid w:val="00C401C4"/>
    <w:rsid w:val="00C41680"/>
    <w:rsid w:val="00C52F18"/>
    <w:rsid w:val="00C60A25"/>
    <w:rsid w:val="00C765C5"/>
    <w:rsid w:val="00C81D8B"/>
    <w:rsid w:val="00C82479"/>
    <w:rsid w:val="00C867F0"/>
    <w:rsid w:val="00CA06D8"/>
    <w:rsid w:val="00CA345A"/>
    <w:rsid w:val="00CB49FF"/>
    <w:rsid w:val="00CC02CF"/>
    <w:rsid w:val="00CC086A"/>
    <w:rsid w:val="00CD0F66"/>
    <w:rsid w:val="00CD364B"/>
    <w:rsid w:val="00CE23B8"/>
    <w:rsid w:val="00CE2BA8"/>
    <w:rsid w:val="00CE50D7"/>
    <w:rsid w:val="00CF4CBE"/>
    <w:rsid w:val="00D00344"/>
    <w:rsid w:val="00D1754D"/>
    <w:rsid w:val="00D2223F"/>
    <w:rsid w:val="00D274A4"/>
    <w:rsid w:val="00D277AF"/>
    <w:rsid w:val="00D31163"/>
    <w:rsid w:val="00D320B1"/>
    <w:rsid w:val="00D33AFD"/>
    <w:rsid w:val="00D36489"/>
    <w:rsid w:val="00D42195"/>
    <w:rsid w:val="00D50704"/>
    <w:rsid w:val="00D5760A"/>
    <w:rsid w:val="00D61410"/>
    <w:rsid w:val="00D71059"/>
    <w:rsid w:val="00D8181D"/>
    <w:rsid w:val="00D968D8"/>
    <w:rsid w:val="00DA186F"/>
    <w:rsid w:val="00DA563D"/>
    <w:rsid w:val="00DA7277"/>
    <w:rsid w:val="00DB3627"/>
    <w:rsid w:val="00DB4724"/>
    <w:rsid w:val="00DB6944"/>
    <w:rsid w:val="00DC4746"/>
    <w:rsid w:val="00DE7149"/>
    <w:rsid w:val="00E0314C"/>
    <w:rsid w:val="00E108CC"/>
    <w:rsid w:val="00E1508F"/>
    <w:rsid w:val="00E261DF"/>
    <w:rsid w:val="00E27240"/>
    <w:rsid w:val="00E27EDD"/>
    <w:rsid w:val="00E30584"/>
    <w:rsid w:val="00E310B9"/>
    <w:rsid w:val="00E33FEF"/>
    <w:rsid w:val="00E37E1B"/>
    <w:rsid w:val="00E562C0"/>
    <w:rsid w:val="00E57FAF"/>
    <w:rsid w:val="00E672D6"/>
    <w:rsid w:val="00E71BD8"/>
    <w:rsid w:val="00E76024"/>
    <w:rsid w:val="00E77F8B"/>
    <w:rsid w:val="00E856A2"/>
    <w:rsid w:val="00E91BBA"/>
    <w:rsid w:val="00E967AD"/>
    <w:rsid w:val="00E96884"/>
    <w:rsid w:val="00EA5435"/>
    <w:rsid w:val="00EA5F47"/>
    <w:rsid w:val="00EB455E"/>
    <w:rsid w:val="00EC79DE"/>
    <w:rsid w:val="00ED4ACE"/>
    <w:rsid w:val="00EE0885"/>
    <w:rsid w:val="00EE2507"/>
    <w:rsid w:val="00EE2B52"/>
    <w:rsid w:val="00EE4D35"/>
    <w:rsid w:val="00EF2DA7"/>
    <w:rsid w:val="00F1412B"/>
    <w:rsid w:val="00F15BFA"/>
    <w:rsid w:val="00F34FAB"/>
    <w:rsid w:val="00F41854"/>
    <w:rsid w:val="00F435AA"/>
    <w:rsid w:val="00F46230"/>
    <w:rsid w:val="00F5738A"/>
    <w:rsid w:val="00F612D4"/>
    <w:rsid w:val="00F66E02"/>
    <w:rsid w:val="00F70855"/>
    <w:rsid w:val="00F77F1D"/>
    <w:rsid w:val="00F81CFF"/>
    <w:rsid w:val="00F87CCB"/>
    <w:rsid w:val="00FA48C7"/>
    <w:rsid w:val="00FB51FB"/>
    <w:rsid w:val="00FB73C1"/>
    <w:rsid w:val="00FE5D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FB67D24"/>
  <w15:docId w15:val="{FB0813E0-D558-4A59-8658-2D0D63E5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Quote">
    <w:name w:val="Quote"/>
    <w:basedOn w:val="Normal"/>
    <w:next w:val="Normal"/>
    <w:link w:val="QuoteChar"/>
    <w:uiPriority w:val="29"/>
    <w:qFormat/>
    <w:rsid w:val="008B0BDF"/>
    <w:pPr>
      <w:spacing w:after="0" w:line="240" w:lineRule="auto"/>
    </w:pPr>
    <w:rPr>
      <w:rFonts w:ascii="Calibri" w:eastAsia="Calibri" w:hAnsi="Calibri" w:cs="Calibri"/>
      <w:i/>
      <w:iCs/>
      <w:color w:val="000000"/>
    </w:rPr>
  </w:style>
  <w:style w:type="character" w:customStyle="1" w:styleId="QuoteChar">
    <w:name w:val="Quote Char"/>
    <w:basedOn w:val="DefaultParagraphFont"/>
    <w:link w:val="Quote"/>
    <w:uiPriority w:val="29"/>
    <w:rsid w:val="008B0BDF"/>
    <w:rPr>
      <w:rFonts w:ascii="Calibri" w:eastAsia="Calibri" w:hAnsi="Calibri" w:cs="Calibri"/>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D0699D7BCA984A5893178068864EEB90"/>
        <w:category>
          <w:name w:val="General"/>
          <w:gallery w:val="placeholder"/>
        </w:category>
        <w:types>
          <w:type w:val="bbPlcHdr"/>
        </w:types>
        <w:behaviors>
          <w:behavior w:val="content"/>
        </w:behaviors>
        <w:guid w:val="{4C9EE228-650D-4454-9362-E6CC7A9F89BA}"/>
      </w:docPartPr>
      <w:docPartBody>
        <w:p w:rsidR="00211557" w:rsidRDefault="00211557" w:rsidP="00211557">
          <w:pPr>
            <w:pStyle w:val="D0699D7BCA984A5893178068864EEB90"/>
          </w:pPr>
          <w:r w:rsidRPr="00FC5DE1">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D465B"/>
    <w:rsid w:val="00211557"/>
    <w:rsid w:val="00223FA3"/>
    <w:rsid w:val="00256A43"/>
    <w:rsid w:val="002A288F"/>
    <w:rsid w:val="002C65A7"/>
    <w:rsid w:val="002F052A"/>
    <w:rsid w:val="00350176"/>
    <w:rsid w:val="003840F0"/>
    <w:rsid w:val="00437537"/>
    <w:rsid w:val="004A6698"/>
    <w:rsid w:val="004D785E"/>
    <w:rsid w:val="0053654E"/>
    <w:rsid w:val="00632A7E"/>
    <w:rsid w:val="00632AB6"/>
    <w:rsid w:val="00730B33"/>
    <w:rsid w:val="00772B2A"/>
    <w:rsid w:val="007B7B8C"/>
    <w:rsid w:val="007C672A"/>
    <w:rsid w:val="007D4368"/>
    <w:rsid w:val="00803286"/>
    <w:rsid w:val="00822666"/>
    <w:rsid w:val="00823ECC"/>
    <w:rsid w:val="00826796"/>
    <w:rsid w:val="00866C97"/>
    <w:rsid w:val="009017AE"/>
    <w:rsid w:val="009C542D"/>
    <w:rsid w:val="00A01A18"/>
    <w:rsid w:val="00A95183"/>
    <w:rsid w:val="00AA28E3"/>
    <w:rsid w:val="00AB4AF7"/>
    <w:rsid w:val="00AD7C4F"/>
    <w:rsid w:val="00B24C5F"/>
    <w:rsid w:val="00B27075"/>
    <w:rsid w:val="00B445F5"/>
    <w:rsid w:val="00B57778"/>
    <w:rsid w:val="00BA61B8"/>
    <w:rsid w:val="00BD40CB"/>
    <w:rsid w:val="00C362A2"/>
    <w:rsid w:val="00C70C65"/>
    <w:rsid w:val="00C90121"/>
    <w:rsid w:val="00C96E73"/>
    <w:rsid w:val="00CA1FE8"/>
    <w:rsid w:val="00CA344F"/>
    <w:rsid w:val="00D010D0"/>
    <w:rsid w:val="00D1676E"/>
    <w:rsid w:val="00DC0246"/>
    <w:rsid w:val="00E6518A"/>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55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D0699D7BCA984A5893178068864EEB90">
    <w:name w:val="D0699D7BCA984A5893178068864EEB90"/>
    <w:rsid w:val="0021155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836b82f1-340d-495e-85b5-201c5296619a"/>
    <ds:schemaRef ds:uri="http://purl.org/dc/terms/"/>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4B11BD-5A8D-4421-9EA8-022408E3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25</Pages>
  <Words>9154</Words>
  <Characters>52184</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6</cp:revision>
  <cp:lastPrinted>2017-09-19T20:52:00Z</cp:lastPrinted>
  <dcterms:created xsi:type="dcterms:W3CDTF">2018-08-01T05:01:00Z</dcterms:created>
  <dcterms:modified xsi:type="dcterms:W3CDTF">2018-08-01T19:22:00Z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