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E352A6">
            <w:rPr>
              <w:rStyle w:val="Style1"/>
            </w:rPr>
            <w:t>Not P</w:t>
          </w:r>
          <w:r w:rsidR="008F6AC8">
            <w:rPr>
              <w:rStyle w:val="Style1"/>
            </w:rPr>
            <w:t>reviously Endorsed</w:t>
          </w:r>
          <w:r w:rsidR="00E352A6">
            <w:rPr>
              <w:rStyle w:val="Style1"/>
            </w:rPr>
            <w:t>, NQF</w:t>
          </w:r>
          <w:bookmarkStart w:id="0" w:name="_GoBack"/>
          <w:bookmarkEnd w:id="0"/>
          <w:r w:rsidR="008F6AC8">
            <w:rPr>
              <w:rStyle w:val="Style1"/>
            </w:rPr>
            <w:t xml:space="preserve"> #2624</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8F6AC8">
            <w:rPr>
              <w:rStyle w:val="Style1"/>
            </w:rPr>
            <w:t>Functional Outcome Assessment</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4-10-21T00:00:00Z">
            <w:dateFormat w:val="M/d/yyyy"/>
            <w:lid w:val="en-US"/>
            <w:storeMappedDataAs w:val="dateTime"/>
            <w:calendar w:val="gregorian"/>
          </w:date>
        </w:sdtPr>
        <w:sdtEndPr>
          <w:rPr>
            <w:rStyle w:val="DefaultParagraphFont"/>
            <w:noProof/>
            <w:color w:val="auto"/>
            <w:u w:val="none"/>
          </w:rPr>
        </w:sdtEndPr>
        <w:sdtContent>
          <w:r w:rsidR="005C03F3">
            <w:rPr>
              <w:rStyle w:val="Style2"/>
            </w:rPr>
            <w:t>10/21/2014</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3"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1" w:name="Note2"/>
            <w:bookmarkEnd w:id="1"/>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4"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5"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6"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7"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8"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4C452F"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4C452F"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4C452F"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4C452F"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8F6AC8">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8F6AC8">
            <w:rPr>
              <w:rStyle w:val="Style2"/>
              <w:rFonts w:cstheme="minorHAnsi"/>
            </w:rPr>
            <w:t xml:space="preserve">Functional outcome assessment </w:t>
          </w:r>
          <w:r w:rsidR="00FF26E3">
            <w:rPr>
              <w:rStyle w:val="Style2"/>
              <w:rFonts w:cstheme="minorHAnsi"/>
            </w:rPr>
            <w:t>and care plan</w:t>
          </w:r>
        </w:sdtContent>
      </w:sdt>
    </w:p>
    <w:p w:rsidR="00496AF8" w:rsidRPr="003B1CC5" w:rsidRDefault="004C452F"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4C452F"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FD68B8" w:rsidRDefault="002B06BD" w:rsidP="00FD68B8">
      <w:pPr>
        <w:ind w:left="432" w:hanging="432"/>
        <w:rPr>
          <w:b/>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r w:rsidR="00FD68B8">
        <w:rPr>
          <w:b/>
          <w:iCs/>
        </w:rPr>
        <w:t xml:space="preserve"> </w:t>
      </w:r>
    </w:p>
    <w:p w:rsidR="00FD68B8" w:rsidRPr="00FD68B8" w:rsidRDefault="00FF26E3" w:rsidP="00FD68B8">
      <w:pPr>
        <w:ind w:left="432" w:hanging="432"/>
        <w:rPr>
          <w:bCs/>
        </w:rPr>
      </w:pPr>
      <w:r w:rsidRPr="009F5419">
        <w:rPr>
          <w:bCs/>
        </w:rPr>
        <w:t>N/A</w:t>
      </w: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B71B99" w:rsidRPr="009F5419" w:rsidRDefault="00B71B99" w:rsidP="00B71B99">
      <w:pPr>
        <w:rPr>
          <w:iCs/>
        </w:rPr>
      </w:pPr>
      <w:r w:rsidRPr="009F5419">
        <w:rPr>
          <w:bCs/>
        </w:rPr>
        <w:t>N/A</w:t>
      </w: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56099B" w:rsidRDefault="0056099B" w:rsidP="002E2177">
      <w:pPr>
        <w:ind w:left="0" w:firstLine="0"/>
        <w:rPr>
          <w:i/>
          <w:iCs/>
        </w:rPr>
      </w:pPr>
    </w:p>
    <w:p w:rsidR="00A75159" w:rsidRPr="009F5419" w:rsidRDefault="0056099B" w:rsidP="002E2177">
      <w:pPr>
        <w:ind w:left="0" w:firstLine="0"/>
        <w:rPr>
          <w:rFonts w:cs="Times"/>
        </w:rPr>
      </w:pPr>
      <w:r w:rsidRPr="009F5419">
        <w:rPr>
          <w:rFonts w:cs="Times"/>
        </w:rPr>
        <w:t>Utilization of validated functional outcome assessment tools help to monitor patient’s status and differentiate treatment approaches in order to improve the patient's ability to function.</w:t>
      </w:r>
    </w:p>
    <w:p w:rsidR="00581F8F" w:rsidRDefault="00581F8F" w:rsidP="002E2177">
      <w:pPr>
        <w:ind w:left="0" w:firstLine="0"/>
        <w:rPr>
          <w:rFonts w:ascii="Arial Narrow" w:hAnsi="Arial Narrow" w:cs="Times"/>
        </w:rPr>
      </w:pPr>
    </w:p>
    <w:p w:rsidR="006D5911" w:rsidRDefault="00781D87" w:rsidP="002E2177">
      <w:pPr>
        <w:ind w:left="0" w:firstLine="0"/>
        <w:rPr>
          <w:i/>
          <w:iCs/>
        </w:rPr>
      </w:pPr>
      <w:r w:rsidRPr="006D5911">
        <w:rPr>
          <w:i/>
          <w:iCs/>
          <w:noProof/>
        </w:rPr>
        <mc:AlternateContent>
          <mc:Choice Requires="wps">
            <w:drawing>
              <wp:anchor distT="0" distB="0" distL="114300" distR="114300" simplePos="0" relativeHeight="251665408" behindDoc="0" locked="0" layoutInCell="1" allowOverlap="1" wp14:anchorId="4D13FA35" wp14:editId="1272A603">
                <wp:simplePos x="0" y="0"/>
                <wp:positionH relativeFrom="column">
                  <wp:posOffset>86360</wp:posOffset>
                </wp:positionH>
                <wp:positionV relativeFrom="page">
                  <wp:posOffset>6019800</wp:posOffset>
                </wp:positionV>
                <wp:extent cx="847725" cy="857250"/>
                <wp:effectExtent l="0" t="0" r="28575"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857250"/>
                        </a:xfrm>
                        <a:prstGeom prst="rect">
                          <a:avLst/>
                        </a:prstGeom>
                        <a:solidFill>
                          <a:srgbClr val="FFFFFF"/>
                        </a:solidFill>
                        <a:ln w="9525">
                          <a:solidFill>
                            <a:srgbClr val="000000"/>
                          </a:solidFill>
                          <a:miter lim="800000"/>
                          <a:headEnd/>
                          <a:tailEnd/>
                        </a:ln>
                      </wps:spPr>
                      <wps:txbx>
                        <w:txbxContent>
                          <w:p w:rsidR="00DE2B2F" w:rsidRDefault="00DE2B2F" w:rsidP="00781D87">
                            <w:pPr>
                              <w:tabs>
                                <w:tab w:val="left" w:pos="0"/>
                              </w:tabs>
                              <w:ind w:left="0" w:right="-45" w:firstLine="0"/>
                              <w:jc w:val="center"/>
                            </w:pPr>
                            <w:r>
                              <w:t>Functional outcome assessment tool</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8pt;margin-top:474pt;width:66.75pt;height:6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">
                <v:textbox>
                  <w:txbxContent>
                    <w:p w:rsidR="00DE2B2F" w:rsidRDefault="00DE2B2F" w:rsidP="00781D87">
                      <w:pPr>
                        <w:tabs>
                          <w:tab w:val="left" w:pos="0"/>
                        </w:tabs>
                        <w:ind w:left="0" w:right="-45" w:firstLine="0"/>
                        <w:jc w:val="center"/>
                      </w:pPr>
                      <w:r>
                        <w:t>Functional outcome assessment tool</w:t>
                      </w:r>
                    </w:p>
                  </w:txbxContent>
                </v:textbox>
                <w10:wrap anchory="page"/>
              </v:shape>
            </w:pict>
          </mc:Fallback>
        </mc:AlternateContent>
      </w:r>
      <w:r w:rsidRPr="00B71744">
        <w:rPr>
          <w:noProof/>
        </w:rPr>
        <mc:AlternateContent>
          <mc:Choice Requires="wps">
            <w:drawing>
              <wp:anchor distT="0" distB="0" distL="114300" distR="114300" simplePos="0" relativeHeight="251663360" behindDoc="0" locked="0" layoutInCell="1" allowOverlap="1" wp14:anchorId="53578400" wp14:editId="5F6FD5B4">
                <wp:simplePos x="0" y="0"/>
                <wp:positionH relativeFrom="column">
                  <wp:posOffset>4515485</wp:posOffset>
                </wp:positionH>
                <wp:positionV relativeFrom="paragraph">
                  <wp:posOffset>161290</wp:posOffset>
                </wp:positionV>
                <wp:extent cx="1381125" cy="800100"/>
                <wp:effectExtent l="0" t="0" r="28575"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125" cy="800100"/>
                        </a:xfrm>
                        <a:prstGeom prst="rect">
                          <a:avLst/>
                        </a:prstGeom>
                        <a:solidFill>
                          <a:srgbClr val="FFFFFF"/>
                        </a:solidFill>
                        <a:ln w="9525">
                          <a:solidFill>
                            <a:srgbClr val="000000"/>
                          </a:solidFill>
                          <a:miter lim="800000"/>
                          <a:headEnd/>
                          <a:tailEnd/>
                        </a:ln>
                      </wps:spPr>
                      <wps:txbx>
                        <w:txbxContent>
                          <w:p w:rsidR="00DE2B2F" w:rsidRDefault="00DE2B2F" w:rsidP="00DC0654">
                            <w:pPr>
                              <w:ind w:left="0" w:firstLine="0"/>
                              <w:jc w:val="center"/>
                            </w:pPr>
                            <w:r>
                              <w:t>Improve functional status of patients and health related quality of life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355.55pt;margin-top:12.7pt;width:108.75pt;height:6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">
                <v:textbox>
                  <w:txbxContent>
                    <w:p w:rsidR="00DE2B2F" w:rsidRDefault="00DE2B2F" w:rsidP="00DC0654">
                      <w:pPr>
                        <w:ind w:left="0" w:firstLine="0"/>
                        <w:jc w:val="center"/>
                      </w:pPr>
                      <w:r>
                        <w:t>Improve functional status of patients and health related quality of life</w:t>
                      </w:r>
                    </w:p>
                  </w:txbxContent>
                </v:textbox>
              </v:shape>
            </w:pict>
          </mc:Fallback>
        </mc:AlternateContent>
      </w:r>
      <w:r w:rsidRPr="00A75159">
        <w:rPr>
          <w:i/>
          <w:iCs/>
          <w:noProof/>
        </w:rPr>
        <mc:AlternateContent>
          <mc:Choice Requires="wps">
            <w:drawing>
              <wp:anchor distT="0" distB="0" distL="114300" distR="114300" simplePos="0" relativeHeight="251661312" behindDoc="0" locked="0" layoutInCell="1" allowOverlap="1" wp14:anchorId="60665532" wp14:editId="50DF5434">
                <wp:simplePos x="0" y="0"/>
                <wp:positionH relativeFrom="column">
                  <wp:posOffset>1191260</wp:posOffset>
                </wp:positionH>
                <wp:positionV relativeFrom="paragraph">
                  <wp:posOffset>113665</wp:posOffset>
                </wp:positionV>
                <wp:extent cx="3067050" cy="876300"/>
                <wp:effectExtent l="0" t="0" r="19050"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876300"/>
                        </a:xfrm>
                        <a:prstGeom prst="rect">
                          <a:avLst/>
                        </a:prstGeom>
                        <a:solidFill>
                          <a:srgbClr val="FFFFFF"/>
                        </a:solidFill>
                        <a:ln w="9525">
                          <a:solidFill>
                            <a:srgbClr val="000000"/>
                          </a:solidFill>
                          <a:miter lim="800000"/>
                          <a:headEnd/>
                          <a:tailEnd/>
                        </a:ln>
                      </wps:spPr>
                      <wps:txbx>
                        <w:txbxContent>
                          <w:p w:rsidR="00DE2B2F" w:rsidRDefault="00DE2B2F" w:rsidP="00781D87">
                            <w:pPr>
                              <w:ind w:left="90" w:firstLine="0"/>
                              <w:jc w:val="center"/>
                            </w:pPr>
                            <w:r>
                              <w:t>Identifying a patient’s baseline status relative to function and monitoring a change in a patient’s status throughout the course of treatment (adjusting treatment/care plan as appropriate)</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93.8pt;margin-top:8.95pt;width:241.5pt;height: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">
                <v:textbox>
                  <w:txbxContent>
                    <w:p w:rsidR="00DE2B2F" w:rsidRDefault="00DE2B2F" w:rsidP="00781D87">
                      <w:pPr>
                        <w:ind w:left="90" w:firstLine="0"/>
                        <w:jc w:val="center"/>
                      </w:pPr>
                      <w:r>
                        <w:t>Identifying a patient’s baseline status relative to function and monitoring a change in a patient’s status throughout the course of treatment (adjusting treatment/care plan as appropriate)</w:t>
                      </w:r>
                    </w:p>
                  </w:txbxContent>
                </v:textbox>
              </v:shape>
            </w:pict>
          </mc:Fallback>
        </mc:AlternateContent>
      </w:r>
    </w:p>
    <w:p w:rsidR="006D5911" w:rsidRDefault="006D5911" w:rsidP="002E2177">
      <w:pPr>
        <w:ind w:left="0" w:firstLine="0"/>
        <w:rPr>
          <w:i/>
          <w:iCs/>
        </w:rPr>
      </w:pPr>
    </w:p>
    <w:p w:rsidR="006D5911" w:rsidRDefault="006D5911" w:rsidP="002E2177">
      <w:pPr>
        <w:ind w:left="0" w:firstLine="0"/>
        <w:rPr>
          <w:i/>
          <w:iCs/>
        </w:rPr>
      </w:pPr>
    </w:p>
    <w:p w:rsidR="006D5911" w:rsidRDefault="00781D87" w:rsidP="006D5911">
      <w:pPr>
        <w:ind w:left="0" w:firstLine="0"/>
        <w:jc w:val="center"/>
        <w:rPr>
          <w:i/>
          <w:iCs/>
        </w:rPr>
      </w:pPr>
      <w:r>
        <w:rPr>
          <w:i/>
          <w:iCs/>
          <w:noProof/>
        </w:rPr>
        <mc:AlternateContent>
          <mc:Choice Requires="wps">
            <w:drawing>
              <wp:anchor distT="0" distB="0" distL="114300" distR="114300" simplePos="0" relativeHeight="251666432" behindDoc="0" locked="0" layoutInCell="1" allowOverlap="1" wp14:anchorId="22AE1E18" wp14:editId="0CC531F9">
                <wp:simplePos x="0" y="0"/>
                <wp:positionH relativeFrom="column">
                  <wp:posOffset>934085</wp:posOffset>
                </wp:positionH>
                <wp:positionV relativeFrom="paragraph">
                  <wp:posOffset>50165</wp:posOffset>
                </wp:positionV>
                <wp:extent cx="257175" cy="0"/>
                <wp:effectExtent l="0" t="76200" r="28575" b="114300"/>
                <wp:wrapNone/>
                <wp:docPr id="1" name="Straight Arrow Connector 1"/>
                <wp:cNvGraphicFramePr/>
                <a:graphic xmlns:a="http://schemas.openxmlformats.org/drawingml/2006/main">
                  <a:graphicData uri="http://schemas.microsoft.com/office/word/2010/wordprocessingShape">
                    <wps:wsp>
                      <wps:cNvCnPr/>
                      <wps:spPr>
                        <a:xfrm>
                          <a:off x="0" y="0"/>
                          <a:ext cx="257175"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73.55pt;margin-top:3.95pt;width:20.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" strokecolor="black [3213]" strokeweight="1.5pt">
                <v:stroke endarrow="open"/>
              </v:shape>
            </w:pict>
          </mc:Fallback>
        </mc:AlternateContent>
      </w:r>
      <w:r>
        <w:rPr>
          <w:i/>
          <w:iCs/>
          <w:noProof/>
        </w:rPr>
        <mc:AlternateContent>
          <mc:Choice Requires="wps">
            <w:drawing>
              <wp:anchor distT="0" distB="0" distL="114300" distR="114300" simplePos="0" relativeHeight="251668480" behindDoc="0" locked="0" layoutInCell="1" allowOverlap="1" wp14:anchorId="041ADA3A" wp14:editId="1532A276">
                <wp:simplePos x="0" y="0"/>
                <wp:positionH relativeFrom="column">
                  <wp:posOffset>4258310</wp:posOffset>
                </wp:positionH>
                <wp:positionV relativeFrom="paragraph">
                  <wp:posOffset>40640</wp:posOffset>
                </wp:positionV>
                <wp:extent cx="257175" cy="0"/>
                <wp:effectExtent l="0" t="76200" r="28575" b="114300"/>
                <wp:wrapNone/>
                <wp:docPr id="6" name="Straight Arrow Connector 6"/>
                <wp:cNvGraphicFramePr/>
                <a:graphic xmlns:a="http://schemas.openxmlformats.org/drawingml/2006/main">
                  <a:graphicData uri="http://schemas.microsoft.com/office/word/2010/wordprocessingShape">
                    <wps:wsp>
                      <wps:cNvCnPr/>
                      <wps:spPr>
                        <a:xfrm>
                          <a:off x="0" y="0"/>
                          <a:ext cx="257175" cy="0"/>
                        </a:xfrm>
                        <a:prstGeom prst="straightConnector1">
                          <a:avLst/>
                        </a:prstGeom>
                        <a:ln w="190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335.3pt;margin-top:3.2pt;width:20.2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" strokecolor="black [3213]" strokeweight="1.5pt">
                <v:stroke endarrow="open"/>
              </v:shape>
            </w:pict>
          </mc:Fallback>
        </mc:AlternateContent>
      </w:r>
    </w:p>
    <w:p w:rsidR="00A75159" w:rsidRDefault="00A75159" w:rsidP="002E2177">
      <w:pPr>
        <w:ind w:left="0" w:firstLine="0"/>
        <w:rPr>
          <w:i/>
          <w:iCs/>
        </w:rPr>
      </w:pPr>
    </w:p>
    <w:p w:rsidR="00A75159" w:rsidRDefault="00A75159" w:rsidP="002E2177">
      <w:pPr>
        <w:ind w:left="0" w:firstLine="0"/>
        <w:rPr>
          <w:i/>
          <w:iCs/>
        </w:rPr>
      </w:pPr>
    </w:p>
    <w:p w:rsidR="00A75159" w:rsidRDefault="00A75159" w:rsidP="002E2177">
      <w:pPr>
        <w:ind w:left="0" w:firstLine="0"/>
        <w:rPr>
          <w:i/>
          <w:iCs/>
        </w:rPr>
      </w:pPr>
    </w:p>
    <w:p w:rsidR="00A75159" w:rsidRDefault="00A75159" w:rsidP="00B71744">
      <w:pPr>
        <w:ind w:left="0" w:firstLine="0"/>
        <w:jc w:val="center"/>
        <w:rPr>
          <w:i/>
          <w:iCs/>
        </w:rPr>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4C452F"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15156D">
            <w:rPr>
              <w:rFonts w:ascii="MS Gothic" w:eastAsia="MS Gothic" w:hAnsi="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4C452F"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4C452F" w:rsidP="002E2177">
      <w:pPr>
        <w:ind w:left="0" w:firstLine="0"/>
      </w:pPr>
      <w:sdt>
        <w:sdtPr>
          <w:rPr>
            <w:bCs/>
            <w:color w:val="0000FF"/>
          </w:rPr>
          <w:id w:val="1199589694"/>
          <w14:checkbox>
            <w14:checked w14:val="1"/>
            <w14:checkedState w14:val="2612" w14:font="MS Gothic"/>
            <w14:uncheckedState w14:val="2610" w14:font="MS Gothic"/>
          </w14:checkbox>
        </w:sdtPr>
        <w:sdtEndPr/>
        <w:sdtContent>
          <w:r w:rsidR="0015156D">
            <w:rPr>
              <w:rFonts w:ascii="MS Gothic" w:eastAsia="MS Gothic" w:hAnsi="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4C452F"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15156D">
            <w:rPr>
              <w:rFonts w:ascii="MS Gothic" w:eastAsia="MS Gothic" w:hAnsi="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lastRenderedPageBreak/>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78449E" w:rsidRPr="003B1CC5" w:rsidRDefault="0078449E" w:rsidP="002E2177">
      <w:pPr>
        <w:ind w:left="0" w:firstLine="0"/>
      </w:pPr>
    </w:p>
    <w:p w:rsidR="00B42499" w:rsidRPr="009F5419" w:rsidRDefault="00B42499" w:rsidP="00B42499">
      <w:pPr>
        <w:ind w:left="0" w:firstLine="0"/>
      </w:pPr>
      <w:r w:rsidRPr="009F5419">
        <w:t xml:space="preserve">Kelley, M. J., Shaffer, M.A., Kuhn, J.E., Michener, L.A., Seitz, A.L., Uhl, T.L., Godges, J.J., &amp; McClure, P.W.  (2013). Shoulder Pain and Mobility Deficits: Adhesive Capsulitis Clinical Practice Guidelines Linked to the International Classification of Functioning, Disability, and Health From the Orthopaedic Section of the American Physical Therapy Association. </w:t>
      </w:r>
      <w:r w:rsidRPr="009F5419">
        <w:rPr>
          <w:i/>
        </w:rPr>
        <w:t>Journal of Orthopedic Sports Physical Therapy</w:t>
      </w:r>
      <w:r w:rsidRPr="009F5419">
        <w:t xml:space="preserve">, 43(5), A1-A31. doi:10.2519/jospt.2013.0302. Retrieved from </w:t>
      </w:r>
      <w:hyperlink r:id="rId19" w:history="1">
        <w:r w:rsidRPr="009F5419">
          <w:rPr>
            <w:rStyle w:val="Hyperlink"/>
          </w:rPr>
          <w:t>http://www.jospt.org/doi/pdfplus/10.2519/jospt.2013.0302</w:t>
        </w:r>
      </w:hyperlink>
    </w:p>
    <w:p w:rsidR="00B42499" w:rsidRPr="009F5419" w:rsidRDefault="00B42499" w:rsidP="002E2177">
      <w:pPr>
        <w:ind w:left="0" w:firstLine="0"/>
        <w:rPr>
          <w:rFonts w:cs="Arial"/>
        </w:rPr>
      </w:pPr>
    </w:p>
    <w:p w:rsidR="0015156D" w:rsidRPr="009F5419" w:rsidRDefault="003F7A97" w:rsidP="002E2177">
      <w:pPr>
        <w:ind w:left="0" w:firstLine="0"/>
        <w:rPr>
          <w:rFonts w:cs="Arial"/>
        </w:rPr>
      </w:pPr>
      <w:r w:rsidRPr="009F5419">
        <w:rPr>
          <w:rFonts w:cs="Arial"/>
        </w:rPr>
        <w:t>Delitto, A., George, S.A., Van Dillen, L.R., Whitman, J. M., Sowa, G., Shekelle, P.</w:t>
      </w:r>
      <w:r w:rsidR="002906C9" w:rsidRPr="009F5419">
        <w:rPr>
          <w:rFonts w:cs="Arial"/>
        </w:rPr>
        <w:t>,</w:t>
      </w:r>
      <w:r w:rsidRPr="009F5419">
        <w:rPr>
          <w:rFonts w:cs="Arial"/>
        </w:rPr>
        <w:t xml:space="preserve"> &amp; Denniger, T.R.  (2012). </w:t>
      </w:r>
      <w:r w:rsidR="00C8145B" w:rsidRPr="009F5419">
        <w:rPr>
          <w:rFonts w:cs="Arial"/>
        </w:rPr>
        <w:t xml:space="preserve">Low back pain:  Clinical practice guidelines linked to the International Classification of Functioning, Disability, and Health from the Orthopedic Section of the American Physical Therapy Association.  </w:t>
      </w:r>
      <w:r w:rsidR="00C8145B" w:rsidRPr="009F5419">
        <w:rPr>
          <w:rFonts w:cs="Arial"/>
          <w:i/>
        </w:rPr>
        <w:t>Journal of Orthopedic Sports Physical Therapy</w:t>
      </w:r>
      <w:r w:rsidRPr="009F5419">
        <w:rPr>
          <w:rFonts w:cs="Arial"/>
        </w:rPr>
        <w:t xml:space="preserve">, 42(4), </w:t>
      </w:r>
      <w:r w:rsidR="00C8145B" w:rsidRPr="009F5419">
        <w:rPr>
          <w:rFonts w:cs="Arial"/>
        </w:rPr>
        <w:t>A1-A57.</w:t>
      </w:r>
      <w:r w:rsidR="00FA1A23" w:rsidRPr="009F5419">
        <w:rPr>
          <w:rFonts w:cs="Arial"/>
        </w:rPr>
        <w:t xml:space="preserve"> Retrieved from</w:t>
      </w:r>
      <w:r w:rsidR="00BB0CB1" w:rsidRPr="009F5419">
        <w:rPr>
          <w:rFonts w:cs="Arial"/>
        </w:rPr>
        <w:t xml:space="preserve"> http://www.jospt.org/doi/pdfplus/10.2519/jospt.2012.42.4.A1</w:t>
      </w:r>
    </w:p>
    <w:p w:rsidR="006F4B7F" w:rsidRPr="009F5419" w:rsidRDefault="006F4B7F" w:rsidP="002E2177">
      <w:pPr>
        <w:ind w:left="0" w:firstLine="0"/>
      </w:pPr>
    </w:p>
    <w:p w:rsidR="00C8145B" w:rsidRPr="00B71B99" w:rsidRDefault="00FA73CF" w:rsidP="002E2177">
      <w:pPr>
        <w:ind w:left="0" w:firstLine="0"/>
      </w:pPr>
      <w:r w:rsidRPr="009F5419">
        <w:rPr>
          <w:rFonts w:cs="Arial"/>
        </w:rPr>
        <w:t xml:space="preserve">Institute for Clinical Systems Improvement (2012). </w:t>
      </w:r>
      <w:r w:rsidR="00341E32" w:rsidRPr="009F5419">
        <w:rPr>
          <w:rFonts w:cs="Arial"/>
        </w:rPr>
        <w:t>Goertz, M., Thorson, D., Bonsell</w:t>
      </w:r>
      <w:r w:rsidR="00D16143">
        <w:rPr>
          <w:rFonts w:cs="Arial"/>
        </w:rPr>
        <w:t xml:space="preserve">, J., Bonte, B., Campbell, R., </w:t>
      </w:r>
      <w:r w:rsidR="00341E32" w:rsidRPr="009F5419">
        <w:rPr>
          <w:rFonts w:cs="Arial"/>
        </w:rPr>
        <w:t>Haake, B., Johnson, K., Kramer, C., Mueller, B.</w:t>
      </w:r>
      <w:r w:rsidR="00D16143">
        <w:rPr>
          <w:rFonts w:cs="Arial"/>
        </w:rPr>
        <w:t xml:space="preserve">, </w:t>
      </w:r>
      <w:r w:rsidR="00341E32" w:rsidRPr="009F5419">
        <w:rPr>
          <w:rFonts w:cs="Arial"/>
        </w:rPr>
        <w:t>Peterson, S., Setterlund, L.,</w:t>
      </w:r>
      <w:r w:rsidRPr="009F5419">
        <w:rPr>
          <w:rFonts w:cs="Arial"/>
        </w:rPr>
        <w:t xml:space="preserve"> &amp; Timming, R.  </w:t>
      </w:r>
      <w:r w:rsidR="00341E32" w:rsidRPr="009F5419">
        <w:rPr>
          <w:rFonts w:cs="Arial"/>
        </w:rPr>
        <w:t>Adult Acute and Subacute Low Back Pain.  Retrieved from http;//www.icsi.org/_asset/bjvqri/LBP/pdf</w:t>
      </w:r>
    </w:p>
    <w:p w:rsidR="00C8145B" w:rsidRPr="00C8145B" w:rsidRDefault="00C8145B" w:rsidP="002E2177">
      <w:pPr>
        <w:ind w:left="0" w:firstLine="0"/>
        <w:rPr>
          <w:rFonts w:ascii="Arial Narrow" w:hAnsi="Arial Narrow"/>
        </w:rPr>
      </w:pPr>
    </w:p>
    <w:p w:rsidR="00D14F0B"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5F32EC" w:rsidRPr="00DC1ACE" w:rsidRDefault="005F32EC" w:rsidP="00DC1ACE">
      <w:pPr>
        <w:ind w:left="0" w:firstLine="0"/>
        <w:rPr>
          <w:rFonts w:ascii="Arial Narrow" w:hAnsi="Arial Narrow" w:cs="Arial"/>
        </w:rPr>
      </w:pPr>
    </w:p>
    <w:p w:rsidR="005F32EC" w:rsidRPr="009F5419" w:rsidRDefault="008873B0" w:rsidP="00DC1ACE">
      <w:pPr>
        <w:autoSpaceDE w:val="0"/>
        <w:autoSpaceDN w:val="0"/>
        <w:adjustRightInd w:val="0"/>
        <w:rPr>
          <w:rFonts w:cs="TimesNewRoman,Bold"/>
          <w:bCs/>
        </w:rPr>
      </w:pPr>
      <w:r w:rsidRPr="009F5419">
        <w:rPr>
          <w:rFonts w:cs="TimesNewRoman,Bold"/>
          <w:bCs/>
        </w:rPr>
        <w:t>1.</w:t>
      </w:r>
      <w:r w:rsidR="005F32EC" w:rsidRPr="009F5419">
        <w:rPr>
          <w:rFonts w:cs="TimesNewRoman,Bold"/>
          <w:bCs/>
        </w:rPr>
        <w:t>Clinicians should use validated functional outcome measures, such as the Disabilities of the Arm, Shoulder and Hand (DASH), the American Shoulder and Elbow Surgeons shoulder scale (ASES), or the Shoulder Pain and Disability Index (SPPADI).  These should be utilized before and after interventions intended to alleviate the impairments of body function and structure, activity limitations, and participation restrictions associated with adhesive capsulitis  (Kelley et al., 2013</w:t>
      </w:r>
      <w:r w:rsidR="00B0511E" w:rsidRPr="009F5419">
        <w:rPr>
          <w:rFonts w:cs="TimesNewRoman,Bold"/>
          <w:bCs/>
        </w:rPr>
        <w:t>, p. A2</w:t>
      </w:r>
      <w:r w:rsidR="005F32EC" w:rsidRPr="009F5419">
        <w:rPr>
          <w:rFonts w:cs="TimesNewRoman,Bold"/>
          <w:bCs/>
        </w:rPr>
        <w:t>) (Guideline).</w:t>
      </w:r>
    </w:p>
    <w:p w:rsidR="005F32EC" w:rsidRPr="009F5419" w:rsidRDefault="005F32EC" w:rsidP="00DC1ACE">
      <w:pPr>
        <w:ind w:left="0" w:firstLine="0"/>
      </w:pPr>
    </w:p>
    <w:p w:rsidR="005F32EC" w:rsidRPr="009F5419" w:rsidRDefault="008873B0" w:rsidP="00DC1ACE">
      <w:pPr>
        <w:autoSpaceDE w:val="0"/>
        <w:autoSpaceDN w:val="0"/>
        <w:adjustRightInd w:val="0"/>
        <w:rPr>
          <w:rFonts w:cs="TimesNewRoman,Bold"/>
          <w:bCs/>
        </w:rPr>
      </w:pPr>
      <w:r w:rsidRPr="009F5419">
        <w:t>2.</w:t>
      </w:r>
      <w:r w:rsidR="005F32EC" w:rsidRPr="009F5419">
        <w:t>Clinicians should use validated self-report questionnaires, such as the Oswestry Disability Index and the Roland-Morris Disability Ques</w:t>
      </w:r>
      <w:r w:rsidR="005F32EC" w:rsidRPr="009F5419">
        <w:softHyphen/>
        <w:t>tionnaire. These tools are useful for identifying a patient’s baseline status relative to pain, function, and disability and for monitoring a change in a patient’s status throughout the course of treatment (Delitto et al., 2012</w:t>
      </w:r>
      <w:r w:rsidR="007B7CFA" w:rsidRPr="009F5419">
        <w:t>, p. A2</w:t>
      </w:r>
      <w:r w:rsidR="005F32EC" w:rsidRPr="009F5419">
        <w:t xml:space="preserve">) </w:t>
      </w:r>
      <w:r w:rsidR="005F32EC" w:rsidRPr="009F5419">
        <w:rPr>
          <w:rFonts w:cs="TimesNewRoman,Bold"/>
          <w:bCs/>
        </w:rPr>
        <w:t>(Guideline).</w:t>
      </w:r>
    </w:p>
    <w:p w:rsidR="00E67B95" w:rsidRDefault="00E67B95" w:rsidP="00DC1ACE">
      <w:pPr>
        <w:autoSpaceDE w:val="0"/>
        <w:autoSpaceDN w:val="0"/>
        <w:adjustRightInd w:val="0"/>
        <w:rPr>
          <w:rFonts w:ascii="Arial Narrow" w:hAnsi="Arial Narrow" w:cs="TimesNewRoman,Bold"/>
          <w:bCs/>
        </w:rPr>
      </w:pPr>
    </w:p>
    <w:p w:rsidR="00E67B95" w:rsidRPr="009F5419" w:rsidRDefault="008873B0" w:rsidP="00DC1ACE">
      <w:pPr>
        <w:autoSpaceDE w:val="0"/>
        <w:autoSpaceDN w:val="0"/>
        <w:adjustRightInd w:val="0"/>
      </w:pPr>
      <w:r w:rsidRPr="009F5419">
        <w:t>3.</w:t>
      </w:r>
      <w:r w:rsidR="00E67B95" w:rsidRPr="009F5419">
        <w:t>Clinicians should routinely assess activity limitation and participation restriction through validated performance-based measures. Changes in the patient’s level of activity limitation and participation restric</w:t>
      </w:r>
      <w:r w:rsidR="00E67B95" w:rsidRPr="009F5419">
        <w:softHyphen/>
        <w:t xml:space="preserve">tion should be monitored with these same measures over the course of treatment (Delitto et al., 2012, p. A2) </w:t>
      </w:r>
      <w:r w:rsidR="00E67B95" w:rsidRPr="009F5419">
        <w:rPr>
          <w:rFonts w:cs="TimesNewRoman,Bold"/>
          <w:bCs/>
        </w:rPr>
        <w:t>(Guideline)</w:t>
      </w:r>
      <w:r w:rsidR="00FD0DB8" w:rsidRPr="009F5419">
        <w:t>.</w:t>
      </w:r>
    </w:p>
    <w:p w:rsidR="009F5419" w:rsidRPr="009F5419" w:rsidRDefault="009F5419" w:rsidP="00DC1ACE">
      <w:pPr>
        <w:autoSpaceDE w:val="0"/>
        <w:autoSpaceDN w:val="0"/>
        <w:adjustRightInd w:val="0"/>
        <w:rPr>
          <w:rFonts w:cs="TimesNewRoman,Bold"/>
          <w:bCs/>
        </w:rPr>
      </w:pPr>
    </w:p>
    <w:p w:rsidR="005F32EC" w:rsidRPr="009F5419" w:rsidRDefault="00FA73CF" w:rsidP="00427476">
      <w:pPr>
        <w:autoSpaceDE w:val="0"/>
        <w:autoSpaceDN w:val="0"/>
        <w:adjustRightInd w:val="0"/>
      </w:pPr>
      <w:proofErr w:type="gramStart"/>
      <w:r w:rsidRPr="009F5419">
        <w:t>4.Clinicians</w:t>
      </w:r>
      <w:proofErr w:type="gramEnd"/>
      <w:r w:rsidRPr="009F5419">
        <w:t xml:space="preserve"> should not recommend imaging (including computed tomography [CT], magnetic resonance imaging [MRI] and x-ray) for patients with non-specific low back pain (</w:t>
      </w:r>
      <w:r w:rsidR="00252C53" w:rsidRPr="009F5419">
        <w:t>Institute for Clinical Systems Improvement, 2012</w:t>
      </w:r>
      <w:r w:rsidR="009C2FC4" w:rsidRPr="009F5419">
        <w:t>, p.12</w:t>
      </w:r>
      <w:r w:rsidR="00252C53" w:rsidRPr="009F5419">
        <w:t>).</w:t>
      </w:r>
    </w:p>
    <w:p w:rsidR="00252C53" w:rsidRPr="009F5419" w:rsidRDefault="00252C53" w:rsidP="00427476">
      <w:pPr>
        <w:autoSpaceDE w:val="0"/>
        <w:autoSpaceDN w:val="0"/>
        <w:adjustRightInd w:val="0"/>
        <w:ind w:firstLine="0"/>
      </w:pPr>
      <w:r w:rsidRPr="009F5419">
        <w:t>(</w:t>
      </w:r>
      <w:proofErr w:type="gramStart"/>
      <w:r w:rsidRPr="00427476">
        <w:rPr>
          <w:i/>
          <w:iCs/>
        </w:rPr>
        <w:t>the</w:t>
      </w:r>
      <w:proofErr w:type="gramEnd"/>
      <w:r w:rsidRPr="00427476">
        <w:rPr>
          <w:i/>
          <w:iCs/>
        </w:rPr>
        <w:t xml:space="preserve"> guideline provides alternatives such as the Oswestry that should be included as part of the initial evaluation)</w:t>
      </w:r>
    </w:p>
    <w:p w:rsidR="00496AF8" w:rsidRPr="003B1CC5" w:rsidRDefault="00496AF8" w:rsidP="002E2177">
      <w:pPr>
        <w:ind w:left="0" w:firstLine="0"/>
      </w:pPr>
    </w:p>
    <w:p w:rsidR="008A45F3"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F1490B" w:rsidRDefault="00F1490B" w:rsidP="00265702">
      <w:pPr>
        <w:ind w:left="0" w:firstLine="0"/>
      </w:pPr>
    </w:p>
    <w:p w:rsidR="00F1490B" w:rsidRPr="003D586E" w:rsidRDefault="003D2F35" w:rsidP="00510A89">
      <w:pPr>
        <w:autoSpaceDE w:val="0"/>
        <w:autoSpaceDN w:val="0"/>
        <w:adjustRightInd w:val="0"/>
        <w:ind w:firstLine="0"/>
        <w:rPr>
          <w:rFonts w:eastAsiaTheme="minorEastAsia"/>
        </w:rPr>
      </w:pPr>
      <w:r w:rsidRPr="003D586E">
        <w:rPr>
          <w:rFonts w:eastAsiaTheme="minorEastAsia"/>
          <w:b/>
        </w:rPr>
        <w:t xml:space="preserve">For Recommendation 1, </w:t>
      </w:r>
      <w:r w:rsidR="001D2A5A" w:rsidRPr="003D586E">
        <w:rPr>
          <w:rFonts w:eastAsiaTheme="minorEastAsia"/>
          <w:b/>
        </w:rPr>
        <w:t>2</w:t>
      </w:r>
      <w:r w:rsidR="008873B0" w:rsidRPr="003D586E">
        <w:rPr>
          <w:rFonts w:eastAsiaTheme="minorEastAsia"/>
          <w:b/>
        </w:rPr>
        <w:t xml:space="preserve"> and 3</w:t>
      </w:r>
      <w:r w:rsidR="00F1490B" w:rsidRPr="003D586E">
        <w:rPr>
          <w:rFonts w:eastAsiaTheme="minorEastAsia"/>
          <w:b/>
        </w:rPr>
        <w:t>:</w:t>
      </w:r>
      <w:r w:rsidR="00F1490B" w:rsidRPr="003D586E">
        <w:rPr>
          <w:rFonts w:eastAsiaTheme="minorEastAsia"/>
        </w:rPr>
        <w:t xml:space="preserve"> </w:t>
      </w:r>
      <w:r w:rsidR="001D2A5A" w:rsidRPr="003D586E">
        <w:rPr>
          <w:rFonts w:eastAsiaTheme="minorEastAsia"/>
        </w:rPr>
        <w:t>The Oxford Centre for Evidence-Based Medicine criteria was used.  (</w:t>
      </w:r>
      <w:r w:rsidR="00F1490B" w:rsidRPr="003D586E">
        <w:rPr>
          <w:rFonts w:eastAsiaTheme="minorEastAsia"/>
        </w:rPr>
        <w:t>The overall strength of the evidence supporting recommendations made in these guidelines was graded according to guidelines described by Guyatt et al,</w:t>
      </w:r>
      <w:r w:rsidR="00704116" w:rsidRPr="003D586E">
        <w:rPr>
          <w:rFonts w:eastAsiaTheme="minorEastAsia"/>
        </w:rPr>
        <w:t xml:space="preserve"> </w:t>
      </w:r>
      <w:r w:rsidR="00F1490B" w:rsidRPr="003D586E">
        <w:rPr>
          <w:rFonts w:eastAsiaTheme="minorEastAsia"/>
        </w:rPr>
        <w:t>48 as modified by MacDermid et al73 and adopted by the coordinator and reviewers of this project. In this modified system, the typical A, B, C, and D grades of evidence have been modified to include the role of consensus expert opinion and basic science research to demonstrate biological or biomechanical plausibility</w:t>
      </w:r>
      <w:r w:rsidR="001D2A5A" w:rsidRPr="003D586E">
        <w:rPr>
          <w:rFonts w:eastAsiaTheme="minorEastAsia"/>
        </w:rPr>
        <w:t>).</w:t>
      </w:r>
    </w:p>
    <w:p w:rsidR="00F1490B" w:rsidRPr="003D586E" w:rsidRDefault="00F1490B" w:rsidP="00265702">
      <w:pPr>
        <w:ind w:left="0" w:firstLine="0"/>
      </w:pPr>
    </w:p>
    <w:p w:rsidR="00704116" w:rsidRPr="003D586E" w:rsidRDefault="003F7A97" w:rsidP="00704116">
      <w:pPr>
        <w:pStyle w:val="ListParagraph"/>
        <w:numPr>
          <w:ilvl w:val="0"/>
          <w:numId w:val="9"/>
        </w:numPr>
      </w:pPr>
      <w:r w:rsidRPr="003D586E">
        <w:t xml:space="preserve">Kelley, M. J., Shaffer, M.A., Kuhn, J.E., Michener, L.A., Seitz, A.L., Uhl, T.L., Godges, J.J., &amp; McClure, P.W.  (2013). Shoulder Pain and Mobility Deficits: Adhesive Capsulitis Clinical Practice Guidelines Linked to the International Classification of Functioning, Disability, and Health From the Orthopaedic Section of the American Physical Therapy Association. </w:t>
      </w:r>
      <w:r w:rsidRPr="003D586E">
        <w:rPr>
          <w:i/>
        </w:rPr>
        <w:t>Journal of Orthopedic Sports Physical Therapy</w:t>
      </w:r>
      <w:r w:rsidRPr="003D586E">
        <w:t>, 43(5), A1-A31. doi:10.2519/jospt.2013.0302. Retrieved from http://www.jospt.org/doi/pdfplus/10.2519/jospt.2013.0302</w:t>
      </w:r>
    </w:p>
    <w:p w:rsidR="008A45F3" w:rsidRPr="003D586E" w:rsidRDefault="007C547D" w:rsidP="004A5B7A">
      <w:pPr>
        <w:pStyle w:val="ListParagraph"/>
        <w:numPr>
          <w:ilvl w:val="0"/>
          <w:numId w:val="16"/>
        </w:numPr>
        <w:autoSpaceDE w:val="0"/>
        <w:autoSpaceDN w:val="0"/>
        <w:adjustRightInd w:val="0"/>
      </w:pPr>
      <w:r w:rsidRPr="003D586E">
        <w:rPr>
          <w:b/>
        </w:rPr>
        <w:t>Recommendation based on strong evidence:</w:t>
      </w:r>
      <w:r w:rsidRPr="003D586E">
        <w:t xml:space="preserve">  A preponderance of level I and/or level II studies support the recommendation. This must include at least 1 level I study</w:t>
      </w:r>
    </w:p>
    <w:p w:rsidR="003A2E38" w:rsidRDefault="003A2E38" w:rsidP="003A2E38">
      <w:pPr>
        <w:pStyle w:val="ListParagraph"/>
        <w:ind w:firstLine="0"/>
        <w:rPr>
          <w:rFonts w:cs="Arial"/>
        </w:rPr>
      </w:pPr>
    </w:p>
    <w:p w:rsidR="007B7CFA" w:rsidRPr="003D586E" w:rsidRDefault="00FA1A23" w:rsidP="007B7CFA">
      <w:pPr>
        <w:pStyle w:val="ListParagraph"/>
        <w:numPr>
          <w:ilvl w:val="0"/>
          <w:numId w:val="9"/>
        </w:numPr>
        <w:rPr>
          <w:rFonts w:cs="Arial"/>
        </w:rPr>
      </w:pPr>
      <w:r w:rsidRPr="003D586E">
        <w:rPr>
          <w:rFonts w:cs="Arial"/>
        </w:rPr>
        <w:t xml:space="preserve">Delitto, A., George, S.A., Van Dillen, L.R., Whitman, J. M., Sowa, G., Shekelle, P. &amp; Denniger, T.R.  (2012). Low back pain:  Clinical practice guidelines linked to the International Classification of Functioning, Disability, and Health from the Orthopedic Section of the American Physical Therapy Association.  </w:t>
      </w:r>
      <w:r w:rsidRPr="003D586E">
        <w:rPr>
          <w:rFonts w:cs="Arial"/>
          <w:i/>
        </w:rPr>
        <w:t>Journal of Orthopedic Sports Physical Therapy</w:t>
      </w:r>
      <w:r w:rsidRPr="003D586E">
        <w:rPr>
          <w:rFonts w:cs="Arial"/>
        </w:rPr>
        <w:t>, 42(4), A1-A57. Retrieved from http://www.jospt.org/doi/pdfplus/10.2519/jospt.2012.42.4.A1</w:t>
      </w:r>
    </w:p>
    <w:p w:rsidR="00480858" w:rsidRPr="003D586E" w:rsidRDefault="00480858" w:rsidP="007945BD">
      <w:pPr>
        <w:pStyle w:val="ListParagraph"/>
        <w:numPr>
          <w:ilvl w:val="0"/>
          <w:numId w:val="15"/>
        </w:numPr>
        <w:autoSpaceDE w:val="0"/>
        <w:autoSpaceDN w:val="0"/>
        <w:adjustRightInd w:val="0"/>
      </w:pPr>
      <w:r w:rsidRPr="003D586E">
        <w:rPr>
          <w:b/>
        </w:rPr>
        <w:t>Recommendation based on strong evidence:</w:t>
      </w:r>
      <w:r w:rsidRPr="003D586E">
        <w:t xml:space="preserve">  A preponderance of level I and/or level II studies support the recommendation. This must include at least 1 level I study</w:t>
      </w:r>
    </w:p>
    <w:p w:rsidR="00704116" w:rsidRPr="003D586E" w:rsidRDefault="00704116" w:rsidP="00704116">
      <w:pPr>
        <w:pStyle w:val="ListParagraph"/>
        <w:autoSpaceDE w:val="0"/>
        <w:autoSpaceDN w:val="0"/>
        <w:adjustRightInd w:val="0"/>
        <w:ind w:left="1080" w:firstLine="0"/>
      </w:pPr>
    </w:p>
    <w:p w:rsidR="008873B0" w:rsidRPr="003D586E" w:rsidRDefault="008873B0" w:rsidP="008873B0">
      <w:pPr>
        <w:pStyle w:val="ListParagraph"/>
        <w:numPr>
          <w:ilvl w:val="0"/>
          <w:numId w:val="9"/>
        </w:numPr>
        <w:autoSpaceDE w:val="0"/>
        <w:autoSpaceDN w:val="0"/>
        <w:adjustRightInd w:val="0"/>
      </w:pPr>
      <w:r w:rsidRPr="003D586E">
        <w:rPr>
          <w:rFonts w:cs="Arial"/>
        </w:rPr>
        <w:t xml:space="preserve">Delitto, A., George, S.A., Van Dillen, L.R., Whitman, J. M., Sowa, G., Shekelle, P. &amp; Denniger, T.R.  (2012). Low back pain:  Clinical practice guidelines linked to the International Classification of Functioning, Disability, and Health from the Orthopedic Section of the American Physical Therapy Association.  </w:t>
      </w:r>
      <w:r w:rsidRPr="003D586E">
        <w:rPr>
          <w:rFonts w:cs="Arial"/>
          <w:i/>
        </w:rPr>
        <w:t>Journal of Orthopedic Sports Physical Therapy</w:t>
      </w:r>
      <w:r w:rsidRPr="003D586E">
        <w:rPr>
          <w:rFonts w:cs="Arial"/>
        </w:rPr>
        <w:t xml:space="preserve">, 42(4), A1-A57. Retrieved from </w:t>
      </w:r>
      <w:hyperlink r:id="rId20" w:history="1">
        <w:r w:rsidRPr="003D586E">
          <w:rPr>
            <w:rStyle w:val="Hyperlink"/>
            <w:rFonts w:cs="Arial"/>
          </w:rPr>
          <w:t>http://www.jospt.org/doi/pdfplus/10.2519/jospt.2012.42.4.A1</w:t>
        </w:r>
      </w:hyperlink>
    </w:p>
    <w:p w:rsidR="00C557EE" w:rsidRDefault="008873B0" w:rsidP="003D586E">
      <w:pPr>
        <w:pStyle w:val="ListParagraph"/>
        <w:autoSpaceDE w:val="0"/>
        <w:autoSpaceDN w:val="0"/>
        <w:adjustRightInd w:val="0"/>
        <w:ind w:firstLine="0"/>
        <w:rPr>
          <w:rFonts w:ascii="Arial Narrow" w:hAnsi="Arial Narrow"/>
          <w:color w:val="221E1F"/>
        </w:rPr>
      </w:pPr>
      <w:r w:rsidRPr="003D586E">
        <w:rPr>
          <w:rFonts w:cs="Arial"/>
          <w:b/>
        </w:rPr>
        <w:t xml:space="preserve">F. Recommendation based on Expert </w:t>
      </w:r>
      <w:r w:rsidR="00613C0D" w:rsidRPr="003D586E">
        <w:rPr>
          <w:rFonts w:cs="Arial"/>
          <w:b/>
        </w:rPr>
        <w:t>o</w:t>
      </w:r>
      <w:r w:rsidRPr="003D586E">
        <w:rPr>
          <w:rFonts w:cs="Arial"/>
          <w:b/>
        </w:rPr>
        <w:t>pinion:</w:t>
      </w:r>
      <w:r w:rsidRPr="003D586E">
        <w:rPr>
          <w:rFonts w:cs="Arial"/>
        </w:rPr>
        <w:t xml:space="preserve"> </w:t>
      </w:r>
      <w:r w:rsidRPr="003D586E">
        <w:t>Best practice based on the clinical experience of the guideline development team</w:t>
      </w:r>
    </w:p>
    <w:p w:rsidR="003D586E" w:rsidRDefault="003D586E" w:rsidP="008411A9">
      <w:pPr>
        <w:ind w:firstLine="0"/>
        <w:rPr>
          <w:rFonts w:cs="Arial"/>
          <w:b/>
        </w:rPr>
      </w:pPr>
    </w:p>
    <w:p w:rsidR="00C557EE" w:rsidRDefault="00C557EE" w:rsidP="008411A9">
      <w:pPr>
        <w:ind w:firstLine="0"/>
        <w:rPr>
          <w:rFonts w:cs="Arial"/>
        </w:rPr>
      </w:pPr>
      <w:r w:rsidRPr="003D586E">
        <w:rPr>
          <w:rFonts w:cs="Arial"/>
          <w:b/>
        </w:rPr>
        <w:t>For Recommendation 4</w:t>
      </w:r>
      <w:r w:rsidR="00D97846" w:rsidRPr="003D586E">
        <w:rPr>
          <w:rFonts w:cs="Arial"/>
        </w:rPr>
        <w:t xml:space="preserve">: </w:t>
      </w:r>
      <w:r w:rsidRPr="003D586E">
        <w:rPr>
          <w:rFonts w:cs="Arial"/>
        </w:rPr>
        <w:t xml:space="preserve"> ICSI uses Grading of Recommendations Assessment, Development and Evaluation (GRADE) system:</w:t>
      </w:r>
    </w:p>
    <w:p w:rsidR="003D586E" w:rsidRPr="003D586E" w:rsidRDefault="003D586E" w:rsidP="008411A9">
      <w:pPr>
        <w:ind w:firstLine="0"/>
        <w:rPr>
          <w:rFonts w:cs="Arial"/>
        </w:rPr>
      </w:pPr>
    </w:p>
    <w:p w:rsidR="00C557EE" w:rsidRPr="00B71B99" w:rsidRDefault="00C557EE" w:rsidP="00B71B99">
      <w:pPr>
        <w:pStyle w:val="ListParagraph"/>
        <w:numPr>
          <w:ilvl w:val="0"/>
          <w:numId w:val="9"/>
        </w:numPr>
        <w:rPr>
          <w:rFonts w:cs="Arial"/>
        </w:rPr>
      </w:pPr>
      <w:r w:rsidRPr="00B71B99">
        <w:rPr>
          <w:rFonts w:cs="Arial"/>
        </w:rPr>
        <w:t>Institute for Clinical Systems Improvement (2012). Goertz, M., Thorson, D., Bonsell</w:t>
      </w:r>
      <w:r w:rsidR="003A13BE">
        <w:rPr>
          <w:rFonts w:cs="Arial"/>
        </w:rPr>
        <w:t xml:space="preserve">, J., Bonte, B., Campbell, R., </w:t>
      </w:r>
      <w:r w:rsidRPr="00B71B99">
        <w:rPr>
          <w:rFonts w:cs="Arial"/>
        </w:rPr>
        <w:t>Haake, B., Johnson, K., Kramer, C., Mueller, B..,  Peterson, S., Setterlund, L., &amp; Timming, R.  Adult Acute and Subacute Low Back Pain.  Retrieved from http;//www.icsi.org/_asset/bjvqri/LBP/pdf</w:t>
      </w:r>
    </w:p>
    <w:p w:rsidR="00C557EE" w:rsidRPr="003D586E" w:rsidRDefault="00C557EE" w:rsidP="00B71B99">
      <w:pPr>
        <w:ind w:left="720" w:firstLine="0"/>
        <w:rPr>
          <w:rFonts w:cs="Arial"/>
        </w:rPr>
      </w:pPr>
      <w:r w:rsidRPr="003D586E">
        <w:rPr>
          <w:rFonts w:cs="Arial"/>
          <w:b/>
        </w:rPr>
        <w:t xml:space="preserve">GRADE: Strong Recommendation, Moderate Quality Evidence: </w:t>
      </w:r>
      <w:r w:rsidRPr="003D586E">
        <w:rPr>
          <w:rFonts w:cs="Arial"/>
        </w:rPr>
        <w:t xml:space="preserve">The work group is confident that the benefits outweigh the risks, but recognizes that the evidence has limitations.  Further </w:t>
      </w:r>
      <w:r w:rsidRPr="003D586E">
        <w:rPr>
          <w:rFonts w:cs="Arial"/>
        </w:rPr>
        <w:lastRenderedPageBreak/>
        <w:t>evidence may impact this recommendation.  This is a recommendation that likely applies to most patients.</w:t>
      </w:r>
    </w:p>
    <w:p w:rsidR="00F1490B" w:rsidRPr="003B1CC5" w:rsidRDefault="00F1490B" w:rsidP="00F91977">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7C5E6B" w:rsidRDefault="007C5E6B" w:rsidP="00265702">
      <w:pPr>
        <w:ind w:left="0" w:firstLine="0"/>
        <w:rPr>
          <w:b/>
        </w:rPr>
      </w:pPr>
    </w:p>
    <w:p w:rsidR="00A12762" w:rsidRPr="005927BD" w:rsidRDefault="006C4359" w:rsidP="00265702">
      <w:pPr>
        <w:ind w:left="0" w:firstLine="0"/>
        <w:rPr>
          <w:b/>
        </w:rPr>
      </w:pPr>
      <w:r w:rsidRPr="005927BD">
        <w:t>For Recommendation 1, 2, and 3</w:t>
      </w:r>
      <w:r w:rsidR="00361169">
        <w:t xml:space="preserve"> in 1a.4.3, </w:t>
      </w:r>
      <w:r w:rsidR="00B15896" w:rsidRPr="005927BD">
        <w:t xml:space="preserve">Grade definitions </w:t>
      </w:r>
      <w:r w:rsidR="00D050E8" w:rsidRPr="005927BD">
        <w:t xml:space="preserve">for </w:t>
      </w:r>
      <w:r w:rsidR="00D050E8" w:rsidRPr="005927BD">
        <w:rPr>
          <w:rFonts w:eastAsiaTheme="minorEastAsia"/>
          <w:b/>
        </w:rPr>
        <w:t xml:space="preserve">The Oxford Centre for Evidence-Based Medicine </w:t>
      </w:r>
      <w:r w:rsidR="00D050E8" w:rsidRPr="005927BD">
        <w:rPr>
          <w:rFonts w:eastAsiaTheme="minorEastAsia"/>
        </w:rPr>
        <w:t xml:space="preserve">criteria </w:t>
      </w:r>
      <w:r w:rsidR="00B15896" w:rsidRPr="005927BD">
        <w:t>include</w:t>
      </w:r>
      <w:r w:rsidR="00B15896" w:rsidRPr="005927BD">
        <w:rPr>
          <w:b/>
        </w:rPr>
        <w:t>:</w:t>
      </w:r>
    </w:p>
    <w:p w:rsidR="00613C0D" w:rsidRPr="005927BD" w:rsidRDefault="00613C0D" w:rsidP="00265702">
      <w:pPr>
        <w:ind w:left="0" w:firstLine="0"/>
      </w:pPr>
    </w:p>
    <w:p w:rsidR="00613C0D" w:rsidRPr="005927BD" w:rsidRDefault="00613C0D" w:rsidP="00265702">
      <w:pPr>
        <w:ind w:left="0" w:firstLine="0"/>
        <w:rPr>
          <w:u w:val="single"/>
        </w:rPr>
      </w:pPr>
      <w:r w:rsidRPr="005927BD">
        <w:rPr>
          <w:u w:val="single"/>
        </w:rPr>
        <w:t>Grades of Recommendation based on:</w:t>
      </w:r>
    </w:p>
    <w:p w:rsidR="00613C0D" w:rsidRPr="005927BD" w:rsidRDefault="00613C0D" w:rsidP="00613C0D">
      <w:pPr>
        <w:pStyle w:val="ListParagraph"/>
        <w:ind w:left="0" w:firstLine="0"/>
        <w:rPr>
          <w:rFonts w:eastAsiaTheme="minorHAnsi"/>
        </w:rPr>
      </w:pPr>
      <w:r w:rsidRPr="005927BD">
        <w:rPr>
          <w:rFonts w:eastAsiaTheme="minorHAnsi"/>
        </w:rPr>
        <w:t>A. Strong evidence: A preponderance of level I and/or level II studies support the recommendation.  This must include at least 1 level I study</w:t>
      </w:r>
    </w:p>
    <w:p w:rsidR="00B15896" w:rsidRPr="005927BD" w:rsidRDefault="00613C0D" w:rsidP="00613C0D">
      <w:pPr>
        <w:pStyle w:val="ListParagraph"/>
        <w:ind w:left="0" w:firstLine="0"/>
        <w:rPr>
          <w:rFonts w:eastAsiaTheme="minorHAnsi"/>
        </w:rPr>
      </w:pPr>
      <w:r w:rsidRPr="005927BD">
        <w:rPr>
          <w:rFonts w:eastAsiaTheme="minorHAnsi"/>
        </w:rPr>
        <w:t>B.</w:t>
      </w:r>
      <w:r w:rsidR="00B15896" w:rsidRPr="005927BD">
        <w:rPr>
          <w:rFonts w:eastAsiaTheme="minorHAnsi"/>
        </w:rPr>
        <w:t xml:space="preserve"> Moderate evidence:  A single high-quality randomized controlled trial or a preponderance of level II studies support the recommendation</w:t>
      </w:r>
    </w:p>
    <w:p w:rsidR="00B15896" w:rsidRPr="005927BD" w:rsidRDefault="00613C0D" w:rsidP="00613C0D">
      <w:pPr>
        <w:pStyle w:val="ListParagraph"/>
        <w:ind w:left="0" w:firstLine="0"/>
        <w:rPr>
          <w:rFonts w:eastAsiaTheme="minorHAnsi"/>
        </w:rPr>
      </w:pPr>
      <w:r w:rsidRPr="005927BD">
        <w:rPr>
          <w:rFonts w:eastAsiaTheme="minorHAnsi"/>
        </w:rPr>
        <w:t xml:space="preserve">C. </w:t>
      </w:r>
      <w:r w:rsidR="00B15896" w:rsidRPr="005927BD">
        <w:rPr>
          <w:rFonts w:eastAsiaTheme="minorHAnsi"/>
        </w:rPr>
        <w:t>Weak evidence:  A single level II study or preponderance of level III and IV studies, including statements of consensus by content experts, support the recommendation</w:t>
      </w:r>
    </w:p>
    <w:p w:rsidR="00B15896" w:rsidRPr="005927BD" w:rsidRDefault="00B15896" w:rsidP="00613C0D">
      <w:pPr>
        <w:pStyle w:val="ListParagraph"/>
        <w:ind w:left="0" w:firstLine="0"/>
        <w:rPr>
          <w:rFonts w:eastAsiaTheme="minorHAnsi"/>
        </w:rPr>
      </w:pPr>
      <w:r w:rsidRPr="005927BD">
        <w:rPr>
          <w:rFonts w:eastAsiaTheme="minorHAnsi"/>
        </w:rPr>
        <w:t>D. Conflicting evidence: Higher-quality studies conducted on this topic disagree with respect to their conclusions.  The recommendation is based on these conflicting studies.</w:t>
      </w:r>
    </w:p>
    <w:p w:rsidR="00B15896" w:rsidRPr="005927BD" w:rsidRDefault="00B15896" w:rsidP="00613C0D">
      <w:pPr>
        <w:pStyle w:val="ListParagraph"/>
        <w:ind w:left="0" w:firstLine="0"/>
        <w:rPr>
          <w:rFonts w:eastAsiaTheme="minorHAnsi"/>
        </w:rPr>
      </w:pPr>
      <w:r w:rsidRPr="005927BD">
        <w:rPr>
          <w:rFonts w:eastAsiaTheme="minorHAnsi"/>
        </w:rPr>
        <w:t>E. Theoretical/foundational evidence:  A preponderance of evidence from animal or cadaver studies, from conceptual models/principles, or from basic science/bench research supports this conclusion</w:t>
      </w:r>
    </w:p>
    <w:p w:rsidR="00850C35" w:rsidRPr="005927BD" w:rsidRDefault="00B15896" w:rsidP="00613C0D">
      <w:pPr>
        <w:pStyle w:val="ListParagraph"/>
        <w:ind w:left="0" w:firstLine="0"/>
        <w:rPr>
          <w:rFonts w:eastAsiaTheme="minorHAnsi"/>
        </w:rPr>
      </w:pPr>
      <w:r w:rsidRPr="005927BD">
        <w:rPr>
          <w:rFonts w:eastAsiaTheme="minorHAnsi"/>
        </w:rPr>
        <w:t>F. Expert opinion:  Best practice based on the clinical experience of the guideline development team</w:t>
      </w:r>
    </w:p>
    <w:p w:rsidR="00613C0D" w:rsidRPr="005927BD" w:rsidRDefault="00613C0D" w:rsidP="00A2794A">
      <w:pPr>
        <w:ind w:left="0" w:firstLine="0"/>
        <w:rPr>
          <w:u w:val="single"/>
        </w:rPr>
      </w:pPr>
      <w:r w:rsidRPr="005927BD">
        <w:rPr>
          <w:u w:val="single"/>
        </w:rPr>
        <w:t>Levels of Evidence:</w:t>
      </w:r>
    </w:p>
    <w:tbl>
      <w:tblPr>
        <w:tblW w:w="0" w:type="auto"/>
        <w:tblBorders>
          <w:top w:val="nil"/>
          <w:left w:val="nil"/>
          <w:bottom w:val="nil"/>
          <w:right w:val="nil"/>
        </w:tblBorders>
        <w:tblLayout w:type="fixed"/>
        <w:tblLook w:val="0000" w:firstRow="0" w:lastRow="0" w:firstColumn="0" w:lastColumn="0" w:noHBand="0" w:noVBand="0"/>
      </w:tblPr>
      <w:tblGrid>
        <w:gridCol w:w="9168"/>
      </w:tblGrid>
      <w:tr w:rsidR="00613C0D" w:rsidRPr="005927BD" w:rsidTr="00D050E8">
        <w:trPr>
          <w:trHeight w:val="253"/>
        </w:trPr>
        <w:tc>
          <w:tcPr>
            <w:tcW w:w="9168" w:type="dxa"/>
          </w:tcPr>
          <w:p w:rsidR="00613C0D" w:rsidRPr="005927BD" w:rsidRDefault="00613C0D" w:rsidP="00A2794A">
            <w:pPr>
              <w:ind w:left="0" w:firstLine="0"/>
              <w:rPr>
                <w:u w:val="single"/>
              </w:rPr>
            </w:pPr>
            <w:r w:rsidRPr="005927BD">
              <w:t>I.</w:t>
            </w:r>
            <w:r w:rsidR="00D050E8" w:rsidRPr="005927BD">
              <w:t xml:space="preserve"> </w:t>
            </w:r>
            <w:r w:rsidRPr="005927BD">
              <w:t xml:space="preserve">Evidence obtained from high-quality diagnostic </w:t>
            </w:r>
            <w:r w:rsidR="00D050E8" w:rsidRPr="005927BD">
              <w:t>st</w:t>
            </w:r>
            <w:r w:rsidRPr="005927BD">
              <w:t xml:space="preserve">udies, prospective studies, or randomized controlled </w:t>
            </w:r>
            <w:r w:rsidR="00D050E8" w:rsidRPr="005927BD">
              <w:t>t</w:t>
            </w:r>
            <w:r w:rsidRPr="005927BD">
              <w:t>rials</w:t>
            </w:r>
            <w:r w:rsidRPr="005927BD">
              <w:rPr>
                <w:u w:val="single"/>
              </w:rPr>
              <w:t xml:space="preserve"> </w:t>
            </w:r>
          </w:p>
        </w:tc>
      </w:tr>
    </w:tbl>
    <w:p w:rsidR="00613C0D" w:rsidRPr="005927BD" w:rsidRDefault="00D050E8" w:rsidP="00613C0D">
      <w:pPr>
        <w:pStyle w:val="ListParagraph"/>
        <w:ind w:left="0" w:firstLine="0"/>
        <w:rPr>
          <w:rFonts w:eastAsiaTheme="minorHAnsi"/>
        </w:rPr>
      </w:pPr>
      <w:r w:rsidRPr="005927BD">
        <w:rPr>
          <w:rFonts w:eastAsiaTheme="minorHAnsi"/>
        </w:rPr>
        <w:t>II. Evidence obtained from lesser-quality diagnostic studies, prospective studies, or randomized controlled trials (eg, weaker diagnostic criteria and reference standards, improper randomization, no blinding, &lt;80% follow-up)</w:t>
      </w:r>
    </w:p>
    <w:p w:rsidR="00D050E8" w:rsidRPr="005927BD" w:rsidRDefault="00D050E8" w:rsidP="00613C0D">
      <w:pPr>
        <w:pStyle w:val="ListParagraph"/>
        <w:ind w:left="0" w:firstLine="0"/>
        <w:rPr>
          <w:rFonts w:eastAsiaTheme="minorHAnsi"/>
        </w:rPr>
      </w:pPr>
      <w:r w:rsidRPr="005927BD">
        <w:rPr>
          <w:rFonts w:eastAsiaTheme="minorHAnsi"/>
        </w:rPr>
        <w:t>III. Case-controlled studies or retrospective studies</w:t>
      </w:r>
    </w:p>
    <w:p w:rsidR="00D050E8" w:rsidRPr="005927BD" w:rsidRDefault="00D050E8" w:rsidP="00613C0D">
      <w:pPr>
        <w:pStyle w:val="ListParagraph"/>
        <w:ind w:left="0" w:firstLine="0"/>
        <w:rPr>
          <w:rFonts w:eastAsiaTheme="minorHAnsi"/>
        </w:rPr>
      </w:pPr>
      <w:r w:rsidRPr="005927BD">
        <w:rPr>
          <w:rFonts w:eastAsiaTheme="minorHAnsi"/>
        </w:rPr>
        <w:t>IV. Case series</w:t>
      </w:r>
    </w:p>
    <w:p w:rsidR="00D050E8" w:rsidRPr="005927BD" w:rsidRDefault="00D050E8" w:rsidP="00613C0D">
      <w:pPr>
        <w:pStyle w:val="ListParagraph"/>
        <w:ind w:left="0" w:firstLine="0"/>
        <w:rPr>
          <w:rFonts w:eastAsiaTheme="minorHAnsi"/>
        </w:rPr>
      </w:pPr>
      <w:r w:rsidRPr="005927BD">
        <w:rPr>
          <w:rFonts w:eastAsiaTheme="minorHAnsi"/>
        </w:rPr>
        <w:t>V. Expert Opinion</w:t>
      </w:r>
    </w:p>
    <w:p w:rsidR="00A2794A" w:rsidRDefault="00A2794A" w:rsidP="00613C0D">
      <w:pPr>
        <w:pStyle w:val="ListParagraph"/>
        <w:ind w:left="0" w:firstLine="0"/>
        <w:rPr>
          <w:rFonts w:ascii="Arial Narrow" w:eastAsiaTheme="minorHAnsi" w:hAnsi="Arial Narrow"/>
        </w:rPr>
      </w:pPr>
    </w:p>
    <w:p w:rsidR="009D1CA8" w:rsidRDefault="009D1CA8">
      <w:r>
        <w:br w:type="page"/>
      </w:r>
    </w:p>
    <w:p w:rsidR="00A2794A" w:rsidRPr="00F61519" w:rsidRDefault="00A2794A" w:rsidP="00613C0D">
      <w:pPr>
        <w:pStyle w:val="ListParagraph"/>
        <w:ind w:left="0" w:firstLine="0"/>
        <w:rPr>
          <w:rFonts w:eastAsiaTheme="minorHAnsi"/>
        </w:rPr>
      </w:pPr>
      <w:r w:rsidRPr="00F61519">
        <w:rPr>
          <w:rFonts w:eastAsiaTheme="minorHAnsi"/>
        </w:rPr>
        <w:lastRenderedPageBreak/>
        <w:t>For Recommendation 4</w:t>
      </w:r>
      <w:r w:rsidR="009C2FC4" w:rsidRPr="00F61519">
        <w:rPr>
          <w:rFonts w:eastAsiaTheme="minorHAnsi"/>
        </w:rPr>
        <w:t xml:space="preserve"> by ICSI</w:t>
      </w:r>
      <w:r w:rsidRPr="00F61519">
        <w:rPr>
          <w:rFonts w:eastAsiaTheme="minorHAnsi"/>
        </w:rPr>
        <w:t xml:space="preserve">, </w:t>
      </w:r>
      <w:r w:rsidRPr="00F61519">
        <w:rPr>
          <w:rFonts w:eastAsiaTheme="minorHAnsi"/>
          <w:b/>
        </w:rPr>
        <w:t>GRADE</w:t>
      </w:r>
      <w:r w:rsidRPr="00F61519">
        <w:rPr>
          <w:rFonts w:eastAsiaTheme="minorHAnsi"/>
        </w:rPr>
        <w:t xml:space="preserve"> </w:t>
      </w:r>
      <w:r w:rsidR="008E1B0B">
        <w:rPr>
          <w:rFonts w:eastAsiaTheme="minorHAnsi"/>
        </w:rPr>
        <w:t xml:space="preserve">system </w:t>
      </w:r>
      <w:r w:rsidRPr="00F61519">
        <w:rPr>
          <w:rFonts w:eastAsiaTheme="minorHAnsi"/>
        </w:rPr>
        <w:t>definitions include:</w:t>
      </w:r>
    </w:p>
    <w:tbl>
      <w:tblPr>
        <w:tblW w:w="8985" w:type="dxa"/>
        <w:tblInd w:w="207" w:type="dxa"/>
        <w:tblCellMar>
          <w:left w:w="0" w:type="dxa"/>
          <w:right w:w="0" w:type="dxa"/>
        </w:tblCellMar>
        <w:tblLook w:val="04A0" w:firstRow="1" w:lastRow="0" w:firstColumn="1" w:lastColumn="0" w:noHBand="0" w:noVBand="1"/>
      </w:tblPr>
      <w:tblGrid>
        <w:gridCol w:w="1783"/>
        <w:gridCol w:w="2226"/>
        <w:gridCol w:w="2971"/>
        <w:gridCol w:w="2005"/>
      </w:tblGrid>
      <w:tr w:rsidR="007F6021" w:rsidTr="00D16143">
        <w:trPr>
          <w:trHeight w:hRule="exact" w:val="326"/>
        </w:trPr>
        <w:tc>
          <w:tcPr>
            <w:tcW w:w="1783" w:type="dxa"/>
            <w:tcBorders>
              <w:top w:val="single" w:sz="8" w:space="0" w:color="000000"/>
              <w:left w:val="single" w:sz="8" w:space="0" w:color="000000"/>
              <w:bottom w:val="single" w:sz="8" w:space="0" w:color="000000"/>
              <w:right w:val="single" w:sz="8" w:space="0" w:color="000000"/>
            </w:tcBorders>
            <w:hideMark/>
          </w:tcPr>
          <w:p w:rsidR="007F6021" w:rsidRDefault="007F6021">
            <w:pPr>
              <w:overflowPunct w:val="0"/>
              <w:autoSpaceDE w:val="0"/>
              <w:autoSpaceDN w:val="0"/>
              <w:spacing w:before="38"/>
              <w:ind w:left="525"/>
              <w:rPr>
                <w:rFonts w:ascii="Times New Roman" w:hAnsi="Times New Roman"/>
                <w:sz w:val="24"/>
                <w:szCs w:val="24"/>
              </w:rPr>
            </w:pPr>
            <w:r>
              <w:rPr>
                <w:rFonts w:ascii="Times New Roman" w:hAnsi="Times New Roman"/>
                <w:b/>
                <w:bCs/>
                <w:spacing w:val="1"/>
                <w:sz w:val="20"/>
                <w:szCs w:val="20"/>
              </w:rPr>
              <w:t>Categor</w:t>
            </w:r>
            <w:r>
              <w:rPr>
                <w:rFonts w:ascii="Times New Roman" w:hAnsi="Times New Roman"/>
                <w:b/>
                <w:bCs/>
                <w:sz w:val="20"/>
                <w:szCs w:val="20"/>
              </w:rPr>
              <w:t>y</w:t>
            </w:r>
          </w:p>
        </w:tc>
        <w:tc>
          <w:tcPr>
            <w:tcW w:w="2226" w:type="dxa"/>
            <w:tcBorders>
              <w:top w:val="single" w:sz="8" w:space="0" w:color="000000"/>
              <w:left w:val="nil"/>
              <w:bottom w:val="single" w:sz="8" w:space="0" w:color="000000"/>
              <w:right w:val="single" w:sz="8" w:space="0" w:color="000000"/>
            </w:tcBorders>
            <w:hideMark/>
          </w:tcPr>
          <w:p w:rsidR="007F6021" w:rsidRDefault="007F6021" w:rsidP="00D16143">
            <w:pPr>
              <w:overflowPunct w:val="0"/>
              <w:autoSpaceDE w:val="0"/>
              <w:autoSpaceDN w:val="0"/>
              <w:spacing w:before="38"/>
              <w:ind w:left="169" w:firstLine="0"/>
              <w:rPr>
                <w:rFonts w:ascii="Times New Roman" w:hAnsi="Times New Roman"/>
                <w:sz w:val="24"/>
                <w:szCs w:val="24"/>
              </w:rPr>
            </w:pPr>
            <w:r>
              <w:rPr>
                <w:rFonts w:ascii="Times New Roman" w:hAnsi="Times New Roman"/>
                <w:b/>
                <w:bCs/>
                <w:spacing w:val="1"/>
                <w:sz w:val="20"/>
                <w:szCs w:val="20"/>
              </w:rPr>
              <w:t>Qualit</w:t>
            </w:r>
            <w:r>
              <w:rPr>
                <w:rFonts w:ascii="Times New Roman" w:hAnsi="Times New Roman"/>
                <w:b/>
                <w:bCs/>
                <w:sz w:val="20"/>
                <w:szCs w:val="20"/>
              </w:rPr>
              <w:t>y</w:t>
            </w:r>
            <w:r>
              <w:rPr>
                <w:rFonts w:ascii="Times New Roman" w:hAnsi="Times New Roman"/>
                <w:b/>
                <w:bCs/>
                <w:spacing w:val="23"/>
                <w:sz w:val="20"/>
                <w:szCs w:val="20"/>
              </w:rPr>
              <w:t xml:space="preserve"> </w:t>
            </w:r>
            <w:r>
              <w:rPr>
                <w:rFonts w:ascii="Times New Roman" w:hAnsi="Times New Roman"/>
                <w:b/>
                <w:bCs/>
                <w:spacing w:val="1"/>
                <w:sz w:val="20"/>
                <w:szCs w:val="20"/>
              </w:rPr>
              <w:t>Definition</w:t>
            </w:r>
            <w:r>
              <w:rPr>
                <w:rFonts w:ascii="Times New Roman" w:hAnsi="Times New Roman"/>
                <w:b/>
                <w:bCs/>
                <w:sz w:val="20"/>
                <w:szCs w:val="20"/>
              </w:rPr>
              <w:t>s</w:t>
            </w:r>
          </w:p>
        </w:tc>
        <w:tc>
          <w:tcPr>
            <w:tcW w:w="2971" w:type="dxa"/>
            <w:tcBorders>
              <w:top w:val="single" w:sz="8" w:space="0" w:color="000000"/>
              <w:left w:val="nil"/>
              <w:bottom w:val="single" w:sz="8" w:space="0" w:color="000000"/>
              <w:right w:val="single" w:sz="8" w:space="0" w:color="000000"/>
            </w:tcBorders>
            <w:hideMark/>
          </w:tcPr>
          <w:p w:rsidR="007F6021" w:rsidRDefault="007F6021" w:rsidP="00D16143">
            <w:pPr>
              <w:overflowPunct w:val="0"/>
              <w:autoSpaceDE w:val="0"/>
              <w:autoSpaceDN w:val="0"/>
              <w:spacing w:before="38"/>
              <w:ind w:left="114" w:firstLine="10"/>
              <w:rPr>
                <w:rFonts w:ascii="Times New Roman" w:hAnsi="Times New Roman"/>
                <w:sz w:val="24"/>
                <w:szCs w:val="24"/>
              </w:rPr>
            </w:pPr>
            <w:r>
              <w:rPr>
                <w:rFonts w:ascii="Times New Roman" w:hAnsi="Times New Roman"/>
                <w:b/>
                <w:bCs/>
                <w:sz w:val="20"/>
                <w:szCs w:val="20"/>
              </w:rPr>
              <w:t>S</w:t>
            </w:r>
            <w:r>
              <w:rPr>
                <w:rFonts w:ascii="Times New Roman" w:hAnsi="Times New Roman"/>
                <w:b/>
                <w:bCs/>
                <w:spacing w:val="1"/>
                <w:sz w:val="20"/>
                <w:szCs w:val="20"/>
              </w:rPr>
              <w:t>tron</w:t>
            </w:r>
            <w:r>
              <w:rPr>
                <w:rFonts w:ascii="Times New Roman" w:hAnsi="Times New Roman"/>
                <w:b/>
                <w:bCs/>
                <w:sz w:val="20"/>
                <w:szCs w:val="20"/>
              </w:rPr>
              <w:t>g</w:t>
            </w:r>
            <w:r>
              <w:rPr>
                <w:rFonts w:ascii="Times New Roman" w:hAnsi="Times New Roman"/>
                <w:b/>
                <w:bCs/>
                <w:spacing w:val="29"/>
                <w:sz w:val="20"/>
                <w:szCs w:val="20"/>
              </w:rPr>
              <w:t xml:space="preserve"> </w:t>
            </w:r>
            <w:r>
              <w:rPr>
                <w:rFonts w:ascii="Times New Roman" w:hAnsi="Times New Roman"/>
                <w:b/>
                <w:bCs/>
                <w:spacing w:val="1"/>
                <w:sz w:val="20"/>
                <w:szCs w:val="20"/>
              </w:rPr>
              <w:t>Reco</w:t>
            </w:r>
            <w:r>
              <w:rPr>
                <w:rFonts w:ascii="Times New Roman" w:hAnsi="Times New Roman"/>
                <w:b/>
                <w:bCs/>
                <w:spacing w:val="2"/>
                <w:sz w:val="20"/>
                <w:szCs w:val="20"/>
              </w:rPr>
              <w:t>mm</w:t>
            </w:r>
            <w:r>
              <w:rPr>
                <w:rFonts w:ascii="Times New Roman" w:hAnsi="Times New Roman"/>
                <w:b/>
                <w:bCs/>
                <w:spacing w:val="1"/>
                <w:sz w:val="20"/>
                <w:szCs w:val="20"/>
              </w:rPr>
              <w:t>endatio</w:t>
            </w:r>
            <w:r>
              <w:rPr>
                <w:rFonts w:ascii="Times New Roman" w:hAnsi="Times New Roman"/>
                <w:b/>
                <w:bCs/>
                <w:sz w:val="20"/>
                <w:szCs w:val="20"/>
              </w:rPr>
              <w:t>n</w:t>
            </w:r>
          </w:p>
        </w:tc>
        <w:tc>
          <w:tcPr>
            <w:tcW w:w="2005" w:type="dxa"/>
            <w:tcBorders>
              <w:top w:val="single" w:sz="8" w:space="0" w:color="000000"/>
              <w:left w:val="nil"/>
              <w:bottom w:val="single" w:sz="8" w:space="0" w:color="000000"/>
              <w:right w:val="single" w:sz="8" w:space="0" w:color="000000"/>
            </w:tcBorders>
            <w:hideMark/>
          </w:tcPr>
          <w:p w:rsidR="007F6021" w:rsidRDefault="007F6021" w:rsidP="00D16143">
            <w:pPr>
              <w:overflowPunct w:val="0"/>
              <w:autoSpaceDE w:val="0"/>
              <w:autoSpaceDN w:val="0"/>
              <w:spacing w:before="38"/>
              <w:ind w:left="113" w:hanging="46"/>
              <w:rPr>
                <w:rFonts w:ascii="Times New Roman" w:hAnsi="Times New Roman"/>
                <w:sz w:val="24"/>
                <w:szCs w:val="24"/>
              </w:rPr>
            </w:pPr>
            <w:r>
              <w:rPr>
                <w:rFonts w:ascii="Times New Roman" w:hAnsi="Times New Roman"/>
                <w:b/>
                <w:bCs/>
                <w:spacing w:val="2"/>
                <w:sz w:val="20"/>
                <w:szCs w:val="20"/>
              </w:rPr>
              <w:t>W</w:t>
            </w:r>
            <w:r>
              <w:rPr>
                <w:rFonts w:ascii="Times New Roman" w:hAnsi="Times New Roman"/>
                <w:b/>
                <w:bCs/>
                <w:spacing w:val="1"/>
                <w:sz w:val="20"/>
                <w:szCs w:val="20"/>
              </w:rPr>
              <w:t>ea</w:t>
            </w:r>
            <w:r>
              <w:rPr>
                <w:rFonts w:ascii="Times New Roman" w:hAnsi="Times New Roman"/>
                <w:b/>
                <w:bCs/>
                <w:sz w:val="20"/>
                <w:szCs w:val="20"/>
              </w:rPr>
              <w:t>k</w:t>
            </w:r>
            <w:r>
              <w:rPr>
                <w:rFonts w:ascii="Times New Roman" w:hAnsi="Times New Roman"/>
                <w:b/>
                <w:bCs/>
                <w:spacing w:val="29"/>
                <w:sz w:val="20"/>
                <w:szCs w:val="20"/>
              </w:rPr>
              <w:t xml:space="preserve"> </w:t>
            </w:r>
            <w:r>
              <w:rPr>
                <w:rFonts w:ascii="Times New Roman" w:hAnsi="Times New Roman"/>
                <w:b/>
                <w:bCs/>
                <w:spacing w:val="1"/>
                <w:sz w:val="20"/>
                <w:szCs w:val="20"/>
              </w:rPr>
              <w:t>Reco</w:t>
            </w:r>
            <w:r>
              <w:rPr>
                <w:rFonts w:ascii="Times New Roman" w:hAnsi="Times New Roman"/>
                <w:b/>
                <w:bCs/>
                <w:spacing w:val="2"/>
                <w:sz w:val="20"/>
                <w:szCs w:val="20"/>
              </w:rPr>
              <w:t>mm</w:t>
            </w:r>
            <w:r>
              <w:rPr>
                <w:rFonts w:ascii="Times New Roman" w:hAnsi="Times New Roman"/>
                <w:b/>
                <w:bCs/>
                <w:spacing w:val="1"/>
                <w:sz w:val="20"/>
                <w:szCs w:val="20"/>
              </w:rPr>
              <w:t>endatio</w:t>
            </w:r>
            <w:r>
              <w:rPr>
                <w:rFonts w:ascii="Times New Roman" w:hAnsi="Times New Roman"/>
                <w:b/>
                <w:bCs/>
                <w:sz w:val="20"/>
                <w:szCs w:val="20"/>
              </w:rPr>
              <w:t>n</w:t>
            </w:r>
          </w:p>
        </w:tc>
      </w:tr>
      <w:tr w:rsidR="007F6021" w:rsidTr="00D16143">
        <w:trPr>
          <w:trHeight w:hRule="exact" w:val="2782"/>
        </w:trPr>
        <w:tc>
          <w:tcPr>
            <w:tcW w:w="1783" w:type="dxa"/>
            <w:tcBorders>
              <w:top w:val="nil"/>
              <w:left w:val="single" w:sz="8" w:space="0" w:color="000000"/>
              <w:bottom w:val="single" w:sz="8" w:space="0" w:color="000000"/>
              <w:right w:val="single" w:sz="8" w:space="0" w:color="000000"/>
            </w:tcBorders>
            <w:hideMark/>
          </w:tcPr>
          <w:p w:rsidR="007F6021" w:rsidRDefault="007F6021" w:rsidP="00D16143">
            <w:pPr>
              <w:overflowPunct w:val="0"/>
              <w:autoSpaceDE w:val="0"/>
              <w:autoSpaceDN w:val="0"/>
              <w:spacing w:before="34" w:line="252" w:lineRule="auto"/>
              <w:ind w:left="163" w:right="8" w:firstLine="0"/>
              <w:rPr>
                <w:rFonts w:ascii="Times New Roman" w:hAnsi="Times New Roman"/>
                <w:sz w:val="24"/>
                <w:szCs w:val="24"/>
              </w:rPr>
            </w:pPr>
            <w:r>
              <w:rPr>
                <w:rFonts w:ascii="Times New Roman" w:hAnsi="Times New Roman"/>
                <w:b/>
                <w:bCs/>
                <w:spacing w:val="1"/>
                <w:sz w:val="19"/>
                <w:szCs w:val="19"/>
              </w:rPr>
              <w:t>H</w:t>
            </w:r>
            <w:r>
              <w:rPr>
                <w:rFonts w:ascii="Times New Roman" w:hAnsi="Times New Roman"/>
                <w:b/>
                <w:bCs/>
                <w:sz w:val="19"/>
                <w:szCs w:val="19"/>
              </w:rPr>
              <w:t>igh</w:t>
            </w:r>
            <w:r>
              <w:rPr>
                <w:rFonts w:ascii="Times New Roman" w:hAnsi="Times New Roman"/>
                <w:b/>
                <w:bCs/>
                <w:spacing w:val="29"/>
                <w:sz w:val="19"/>
                <w:szCs w:val="19"/>
              </w:rPr>
              <w:t xml:space="preserve"> </w:t>
            </w:r>
            <w:r>
              <w:rPr>
                <w:rFonts w:ascii="Times New Roman" w:hAnsi="Times New Roman"/>
                <w:b/>
                <w:bCs/>
                <w:spacing w:val="1"/>
                <w:sz w:val="19"/>
                <w:szCs w:val="19"/>
              </w:rPr>
              <w:t>Q</w:t>
            </w:r>
            <w:r>
              <w:rPr>
                <w:rFonts w:ascii="Times New Roman" w:hAnsi="Times New Roman"/>
                <w:b/>
                <w:bCs/>
                <w:sz w:val="19"/>
                <w:szCs w:val="19"/>
              </w:rPr>
              <w:t xml:space="preserve">uality </w:t>
            </w:r>
            <w:r>
              <w:rPr>
                <w:rFonts w:ascii="Times New Roman" w:hAnsi="Times New Roman"/>
                <w:b/>
                <w:bCs/>
                <w:spacing w:val="1"/>
                <w:sz w:val="19"/>
                <w:szCs w:val="19"/>
              </w:rPr>
              <w:t>E</w:t>
            </w:r>
            <w:r>
              <w:rPr>
                <w:rFonts w:ascii="Times New Roman" w:hAnsi="Times New Roman"/>
                <w:b/>
                <w:bCs/>
                <w:sz w:val="19"/>
                <w:szCs w:val="19"/>
              </w:rPr>
              <w:t>vidence</w:t>
            </w:r>
          </w:p>
        </w:tc>
        <w:tc>
          <w:tcPr>
            <w:tcW w:w="2226" w:type="dxa"/>
            <w:tcBorders>
              <w:top w:val="nil"/>
              <w:left w:val="nil"/>
              <w:bottom w:val="single" w:sz="8" w:space="0" w:color="000000"/>
              <w:right w:val="single" w:sz="8" w:space="0" w:color="000000"/>
            </w:tcBorders>
            <w:hideMark/>
          </w:tcPr>
          <w:p w:rsidR="007F6021" w:rsidRDefault="007F6021" w:rsidP="00D16143">
            <w:pPr>
              <w:overflowPunct w:val="0"/>
              <w:autoSpaceDE w:val="0"/>
              <w:autoSpaceDN w:val="0"/>
              <w:spacing w:before="34" w:line="252" w:lineRule="auto"/>
              <w:ind w:left="169" w:right="56" w:firstLine="0"/>
              <w:rPr>
                <w:rFonts w:ascii="Times New Roman" w:hAnsi="Times New Roman"/>
                <w:sz w:val="24"/>
                <w:szCs w:val="24"/>
              </w:rPr>
            </w:pPr>
            <w:r>
              <w:rPr>
                <w:rFonts w:ascii="Times New Roman" w:hAnsi="Times New Roman"/>
                <w:sz w:val="19"/>
                <w:szCs w:val="19"/>
              </w:rPr>
              <w:t>Further</w:t>
            </w:r>
            <w:r>
              <w:rPr>
                <w:rFonts w:ascii="Times New Roman" w:hAnsi="Times New Roman"/>
                <w:spacing w:val="19"/>
                <w:sz w:val="19"/>
                <w:szCs w:val="19"/>
              </w:rPr>
              <w:t xml:space="preserve"> </w:t>
            </w:r>
            <w:r>
              <w:rPr>
                <w:rFonts w:ascii="Times New Roman" w:hAnsi="Times New Roman"/>
                <w:sz w:val="19"/>
                <w:szCs w:val="19"/>
              </w:rPr>
              <w:t>research</w:t>
            </w:r>
            <w:r>
              <w:rPr>
                <w:rFonts w:ascii="Times New Roman" w:hAnsi="Times New Roman"/>
                <w:spacing w:val="19"/>
                <w:sz w:val="19"/>
                <w:szCs w:val="19"/>
              </w:rPr>
              <w:t xml:space="preserve"> </w:t>
            </w:r>
            <w:r>
              <w:rPr>
                <w:rFonts w:ascii="Times New Roman" w:hAnsi="Times New Roman"/>
                <w:sz w:val="19"/>
                <w:szCs w:val="19"/>
              </w:rPr>
              <w:t>is</w:t>
            </w:r>
            <w:r>
              <w:rPr>
                <w:rFonts w:ascii="Times New Roman" w:hAnsi="Times New Roman"/>
                <w:spacing w:val="19"/>
                <w:sz w:val="19"/>
                <w:szCs w:val="19"/>
              </w:rPr>
              <w:t xml:space="preserve"> </w:t>
            </w:r>
            <w:r>
              <w:rPr>
                <w:rFonts w:ascii="Times New Roman" w:hAnsi="Times New Roman"/>
                <w:sz w:val="19"/>
                <w:szCs w:val="19"/>
              </w:rPr>
              <w:t>very unlikely</w:t>
            </w:r>
            <w:r>
              <w:rPr>
                <w:rFonts w:ascii="Times New Roman" w:hAnsi="Times New Roman"/>
                <w:spacing w:val="17"/>
                <w:sz w:val="19"/>
                <w:szCs w:val="19"/>
              </w:rPr>
              <w:t xml:space="preserve"> </w:t>
            </w:r>
            <w:r>
              <w:rPr>
                <w:rFonts w:ascii="Times New Roman" w:hAnsi="Times New Roman"/>
                <w:sz w:val="19"/>
                <w:szCs w:val="19"/>
              </w:rPr>
              <w:t>to</w:t>
            </w:r>
            <w:r>
              <w:rPr>
                <w:rFonts w:ascii="Times New Roman" w:hAnsi="Times New Roman"/>
                <w:spacing w:val="17"/>
                <w:sz w:val="19"/>
                <w:szCs w:val="19"/>
              </w:rPr>
              <w:t xml:space="preserve"> </w:t>
            </w:r>
            <w:r>
              <w:rPr>
                <w:rFonts w:ascii="Times New Roman" w:hAnsi="Times New Roman"/>
                <w:sz w:val="19"/>
                <w:szCs w:val="19"/>
              </w:rPr>
              <w:t>change</w:t>
            </w:r>
            <w:r>
              <w:rPr>
                <w:rFonts w:ascii="Times New Roman" w:hAnsi="Times New Roman"/>
                <w:spacing w:val="17"/>
                <w:sz w:val="19"/>
                <w:szCs w:val="19"/>
              </w:rPr>
              <w:t xml:space="preserve"> </w:t>
            </w:r>
            <w:r>
              <w:rPr>
                <w:rFonts w:ascii="Times New Roman" w:hAnsi="Times New Roman"/>
                <w:sz w:val="19"/>
                <w:szCs w:val="19"/>
              </w:rPr>
              <w:t>our confidence</w:t>
            </w:r>
            <w:r>
              <w:rPr>
                <w:rFonts w:ascii="Times New Roman" w:hAnsi="Times New Roman"/>
                <w:spacing w:val="19"/>
                <w:sz w:val="19"/>
                <w:szCs w:val="19"/>
              </w:rPr>
              <w:t xml:space="preserve"> </w:t>
            </w:r>
            <w:r>
              <w:rPr>
                <w:rFonts w:ascii="Times New Roman" w:hAnsi="Times New Roman"/>
                <w:sz w:val="19"/>
                <w:szCs w:val="19"/>
              </w:rPr>
              <w:t>in</w:t>
            </w:r>
            <w:r>
              <w:rPr>
                <w:rFonts w:ascii="Times New Roman" w:hAnsi="Times New Roman"/>
                <w:spacing w:val="20"/>
                <w:sz w:val="19"/>
                <w:szCs w:val="19"/>
              </w:rPr>
              <w:t xml:space="preserve"> </w:t>
            </w:r>
            <w:r>
              <w:rPr>
                <w:rFonts w:ascii="Times New Roman" w:hAnsi="Times New Roman"/>
                <w:sz w:val="19"/>
                <w:szCs w:val="19"/>
              </w:rPr>
              <w:t>the esti</w:t>
            </w:r>
            <w:r>
              <w:rPr>
                <w:rFonts w:ascii="Times New Roman" w:hAnsi="Times New Roman"/>
                <w:spacing w:val="1"/>
                <w:sz w:val="19"/>
                <w:szCs w:val="19"/>
              </w:rPr>
              <w:t>m</w:t>
            </w:r>
            <w:r>
              <w:rPr>
                <w:rFonts w:ascii="Times New Roman" w:hAnsi="Times New Roman"/>
                <w:sz w:val="19"/>
                <w:szCs w:val="19"/>
              </w:rPr>
              <w:t>ate</w:t>
            </w:r>
            <w:r>
              <w:rPr>
                <w:rFonts w:ascii="Times New Roman" w:hAnsi="Times New Roman"/>
                <w:spacing w:val="20"/>
                <w:sz w:val="19"/>
                <w:szCs w:val="19"/>
              </w:rPr>
              <w:t xml:space="preserve"> </w:t>
            </w:r>
            <w:r>
              <w:rPr>
                <w:rFonts w:ascii="Times New Roman" w:hAnsi="Times New Roman"/>
                <w:sz w:val="19"/>
                <w:szCs w:val="19"/>
              </w:rPr>
              <w:t>of</w:t>
            </w:r>
            <w:r>
              <w:rPr>
                <w:rFonts w:ascii="Times New Roman" w:hAnsi="Times New Roman"/>
                <w:spacing w:val="21"/>
                <w:sz w:val="19"/>
                <w:szCs w:val="19"/>
              </w:rPr>
              <w:t xml:space="preserve"> </w:t>
            </w:r>
            <w:r>
              <w:rPr>
                <w:rFonts w:ascii="Times New Roman" w:hAnsi="Times New Roman"/>
                <w:sz w:val="19"/>
                <w:szCs w:val="19"/>
              </w:rPr>
              <w:t>effect.</w:t>
            </w:r>
          </w:p>
        </w:tc>
        <w:tc>
          <w:tcPr>
            <w:tcW w:w="2971" w:type="dxa"/>
            <w:tcBorders>
              <w:top w:val="nil"/>
              <w:left w:val="nil"/>
              <w:bottom w:val="single" w:sz="8" w:space="0" w:color="000000"/>
              <w:right w:val="single" w:sz="8" w:space="0" w:color="000000"/>
            </w:tcBorders>
            <w:hideMark/>
          </w:tcPr>
          <w:p w:rsidR="007F6021" w:rsidRDefault="007F6021" w:rsidP="00D16143">
            <w:pPr>
              <w:overflowPunct w:val="0"/>
              <w:autoSpaceDE w:val="0"/>
              <w:autoSpaceDN w:val="0"/>
              <w:spacing w:before="34" w:line="242" w:lineRule="auto"/>
              <w:ind w:left="114" w:right="120" w:firstLine="10"/>
              <w:rPr>
                <w:rFonts w:ascii="Times New Roman" w:hAnsi="Times New Roman"/>
                <w:sz w:val="24"/>
                <w:szCs w:val="24"/>
              </w:rPr>
            </w:pPr>
            <w:r>
              <w:rPr>
                <w:rFonts w:ascii="Times New Roman" w:hAnsi="Times New Roman"/>
                <w:spacing w:val="1"/>
                <w:sz w:val="19"/>
                <w:szCs w:val="19"/>
              </w:rPr>
              <w:t>T</w:t>
            </w:r>
            <w:r>
              <w:rPr>
                <w:rFonts w:ascii="Times New Roman" w:hAnsi="Times New Roman"/>
                <w:sz w:val="19"/>
                <w:szCs w:val="19"/>
              </w:rPr>
              <w:t>he</w:t>
            </w:r>
            <w:r>
              <w:rPr>
                <w:rFonts w:ascii="Times New Roman" w:hAnsi="Times New Roman"/>
                <w:spacing w:val="15"/>
                <w:sz w:val="19"/>
                <w:szCs w:val="19"/>
              </w:rPr>
              <w:t xml:space="preserve"> </w:t>
            </w:r>
            <w:r>
              <w:rPr>
                <w:rFonts w:ascii="Times New Roman" w:hAnsi="Times New Roman"/>
                <w:spacing w:val="1"/>
                <w:sz w:val="19"/>
                <w:szCs w:val="19"/>
              </w:rPr>
              <w:t>w</w:t>
            </w:r>
            <w:r>
              <w:rPr>
                <w:rFonts w:ascii="Times New Roman" w:hAnsi="Times New Roman"/>
                <w:sz w:val="19"/>
                <w:szCs w:val="19"/>
              </w:rPr>
              <w:t>ork</w:t>
            </w:r>
            <w:r>
              <w:rPr>
                <w:rFonts w:ascii="Times New Roman" w:hAnsi="Times New Roman"/>
                <w:spacing w:val="16"/>
                <w:sz w:val="19"/>
                <w:szCs w:val="19"/>
              </w:rPr>
              <w:t xml:space="preserve"> </w:t>
            </w:r>
            <w:r>
              <w:rPr>
                <w:rFonts w:ascii="Times New Roman" w:hAnsi="Times New Roman"/>
                <w:sz w:val="19"/>
                <w:szCs w:val="19"/>
              </w:rPr>
              <w:t>group</w:t>
            </w:r>
            <w:r>
              <w:rPr>
                <w:rFonts w:ascii="Times New Roman" w:hAnsi="Times New Roman"/>
                <w:spacing w:val="16"/>
                <w:sz w:val="19"/>
                <w:szCs w:val="19"/>
              </w:rPr>
              <w:t xml:space="preserve"> </w:t>
            </w:r>
            <w:r>
              <w:rPr>
                <w:rFonts w:ascii="Times New Roman" w:hAnsi="Times New Roman"/>
                <w:sz w:val="19"/>
                <w:szCs w:val="19"/>
              </w:rPr>
              <w:t>is</w:t>
            </w:r>
            <w:r>
              <w:rPr>
                <w:rFonts w:ascii="Times New Roman" w:hAnsi="Times New Roman"/>
                <w:spacing w:val="15"/>
                <w:sz w:val="19"/>
                <w:szCs w:val="19"/>
              </w:rPr>
              <w:t xml:space="preserve"> </w:t>
            </w:r>
            <w:r>
              <w:rPr>
                <w:rFonts w:ascii="Times New Roman" w:hAnsi="Times New Roman"/>
                <w:sz w:val="19"/>
                <w:szCs w:val="19"/>
              </w:rPr>
              <w:t>confident</w:t>
            </w:r>
            <w:r>
              <w:rPr>
                <w:rFonts w:ascii="Times New Roman" w:hAnsi="Times New Roman"/>
                <w:spacing w:val="15"/>
                <w:sz w:val="19"/>
                <w:szCs w:val="19"/>
              </w:rPr>
              <w:t xml:space="preserve"> </w:t>
            </w:r>
            <w:r>
              <w:rPr>
                <w:rFonts w:ascii="Times New Roman" w:hAnsi="Times New Roman"/>
                <w:sz w:val="19"/>
                <w:szCs w:val="19"/>
              </w:rPr>
              <w:t>that the</w:t>
            </w:r>
            <w:r>
              <w:rPr>
                <w:rFonts w:ascii="Times New Roman" w:hAnsi="Times New Roman"/>
                <w:spacing w:val="16"/>
                <w:sz w:val="19"/>
                <w:szCs w:val="19"/>
              </w:rPr>
              <w:t xml:space="preserve"> </w:t>
            </w:r>
            <w:r>
              <w:rPr>
                <w:rFonts w:ascii="Times New Roman" w:hAnsi="Times New Roman"/>
                <w:sz w:val="19"/>
                <w:szCs w:val="19"/>
              </w:rPr>
              <w:t>desirable</w:t>
            </w:r>
            <w:r>
              <w:rPr>
                <w:rFonts w:ascii="Times New Roman" w:hAnsi="Times New Roman"/>
                <w:spacing w:val="16"/>
                <w:sz w:val="19"/>
                <w:szCs w:val="19"/>
              </w:rPr>
              <w:t xml:space="preserve"> </w:t>
            </w:r>
            <w:r>
              <w:rPr>
                <w:rFonts w:ascii="Times New Roman" w:hAnsi="Times New Roman"/>
                <w:sz w:val="19"/>
                <w:szCs w:val="19"/>
              </w:rPr>
              <w:t>effects</w:t>
            </w:r>
            <w:r>
              <w:rPr>
                <w:rFonts w:ascii="Times New Roman" w:hAnsi="Times New Roman"/>
                <w:spacing w:val="17"/>
                <w:sz w:val="19"/>
                <w:szCs w:val="19"/>
              </w:rPr>
              <w:t xml:space="preserve"> </w:t>
            </w:r>
            <w:r>
              <w:rPr>
                <w:rFonts w:ascii="Times New Roman" w:hAnsi="Times New Roman"/>
                <w:sz w:val="19"/>
                <w:szCs w:val="19"/>
              </w:rPr>
              <w:t>of</w:t>
            </w:r>
            <w:r>
              <w:rPr>
                <w:rFonts w:ascii="Times New Roman" w:hAnsi="Times New Roman"/>
                <w:spacing w:val="16"/>
                <w:sz w:val="19"/>
                <w:szCs w:val="19"/>
              </w:rPr>
              <w:t xml:space="preserve"> </w:t>
            </w:r>
            <w:r>
              <w:rPr>
                <w:rFonts w:ascii="Times New Roman" w:hAnsi="Times New Roman"/>
                <w:sz w:val="19"/>
                <w:szCs w:val="19"/>
              </w:rPr>
              <w:t>adhering</w:t>
            </w:r>
            <w:r>
              <w:rPr>
                <w:rFonts w:ascii="Times New Roman" w:hAnsi="Times New Roman"/>
                <w:spacing w:val="16"/>
                <w:sz w:val="19"/>
                <w:szCs w:val="19"/>
              </w:rPr>
              <w:t xml:space="preserve"> </w:t>
            </w:r>
            <w:r>
              <w:rPr>
                <w:rFonts w:ascii="Times New Roman" w:hAnsi="Times New Roman"/>
                <w:sz w:val="19"/>
                <w:szCs w:val="19"/>
              </w:rPr>
              <w:t>to this</w:t>
            </w:r>
            <w:r>
              <w:rPr>
                <w:rFonts w:ascii="Times New Roman" w:hAnsi="Times New Roman"/>
                <w:spacing w:val="25"/>
                <w:sz w:val="19"/>
                <w:szCs w:val="19"/>
              </w:rPr>
              <w:t xml:space="preserve"> </w:t>
            </w:r>
            <w:r>
              <w:rPr>
                <w:rFonts w:ascii="Times New Roman" w:hAnsi="Times New Roman"/>
                <w:sz w:val="19"/>
                <w:szCs w:val="19"/>
              </w:rPr>
              <w:t>reco</w:t>
            </w:r>
            <w:r>
              <w:rPr>
                <w:rFonts w:ascii="Times New Roman" w:hAnsi="Times New Roman"/>
                <w:spacing w:val="1"/>
                <w:sz w:val="19"/>
                <w:szCs w:val="19"/>
              </w:rPr>
              <w:t>mm</w:t>
            </w:r>
            <w:r>
              <w:rPr>
                <w:rFonts w:ascii="Times New Roman" w:hAnsi="Times New Roman"/>
                <w:sz w:val="19"/>
                <w:szCs w:val="19"/>
              </w:rPr>
              <w:t>endation</w:t>
            </w:r>
            <w:r>
              <w:rPr>
                <w:rFonts w:ascii="Times New Roman" w:hAnsi="Times New Roman"/>
                <w:spacing w:val="26"/>
                <w:sz w:val="19"/>
                <w:szCs w:val="19"/>
              </w:rPr>
              <w:t xml:space="preserve"> </w:t>
            </w:r>
            <w:r>
              <w:rPr>
                <w:rFonts w:ascii="Times New Roman" w:hAnsi="Times New Roman"/>
                <w:sz w:val="19"/>
                <w:szCs w:val="19"/>
              </w:rPr>
              <w:t>out</w:t>
            </w:r>
            <w:r>
              <w:rPr>
                <w:rFonts w:ascii="Times New Roman" w:hAnsi="Times New Roman"/>
                <w:spacing w:val="1"/>
                <w:sz w:val="19"/>
                <w:szCs w:val="19"/>
              </w:rPr>
              <w:t>w</w:t>
            </w:r>
            <w:r>
              <w:rPr>
                <w:rFonts w:ascii="Times New Roman" w:hAnsi="Times New Roman"/>
                <w:sz w:val="19"/>
                <w:szCs w:val="19"/>
              </w:rPr>
              <w:t>eigh</w:t>
            </w:r>
            <w:r>
              <w:rPr>
                <w:rFonts w:ascii="Times New Roman" w:hAnsi="Times New Roman"/>
                <w:spacing w:val="25"/>
                <w:sz w:val="19"/>
                <w:szCs w:val="19"/>
              </w:rPr>
              <w:t xml:space="preserve"> </w:t>
            </w:r>
            <w:r>
              <w:rPr>
                <w:rFonts w:ascii="Times New Roman" w:hAnsi="Times New Roman"/>
                <w:sz w:val="19"/>
                <w:szCs w:val="19"/>
              </w:rPr>
              <w:t>the undesirable</w:t>
            </w:r>
            <w:r>
              <w:rPr>
                <w:rFonts w:ascii="Times New Roman" w:hAnsi="Times New Roman"/>
                <w:spacing w:val="14"/>
                <w:sz w:val="19"/>
                <w:szCs w:val="19"/>
              </w:rPr>
              <w:t xml:space="preserve"> </w:t>
            </w:r>
            <w:r>
              <w:rPr>
                <w:rFonts w:ascii="Times New Roman" w:hAnsi="Times New Roman"/>
                <w:sz w:val="19"/>
                <w:szCs w:val="19"/>
              </w:rPr>
              <w:t xml:space="preserve">effects. </w:t>
            </w:r>
            <w:r>
              <w:rPr>
                <w:rFonts w:ascii="Times New Roman" w:hAnsi="Times New Roman"/>
                <w:spacing w:val="26"/>
                <w:sz w:val="19"/>
                <w:szCs w:val="19"/>
              </w:rPr>
              <w:t> </w:t>
            </w:r>
            <w:r>
              <w:rPr>
                <w:rFonts w:ascii="Times New Roman" w:hAnsi="Times New Roman"/>
                <w:spacing w:val="1"/>
                <w:sz w:val="19"/>
                <w:szCs w:val="19"/>
              </w:rPr>
              <w:t>T</w:t>
            </w:r>
            <w:r>
              <w:rPr>
                <w:rFonts w:ascii="Times New Roman" w:hAnsi="Times New Roman"/>
                <w:sz w:val="19"/>
                <w:szCs w:val="19"/>
              </w:rPr>
              <w:t>his</w:t>
            </w:r>
            <w:r>
              <w:rPr>
                <w:rFonts w:ascii="Times New Roman" w:hAnsi="Times New Roman"/>
                <w:spacing w:val="14"/>
                <w:sz w:val="19"/>
                <w:szCs w:val="19"/>
              </w:rPr>
              <w:t xml:space="preserve"> </w:t>
            </w:r>
            <w:r>
              <w:rPr>
                <w:rFonts w:ascii="Times New Roman" w:hAnsi="Times New Roman"/>
                <w:sz w:val="19"/>
                <w:szCs w:val="19"/>
              </w:rPr>
              <w:t>is</w:t>
            </w:r>
            <w:r>
              <w:rPr>
                <w:rFonts w:ascii="Times New Roman" w:hAnsi="Times New Roman"/>
                <w:spacing w:val="14"/>
                <w:sz w:val="19"/>
                <w:szCs w:val="19"/>
              </w:rPr>
              <w:t xml:space="preserve"> </w:t>
            </w:r>
            <w:r>
              <w:rPr>
                <w:rFonts w:ascii="Times New Roman" w:hAnsi="Times New Roman"/>
                <w:sz w:val="19"/>
                <w:szCs w:val="19"/>
              </w:rPr>
              <w:t>a strong</w:t>
            </w:r>
            <w:r>
              <w:rPr>
                <w:rFonts w:ascii="Times New Roman" w:hAnsi="Times New Roman"/>
                <w:spacing w:val="23"/>
                <w:sz w:val="19"/>
                <w:szCs w:val="19"/>
              </w:rPr>
              <w:t xml:space="preserve"> </w:t>
            </w:r>
            <w:r>
              <w:rPr>
                <w:rFonts w:ascii="Times New Roman" w:hAnsi="Times New Roman"/>
                <w:sz w:val="19"/>
                <w:szCs w:val="19"/>
              </w:rPr>
              <w:t>reco</w:t>
            </w:r>
            <w:r>
              <w:rPr>
                <w:rFonts w:ascii="Times New Roman" w:hAnsi="Times New Roman"/>
                <w:spacing w:val="1"/>
                <w:sz w:val="19"/>
                <w:szCs w:val="19"/>
              </w:rPr>
              <w:t>mm</w:t>
            </w:r>
            <w:r>
              <w:rPr>
                <w:rFonts w:ascii="Times New Roman" w:hAnsi="Times New Roman"/>
                <w:sz w:val="19"/>
                <w:szCs w:val="19"/>
              </w:rPr>
              <w:t>endation</w:t>
            </w:r>
            <w:r>
              <w:rPr>
                <w:rFonts w:ascii="Times New Roman" w:hAnsi="Times New Roman"/>
                <w:spacing w:val="23"/>
                <w:sz w:val="19"/>
                <w:szCs w:val="19"/>
              </w:rPr>
              <w:t xml:space="preserve"> </w:t>
            </w:r>
            <w:r>
              <w:rPr>
                <w:rFonts w:ascii="Times New Roman" w:hAnsi="Times New Roman"/>
                <w:sz w:val="19"/>
                <w:szCs w:val="19"/>
              </w:rPr>
              <w:t>for</w:t>
            </w:r>
            <w:r>
              <w:rPr>
                <w:rFonts w:ascii="Times New Roman" w:hAnsi="Times New Roman"/>
                <w:spacing w:val="23"/>
                <w:sz w:val="19"/>
                <w:szCs w:val="19"/>
              </w:rPr>
              <w:t xml:space="preserve"> </w:t>
            </w:r>
            <w:r>
              <w:rPr>
                <w:rFonts w:ascii="Times New Roman" w:hAnsi="Times New Roman"/>
                <w:sz w:val="19"/>
                <w:szCs w:val="19"/>
              </w:rPr>
              <w:t>or against.</w:t>
            </w:r>
            <w:r>
              <w:rPr>
                <w:rFonts w:ascii="Times New Roman" w:hAnsi="Times New Roman"/>
                <w:spacing w:val="15"/>
                <w:sz w:val="19"/>
                <w:szCs w:val="19"/>
              </w:rPr>
              <w:t xml:space="preserve"> </w:t>
            </w:r>
            <w:r>
              <w:rPr>
                <w:rFonts w:ascii="Times New Roman" w:hAnsi="Times New Roman"/>
                <w:spacing w:val="1"/>
                <w:sz w:val="19"/>
                <w:szCs w:val="19"/>
              </w:rPr>
              <w:t>T</w:t>
            </w:r>
            <w:r>
              <w:rPr>
                <w:rFonts w:ascii="Times New Roman" w:hAnsi="Times New Roman"/>
                <w:sz w:val="19"/>
                <w:szCs w:val="19"/>
              </w:rPr>
              <w:t>his</w:t>
            </w:r>
            <w:r>
              <w:rPr>
                <w:rFonts w:ascii="Times New Roman" w:hAnsi="Times New Roman"/>
                <w:spacing w:val="16"/>
                <w:sz w:val="19"/>
                <w:szCs w:val="19"/>
              </w:rPr>
              <w:t xml:space="preserve"> </w:t>
            </w:r>
            <w:r>
              <w:rPr>
                <w:rFonts w:ascii="Times New Roman" w:hAnsi="Times New Roman"/>
                <w:sz w:val="19"/>
                <w:szCs w:val="19"/>
              </w:rPr>
              <w:t>applies</w:t>
            </w:r>
            <w:r>
              <w:rPr>
                <w:rFonts w:ascii="Times New Roman" w:hAnsi="Times New Roman"/>
                <w:spacing w:val="17"/>
                <w:sz w:val="19"/>
                <w:szCs w:val="19"/>
              </w:rPr>
              <w:t xml:space="preserve"> </w:t>
            </w:r>
            <w:r>
              <w:rPr>
                <w:rFonts w:ascii="Times New Roman" w:hAnsi="Times New Roman"/>
                <w:sz w:val="19"/>
                <w:szCs w:val="19"/>
              </w:rPr>
              <w:t>to</w:t>
            </w:r>
            <w:r>
              <w:rPr>
                <w:rFonts w:ascii="Times New Roman" w:hAnsi="Times New Roman"/>
                <w:spacing w:val="16"/>
                <w:sz w:val="19"/>
                <w:szCs w:val="19"/>
              </w:rPr>
              <w:t xml:space="preserve"> </w:t>
            </w:r>
            <w:r>
              <w:rPr>
                <w:rFonts w:ascii="Times New Roman" w:hAnsi="Times New Roman"/>
                <w:spacing w:val="1"/>
                <w:sz w:val="19"/>
                <w:szCs w:val="19"/>
              </w:rPr>
              <w:t>m</w:t>
            </w:r>
            <w:r>
              <w:rPr>
                <w:rFonts w:ascii="Times New Roman" w:hAnsi="Times New Roman"/>
                <w:sz w:val="19"/>
                <w:szCs w:val="19"/>
              </w:rPr>
              <w:t>ost patients.</w:t>
            </w:r>
          </w:p>
        </w:tc>
        <w:tc>
          <w:tcPr>
            <w:tcW w:w="2005" w:type="dxa"/>
            <w:tcBorders>
              <w:top w:val="nil"/>
              <w:left w:val="nil"/>
              <w:bottom w:val="single" w:sz="8" w:space="0" w:color="000000"/>
              <w:right w:val="single" w:sz="8" w:space="0" w:color="000000"/>
            </w:tcBorders>
            <w:hideMark/>
          </w:tcPr>
          <w:p w:rsidR="007F6021" w:rsidRDefault="007F6021" w:rsidP="00D16143">
            <w:pPr>
              <w:overflowPunct w:val="0"/>
              <w:autoSpaceDE w:val="0"/>
              <w:autoSpaceDN w:val="0"/>
              <w:spacing w:before="34" w:line="242" w:lineRule="auto"/>
              <w:ind w:left="113" w:right="152" w:hanging="46"/>
              <w:rPr>
                <w:rFonts w:ascii="Times New Roman" w:hAnsi="Times New Roman"/>
                <w:sz w:val="24"/>
                <w:szCs w:val="24"/>
              </w:rPr>
            </w:pPr>
            <w:r>
              <w:rPr>
                <w:rFonts w:ascii="Times New Roman" w:hAnsi="Times New Roman"/>
                <w:spacing w:val="1"/>
                <w:sz w:val="19"/>
                <w:szCs w:val="19"/>
              </w:rPr>
              <w:t>T</w:t>
            </w:r>
            <w:r>
              <w:rPr>
                <w:rFonts w:ascii="Times New Roman" w:hAnsi="Times New Roman"/>
                <w:sz w:val="19"/>
                <w:szCs w:val="19"/>
              </w:rPr>
              <w:t>he</w:t>
            </w:r>
            <w:r>
              <w:rPr>
                <w:rFonts w:ascii="Times New Roman" w:hAnsi="Times New Roman"/>
                <w:spacing w:val="21"/>
                <w:sz w:val="19"/>
                <w:szCs w:val="19"/>
              </w:rPr>
              <w:t xml:space="preserve"> </w:t>
            </w:r>
            <w:r>
              <w:rPr>
                <w:rFonts w:ascii="Times New Roman" w:hAnsi="Times New Roman"/>
                <w:spacing w:val="1"/>
                <w:sz w:val="19"/>
                <w:szCs w:val="19"/>
              </w:rPr>
              <w:t>w</w:t>
            </w:r>
            <w:r>
              <w:rPr>
                <w:rFonts w:ascii="Times New Roman" w:hAnsi="Times New Roman"/>
                <w:sz w:val="19"/>
                <w:szCs w:val="19"/>
              </w:rPr>
              <w:t>ork</w:t>
            </w:r>
            <w:r>
              <w:rPr>
                <w:rFonts w:ascii="Times New Roman" w:hAnsi="Times New Roman"/>
                <w:spacing w:val="22"/>
                <w:sz w:val="19"/>
                <w:szCs w:val="19"/>
              </w:rPr>
              <w:t xml:space="preserve"> </w:t>
            </w:r>
            <w:r>
              <w:rPr>
                <w:rFonts w:ascii="Times New Roman" w:hAnsi="Times New Roman"/>
                <w:sz w:val="19"/>
                <w:szCs w:val="19"/>
              </w:rPr>
              <w:t>group</w:t>
            </w:r>
            <w:r>
              <w:rPr>
                <w:rFonts w:ascii="Times New Roman" w:hAnsi="Times New Roman"/>
                <w:spacing w:val="21"/>
                <w:sz w:val="19"/>
                <w:szCs w:val="19"/>
              </w:rPr>
              <w:t xml:space="preserve"> </w:t>
            </w:r>
            <w:r>
              <w:rPr>
                <w:rFonts w:ascii="Times New Roman" w:hAnsi="Times New Roman"/>
                <w:sz w:val="19"/>
                <w:szCs w:val="19"/>
              </w:rPr>
              <w:t>recognizes that</w:t>
            </w:r>
            <w:r>
              <w:rPr>
                <w:rFonts w:ascii="Times New Roman" w:hAnsi="Times New Roman"/>
                <w:spacing w:val="15"/>
                <w:sz w:val="19"/>
                <w:szCs w:val="19"/>
              </w:rPr>
              <w:t xml:space="preserve"> </w:t>
            </w:r>
            <w:r>
              <w:rPr>
                <w:rFonts w:ascii="Times New Roman" w:hAnsi="Times New Roman"/>
                <w:sz w:val="19"/>
                <w:szCs w:val="19"/>
              </w:rPr>
              <w:t>the</w:t>
            </w:r>
            <w:r>
              <w:rPr>
                <w:rFonts w:ascii="Times New Roman" w:hAnsi="Times New Roman"/>
                <w:spacing w:val="16"/>
                <w:sz w:val="19"/>
                <w:szCs w:val="19"/>
              </w:rPr>
              <w:t xml:space="preserve"> </w:t>
            </w:r>
            <w:r>
              <w:rPr>
                <w:rFonts w:ascii="Times New Roman" w:hAnsi="Times New Roman"/>
                <w:sz w:val="19"/>
                <w:szCs w:val="19"/>
              </w:rPr>
              <w:t>evidence,</w:t>
            </w:r>
            <w:r>
              <w:rPr>
                <w:rFonts w:ascii="Times New Roman" w:hAnsi="Times New Roman"/>
                <w:spacing w:val="16"/>
                <w:sz w:val="19"/>
                <w:szCs w:val="19"/>
              </w:rPr>
              <w:t xml:space="preserve"> </w:t>
            </w:r>
            <w:r>
              <w:rPr>
                <w:rFonts w:ascii="Times New Roman" w:hAnsi="Times New Roman"/>
                <w:sz w:val="19"/>
                <w:szCs w:val="19"/>
              </w:rPr>
              <w:t>though</w:t>
            </w:r>
            <w:r>
              <w:rPr>
                <w:rFonts w:ascii="Times New Roman" w:hAnsi="Times New Roman"/>
                <w:spacing w:val="16"/>
                <w:sz w:val="19"/>
                <w:szCs w:val="19"/>
              </w:rPr>
              <w:t xml:space="preserve"> </w:t>
            </w:r>
            <w:r>
              <w:rPr>
                <w:rFonts w:ascii="Times New Roman" w:hAnsi="Times New Roman"/>
                <w:sz w:val="19"/>
                <w:szCs w:val="19"/>
              </w:rPr>
              <w:t>of high</w:t>
            </w:r>
            <w:r>
              <w:rPr>
                <w:rFonts w:ascii="Times New Roman" w:hAnsi="Times New Roman"/>
                <w:spacing w:val="16"/>
                <w:sz w:val="19"/>
                <w:szCs w:val="19"/>
              </w:rPr>
              <w:t xml:space="preserve"> </w:t>
            </w:r>
            <w:r>
              <w:rPr>
                <w:rFonts w:ascii="Times New Roman" w:hAnsi="Times New Roman"/>
                <w:sz w:val="19"/>
                <w:szCs w:val="19"/>
              </w:rPr>
              <w:t>quality,</w:t>
            </w:r>
            <w:r>
              <w:rPr>
                <w:rFonts w:ascii="Times New Roman" w:hAnsi="Times New Roman"/>
                <w:spacing w:val="15"/>
                <w:sz w:val="19"/>
                <w:szCs w:val="19"/>
              </w:rPr>
              <w:t xml:space="preserve"> </w:t>
            </w:r>
            <w:r>
              <w:rPr>
                <w:rFonts w:ascii="Times New Roman" w:hAnsi="Times New Roman"/>
                <w:sz w:val="19"/>
                <w:szCs w:val="19"/>
              </w:rPr>
              <w:t>sho</w:t>
            </w:r>
            <w:r>
              <w:rPr>
                <w:rFonts w:ascii="Times New Roman" w:hAnsi="Times New Roman"/>
                <w:spacing w:val="1"/>
                <w:sz w:val="19"/>
                <w:szCs w:val="19"/>
              </w:rPr>
              <w:t>w</w:t>
            </w:r>
            <w:r>
              <w:rPr>
                <w:rFonts w:ascii="Times New Roman" w:hAnsi="Times New Roman"/>
                <w:sz w:val="19"/>
                <w:szCs w:val="19"/>
              </w:rPr>
              <w:t>s</w:t>
            </w:r>
            <w:r>
              <w:rPr>
                <w:rFonts w:ascii="Times New Roman" w:hAnsi="Times New Roman"/>
                <w:spacing w:val="16"/>
                <w:sz w:val="19"/>
                <w:szCs w:val="19"/>
              </w:rPr>
              <w:t xml:space="preserve"> </w:t>
            </w:r>
            <w:r>
              <w:rPr>
                <w:rFonts w:ascii="Times New Roman" w:hAnsi="Times New Roman"/>
                <w:sz w:val="19"/>
                <w:szCs w:val="19"/>
              </w:rPr>
              <w:t>a balance</w:t>
            </w:r>
            <w:r>
              <w:rPr>
                <w:rFonts w:ascii="Times New Roman" w:hAnsi="Times New Roman"/>
                <w:spacing w:val="29"/>
                <w:sz w:val="19"/>
                <w:szCs w:val="19"/>
              </w:rPr>
              <w:t xml:space="preserve"> </w:t>
            </w:r>
            <w:r>
              <w:rPr>
                <w:rFonts w:ascii="Times New Roman" w:hAnsi="Times New Roman"/>
                <w:sz w:val="19"/>
                <w:szCs w:val="19"/>
              </w:rPr>
              <w:t>bet</w:t>
            </w:r>
            <w:r>
              <w:rPr>
                <w:rFonts w:ascii="Times New Roman" w:hAnsi="Times New Roman"/>
                <w:spacing w:val="1"/>
                <w:sz w:val="19"/>
                <w:szCs w:val="19"/>
              </w:rPr>
              <w:t>w</w:t>
            </w:r>
            <w:r>
              <w:rPr>
                <w:rFonts w:ascii="Times New Roman" w:hAnsi="Times New Roman"/>
                <w:sz w:val="19"/>
                <w:szCs w:val="19"/>
              </w:rPr>
              <w:t>een</w:t>
            </w:r>
            <w:r>
              <w:rPr>
                <w:rFonts w:ascii="Times New Roman" w:hAnsi="Times New Roman"/>
                <w:spacing w:val="30"/>
                <w:sz w:val="19"/>
                <w:szCs w:val="19"/>
              </w:rPr>
              <w:t xml:space="preserve"> </w:t>
            </w:r>
            <w:r>
              <w:rPr>
                <w:rFonts w:ascii="Times New Roman" w:hAnsi="Times New Roman"/>
                <w:sz w:val="19"/>
                <w:szCs w:val="19"/>
              </w:rPr>
              <w:t>esti</w:t>
            </w:r>
            <w:r>
              <w:rPr>
                <w:rFonts w:ascii="Times New Roman" w:hAnsi="Times New Roman"/>
                <w:spacing w:val="1"/>
                <w:sz w:val="19"/>
                <w:szCs w:val="19"/>
              </w:rPr>
              <w:t>m</w:t>
            </w:r>
            <w:r>
              <w:rPr>
                <w:rFonts w:ascii="Times New Roman" w:hAnsi="Times New Roman"/>
                <w:sz w:val="19"/>
                <w:szCs w:val="19"/>
              </w:rPr>
              <w:t>ates of</w:t>
            </w:r>
            <w:r>
              <w:rPr>
                <w:rFonts w:ascii="Times New Roman" w:hAnsi="Times New Roman"/>
                <w:spacing w:val="16"/>
                <w:sz w:val="19"/>
                <w:szCs w:val="19"/>
              </w:rPr>
              <w:t xml:space="preserve"> </w:t>
            </w:r>
            <w:r>
              <w:rPr>
                <w:rFonts w:ascii="Times New Roman" w:hAnsi="Times New Roman"/>
                <w:sz w:val="19"/>
                <w:szCs w:val="19"/>
              </w:rPr>
              <w:t>har</w:t>
            </w:r>
            <w:r>
              <w:rPr>
                <w:rFonts w:ascii="Times New Roman" w:hAnsi="Times New Roman"/>
                <w:spacing w:val="1"/>
                <w:sz w:val="19"/>
                <w:szCs w:val="19"/>
              </w:rPr>
              <w:t>m</w:t>
            </w:r>
            <w:r>
              <w:rPr>
                <w:rFonts w:ascii="Times New Roman" w:hAnsi="Times New Roman"/>
                <w:sz w:val="19"/>
                <w:szCs w:val="19"/>
              </w:rPr>
              <w:t>s</w:t>
            </w:r>
            <w:r>
              <w:rPr>
                <w:rFonts w:ascii="Times New Roman" w:hAnsi="Times New Roman"/>
                <w:spacing w:val="16"/>
                <w:sz w:val="19"/>
                <w:szCs w:val="19"/>
              </w:rPr>
              <w:t xml:space="preserve"> </w:t>
            </w:r>
            <w:r>
              <w:rPr>
                <w:rFonts w:ascii="Times New Roman" w:hAnsi="Times New Roman"/>
                <w:sz w:val="19"/>
                <w:szCs w:val="19"/>
              </w:rPr>
              <w:t>and</w:t>
            </w:r>
            <w:r>
              <w:rPr>
                <w:rFonts w:ascii="Times New Roman" w:hAnsi="Times New Roman"/>
                <w:spacing w:val="16"/>
                <w:sz w:val="19"/>
                <w:szCs w:val="19"/>
              </w:rPr>
              <w:t xml:space="preserve"> </w:t>
            </w:r>
            <w:r>
              <w:rPr>
                <w:rFonts w:ascii="Times New Roman" w:hAnsi="Times New Roman"/>
                <w:sz w:val="19"/>
                <w:szCs w:val="19"/>
              </w:rPr>
              <w:t>benefits.</w:t>
            </w:r>
            <w:r>
              <w:rPr>
                <w:rFonts w:ascii="Times New Roman" w:hAnsi="Times New Roman"/>
                <w:spacing w:val="14"/>
                <w:sz w:val="19"/>
                <w:szCs w:val="19"/>
              </w:rPr>
              <w:t xml:space="preserve"> </w:t>
            </w:r>
            <w:r>
              <w:rPr>
                <w:rFonts w:ascii="Times New Roman" w:hAnsi="Times New Roman"/>
                <w:spacing w:val="1"/>
                <w:sz w:val="19"/>
                <w:szCs w:val="19"/>
              </w:rPr>
              <w:t>T</w:t>
            </w:r>
            <w:r>
              <w:rPr>
                <w:rFonts w:ascii="Times New Roman" w:hAnsi="Times New Roman"/>
                <w:sz w:val="19"/>
                <w:szCs w:val="19"/>
              </w:rPr>
              <w:t>he best</w:t>
            </w:r>
            <w:r>
              <w:rPr>
                <w:rFonts w:ascii="Times New Roman" w:hAnsi="Times New Roman"/>
                <w:spacing w:val="14"/>
                <w:sz w:val="19"/>
                <w:szCs w:val="19"/>
              </w:rPr>
              <w:t xml:space="preserve"> </w:t>
            </w:r>
            <w:r>
              <w:rPr>
                <w:rFonts w:ascii="Times New Roman" w:hAnsi="Times New Roman"/>
                <w:sz w:val="19"/>
                <w:szCs w:val="19"/>
              </w:rPr>
              <w:t>action</w:t>
            </w:r>
            <w:r>
              <w:rPr>
                <w:rFonts w:ascii="Times New Roman" w:hAnsi="Times New Roman"/>
                <w:spacing w:val="15"/>
                <w:sz w:val="19"/>
                <w:szCs w:val="19"/>
              </w:rPr>
              <w:t xml:space="preserve"> </w:t>
            </w:r>
            <w:r>
              <w:rPr>
                <w:rFonts w:ascii="Times New Roman" w:hAnsi="Times New Roman"/>
                <w:spacing w:val="1"/>
                <w:sz w:val="19"/>
                <w:szCs w:val="19"/>
              </w:rPr>
              <w:t>w</w:t>
            </w:r>
            <w:r>
              <w:rPr>
                <w:rFonts w:ascii="Times New Roman" w:hAnsi="Times New Roman"/>
                <w:sz w:val="19"/>
                <w:szCs w:val="19"/>
              </w:rPr>
              <w:t>ill</w:t>
            </w:r>
            <w:r>
              <w:rPr>
                <w:rFonts w:ascii="Times New Roman" w:hAnsi="Times New Roman"/>
                <w:spacing w:val="14"/>
                <w:sz w:val="19"/>
                <w:szCs w:val="19"/>
              </w:rPr>
              <w:t xml:space="preserve"> </w:t>
            </w:r>
            <w:r>
              <w:rPr>
                <w:rFonts w:ascii="Times New Roman" w:hAnsi="Times New Roman"/>
                <w:sz w:val="19"/>
                <w:szCs w:val="19"/>
              </w:rPr>
              <w:t>depend</w:t>
            </w:r>
            <w:r>
              <w:rPr>
                <w:rFonts w:ascii="Times New Roman" w:hAnsi="Times New Roman"/>
                <w:spacing w:val="16"/>
                <w:sz w:val="19"/>
                <w:szCs w:val="19"/>
              </w:rPr>
              <w:t xml:space="preserve"> </w:t>
            </w:r>
            <w:r>
              <w:rPr>
                <w:rFonts w:ascii="Times New Roman" w:hAnsi="Times New Roman"/>
                <w:sz w:val="19"/>
                <w:szCs w:val="19"/>
              </w:rPr>
              <w:t>on local</w:t>
            </w:r>
            <w:r>
              <w:rPr>
                <w:rFonts w:ascii="Times New Roman" w:hAnsi="Times New Roman"/>
                <w:spacing w:val="31"/>
                <w:sz w:val="19"/>
                <w:szCs w:val="19"/>
              </w:rPr>
              <w:t xml:space="preserve"> </w:t>
            </w:r>
            <w:r>
              <w:rPr>
                <w:rFonts w:ascii="Times New Roman" w:hAnsi="Times New Roman"/>
                <w:sz w:val="19"/>
                <w:szCs w:val="19"/>
              </w:rPr>
              <w:t>circu</w:t>
            </w:r>
            <w:r>
              <w:rPr>
                <w:rFonts w:ascii="Times New Roman" w:hAnsi="Times New Roman"/>
                <w:spacing w:val="1"/>
                <w:sz w:val="19"/>
                <w:szCs w:val="19"/>
              </w:rPr>
              <w:t>m</w:t>
            </w:r>
            <w:r>
              <w:rPr>
                <w:rFonts w:ascii="Times New Roman" w:hAnsi="Times New Roman"/>
                <w:sz w:val="19"/>
                <w:szCs w:val="19"/>
              </w:rPr>
              <w:t>stances,</w:t>
            </w:r>
            <w:r>
              <w:rPr>
                <w:rFonts w:ascii="Times New Roman" w:hAnsi="Times New Roman"/>
                <w:spacing w:val="31"/>
                <w:sz w:val="19"/>
                <w:szCs w:val="19"/>
              </w:rPr>
              <w:t xml:space="preserve"> </w:t>
            </w:r>
            <w:r>
              <w:rPr>
                <w:rFonts w:ascii="Times New Roman" w:hAnsi="Times New Roman"/>
                <w:sz w:val="19"/>
                <w:szCs w:val="19"/>
              </w:rPr>
              <w:t>patient values</w:t>
            </w:r>
            <w:r>
              <w:rPr>
                <w:rFonts w:ascii="Times New Roman" w:hAnsi="Times New Roman"/>
                <w:spacing w:val="26"/>
                <w:sz w:val="19"/>
                <w:szCs w:val="19"/>
              </w:rPr>
              <w:t xml:space="preserve"> </w:t>
            </w:r>
            <w:r>
              <w:rPr>
                <w:rFonts w:ascii="Times New Roman" w:hAnsi="Times New Roman"/>
                <w:sz w:val="19"/>
                <w:szCs w:val="19"/>
              </w:rPr>
              <w:t>or</w:t>
            </w:r>
            <w:r>
              <w:rPr>
                <w:rFonts w:ascii="Times New Roman" w:hAnsi="Times New Roman"/>
                <w:spacing w:val="27"/>
                <w:sz w:val="19"/>
                <w:szCs w:val="19"/>
              </w:rPr>
              <w:t xml:space="preserve"> </w:t>
            </w:r>
            <w:r>
              <w:rPr>
                <w:rFonts w:ascii="Times New Roman" w:hAnsi="Times New Roman"/>
                <w:sz w:val="19"/>
                <w:szCs w:val="19"/>
              </w:rPr>
              <w:t>preferences.</w:t>
            </w:r>
          </w:p>
        </w:tc>
      </w:tr>
      <w:tr w:rsidR="007F6021" w:rsidTr="005E43F7">
        <w:trPr>
          <w:trHeight w:hRule="exact" w:val="4142"/>
        </w:trPr>
        <w:tc>
          <w:tcPr>
            <w:tcW w:w="1783" w:type="dxa"/>
            <w:tcBorders>
              <w:top w:val="nil"/>
              <w:left w:val="single" w:sz="8" w:space="0" w:color="000000"/>
              <w:bottom w:val="single" w:sz="8" w:space="0" w:color="000000"/>
              <w:right w:val="single" w:sz="8" w:space="0" w:color="000000"/>
            </w:tcBorders>
            <w:hideMark/>
          </w:tcPr>
          <w:p w:rsidR="007F6021" w:rsidRDefault="007F6021" w:rsidP="00D16143">
            <w:pPr>
              <w:overflowPunct w:val="0"/>
              <w:autoSpaceDE w:val="0"/>
              <w:autoSpaceDN w:val="0"/>
              <w:spacing w:before="34" w:line="252" w:lineRule="auto"/>
              <w:ind w:left="163" w:right="267" w:firstLine="0"/>
              <w:rPr>
                <w:rFonts w:ascii="Times New Roman" w:hAnsi="Times New Roman"/>
                <w:sz w:val="24"/>
                <w:szCs w:val="24"/>
              </w:rPr>
            </w:pPr>
            <w:r>
              <w:rPr>
                <w:rFonts w:ascii="Times New Roman" w:hAnsi="Times New Roman"/>
                <w:b/>
                <w:bCs/>
                <w:spacing w:val="2"/>
                <w:sz w:val="19"/>
                <w:szCs w:val="19"/>
              </w:rPr>
              <w:t>M</w:t>
            </w:r>
            <w:r>
              <w:rPr>
                <w:rFonts w:ascii="Times New Roman" w:hAnsi="Times New Roman"/>
                <w:b/>
                <w:bCs/>
                <w:sz w:val="19"/>
                <w:szCs w:val="19"/>
              </w:rPr>
              <w:t>oderate</w:t>
            </w:r>
            <w:r>
              <w:rPr>
                <w:rFonts w:ascii="Times New Roman" w:hAnsi="Times New Roman"/>
                <w:b/>
                <w:bCs/>
                <w:spacing w:val="42"/>
                <w:sz w:val="19"/>
                <w:szCs w:val="19"/>
              </w:rPr>
              <w:t xml:space="preserve"> </w:t>
            </w:r>
            <w:r>
              <w:rPr>
                <w:rFonts w:ascii="Times New Roman" w:hAnsi="Times New Roman"/>
                <w:b/>
                <w:bCs/>
                <w:spacing w:val="1"/>
                <w:sz w:val="19"/>
                <w:szCs w:val="19"/>
              </w:rPr>
              <w:t>Q</w:t>
            </w:r>
            <w:r>
              <w:rPr>
                <w:rFonts w:ascii="Times New Roman" w:hAnsi="Times New Roman"/>
                <w:b/>
                <w:bCs/>
                <w:sz w:val="19"/>
                <w:szCs w:val="19"/>
              </w:rPr>
              <w:t xml:space="preserve">uality </w:t>
            </w:r>
            <w:r>
              <w:rPr>
                <w:rFonts w:ascii="Times New Roman" w:hAnsi="Times New Roman"/>
                <w:b/>
                <w:bCs/>
                <w:spacing w:val="1"/>
                <w:sz w:val="19"/>
                <w:szCs w:val="19"/>
              </w:rPr>
              <w:t>E</w:t>
            </w:r>
            <w:r>
              <w:rPr>
                <w:rFonts w:ascii="Times New Roman" w:hAnsi="Times New Roman"/>
                <w:b/>
                <w:bCs/>
                <w:sz w:val="19"/>
                <w:szCs w:val="19"/>
              </w:rPr>
              <w:t>vidence</w:t>
            </w:r>
          </w:p>
        </w:tc>
        <w:tc>
          <w:tcPr>
            <w:tcW w:w="2226" w:type="dxa"/>
            <w:tcBorders>
              <w:top w:val="nil"/>
              <w:left w:val="nil"/>
              <w:bottom w:val="single" w:sz="8" w:space="0" w:color="000000"/>
              <w:right w:val="single" w:sz="8" w:space="0" w:color="000000"/>
            </w:tcBorders>
            <w:hideMark/>
          </w:tcPr>
          <w:p w:rsidR="007F6021" w:rsidRDefault="007F6021" w:rsidP="00D16143">
            <w:pPr>
              <w:overflowPunct w:val="0"/>
              <w:autoSpaceDE w:val="0"/>
              <w:autoSpaceDN w:val="0"/>
              <w:spacing w:before="34" w:line="242" w:lineRule="auto"/>
              <w:ind w:left="169" w:right="308" w:firstLine="0"/>
              <w:rPr>
                <w:rFonts w:ascii="Times New Roman" w:hAnsi="Times New Roman"/>
                <w:sz w:val="24"/>
                <w:szCs w:val="24"/>
              </w:rPr>
            </w:pPr>
            <w:r>
              <w:rPr>
                <w:rFonts w:ascii="Times New Roman" w:hAnsi="Times New Roman"/>
                <w:sz w:val="19"/>
                <w:szCs w:val="19"/>
              </w:rPr>
              <w:t>Further</w:t>
            </w:r>
            <w:r>
              <w:rPr>
                <w:rFonts w:ascii="Times New Roman" w:hAnsi="Times New Roman"/>
                <w:spacing w:val="22"/>
                <w:sz w:val="19"/>
                <w:szCs w:val="19"/>
              </w:rPr>
              <w:t xml:space="preserve"> </w:t>
            </w:r>
            <w:r>
              <w:rPr>
                <w:rFonts w:ascii="Times New Roman" w:hAnsi="Times New Roman"/>
                <w:sz w:val="19"/>
                <w:szCs w:val="19"/>
              </w:rPr>
              <w:t>research</w:t>
            </w:r>
            <w:r>
              <w:rPr>
                <w:rFonts w:ascii="Times New Roman" w:hAnsi="Times New Roman"/>
                <w:spacing w:val="22"/>
                <w:sz w:val="19"/>
                <w:szCs w:val="19"/>
              </w:rPr>
              <w:t xml:space="preserve"> </w:t>
            </w:r>
            <w:r>
              <w:rPr>
                <w:rFonts w:ascii="Times New Roman" w:hAnsi="Times New Roman"/>
                <w:sz w:val="19"/>
                <w:szCs w:val="19"/>
              </w:rPr>
              <w:t>is likely</w:t>
            </w:r>
            <w:r>
              <w:rPr>
                <w:rFonts w:ascii="Times New Roman" w:hAnsi="Times New Roman"/>
                <w:spacing w:val="12"/>
                <w:sz w:val="19"/>
                <w:szCs w:val="19"/>
              </w:rPr>
              <w:t xml:space="preserve"> </w:t>
            </w:r>
            <w:r>
              <w:rPr>
                <w:rFonts w:ascii="Times New Roman" w:hAnsi="Times New Roman"/>
                <w:sz w:val="19"/>
                <w:szCs w:val="19"/>
              </w:rPr>
              <w:t>to</w:t>
            </w:r>
            <w:r>
              <w:rPr>
                <w:rFonts w:ascii="Times New Roman" w:hAnsi="Times New Roman"/>
                <w:spacing w:val="12"/>
                <w:sz w:val="19"/>
                <w:szCs w:val="19"/>
              </w:rPr>
              <w:t xml:space="preserve"> </w:t>
            </w:r>
            <w:r>
              <w:rPr>
                <w:rFonts w:ascii="Times New Roman" w:hAnsi="Times New Roman"/>
                <w:sz w:val="19"/>
                <w:szCs w:val="19"/>
              </w:rPr>
              <w:t>have</w:t>
            </w:r>
            <w:r>
              <w:rPr>
                <w:rFonts w:ascii="Times New Roman" w:hAnsi="Times New Roman"/>
                <w:spacing w:val="13"/>
                <w:sz w:val="19"/>
                <w:szCs w:val="19"/>
              </w:rPr>
              <w:t xml:space="preserve"> </w:t>
            </w:r>
            <w:r>
              <w:rPr>
                <w:rFonts w:ascii="Times New Roman" w:hAnsi="Times New Roman"/>
                <w:sz w:val="19"/>
                <w:szCs w:val="19"/>
              </w:rPr>
              <w:t>an i</w:t>
            </w:r>
            <w:r>
              <w:rPr>
                <w:rFonts w:ascii="Times New Roman" w:hAnsi="Times New Roman"/>
                <w:spacing w:val="1"/>
                <w:sz w:val="19"/>
                <w:szCs w:val="19"/>
              </w:rPr>
              <w:t>m</w:t>
            </w:r>
            <w:r>
              <w:rPr>
                <w:rFonts w:ascii="Times New Roman" w:hAnsi="Times New Roman"/>
                <w:sz w:val="19"/>
                <w:szCs w:val="19"/>
              </w:rPr>
              <w:t>portant</w:t>
            </w:r>
            <w:r>
              <w:rPr>
                <w:rFonts w:ascii="Times New Roman" w:hAnsi="Times New Roman"/>
                <w:spacing w:val="21"/>
                <w:sz w:val="19"/>
                <w:szCs w:val="19"/>
              </w:rPr>
              <w:t xml:space="preserve"> </w:t>
            </w:r>
            <w:r>
              <w:rPr>
                <w:rFonts w:ascii="Times New Roman" w:hAnsi="Times New Roman"/>
                <w:sz w:val="19"/>
                <w:szCs w:val="19"/>
              </w:rPr>
              <w:t>i</w:t>
            </w:r>
            <w:r>
              <w:rPr>
                <w:rFonts w:ascii="Times New Roman" w:hAnsi="Times New Roman"/>
                <w:spacing w:val="1"/>
                <w:sz w:val="19"/>
                <w:szCs w:val="19"/>
              </w:rPr>
              <w:t>m</w:t>
            </w:r>
            <w:r>
              <w:rPr>
                <w:rFonts w:ascii="Times New Roman" w:hAnsi="Times New Roman"/>
                <w:sz w:val="19"/>
                <w:szCs w:val="19"/>
              </w:rPr>
              <w:t>pact</w:t>
            </w:r>
            <w:r>
              <w:rPr>
                <w:rFonts w:ascii="Times New Roman" w:hAnsi="Times New Roman"/>
                <w:spacing w:val="22"/>
                <w:sz w:val="19"/>
                <w:szCs w:val="19"/>
              </w:rPr>
              <w:t xml:space="preserve"> </w:t>
            </w:r>
            <w:r>
              <w:rPr>
                <w:rFonts w:ascii="Times New Roman" w:hAnsi="Times New Roman"/>
                <w:sz w:val="19"/>
                <w:szCs w:val="19"/>
              </w:rPr>
              <w:t>on our</w:t>
            </w:r>
            <w:r>
              <w:rPr>
                <w:rFonts w:ascii="Times New Roman" w:hAnsi="Times New Roman"/>
                <w:spacing w:val="16"/>
                <w:sz w:val="19"/>
                <w:szCs w:val="19"/>
              </w:rPr>
              <w:t xml:space="preserve"> </w:t>
            </w:r>
            <w:r>
              <w:rPr>
                <w:rFonts w:ascii="Times New Roman" w:hAnsi="Times New Roman"/>
                <w:sz w:val="19"/>
                <w:szCs w:val="19"/>
              </w:rPr>
              <w:t>confidence</w:t>
            </w:r>
            <w:r>
              <w:rPr>
                <w:rFonts w:ascii="Times New Roman" w:hAnsi="Times New Roman"/>
                <w:spacing w:val="16"/>
                <w:sz w:val="19"/>
                <w:szCs w:val="19"/>
              </w:rPr>
              <w:t xml:space="preserve"> </w:t>
            </w:r>
            <w:r>
              <w:rPr>
                <w:rFonts w:ascii="Times New Roman" w:hAnsi="Times New Roman"/>
                <w:sz w:val="19"/>
                <w:szCs w:val="19"/>
              </w:rPr>
              <w:t>in</w:t>
            </w:r>
            <w:r>
              <w:rPr>
                <w:rFonts w:ascii="Times New Roman" w:hAnsi="Times New Roman"/>
                <w:spacing w:val="17"/>
                <w:sz w:val="19"/>
                <w:szCs w:val="19"/>
              </w:rPr>
              <w:t xml:space="preserve"> </w:t>
            </w:r>
            <w:r>
              <w:rPr>
                <w:rFonts w:ascii="Times New Roman" w:hAnsi="Times New Roman"/>
                <w:sz w:val="19"/>
                <w:szCs w:val="19"/>
              </w:rPr>
              <w:t>the esti</w:t>
            </w:r>
            <w:r>
              <w:rPr>
                <w:rFonts w:ascii="Times New Roman" w:hAnsi="Times New Roman"/>
                <w:spacing w:val="1"/>
                <w:sz w:val="19"/>
                <w:szCs w:val="19"/>
              </w:rPr>
              <w:t>m</w:t>
            </w:r>
            <w:r>
              <w:rPr>
                <w:rFonts w:ascii="Times New Roman" w:hAnsi="Times New Roman"/>
                <w:sz w:val="19"/>
                <w:szCs w:val="19"/>
              </w:rPr>
              <w:t>ate</w:t>
            </w:r>
            <w:r>
              <w:rPr>
                <w:rFonts w:ascii="Times New Roman" w:hAnsi="Times New Roman"/>
                <w:spacing w:val="17"/>
                <w:sz w:val="19"/>
                <w:szCs w:val="19"/>
              </w:rPr>
              <w:t xml:space="preserve"> </w:t>
            </w:r>
            <w:r>
              <w:rPr>
                <w:rFonts w:ascii="Times New Roman" w:hAnsi="Times New Roman"/>
                <w:sz w:val="19"/>
                <w:szCs w:val="19"/>
              </w:rPr>
              <w:t>of</w:t>
            </w:r>
            <w:r>
              <w:rPr>
                <w:rFonts w:ascii="Times New Roman" w:hAnsi="Times New Roman"/>
                <w:spacing w:val="17"/>
                <w:sz w:val="19"/>
                <w:szCs w:val="19"/>
              </w:rPr>
              <w:t xml:space="preserve"> </w:t>
            </w:r>
            <w:r>
              <w:rPr>
                <w:rFonts w:ascii="Times New Roman" w:hAnsi="Times New Roman"/>
                <w:sz w:val="19"/>
                <w:szCs w:val="19"/>
              </w:rPr>
              <w:t>effect</w:t>
            </w:r>
            <w:r>
              <w:rPr>
                <w:rFonts w:ascii="Times New Roman" w:hAnsi="Times New Roman"/>
                <w:spacing w:val="15"/>
                <w:sz w:val="19"/>
                <w:szCs w:val="19"/>
              </w:rPr>
              <w:t xml:space="preserve"> </w:t>
            </w:r>
            <w:r>
              <w:rPr>
                <w:rFonts w:ascii="Times New Roman" w:hAnsi="Times New Roman"/>
                <w:sz w:val="19"/>
                <w:szCs w:val="19"/>
              </w:rPr>
              <w:t xml:space="preserve">and </w:t>
            </w:r>
            <w:r>
              <w:rPr>
                <w:rFonts w:ascii="Times New Roman" w:hAnsi="Times New Roman"/>
                <w:spacing w:val="1"/>
                <w:sz w:val="19"/>
                <w:szCs w:val="19"/>
              </w:rPr>
              <w:t>m</w:t>
            </w:r>
            <w:r>
              <w:rPr>
                <w:rFonts w:ascii="Times New Roman" w:hAnsi="Times New Roman"/>
                <w:sz w:val="19"/>
                <w:szCs w:val="19"/>
              </w:rPr>
              <w:t>ay</w:t>
            </w:r>
            <w:r>
              <w:rPr>
                <w:rFonts w:ascii="Times New Roman" w:hAnsi="Times New Roman"/>
                <w:spacing w:val="17"/>
                <w:sz w:val="19"/>
                <w:szCs w:val="19"/>
              </w:rPr>
              <w:t xml:space="preserve"> </w:t>
            </w:r>
            <w:r>
              <w:rPr>
                <w:rFonts w:ascii="Times New Roman" w:hAnsi="Times New Roman"/>
                <w:sz w:val="19"/>
                <w:szCs w:val="19"/>
              </w:rPr>
              <w:t>change</w:t>
            </w:r>
            <w:r>
              <w:rPr>
                <w:rFonts w:ascii="Times New Roman" w:hAnsi="Times New Roman"/>
                <w:spacing w:val="18"/>
                <w:sz w:val="19"/>
                <w:szCs w:val="19"/>
              </w:rPr>
              <w:t xml:space="preserve"> </w:t>
            </w:r>
            <w:r>
              <w:rPr>
                <w:rFonts w:ascii="Times New Roman" w:hAnsi="Times New Roman"/>
                <w:sz w:val="19"/>
                <w:szCs w:val="19"/>
              </w:rPr>
              <w:t>the esti</w:t>
            </w:r>
            <w:r>
              <w:rPr>
                <w:rFonts w:ascii="Times New Roman" w:hAnsi="Times New Roman"/>
                <w:spacing w:val="1"/>
                <w:sz w:val="19"/>
                <w:szCs w:val="19"/>
              </w:rPr>
              <w:t>m</w:t>
            </w:r>
            <w:r>
              <w:rPr>
                <w:rFonts w:ascii="Times New Roman" w:hAnsi="Times New Roman"/>
                <w:sz w:val="19"/>
                <w:szCs w:val="19"/>
              </w:rPr>
              <w:t>ate.</w:t>
            </w:r>
          </w:p>
        </w:tc>
        <w:tc>
          <w:tcPr>
            <w:tcW w:w="2971" w:type="dxa"/>
            <w:tcBorders>
              <w:top w:val="nil"/>
              <w:left w:val="nil"/>
              <w:bottom w:val="single" w:sz="8" w:space="0" w:color="000000"/>
              <w:right w:val="single" w:sz="8" w:space="0" w:color="000000"/>
            </w:tcBorders>
            <w:hideMark/>
          </w:tcPr>
          <w:p w:rsidR="007F6021" w:rsidRDefault="007F6021" w:rsidP="00D16143">
            <w:pPr>
              <w:overflowPunct w:val="0"/>
              <w:autoSpaceDE w:val="0"/>
              <w:autoSpaceDN w:val="0"/>
              <w:spacing w:before="34" w:line="242" w:lineRule="auto"/>
              <w:ind w:left="114" w:right="169" w:firstLine="10"/>
              <w:rPr>
                <w:rFonts w:ascii="Times New Roman" w:hAnsi="Times New Roman"/>
                <w:sz w:val="19"/>
                <w:szCs w:val="19"/>
              </w:rPr>
            </w:pPr>
            <w:r>
              <w:rPr>
                <w:rFonts w:ascii="Times New Roman" w:hAnsi="Times New Roman"/>
                <w:spacing w:val="1"/>
                <w:sz w:val="19"/>
                <w:szCs w:val="19"/>
              </w:rPr>
              <w:t>T</w:t>
            </w:r>
            <w:r>
              <w:rPr>
                <w:rFonts w:ascii="Times New Roman" w:hAnsi="Times New Roman"/>
                <w:sz w:val="19"/>
                <w:szCs w:val="19"/>
              </w:rPr>
              <w:t>he</w:t>
            </w:r>
            <w:r>
              <w:rPr>
                <w:rFonts w:ascii="Times New Roman" w:hAnsi="Times New Roman"/>
                <w:spacing w:val="15"/>
                <w:sz w:val="19"/>
                <w:szCs w:val="19"/>
              </w:rPr>
              <w:t xml:space="preserve"> </w:t>
            </w:r>
            <w:r>
              <w:rPr>
                <w:rFonts w:ascii="Times New Roman" w:hAnsi="Times New Roman"/>
                <w:spacing w:val="1"/>
                <w:sz w:val="19"/>
                <w:szCs w:val="19"/>
              </w:rPr>
              <w:t>w</w:t>
            </w:r>
            <w:r>
              <w:rPr>
                <w:rFonts w:ascii="Times New Roman" w:hAnsi="Times New Roman"/>
                <w:sz w:val="19"/>
                <w:szCs w:val="19"/>
              </w:rPr>
              <w:t>ork</w:t>
            </w:r>
            <w:r>
              <w:rPr>
                <w:rFonts w:ascii="Times New Roman" w:hAnsi="Times New Roman"/>
                <w:spacing w:val="16"/>
                <w:sz w:val="19"/>
                <w:szCs w:val="19"/>
              </w:rPr>
              <w:t xml:space="preserve"> </w:t>
            </w:r>
            <w:r>
              <w:rPr>
                <w:rFonts w:ascii="Times New Roman" w:hAnsi="Times New Roman"/>
                <w:sz w:val="19"/>
                <w:szCs w:val="19"/>
              </w:rPr>
              <w:t>group</w:t>
            </w:r>
            <w:r>
              <w:rPr>
                <w:rFonts w:ascii="Times New Roman" w:hAnsi="Times New Roman"/>
                <w:spacing w:val="16"/>
                <w:sz w:val="19"/>
                <w:szCs w:val="19"/>
              </w:rPr>
              <w:t xml:space="preserve"> </w:t>
            </w:r>
            <w:r>
              <w:rPr>
                <w:rFonts w:ascii="Times New Roman" w:hAnsi="Times New Roman"/>
                <w:sz w:val="19"/>
                <w:szCs w:val="19"/>
              </w:rPr>
              <w:t>is</w:t>
            </w:r>
            <w:r>
              <w:rPr>
                <w:rFonts w:ascii="Times New Roman" w:hAnsi="Times New Roman"/>
                <w:spacing w:val="15"/>
                <w:sz w:val="19"/>
                <w:szCs w:val="19"/>
              </w:rPr>
              <w:t xml:space="preserve"> </w:t>
            </w:r>
            <w:r>
              <w:rPr>
                <w:rFonts w:ascii="Times New Roman" w:hAnsi="Times New Roman"/>
                <w:sz w:val="19"/>
                <w:szCs w:val="19"/>
              </w:rPr>
              <w:t>confident</w:t>
            </w:r>
            <w:r>
              <w:rPr>
                <w:rFonts w:ascii="Times New Roman" w:hAnsi="Times New Roman"/>
                <w:spacing w:val="15"/>
                <w:sz w:val="19"/>
                <w:szCs w:val="19"/>
              </w:rPr>
              <w:t xml:space="preserve"> </w:t>
            </w:r>
            <w:r>
              <w:rPr>
                <w:rFonts w:ascii="Times New Roman" w:hAnsi="Times New Roman"/>
                <w:sz w:val="19"/>
                <w:szCs w:val="19"/>
              </w:rPr>
              <w:t>that the</w:t>
            </w:r>
            <w:r>
              <w:rPr>
                <w:rFonts w:ascii="Times New Roman" w:hAnsi="Times New Roman"/>
                <w:spacing w:val="17"/>
                <w:sz w:val="19"/>
                <w:szCs w:val="19"/>
              </w:rPr>
              <w:t xml:space="preserve"> </w:t>
            </w:r>
            <w:r>
              <w:rPr>
                <w:rFonts w:ascii="Times New Roman" w:hAnsi="Times New Roman"/>
                <w:sz w:val="19"/>
                <w:szCs w:val="19"/>
              </w:rPr>
              <w:t>benefits</w:t>
            </w:r>
            <w:r>
              <w:rPr>
                <w:rFonts w:ascii="Times New Roman" w:hAnsi="Times New Roman"/>
                <w:spacing w:val="18"/>
                <w:sz w:val="19"/>
                <w:szCs w:val="19"/>
              </w:rPr>
              <w:t xml:space="preserve"> </w:t>
            </w:r>
            <w:r>
              <w:rPr>
                <w:rFonts w:ascii="Times New Roman" w:hAnsi="Times New Roman"/>
                <w:sz w:val="19"/>
                <w:szCs w:val="19"/>
              </w:rPr>
              <w:t>out</w:t>
            </w:r>
            <w:r>
              <w:rPr>
                <w:rFonts w:ascii="Times New Roman" w:hAnsi="Times New Roman"/>
                <w:spacing w:val="1"/>
                <w:sz w:val="19"/>
                <w:szCs w:val="19"/>
              </w:rPr>
              <w:t>w</w:t>
            </w:r>
            <w:r>
              <w:rPr>
                <w:rFonts w:ascii="Times New Roman" w:hAnsi="Times New Roman"/>
                <w:sz w:val="19"/>
                <w:szCs w:val="19"/>
              </w:rPr>
              <w:t>eigh</w:t>
            </w:r>
            <w:r>
              <w:rPr>
                <w:rFonts w:ascii="Times New Roman" w:hAnsi="Times New Roman"/>
                <w:spacing w:val="18"/>
                <w:sz w:val="19"/>
                <w:szCs w:val="19"/>
              </w:rPr>
              <w:t xml:space="preserve"> </w:t>
            </w:r>
            <w:r>
              <w:rPr>
                <w:rFonts w:ascii="Times New Roman" w:hAnsi="Times New Roman"/>
                <w:sz w:val="19"/>
                <w:szCs w:val="19"/>
              </w:rPr>
              <w:t>the</w:t>
            </w:r>
            <w:r>
              <w:rPr>
                <w:rFonts w:ascii="Times New Roman" w:hAnsi="Times New Roman"/>
                <w:spacing w:val="18"/>
                <w:sz w:val="19"/>
                <w:szCs w:val="19"/>
              </w:rPr>
              <w:t xml:space="preserve"> </w:t>
            </w:r>
            <w:r>
              <w:rPr>
                <w:rFonts w:ascii="Times New Roman" w:hAnsi="Times New Roman"/>
                <w:sz w:val="19"/>
                <w:szCs w:val="19"/>
              </w:rPr>
              <w:t>risks, but</w:t>
            </w:r>
            <w:r>
              <w:rPr>
                <w:rFonts w:ascii="Times New Roman" w:hAnsi="Times New Roman"/>
                <w:spacing w:val="17"/>
                <w:sz w:val="19"/>
                <w:szCs w:val="19"/>
              </w:rPr>
              <w:t xml:space="preserve"> </w:t>
            </w:r>
            <w:r>
              <w:rPr>
                <w:rFonts w:ascii="Times New Roman" w:hAnsi="Times New Roman"/>
                <w:sz w:val="19"/>
                <w:szCs w:val="19"/>
              </w:rPr>
              <w:t>recognizes</w:t>
            </w:r>
            <w:r>
              <w:rPr>
                <w:rFonts w:ascii="Times New Roman" w:hAnsi="Times New Roman"/>
                <w:spacing w:val="19"/>
                <w:sz w:val="19"/>
                <w:szCs w:val="19"/>
              </w:rPr>
              <w:t xml:space="preserve"> </w:t>
            </w:r>
            <w:r>
              <w:rPr>
                <w:rFonts w:ascii="Times New Roman" w:hAnsi="Times New Roman"/>
                <w:sz w:val="19"/>
                <w:szCs w:val="19"/>
              </w:rPr>
              <w:t>that</w:t>
            </w:r>
            <w:r>
              <w:rPr>
                <w:rFonts w:ascii="Times New Roman" w:hAnsi="Times New Roman"/>
                <w:spacing w:val="18"/>
                <w:sz w:val="19"/>
                <w:szCs w:val="19"/>
              </w:rPr>
              <w:t xml:space="preserve"> </w:t>
            </w:r>
            <w:r>
              <w:rPr>
                <w:rFonts w:ascii="Times New Roman" w:hAnsi="Times New Roman"/>
                <w:sz w:val="19"/>
                <w:szCs w:val="19"/>
              </w:rPr>
              <w:t>the</w:t>
            </w:r>
            <w:r>
              <w:rPr>
                <w:rFonts w:ascii="Times New Roman" w:hAnsi="Times New Roman"/>
                <w:spacing w:val="19"/>
                <w:sz w:val="19"/>
                <w:szCs w:val="19"/>
              </w:rPr>
              <w:t xml:space="preserve"> </w:t>
            </w:r>
            <w:r>
              <w:rPr>
                <w:rFonts w:ascii="Times New Roman" w:hAnsi="Times New Roman"/>
                <w:sz w:val="19"/>
                <w:szCs w:val="19"/>
              </w:rPr>
              <w:t>evidence has</w:t>
            </w:r>
            <w:r>
              <w:rPr>
                <w:rFonts w:ascii="Times New Roman" w:hAnsi="Times New Roman"/>
                <w:spacing w:val="19"/>
                <w:sz w:val="19"/>
                <w:szCs w:val="19"/>
              </w:rPr>
              <w:t xml:space="preserve"> </w:t>
            </w:r>
            <w:r>
              <w:rPr>
                <w:rFonts w:ascii="Times New Roman" w:hAnsi="Times New Roman"/>
                <w:sz w:val="19"/>
                <w:szCs w:val="19"/>
              </w:rPr>
              <w:t>li</w:t>
            </w:r>
            <w:r>
              <w:rPr>
                <w:rFonts w:ascii="Times New Roman" w:hAnsi="Times New Roman"/>
                <w:spacing w:val="1"/>
                <w:sz w:val="19"/>
                <w:szCs w:val="19"/>
              </w:rPr>
              <w:t>m</w:t>
            </w:r>
            <w:r>
              <w:rPr>
                <w:rFonts w:ascii="Times New Roman" w:hAnsi="Times New Roman"/>
                <w:sz w:val="19"/>
                <w:szCs w:val="19"/>
              </w:rPr>
              <w:t xml:space="preserve">itations. </w:t>
            </w:r>
            <w:r>
              <w:rPr>
                <w:rFonts w:ascii="Times New Roman" w:hAnsi="Times New Roman"/>
                <w:spacing w:val="36"/>
                <w:sz w:val="19"/>
                <w:szCs w:val="19"/>
              </w:rPr>
              <w:t> </w:t>
            </w:r>
            <w:r>
              <w:rPr>
                <w:rFonts w:ascii="Times New Roman" w:hAnsi="Times New Roman"/>
                <w:sz w:val="19"/>
                <w:szCs w:val="19"/>
              </w:rPr>
              <w:t>Further</w:t>
            </w:r>
            <w:r>
              <w:rPr>
                <w:rFonts w:ascii="Times New Roman" w:hAnsi="Times New Roman"/>
                <w:spacing w:val="19"/>
                <w:sz w:val="19"/>
                <w:szCs w:val="19"/>
              </w:rPr>
              <w:t xml:space="preserve"> </w:t>
            </w:r>
            <w:r>
              <w:rPr>
                <w:rFonts w:ascii="Times New Roman" w:hAnsi="Times New Roman"/>
                <w:sz w:val="19"/>
                <w:szCs w:val="19"/>
              </w:rPr>
              <w:t xml:space="preserve">evidence </w:t>
            </w:r>
            <w:r>
              <w:rPr>
                <w:rFonts w:ascii="Times New Roman" w:hAnsi="Times New Roman"/>
                <w:spacing w:val="1"/>
                <w:sz w:val="19"/>
                <w:szCs w:val="19"/>
              </w:rPr>
              <w:t>m</w:t>
            </w:r>
            <w:r>
              <w:rPr>
                <w:rFonts w:ascii="Times New Roman" w:hAnsi="Times New Roman"/>
                <w:sz w:val="19"/>
                <w:szCs w:val="19"/>
              </w:rPr>
              <w:t>ay</w:t>
            </w:r>
            <w:r>
              <w:rPr>
                <w:rFonts w:ascii="Times New Roman" w:hAnsi="Times New Roman"/>
                <w:spacing w:val="25"/>
                <w:sz w:val="19"/>
                <w:szCs w:val="19"/>
              </w:rPr>
              <w:t xml:space="preserve"> </w:t>
            </w:r>
            <w:r>
              <w:rPr>
                <w:rFonts w:ascii="Times New Roman" w:hAnsi="Times New Roman"/>
                <w:sz w:val="19"/>
                <w:szCs w:val="19"/>
              </w:rPr>
              <w:t>i</w:t>
            </w:r>
            <w:r>
              <w:rPr>
                <w:rFonts w:ascii="Times New Roman" w:hAnsi="Times New Roman"/>
                <w:spacing w:val="1"/>
                <w:sz w:val="19"/>
                <w:szCs w:val="19"/>
              </w:rPr>
              <w:t>m</w:t>
            </w:r>
            <w:r>
              <w:rPr>
                <w:rFonts w:ascii="Times New Roman" w:hAnsi="Times New Roman"/>
                <w:sz w:val="19"/>
                <w:szCs w:val="19"/>
              </w:rPr>
              <w:t>pact</w:t>
            </w:r>
            <w:r>
              <w:rPr>
                <w:rFonts w:ascii="Times New Roman" w:hAnsi="Times New Roman"/>
                <w:spacing w:val="25"/>
                <w:sz w:val="19"/>
                <w:szCs w:val="19"/>
              </w:rPr>
              <w:t xml:space="preserve"> </w:t>
            </w:r>
            <w:r>
              <w:rPr>
                <w:rFonts w:ascii="Times New Roman" w:hAnsi="Times New Roman"/>
                <w:sz w:val="19"/>
                <w:szCs w:val="19"/>
              </w:rPr>
              <w:t>this</w:t>
            </w:r>
            <w:r>
              <w:rPr>
                <w:rFonts w:ascii="Times New Roman" w:hAnsi="Times New Roman"/>
                <w:spacing w:val="25"/>
                <w:sz w:val="19"/>
                <w:szCs w:val="19"/>
              </w:rPr>
              <w:t xml:space="preserve"> </w:t>
            </w:r>
            <w:r>
              <w:rPr>
                <w:rFonts w:ascii="Times New Roman" w:hAnsi="Times New Roman"/>
                <w:sz w:val="19"/>
                <w:szCs w:val="19"/>
              </w:rPr>
              <w:t>reco</w:t>
            </w:r>
            <w:r>
              <w:rPr>
                <w:rFonts w:ascii="Times New Roman" w:hAnsi="Times New Roman"/>
                <w:spacing w:val="1"/>
                <w:sz w:val="19"/>
                <w:szCs w:val="19"/>
              </w:rPr>
              <w:t>mm</w:t>
            </w:r>
            <w:r>
              <w:rPr>
                <w:rFonts w:ascii="Times New Roman" w:hAnsi="Times New Roman"/>
                <w:sz w:val="19"/>
                <w:szCs w:val="19"/>
              </w:rPr>
              <w:t>endation.</w:t>
            </w:r>
          </w:p>
          <w:p w:rsidR="007F6021" w:rsidRDefault="007F6021" w:rsidP="00D16143">
            <w:pPr>
              <w:overflowPunct w:val="0"/>
              <w:autoSpaceDE w:val="0"/>
              <w:autoSpaceDN w:val="0"/>
              <w:spacing w:before="39" w:line="252" w:lineRule="auto"/>
              <w:ind w:left="114" w:right="449" w:firstLine="10"/>
              <w:rPr>
                <w:rFonts w:ascii="Times New Roman" w:hAnsi="Times New Roman"/>
                <w:sz w:val="24"/>
                <w:szCs w:val="24"/>
              </w:rPr>
            </w:pPr>
            <w:r>
              <w:rPr>
                <w:rFonts w:ascii="Times New Roman" w:hAnsi="Times New Roman"/>
                <w:spacing w:val="1"/>
                <w:sz w:val="19"/>
                <w:szCs w:val="19"/>
              </w:rPr>
              <w:t>T</w:t>
            </w:r>
            <w:r>
              <w:rPr>
                <w:rFonts w:ascii="Times New Roman" w:hAnsi="Times New Roman"/>
                <w:sz w:val="19"/>
                <w:szCs w:val="19"/>
              </w:rPr>
              <w:t>his</w:t>
            </w:r>
            <w:r>
              <w:rPr>
                <w:rFonts w:ascii="Times New Roman" w:hAnsi="Times New Roman"/>
                <w:spacing w:val="17"/>
                <w:sz w:val="19"/>
                <w:szCs w:val="19"/>
              </w:rPr>
              <w:t xml:space="preserve"> </w:t>
            </w:r>
            <w:r>
              <w:rPr>
                <w:rFonts w:ascii="Times New Roman" w:hAnsi="Times New Roman"/>
                <w:sz w:val="19"/>
                <w:szCs w:val="19"/>
              </w:rPr>
              <w:t>is</w:t>
            </w:r>
            <w:r>
              <w:rPr>
                <w:rFonts w:ascii="Times New Roman" w:hAnsi="Times New Roman"/>
                <w:spacing w:val="17"/>
                <w:sz w:val="19"/>
                <w:szCs w:val="19"/>
              </w:rPr>
              <w:t xml:space="preserve"> </w:t>
            </w:r>
            <w:r>
              <w:rPr>
                <w:rFonts w:ascii="Times New Roman" w:hAnsi="Times New Roman"/>
                <w:sz w:val="19"/>
                <w:szCs w:val="19"/>
              </w:rPr>
              <w:t>a</w:t>
            </w:r>
            <w:r>
              <w:rPr>
                <w:rFonts w:ascii="Times New Roman" w:hAnsi="Times New Roman"/>
                <w:spacing w:val="17"/>
                <w:sz w:val="19"/>
                <w:szCs w:val="19"/>
              </w:rPr>
              <w:t xml:space="preserve"> </w:t>
            </w:r>
            <w:r>
              <w:rPr>
                <w:rFonts w:ascii="Times New Roman" w:hAnsi="Times New Roman"/>
                <w:sz w:val="19"/>
                <w:szCs w:val="19"/>
              </w:rPr>
              <w:t>reco</w:t>
            </w:r>
            <w:r>
              <w:rPr>
                <w:rFonts w:ascii="Times New Roman" w:hAnsi="Times New Roman"/>
                <w:spacing w:val="1"/>
                <w:sz w:val="19"/>
                <w:szCs w:val="19"/>
              </w:rPr>
              <w:t>mm</w:t>
            </w:r>
            <w:r>
              <w:rPr>
                <w:rFonts w:ascii="Times New Roman" w:hAnsi="Times New Roman"/>
                <w:sz w:val="19"/>
                <w:szCs w:val="19"/>
              </w:rPr>
              <w:t>endation</w:t>
            </w:r>
            <w:r>
              <w:rPr>
                <w:rFonts w:ascii="Times New Roman" w:hAnsi="Times New Roman"/>
                <w:spacing w:val="18"/>
                <w:sz w:val="19"/>
                <w:szCs w:val="19"/>
              </w:rPr>
              <w:t xml:space="preserve"> </w:t>
            </w:r>
            <w:r>
              <w:rPr>
                <w:rFonts w:ascii="Times New Roman" w:hAnsi="Times New Roman"/>
                <w:sz w:val="19"/>
                <w:szCs w:val="19"/>
              </w:rPr>
              <w:t>that likely</w:t>
            </w:r>
            <w:r>
              <w:rPr>
                <w:rFonts w:ascii="Times New Roman" w:hAnsi="Times New Roman"/>
                <w:spacing w:val="17"/>
                <w:sz w:val="19"/>
                <w:szCs w:val="19"/>
              </w:rPr>
              <w:t xml:space="preserve"> </w:t>
            </w:r>
            <w:r>
              <w:rPr>
                <w:rFonts w:ascii="Times New Roman" w:hAnsi="Times New Roman"/>
                <w:sz w:val="19"/>
                <w:szCs w:val="19"/>
              </w:rPr>
              <w:t>applies</w:t>
            </w:r>
            <w:r>
              <w:rPr>
                <w:rFonts w:ascii="Times New Roman" w:hAnsi="Times New Roman"/>
                <w:spacing w:val="17"/>
                <w:sz w:val="19"/>
                <w:szCs w:val="19"/>
              </w:rPr>
              <w:t xml:space="preserve"> </w:t>
            </w:r>
            <w:r>
              <w:rPr>
                <w:rFonts w:ascii="Times New Roman" w:hAnsi="Times New Roman"/>
                <w:sz w:val="19"/>
                <w:szCs w:val="19"/>
              </w:rPr>
              <w:t>to</w:t>
            </w:r>
            <w:r>
              <w:rPr>
                <w:rFonts w:ascii="Times New Roman" w:hAnsi="Times New Roman"/>
                <w:spacing w:val="17"/>
                <w:sz w:val="19"/>
                <w:szCs w:val="19"/>
              </w:rPr>
              <w:t xml:space="preserve"> </w:t>
            </w:r>
            <w:r>
              <w:rPr>
                <w:rFonts w:ascii="Times New Roman" w:hAnsi="Times New Roman"/>
                <w:spacing w:val="1"/>
                <w:sz w:val="19"/>
                <w:szCs w:val="19"/>
              </w:rPr>
              <w:t>m</w:t>
            </w:r>
            <w:r>
              <w:rPr>
                <w:rFonts w:ascii="Times New Roman" w:hAnsi="Times New Roman"/>
                <w:sz w:val="19"/>
                <w:szCs w:val="19"/>
              </w:rPr>
              <w:t>ost</w:t>
            </w:r>
            <w:r>
              <w:rPr>
                <w:rFonts w:ascii="Times New Roman" w:hAnsi="Times New Roman"/>
                <w:spacing w:val="16"/>
                <w:sz w:val="19"/>
                <w:szCs w:val="19"/>
              </w:rPr>
              <w:t xml:space="preserve"> </w:t>
            </w:r>
            <w:r>
              <w:rPr>
                <w:rFonts w:ascii="Times New Roman" w:hAnsi="Times New Roman"/>
                <w:sz w:val="19"/>
                <w:szCs w:val="19"/>
              </w:rPr>
              <w:t>patients.</w:t>
            </w:r>
          </w:p>
        </w:tc>
        <w:tc>
          <w:tcPr>
            <w:tcW w:w="2005" w:type="dxa"/>
            <w:tcBorders>
              <w:top w:val="nil"/>
              <w:left w:val="nil"/>
              <w:bottom w:val="single" w:sz="8" w:space="0" w:color="000000"/>
              <w:right w:val="single" w:sz="8" w:space="0" w:color="000000"/>
            </w:tcBorders>
            <w:hideMark/>
          </w:tcPr>
          <w:p w:rsidR="007F6021" w:rsidRDefault="007F6021" w:rsidP="00D16143">
            <w:pPr>
              <w:overflowPunct w:val="0"/>
              <w:autoSpaceDE w:val="0"/>
              <w:autoSpaceDN w:val="0"/>
              <w:spacing w:before="34" w:line="242" w:lineRule="auto"/>
              <w:ind w:left="113" w:right="168" w:hanging="46"/>
              <w:rPr>
                <w:rFonts w:ascii="Times New Roman" w:hAnsi="Times New Roman"/>
                <w:sz w:val="24"/>
                <w:szCs w:val="24"/>
              </w:rPr>
            </w:pPr>
            <w:r>
              <w:rPr>
                <w:rFonts w:ascii="Times New Roman" w:hAnsi="Times New Roman"/>
                <w:spacing w:val="1"/>
                <w:sz w:val="19"/>
                <w:szCs w:val="19"/>
              </w:rPr>
              <w:t>T</w:t>
            </w:r>
            <w:r>
              <w:rPr>
                <w:rFonts w:ascii="Times New Roman" w:hAnsi="Times New Roman"/>
                <w:sz w:val="19"/>
                <w:szCs w:val="19"/>
              </w:rPr>
              <w:t>he</w:t>
            </w:r>
            <w:r>
              <w:rPr>
                <w:rFonts w:ascii="Times New Roman" w:hAnsi="Times New Roman"/>
                <w:spacing w:val="21"/>
                <w:sz w:val="19"/>
                <w:szCs w:val="19"/>
              </w:rPr>
              <w:t xml:space="preserve"> </w:t>
            </w:r>
            <w:r>
              <w:rPr>
                <w:rFonts w:ascii="Times New Roman" w:hAnsi="Times New Roman"/>
                <w:spacing w:val="1"/>
                <w:sz w:val="19"/>
                <w:szCs w:val="19"/>
              </w:rPr>
              <w:t>w</w:t>
            </w:r>
            <w:r>
              <w:rPr>
                <w:rFonts w:ascii="Times New Roman" w:hAnsi="Times New Roman"/>
                <w:sz w:val="19"/>
                <w:szCs w:val="19"/>
              </w:rPr>
              <w:t>ork</w:t>
            </w:r>
            <w:r>
              <w:rPr>
                <w:rFonts w:ascii="Times New Roman" w:hAnsi="Times New Roman"/>
                <w:spacing w:val="22"/>
                <w:sz w:val="19"/>
                <w:szCs w:val="19"/>
              </w:rPr>
              <w:t xml:space="preserve"> </w:t>
            </w:r>
            <w:r>
              <w:rPr>
                <w:rFonts w:ascii="Times New Roman" w:hAnsi="Times New Roman"/>
                <w:sz w:val="19"/>
                <w:szCs w:val="19"/>
              </w:rPr>
              <w:t>group</w:t>
            </w:r>
            <w:r>
              <w:rPr>
                <w:rFonts w:ascii="Times New Roman" w:hAnsi="Times New Roman"/>
                <w:spacing w:val="21"/>
                <w:sz w:val="19"/>
                <w:szCs w:val="19"/>
              </w:rPr>
              <w:t xml:space="preserve"> </w:t>
            </w:r>
            <w:r>
              <w:rPr>
                <w:rFonts w:ascii="Times New Roman" w:hAnsi="Times New Roman"/>
                <w:sz w:val="19"/>
                <w:szCs w:val="19"/>
              </w:rPr>
              <w:t>recognizes that</w:t>
            </w:r>
            <w:r>
              <w:rPr>
                <w:rFonts w:ascii="Times New Roman" w:hAnsi="Times New Roman"/>
                <w:spacing w:val="11"/>
                <w:sz w:val="19"/>
                <w:szCs w:val="19"/>
              </w:rPr>
              <w:t xml:space="preserve"> </w:t>
            </w:r>
            <w:r>
              <w:rPr>
                <w:rFonts w:ascii="Times New Roman" w:hAnsi="Times New Roman"/>
                <w:sz w:val="19"/>
                <w:szCs w:val="19"/>
              </w:rPr>
              <w:t>there</w:t>
            </w:r>
            <w:r>
              <w:rPr>
                <w:rFonts w:ascii="Times New Roman" w:hAnsi="Times New Roman"/>
                <w:spacing w:val="12"/>
                <w:sz w:val="19"/>
                <w:szCs w:val="19"/>
              </w:rPr>
              <w:t xml:space="preserve"> </w:t>
            </w:r>
            <w:r>
              <w:rPr>
                <w:rFonts w:ascii="Times New Roman" w:hAnsi="Times New Roman"/>
                <w:sz w:val="19"/>
                <w:szCs w:val="19"/>
              </w:rPr>
              <w:t>is</w:t>
            </w:r>
            <w:r>
              <w:rPr>
                <w:rFonts w:ascii="Times New Roman" w:hAnsi="Times New Roman"/>
                <w:spacing w:val="13"/>
                <w:sz w:val="19"/>
                <w:szCs w:val="19"/>
              </w:rPr>
              <w:t xml:space="preserve"> </w:t>
            </w:r>
            <w:r>
              <w:rPr>
                <w:rFonts w:ascii="Times New Roman" w:hAnsi="Times New Roman"/>
                <w:sz w:val="19"/>
                <w:szCs w:val="19"/>
              </w:rPr>
              <w:t>a</w:t>
            </w:r>
            <w:r>
              <w:rPr>
                <w:rFonts w:ascii="Times New Roman" w:hAnsi="Times New Roman"/>
                <w:spacing w:val="13"/>
                <w:sz w:val="19"/>
                <w:szCs w:val="19"/>
              </w:rPr>
              <w:t xml:space="preserve"> </w:t>
            </w:r>
            <w:r>
              <w:rPr>
                <w:rFonts w:ascii="Times New Roman" w:hAnsi="Times New Roman"/>
                <w:sz w:val="19"/>
                <w:szCs w:val="19"/>
              </w:rPr>
              <w:t>balance bet</w:t>
            </w:r>
            <w:r>
              <w:rPr>
                <w:rFonts w:ascii="Times New Roman" w:hAnsi="Times New Roman"/>
                <w:spacing w:val="1"/>
                <w:sz w:val="19"/>
                <w:szCs w:val="19"/>
              </w:rPr>
              <w:t>w</w:t>
            </w:r>
            <w:r>
              <w:rPr>
                <w:rFonts w:ascii="Times New Roman" w:hAnsi="Times New Roman"/>
                <w:sz w:val="19"/>
                <w:szCs w:val="19"/>
              </w:rPr>
              <w:t>een</w:t>
            </w:r>
            <w:r>
              <w:rPr>
                <w:rFonts w:ascii="Times New Roman" w:hAnsi="Times New Roman"/>
                <w:spacing w:val="21"/>
                <w:sz w:val="19"/>
                <w:szCs w:val="19"/>
              </w:rPr>
              <w:t xml:space="preserve"> </w:t>
            </w:r>
            <w:r>
              <w:rPr>
                <w:rFonts w:ascii="Times New Roman" w:hAnsi="Times New Roman"/>
                <w:sz w:val="19"/>
                <w:szCs w:val="19"/>
              </w:rPr>
              <w:t>har</w:t>
            </w:r>
            <w:r>
              <w:rPr>
                <w:rFonts w:ascii="Times New Roman" w:hAnsi="Times New Roman"/>
                <w:spacing w:val="1"/>
                <w:sz w:val="19"/>
                <w:szCs w:val="19"/>
              </w:rPr>
              <w:t>m</w:t>
            </w:r>
            <w:r>
              <w:rPr>
                <w:rFonts w:ascii="Times New Roman" w:hAnsi="Times New Roman"/>
                <w:sz w:val="19"/>
                <w:szCs w:val="19"/>
              </w:rPr>
              <w:t>s</w:t>
            </w:r>
            <w:r>
              <w:rPr>
                <w:rFonts w:ascii="Times New Roman" w:hAnsi="Times New Roman"/>
                <w:spacing w:val="21"/>
                <w:sz w:val="19"/>
                <w:szCs w:val="19"/>
              </w:rPr>
              <w:t xml:space="preserve"> </w:t>
            </w:r>
            <w:r>
              <w:rPr>
                <w:rFonts w:ascii="Times New Roman" w:hAnsi="Times New Roman"/>
                <w:sz w:val="19"/>
                <w:szCs w:val="19"/>
              </w:rPr>
              <w:t>and</w:t>
            </w:r>
            <w:r>
              <w:rPr>
                <w:rFonts w:ascii="Times New Roman" w:hAnsi="Times New Roman"/>
                <w:spacing w:val="21"/>
                <w:sz w:val="19"/>
                <w:szCs w:val="19"/>
              </w:rPr>
              <w:t xml:space="preserve"> </w:t>
            </w:r>
            <w:r>
              <w:rPr>
                <w:rFonts w:ascii="Times New Roman" w:hAnsi="Times New Roman"/>
                <w:sz w:val="19"/>
                <w:szCs w:val="19"/>
              </w:rPr>
              <w:t>benefit, based</w:t>
            </w:r>
            <w:r>
              <w:rPr>
                <w:rFonts w:ascii="Times New Roman" w:hAnsi="Times New Roman"/>
                <w:spacing w:val="20"/>
                <w:sz w:val="19"/>
                <w:szCs w:val="19"/>
              </w:rPr>
              <w:t xml:space="preserve"> </w:t>
            </w:r>
            <w:r>
              <w:rPr>
                <w:rFonts w:ascii="Times New Roman" w:hAnsi="Times New Roman"/>
                <w:sz w:val="19"/>
                <w:szCs w:val="19"/>
              </w:rPr>
              <w:t>on</w:t>
            </w:r>
            <w:r>
              <w:rPr>
                <w:rFonts w:ascii="Times New Roman" w:hAnsi="Times New Roman"/>
                <w:spacing w:val="20"/>
                <w:sz w:val="19"/>
                <w:szCs w:val="19"/>
              </w:rPr>
              <w:t xml:space="preserve"> </w:t>
            </w:r>
            <w:r>
              <w:rPr>
                <w:rFonts w:ascii="Times New Roman" w:hAnsi="Times New Roman"/>
                <w:spacing w:val="1"/>
                <w:sz w:val="19"/>
                <w:szCs w:val="19"/>
              </w:rPr>
              <w:t>m</w:t>
            </w:r>
            <w:r>
              <w:rPr>
                <w:rFonts w:ascii="Times New Roman" w:hAnsi="Times New Roman"/>
                <w:sz w:val="19"/>
                <w:szCs w:val="19"/>
              </w:rPr>
              <w:t>oderate</w:t>
            </w:r>
            <w:r>
              <w:rPr>
                <w:rFonts w:ascii="Times New Roman" w:hAnsi="Times New Roman"/>
                <w:spacing w:val="20"/>
                <w:sz w:val="19"/>
                <w:szCs w:val="19"/>
              </w:rPr>
              <w:t xml:space="preserve"> </w:t>
            </w:r>
            <w:r>
              <w:rPr>
                <w:rFonts w:ascii="Times New Roman" w:hAnsi="Times New Roman"/>
                <w:sz w:val="19"/>
                <w:szCs w:val="19"/>
              </w:rPr>
              <w:t>quality evidence,</w:t>
            </w:r>
            <w:r>
              <w:rPr>
                <w:rFonts w:ascii="Times New Roman" w:hAnsi="Times New Roman"/>
                <w:spacing w:val="13"/>
                <w:sz w:val="19"/>
                <w:szCs w:val="19"/>
              </w:rPr>
              <w:t xml:space="preserve"> </w:t>
            </w:r>
            <w:r>
              <w:rPr>
                <w:rFonts w:ascii="Times New Roman" w:hAnsi="Times New Roman"/>
                <w:sz w:val="19"/>
                <w:szCs w:val="19"/>
              </w:rPr>
              <w:t>or</w:t>
            </w:r>
            <w:r>
              <w:rPr>
                <w:rFonts w:ascii="Times New Roman" w:hAnsi="Times New Roman"/>
                <w:spacing w:val="15"/>
                <w:sz w:val="19"/>
                <w:szCs w:val="19"/>
              </w:rPr>
              <w:t xml:space="preserve"> </w:t>
            </w:r>
            <w:r>
              <w:rPr>
                <w:rFonts w:ascii="Times New Roman" w:hAnsi="Times New Roman"/>
                <w:sz w:val="19"/>
                <w:szCs w:val="19"/>
              </w:rPr>
              <w:t>that</w:t>
            </w:r>
            <w:r>
              <w:rPr>
                <w:rFonts w:ascii="Times New Roman" w:hAnsi="Times New Roman"/>
                <w:spacing w:val="13"/>
                <w:sz w:val="19"/>
                <w:szCs w:val="19"/>
              </w:rPr>
              <w:t xml:space="preserve"> </w:t>
            </w:r>
            <w:r>
              <w:rPr>
                <w:rFonts w:ascii="Times New Roman" w:hAnsi="Times New Roman"/>
                <w:sz w:val="19"/>
                <w:szCs w:val="19"/>
              </w:rPr>
              <w:t>there</w:t>
            </w:r>
            <w:r>
              <w:rPr>
                <w:rFonts w:ascii="Times New Roman" w:hAnsi="Times New Roman"/>
                <w:spacing w:val="15"/>
                <w:sz w:val="19"/>
                <w:szCs w:val="19"/>
              </w:rPr>
              <w:t xml:space="preserve"> </w:t>
            </w:r>
            <w:r>
              <w:rPr>
                <w:rFonts w:ascii="Times New Roman" w:hAnsi="Times New Roman"/>
                <w:sz w:val="19"/>
                <w:szCs w:val="19"/>
              </w:rPr>
              <w:t>is uncertainty</w:t>
            </w:r>
            <w:r>
              <w:rPr>
                <w:rFonts w:ascii="Times New Roman" w:hAnsi="Times New Roman"/>
                <w:spacing w:val="24"/>
                <w:sz w:val="19"/>
                <w:szCs w:val="19"/>
              </w:rPr>
              <w:t xml:space="preserve"> </w:t>
            </w:r>
            <w:r>
              <w:rPr>
                <w:rFonts w:ascii="Times New Roman" w:hAnsi="Times New Roman"/>
                <w:sz w:val="19"/>
                <w:szCs w:val="19"/>
              </w:rPr>
              <w:t>about</w:t>
            </w:r>
            <w:r>
              <w:rPr>
                <w:rFonts w:ascii="Times New Roman" w:hAnsi="Times New Roman"/>
                <w:spacing w:val="23"/>
                <w:sz w:val="19"/>
                <w:szCs w:val="19"/>
              </w:rPr>
              <w:t xml:space="preserve"> </w:t>
            </w:r>
            <w:r>
              <w:rPr>
                <w:rFonts w:ascii="Times New Roman" w:hAnsi="Times New Roman"/>
                <w:sz w:val="19"/>
                <w:szCs w:val="19"/>
              </w:rPr>
              <w:t>the esti</w:t>
            </w:r>
            <w:r>
              <w:rPr>
                <w:rFonts w:ascii="Times New Roman" w:hAnsi="Times New Roman"/>
                <w:spacing w:val="1"/>
                <w:sz w:val="19"/>
                <w:szCs w:val="19"/>
              </w:rPr>
              <w:t>m</w:t>
            </w:r>
            <w:r>
              <w:rPr>
                <w:rFonts w:ascii="Times New Roman" w:hAnsi="Times New Roman"/>
                <w:sz w:val="19"/>
                <w:szCs w:val="19"/>
              </w:rPr>
              <w:t>ates</w:t>
            </w:r>
            <w:r>
              <w:rPr>
                <w:rFonts w:ascii="Times New Roman" w:hAnsi="Times New Roman"/>
                <w:spacing w:val="15"/>
                <w:sz w:val="19"/>
                <w:szCs w:val="19"/>
              </w:rPr>
              <w:t xml:space="preserve"> </w:t>
            </w:r>
            <w:r>
              <w:rPr>
                <w:rFonts w:ascii="Times New Roman" w:hAnsi="Times New Roman"/>
                <w:sz w:val="19"/>
                <w:szCs w:val="19"/>
              </w:rPr>
              <w:t>of</w:t>
            </w:r>
            <w:r>
              <w:rPr>
                <w:rFonts w:ascii="Times New Roman" w:hAnsi="Times New Roman"/>
                <w:spacing w:val="15"/>
                <w:sz w:val="19"/>
                <w:szCs w:val="19"/>
              </w:rPr>
              <w:t xml:space="preserve"> </w:t>
            </w:r>
            <w:r>
              <w:rPr>
                <w:rFonts w:ascii="Times New Roman" w:hAnsi="Times New Roman"/>
                <w:sz w:val="19"/>
                <w:szCs w:val="19"/>
              </w:rPr>
              <w:t>the</w:t>
            </w:r>
            <w:r>
              <w:rPr>
                <w:rFonts w:ascii="Times New Roman" w:hAnsi="Times New Roman"/>
                <w:spacing w:val="16"/>
                <w:sz w:val="19"/>
                <w:szCs w:val="19"/>
              </w:rPr>
              <w:t xml:space="preserve"> </w:t>
            </w:r>
            <w:r>
              <w:rPr>
                <w:rFonts w:ascii="Times New Roman" w:hAnsi="Times New Roman"/>
                <w:sz w:val="19"/>
                <w:szCs w:val="19"/>
              </w:rPr>
              <w:t>har</w:t>
            </w:r>
            <w:r>
              <w:rPr>
                <w:rFonts w:ascii="Times New Roman" w:hAnsi="Times New Roman"/>
                <w:spacing w:val="1"/>
                <w:sz w:val="19"/>
                <w:szCs w:val="19"/>
              </w:rPr>
              <w:t>m</w:t>
            </w:r>
            <w:r>
              <w:rPr>
                <w:rFonts w:ascii="Times New Roman" w:hAnsi="Times New Roman"/>
                <w:sz w:val="19"/>
                <w:szCs w:val="19"/>
              </w:rPr>
              <w:t>s</w:t>
            </w:r>
            <w:r>
              <w:rPr>
                <w:rFonts w:ascii="Times New Roman" w:hAnsi="Times New Roman"/>
                <w:spacing w:val="15"/>
                <w:sz w:val="19"/>
                <w:szCs w:val="19"/>
              </w:rPr>
              <w:t xml:space="preserve"> </w:t>
            </w:r>
            <w:r>
              <w:rPr>
                <w:rFonts w:ascii="Times New Roman" w:hAnsi="Times New Roman"/>
                <w:sz w:val="19"/>
                <w:szCs w:val="19"/>
              </w:rPr>
              <w:t>and benefits</w:t>
            </w:r>
            <w:r>
              <w:rPr>
                <w:rFonts w:ascii="Times New Roman" w:hAnsi="Times New Roman"/>
                <w:spacing w:val="18"/>
                <w:sz w:val="19"/>
                <w:szCs w:val="19"/>
              </w:rPr>
              <w:t xml:space="preserve"> </w:t>
            </w:r>
            <w:r>
              <w:rPr>
                <w:rFonts w:ascii="Times New Roman" w:hAnsi="Times New Roman"/>
                <w:sz w:val="19"/>
                <w:szCs w:val="19"/>
              </w:rPr>
              <w:t>of</w:t>
            </w:r>
            <w:r>
              <w:rPr>
                <w:rFonts w:ascii="Times New Roman" w:hAnsi="Times New Roman"/>
                <w:spacing w:val="19"/>
                <w:sz w:val="19"/>
                <w:szCs w:val="19"/>
              </w:rPr>
              <w:t xml:space="preserve"> </w:t>
            </w:r>
            <w:r>
              <w:rPr>
                <w:rFonts w:ascii="Times New Roman" w:hAnsi="Times New Roman"/>
                <w:sz w:val="19"/>
                <w:szCs w:val="19"/>
              </w:rPr>
              <w:t>the</w:t>
            </w:r>
            <w:r>
              <w:rPr>
                <w:rFonts w:ascii="Times New Roman" w:hAnsi="Times New Roman"/>
                <w:spacing w:val="19"/>
                <w:sz w:val="19"/>
                <w:szCs w:val="19"/>
              </w:rPr>
              <w:t xml:space="preserve"> </w:t>
            </w:r>
            <w:r>
              <w:rPr>
                <w:rFonts w:ascii="Times New Roman" w:hAnsi="Times New Roman"/>
                <w:sz w:val="19"/>
                <w:szCs w:val="19"/>
              </w:rPr>
              <w:t>proposed intervention</w:t>
            </w:r>
            <w:r>
              <w:rPr>
                <w:rFonts w:ascii="Times New Roman" w:hAnsi="Times New Roman"/>
                <w:spacing w:val="18"/>
                <w:sz w:val="19"/>
                <w:szCs w:val="19"/>
              </w:rPr>
              <w:t xml:space="preserve"> </w:t>
            </w:r>
            <w:r>
              <w:rPr>
                <w:rFonts w:ascii="Times New Roman" w:hAnsi="Times New Roman"/>
                <w:sz w:val="19"/>
                <w:szCs w:val="19"/>
              </w:rPr>
              <w:t>that</w:t>
            </w:r>
            <w:r>
              <w:rPr>
                <w:rFonts w:ascii="Times New Roman" w:hAnsi="Times New Roman"/>
                <w:spacing w:val="17"/>
                <w:sz w:val="19"/>
                <w:szCs w:val="19"/>
              </w:rPr>
              <w:t xml:space="preserve"> </w:t>
            </w:r>
            <w:r>
              <w:rPr>
                <w:rFonts w:ascii="Times New Roman" w:hAnsi="Times New Roman"/>
                <w:spacing w:val="1"/>
                <w:sz w:val="19"/>
                <w:szCs w:val="19"/>
              </w:rPr>
              <w:t>m</w:t>
            </w:r>
            <w:r>
              <w:rPr>
                <w:rFonts w:ascii="Times New Roman" w:hAnsi="Times New Roman"/>
                <w:sz w:val="19"/>
                <w:szCs w:val="19"/>
              </w:rPr>
              <w:t>ay</w:t>
            </w:r>
            <w:r>
              <w:rPr>
                <w:rFonts w:ascii="Times New Roman" w:hAnsi="Times New Roman"/>
                <w:spacing w:val="19"/>
                <w:sz w:val="19"/>
                <w:szCs w:val="19"/>
              </w:rPr>
              <w:t xml:space="preserve"> </w:t>
            </w:r>
            <w:r>
              <w:rPr>
                <w:rFonts w:ascii="Times New Roman" w:hAnsi="Times New Roman"/>
                <w:sz w:val="19"/>
                <w:szCs w:val="19"/>
              </w:rPr>
              <w:t>be affected</w:t>
            </w:r>
            <w:r>
              <w:rPr>
                <w:rFonts w:ascii="Times New Roman" w:hAnsi="Times New Roman"/>
                <w:spacing w:val="20"/>
                <w:sz w:val="19"/>
                <w:szCs w:val="19"/>
              </w:rPr>
              <w:t xml:space="preserve"> </w:t>
            </w:r>
            <w:r>
              <w:rPr>
                <w:rFonts w:ascii="Times New Roman" w:hAnsi="Times New Roman"/>
                <w:sz w:val="19"/>
                <w:szCs w:val="19"/>
              </w:rPr>
              <w:t>by</w:t>
            </w:r>
            <w:r>
              <w:rPr>
                <w:rFonts w:ascii="Times New Roman" w:hAnsi="Times New Roman"/>
                <w:spacing w:val="21"/>
                <w:sz w:val="19"/>
                <w:szCs w:val="19"/>
              </w:rPr>
              <w:t xml:space="preserve"> </w:t>
            </w:r>
            <w:r>
              <w:rPr>
                <w:rFonts w:ascii="Times New Roman" w:hAnsi="Times New Roman"/>
                <w:sz w:val="19"/>
                <w:szCs w:val="19"/>
              </w:rPr>
              <w:t>new</w:t>
            </w:r>
            <w:r>
              <w:rPr>
                <w:rFonts w:ascii="Times New Roman" w:hAnsi="Times New Roman"/>
                <w:spacing w:val="21"/>
                <w:sz w:val="19"/>
                <w:szCs w:val="19"/>
              </w:rPr>
              <w:t xml:space="preserve"> </w:t>
            </w:r>
            <w:r>
              <w:rPr>
                <w:rFonts w:ascii="Times New Roman" w:hAnsi="Times New Roman"/>
                <w:sz w:val="19"/>
                <w:szCs w:val="19"/>
              </w:rPr>
              <w:t xml:space="preserve">evidence. </w:t>
            </w:r>
            <w:r>
              <w:rPr>
                <w:rFonts w:ascii="Times New Roman" w:hAnsi="Times New Roman"/>
                <w:spacing w:val="1"/>
                <w:sz w:val="19"/>
                <w:szCs w:val="19"/>
              </w:rPr>
              <w:t>A</w:t>
            </w:r>
            <w:r>
              <w:rPr>
                <w:rFonts w:ascii="Times New Roman" w:hAnsi="Times New Roman"/>
                <w:sz w:val="19"/>
                <w:szCs w:val="19"/>
              </w:rPr>
              <w:t>lternative</w:t>
            </w:r>
            <w:r>
              <w:rPr>
                <w:rFonts w:ascii="Times New Roman" w:hAnsi="Times New Roman"/>
                <w:spacing w:val="31"/>
                <w:sz w:val="19"/>
                <w:szCs w:val="19"/>
              </w:rPr>
              <w:t xml:space="preserve"> </w:t>
            </w:r>
            <w:r>
              <w:rPr>
                <w:rFonts w:ascii="Times New Roman" w:hAnsi="Times New Roman"/>
                <w:sz w:val="19"/>
                <w:szCs w:val="19"/>
              </w:rPr>
              <w:t>approaches</w:t>
            </w:r>
            <w:r>
              <w:rPr>
                <w:rFonts w:ascii="Times New Roman" w:hAnsi="Times New Roman"/>
                <w:spacing w:val="31"/>
                <w:sz w:val="19"/>
                <w:szCs w:val="19"/>
              </w:rPr>
              <w:t xml:space="preserve"> </w:t>
            </w:r>
            <w:r>
              <w:rPr>
                <w:rFonts w:ascii="Times New Roman" w:hAnsi="Times New Roman"/>
                <w:spacing w:val="1"/>
                <w:sz w:val="19"/>
                <w:szCs w:val="19"/>
              </w:rPr>
              <w:t>w</w:t>
            </w:r>
            <w:r>
              <w:rPr>
                <w:rFonts w:ascii="Times New Roman" w:hAnsi="Times New Roman"/>
                <w:sz w:val="19"/>
                <w:szCs w:val="19"/>
              </w:rPr>
              <w:t>ill likely</w:t>
            </w:r>
            <w:r>
              <w:rPr>
                <w:rFonts w:ascii="Times New Roman" w:hAnsi="Times New Roman"/>
                <w:spacing w:val="14"/>
                <w:sz w:val="19"/>
                <w:szCs w:val="19"/>
              </w:rPr>
              <w:t xml:space="preserve"> </w:t>
            </w:r>
            <w:r>
              <w:rPr>
                <w:rFonts w:ascii="Times New Roman" w:hAnsi="Times New Roman"/>
                <w:sz w:val="19"/>
                <w:szCs w:val="19"/>
              </w:rPr>
              <w:t>be</w:t>
            </w:r>
            <w:r>
              <w:rPr>
                <w:rFonts w:ascii="Times New Roman" w:hAnsi="Times New Roman"/>
                <w:spacing w:val="14"/>
                <w:sz w:val="19"/>
                <w:szCs w:val="19"/>
              </w:rPr>
              <w:t xml:space="preserve"> </w:t>
            </w:r>
            <w:r>
              <w:rPr>
                <w:rFonts w:ascii="Times New Roman" w:hAnsi="Times New Roman"/>
                <w:sz w:val="19"/>
                <w:szCs w:val="19"/>
              </w:rPr>
              <w:t>better</w:t>
            </w:r>
            <w:r>
              <w:rPr>
                <w:rFonts w:ascii="Times New Roman" w:hAnsi="Times New Roman"/>
                <w:spacing w:val="13"/>
                <w:sz w:val="19"/>
                <w:szCs w:val="19"/>
              </w:rPr>
              <w:t xml:space="preserve"> </w:t>
            </w:r>
            <w:r>
              <w:rPr>
                <w:rFonts w:ascii="Times New Roman" w:hAnsi="Times New Roman"/>
                <w:sz w:val="19"/>
                <w:szCs w:val="19"/>
              </w:rPr>
              <w:t>for</w:t>
            </w:r>
            <w:r>
              <w:rPr>
                <w:rFonts w:ascii="Times New Roman" w:hAnsi="Times New Roman"/>
                <w:spacing w:val="14"/>
                <w:sz w:val="19"/>
                <w:szCs w:val="19"/>
              </w:rPr>
              <w:t xml:space="preserve"> </w:t>
            </w:r>
            <w:r>
              <w:rPr>
                <w:rFonts w:ascii="Times New Roman" w:hAnsi="Times New Roman"/>
                <w:sz w:val="19"/>
                <w:szCs w:val="19"/>
              </w:rPr>
              <w:t>so</w:t>
            </w:r>
            <w:r>
              <w:rPr>
                <w:rFonts w:ascii="Times New Roman" w:hAnsi="Times New Roman"/>
                <w:spacing w:val="1"/>
                <w:sz w:val="19"/>
                <w:szCs w:val="19"/>
              </w:rPr>
              <w:t>m</w:t>
            </w:r>
            <w:r>
              <w:rPr>
                <w:rFonts w:ascii="Times New Roman" w:hAnsi="Times New Roman"/>
                <w:sz w:val="19"/>
                <w:szCs w:val="19"/>
              </w:rPr>
              <w:t>e patients</w:t>
            </w:r>
            <w:r>
              <w:rPr>
                <w:rFonts w:ascii="Times New Roman" w:hAnsi="Times New Roman"/>
                <w:spacing w:val="22"/>
                <w:sz w:val="19"/>
                <w:szCs w:val="19"/>
              </w:rPr>
              <w:t xml:space="preserve"> </w:t>
            </w:r>
            <w:r>
              <w:rPr>
                <w:rFonts w:ascii="Times New Roman" w:hAnsi="Times New Roman"/>
                <w:sz w:val="19"/>
                <w:szCs w:val="19"/>
              </w:rPr>
              <w:t>under</w:t>
            </w:r>
            <w:r>
              <w:rPr>
                <w:rFonts w:ascii="Times New Roman" w:hAnsi="Times New Roman"/>
                <w:spacing w:val="23"/>
                <w:sz w:val="19"/>
                <w:szCs w:val="19"/>
              </w:rPr>
              <w:t xml:space="preserve"> </w:t>
            </w:r>
            <w:r>
              <w:rPr>
                <w:rFonts w:ascii="Times New Roman" w:hAnsi="Times New Roman"/>
                <w:sz w:val="19"/>
                <w:szCs w:val="19"/>
              </w:rPr>
              <w:t>so</w:t>
            </w:r>
            <w:r>
              <w:rPr>
                <w:rFonts w:ascii="Times New Roman" w:hAnsi="Times New Roman"/>
                <w:spacing w:val="1"/>
                <w:sz w:val="19"/>
                <w:szCs w:val="19"/>
              </w:rPr>
              <w:t>m</w:t>
            </w:r>
            <w:r>
              <w:rPr>
                <w:rFonts w:ascii="Times New Roman" w:hAnsi="Times New Roman"/>
                <w:sz w:val="19"/>
                <w:szCs w:val="19"/>
              </w:rPr>
              <w:t>e circu</w:t>
            </w:r>
            <w:r>
              <w:rPr>
                <w:rFonts w:ascii="Times New Roman" w:hAnsi="Times New Roman"/>
                <w:spacing w:val="1"/>
                <w:sz w:val="19"/>
                <w:szCs w:val="19"/>
              </w:rPr>
              <w:t>m</w:t>
            </w:r>
            <w:r>
              <w:rPr>
                <w:rFonts w:ascii="Times New Roman" w:hAnsi="Times New Roman"/>
                <w:sz w:val="19"/>
                <w:szCs w:val="19"/>
              </w:rPr>
              <w:t>stances.</w:t>
            </w:r>
          </w:p>
        </w:tc>
      </w:tr>
      <w:tr w:rsidR="007F6021" w:rsidTr="00D16143">
        <w:trPr>
          <w:trHeight w:hRule="exact" w:val="2141"/>
        </w:trPr>
        <w:tc>
          <w:tcPr>
            <w:tcW w:w="1783" w:type="dxa"/>
            <w:tcBorders>
              <w:top w:val="nil"/>
              <w:left w:val="single" w:sz="8" w:space="0" w:color="000000"/>
              <w:bottom w:val="single" w:sz="8" w:space="0" w:color="000000"/>
              <w:right w:val="single" w:sz="8" w:space="0" w:color="000000"/>
            </w:tcBorders>
            <w:hideMark/>
          </w:tcPr>
          <w:p w:rsidR="007F6021" w:rsidRDefault="007F6021" w:rsidP="00D16143">
            <w:pPr>
              <w:overflowPunct w:val="0"/>
              <w:autoSpaceDE w:val="0"/>
              <w:autoSpaceDN w:val="0"/>
              <w:spacing w:before="34" w:line="252" w:lineRule="auto"/>
              <w:ind w:left="163" w:right="8" w:firstLine="0"/>
              <w:rPr>
                <w:rFonts w:ascii="Times New Roman" w:hAnsi="Times New Roman"/>
                <w:sz w:val="24"/>
                <w:szCs w:val="24"/>
              </w:rPr>
            </w:pPr>
            <w:r>
              <w:rPr>
                <w:rFonts w:ascii="Times New Roman" w:hAnsi="Times New Roman"/>
                <w:b/>
                <w:bCs/>
                <w:spacing w:val="1"/>
                <w:sz w:val="19"/>
                <w:szCs w:val="19"/>
              </w:rPr>
              <w:t>L</w:t>
            </w:r>
            <w:r>
              <w:rPr>
                <w:rFonts w:ascii="Times New Roman" w:hAnsi="Times New Roman"/>
                <w:b/>
                <w:bCs/>
                <w:sz w:val="19"/>
                <w:szCs w:val="19"/>
              </w:rPr>
              <w:t>ow</w:t>
            </w:r>
            <w:r>
              <w:rPr>
                <w:rFonts w:ascii="Times New Roman" w:hAnsi="Times New Roman"/>
                <w:b/>
                <w:bCs/>
                <w:spacing w:val="29"/>
                <w:sz w:val="19"/>
                <w:szCs w:val="19"/>
              </w:rPr>
              <w:t xml:space="preserve"> </w:t>
            </w:r>
            <w:r>
              <w:rPr>
                <w:rFonts w:ascii="Times New Roman" w:hAnsi="Times New Roman"/>
                <w:b/>
                <w:bCs/>
                <w:spacing w:val="1"/>
                <w:sz w:val="19"/>
                <w:szCs w:val="19"/>
              </w:rPr>
              <w:t>Q</w:t>
            </w:r>
            <w:r>
              <w:rPr>
                <w:rFonts w:ascii="Times New Roman" w:hAnsi="Times New Roman"/>
                <w:b/>
                <w:bCs/>
                <w:sz w:val="19"/>
                <w:szCs w:val="19"/>
              </w:rPr>
              <w:t xml:space="preserve">uality </w:t>
            </w:r>
            <w:r>
              <w:rPr>
                <w:rFonts w:ascii="Times New Roman" w:hAnsi="Times New Roman"/>
                <w:b/>
                <w:bCs/>
                <w:spacing w:val="1"/>
                <w:sz w:val="19"/>
                <w:szCs w:val="19"/>
              </w:rPr>
              <w:t>E</w:t>
            </w:r>
            <w:r>
              <w:rPr>
                <w:rFonts w:ascii="Times New Roman" w:hAnsi="Times New Roman"/>
                <w:b/>
                <w:bCs/>
                <w:sz w:val="19"/>
                <w:szCs w:val="19"/>
              </w:rPr>
              <w:t>vidence</w:t>
            </w:r>
          </w:p>
        </w:tc>
        <w:tc>
          <w:tcPr>
            <w:tcW w:w="2226" w:type="dxa"/>
            <w:tcBorders>
              <w:top w:val="nil"/>
              <w:left w:val="nil"/>
              <w:bottom w:val="single" w:sz="8" w:space="0" w:color="000000"/>
              <w:right w:val="single" w:sz="8" w:space="0" w:color="000000"/>
            </w:tcBorders>
            <w:hideMark/>
          </w:tcPr>
          <w:p w:rsidR="007F6021" w:rsidRDefault="007F6021" w:rsidP="00D16143">
            <w:pPr>
              <w:overflowPunct w:val="0"/>
              <w:autoSpaceDE w:val="0"/>
              <w:autoSpaceDN w:val="0"/>
              <w:spacing w:before="34" w:line="242" w:lineRule="auto"/>
              <w:ind w:left="169" w:right="56" w:firstLine="0"/>
              <w:rPr>
                <w:rFonts w:ascii="Times New Roman" w:hAnsi="Times New Roman"/>
                <w:sz w:val="24"/>
                <w:szCs w:val="24"/>
              </w:rPr>
            </w:pPr>
            <w:r>
              <w:rPr>
                <w:rFonts w:ascii="Times New Roman" w:hAnsi="Times New Roman"/>
                <w:sz w:val="19"/>
                <w:szCs w:val="19"/>
              </w:rPr>
              <w:t>Further</w:t>
            </w:r>
            <w:r>
              <w:rPr>
                <w:rFonts w:ascii="Times New Roman" w:hAnsi="Times New Roman"/>
                <w:spacing w:val="19"/>
                <w:sz w:val="19"/>
                <w:szCs w:val="19"/>
              </w:rPr>
              <w:t xml:space="preserve"> </w:t>
            </w:r>
            <w:r>
              <w:rPr>
                <w:rFonts w:ascii="Times New Roman" w:hAnsi="Times New Roman"/>
                <w:sz w:val="19"/>
                <w:szCs w:val="19"/>
              </w:rPr>
              <w:t>research</w:t>
            </w:r>
            <w:r>
              <w:rPr>
                <w:rFonts w:ascii="Times New Roman" w:hAnsi="Times New Roman"/>
                <w:spacing w:val="19"/>
                <w:sz w:val="19"/>
                <w:szCs w:val="19"/>
              </w:rPr>
              <w:t xml:space="preserve"> </w:t>
            </w:r>
            <w:r>
              <w:rPr>
                <w:rFonts w:ascii="Times New Roman" w:hAnsi="Times New Roman"/>
                <w:sz w:val="19"/>
                <w:szCs w:val="19"/>
              </w:rPr>
              <w:t>is</w:t>
            </w:r>
            <w:r>
              <w:rPr>
                <w:rFonts w:ascii="Times New Roman" w:hAnsi="Times New Roman"/>
                <w:spacing w:val="19"/>
                <w:sz w:val="19"/>
                <w:szCs w:val="19"/>
              </w:rPr>
              <w:t xml:space="preserve"> </w:t>
            </w:r>
            <w:r>
              <w:rPr>
                <w:rFonts w:ascii="Times New Roman" w:hAnsi="Times New Roman"/>
                <w:sz w:val="19"/>
                <w:szCs w:val="19"/>
              </w:rPr>
              <w:t>very likely</w:t>
            </w:r>
            <w:r>
              <w:rPr>
                <w:rFonts w:ascii="Times New Roman" w:hAnsi="Times New Roman"/>
                <w:spacing w:val="12"/>
                <w:sz w:val="19"/>
                <w:szCs w:val="19"/>
              </w:rPr>
              <w:t xml:space="preserve"> </w:t>
            </w:r>
            <w:r>
              <w:rPr>
                <w:rFonts w:ascii="Times New Roman" w:hAnsi="Times New Roman"/>
                <w:sz w:val="19"/>
                <w:szCs w:val="19"/>
              </w:rPr>
              <w:t>to</w:t>
            </w:r>
            <w:r>
              <w:rPr>
                <w:rFonts w:ascii="Times New Roman" w:hAnsi="Times New Roman"/>
                <w:spacing w:val="12"/>
                <w:sz w:val="19"/>
                <w:szCs w:val="19"/>
              </w:rPr>
              <w:t xml:space="preserve"> </w:t>
            </w:r>
            <w:r>
              <w:rPr>
                <w:rFonts w:ascii="Times New Roman" w:hAnsi="Times New Roman"/>
                <w:sz w:val="19"/>
                <w:szCs w:val="19"/>
              </w:rPr>
              <w:t>have</w:t>
            </w:r>
            <w:r>
              <w:rPr>
                <w:rFonts w:ascii="Times New Roman" w:hAnsi="Times New Roman"/>
                <w:spacing w:val="13"/>
                <w:sz w:val="19"/>
                <w:szCs w:val="19"/>
              </w:rPr>
              <w:t xml:space="preserve"> </w:t>
            </w:r>
            <w:r>
              <w:rPr>
                <w:rFonts w:ascii="Times New Roman" w:hAnsi="Times New Roman"/>
                <w:sz w:val="19"/>
                <w:szCs w:val="19"/>
              </w:rPr>
              <w:t>an i</w:t>
            </w:r>
            <w:r>
              <w:rPr>
                <w:rFonts w:ascii="Times New Roman" w:hAnsi="Times New Roman"/>
                <w:spacing w:val="1"/>
                <w:sz w:val="19"/>
                <w:szCs w:val="19"/>
              </w:rPr>
              <w:t>m</w:t>
            </w:r>
            <w:r>
              <w:rPr>
                <w:rFonts w:ascii="Times New Roman" w:hAnsi="Times New Roman"/>
                <w:sz w:val="19"/>
                <w:szCs w:val="19"/>
              </w:rPr>
              <w:t>portant</w:t>
            </w:r>
            <w:r>
              <w:rPr>
                <w:rFonts w:ascii="Times New Roman" w:hAnsi="Times New Roman"/>
                <w:spacing w:val="21"/>
                <w:sz w:val="19"/>
                <w:szCs w:val="19"/>
              </w:rPr>
              <w:t xml:space="preserve"> </w:t>
            </w:r>
            <w:r>
              <w:rPr>
                <w:rFonts w:ascii="Times New Roman" w:hAnsi="Times New Roman"/>
                <w:sz w:val="19"/>
                <w:szCs w:val="19"/>
              </w:rPr>
              <w:t>i</w:t>
            </w:r>
            <w:r>
              <w:rPr>
                <w:rFonts w:ascii="Times New Roman" w:hAnsi="Times New Roman"/>
                <w:spacing w:val="1"/>
                <w:sz w:val="19"/>
                <w:szCs w:val="19"/>
              </w:rPr>
              <w:t>m</w:t>
            </w:r>
            <w:r>
              <w:rPr>
                <w:rFonts w:ascii="Times New Roman" w:hAnsi="Times New Roman"/>
                <w:sz w:val="19"/>
                <w:szCs w:val="19"/>
              </w:rPr>
              <w:t>pact</w:t>
            </w:r>
            <w:r>
              <w:rPr>
                <w:rFonts w:ascii="Times New Roman" w:hAnsi="Times New Roman"/>
                <w:spacing w:val="22"/>
                <w:sz w:val="19"/>
                <w:szCs w:val="19"/>
              </w:rPr>
              <w:t xml:space="preserve"> </w:t>
            </w:r>
            <w:r>
              <w:rPr>
                <w:rFonts w:ascii="Times New Roman" w:hAnsi="Times New Roman"/>
                <w:sz w:val="19"/>
                <w:szCs w:val="19"/>
              </w:rPr>
              <w:t>on</w:t>
            </w:r>
            <w:r w:rsidR="00D16143">
              <w:rPr>
                <w:rFonts w:ascii="Times New Roman" w:hAnsi="Times New Roman"/>
                <w:sz w:val="19"/>
                <w:szCs w:val="19"/>
              </w:rPr>
              <w:t xml:space="preserve"> </w:t>
            </w:r>
            <w:r>
              <w:rPr>
                <w:rFonts w:ascii="Times New Roman" w:hAnsi="Times New Roman"/>
                <w:sz w:val="19"/>
                <w:szCs w:val="19"/>
              </w:rPr>
              <w:t>our</w:t>
            </w:r>
            <w:r>
              <w:rPr>
                <w:rFonts w:ascii="Times New Roman" w:hAnsi="Times New Roman"/>
                <w:spacing w:val="16"/>
                <w:sz w:val="19"/>
                <w:szCs w:val="19"/>
              </w:rPr>
              <w:t xml:space="preserve"> </w:t>
            </w:r>
            <w:r>
              <w:rPr>
                <w:rFonts w:ascii="Times New Roman" w:hAnsi="Times New Roman"/>
                <w:sz w:val="19"/>
                <w:szCs w:val="19"/>
              </w:rPr>
              <w:t>confidence</w:t>
            </w:r>
            <w:r>
              <w:rPr>
                <w:rFonts w:ascii="Times New Roman" w:hAnsi="Times New Roman"/>
                <w:spacing w:val="16"/>
                <w:sz w:val="19"/>
                <w:szCs w:val="19"/>
              </w:rPr>
              <w:t xml:space="preserve"> </w:t>
            </w:r>
            <w:r>
              <w:rPr>
                <w:rFonts w:ascii="Times New Roman" w:hAnsi="Times New Roman"/>
                <w:sz w:val="19"/>
                <w:szCs w:val="19"/>
              </w:rPr>
              <w:t>in</w:t>
            </w:r>
            <w:r>
              <w:rPr>
                <w:rFonts w:ascii="Times New Roman" w:hAnsi="Times New Roman"/>
                <w:spacing w:val="17"/>
                <w:sz w:val="19"/>
                <w:szCs w:val="19"/>
              </w:rPr>
              <w:t xml:space="preserve"> </w:t>
            </w:r>
            <w:r>
              <w:rPr>
                <w:rFonts w:ascii="Times New Roman" w:hAnsi="Times New Roman"/>
                <w:sz w:val="19"/>
                <w:szCs w:val="19"/>
              </w:rPr>
              <w:t>the esti</w:t>
            </w:r>
            <w:r>
              <w:rPr>
                <w:rFonts w:ascii="Times New Roman" w:hAnsi="Times New Roman"/>
                <w:spacing w:val="1"/>
                <w:sz w:val="19"/>
                <w:szCs w:val="19"/>
              </w:rPr>
              <w:t>m</w:t>
            </w:r>
            <w:r>
              <w:rPr>
                <w:rFonts w:ascii="Times New Roman" w:hAnsi="Times New Roman"/>
                <w:sz w:val="19"/>
                <w:szCs w:val="19"/>
              </w:rPr>
              <w:t>ate</w:t>
            </w:r>
            <w:r>
              <w:rPr>
                <w:rFonts w:ascii="Times New Roman" w:hAnsi="Times New Roman"/>
                <w:spacing w:val="14"/>
                <w:sz w:val="19"/>
                <w:szCs w:val="19"/>
              </w:rPr>
              <w:t xml:space="preserve"> </w:t>
            </w:r>
            <w:r>
              <w:rPr>
                <w:rFonts w:ascii="Times New Roman" w:hAnsi="Times New Roman"/>
                <w:sz w:val="19"/>
                <w:szCs w:val="19"/>
              </w:rPr>
              <w:t>of</w:t>
            </w:r>
            <w:r>
              <w:rPr>
                <w:rFonts w:ascii="Times New Roman" w:hAnsi="Times New Roman"/>
                <w:spacing w:val="14"/>
                <w:sz w:val="19"/>
                <w:szCs w:val="19"/>
              </w:rPr>
              <w:t xml:space="preserve"> </w:t>
            </w:r>
            <w:r>
              <w:rPr>
                <w:rFonts w:ascii="Times New Roman" w:hAnsi="Times New Roman"/>
                <w:sz w:val="19"/>
                <w:szCs w:val="19"/>
              </w:rPr>
              <w:t>effect</w:t>
            </w:r>
            <w:r>
              <w:rPr>
                <w:rFonts w:ascii="Times New Roman" w:hAnsi="Times New Roman"/>
                <w:spacing w:val="13"/>
                <w:sz w:val="19"/>
                <w:szCs w:val="19"/>
              </w:rPr>
              <w:t xml:space="preserve"> </w:t>
            </w:r>
            <w:r>
              <w:rPr>
                <w:rFonts w:ascii="Times New Roman" w:hAnsi="Times New Roman"/>
                <w:sz w:val="19"/>
                <w:szCs w:val="19"/>
              </w:rPr>
              <w:t>and</w:t>
            </w:r>
            <w:r>
              <w:rPr>
                <w:rFonts w:ascii="Times New Roman" w:hAnsi="Times New Roman"/>
                <w:spacing w:val="14"/>
                <w:sz w:val="19"/>
                <w:szCs w:val="19"/>
              </w:rPr>
              <w:t xml:space="preserve"> </w:t>
            </w:r>
            <w:r>
              <w:rPr>
                <w:rFonts w:ascii="Times New Roman" w:hAnsi="Times New Roman"/>
                <w:sz w:val="19"/>
                <w:szCs w:val="19"/>
              </w:rPr>
              <w:t>is likely</w:t>
            </w:r>
            <w:r>
              <w:rPr>
                <w:rFonts w:ascii="Times New Roman" w:hAnsi="Times New Roman"/>
                <w:spacing w:val="12"/>
                <w:sz w:val="19"/>
                <w:szCs w:val="19"/>
              </w:rPr>
              <w:t xml:space="preserve"> </w:t>
            </w:r>
            <w:r>
              <w:rPr>
                <w:rFonts w:ascii="Times New Roman" w:hAnsi="Times New Roman"/>
                <w:sz w:val="19"/>
                <w:szCs w:val="19"/>
              </w:rPr>
              <w:t>to</w:t>
            </w:r>
            <w:r>
              <w:rPr>
                <w:rFonts w:ascii="Times New Roman" w:hAnsi="Times New Roman"/>
                <w:spacing w:val="13"/>
                <w:sz w:val="19"/>
                <w:szCs w:val="19"/>
              </w:rPr>
              <w:t xml:space="preserve"> </w:t>
            </w:r>
            <w:r>
              <w:rPr>
                <w:rFonts w:ascii="Times New Roman" w:hAnsi="Times New Roman"/>
                <w:sz w:val="19"/>
                <w:szCs w:val="19"/>
              </w:rPr>
              <w:t xml:space="preserve">change. </w:t>
            </w:r>
            <w:r>
              <w:rPr>
                <w:rFonts w:ascii="Times New Roman" w:hAnsi="Times New Roman"/>
                <w:spacing w:val="23"/>
                <w:sz w:val="19"/>
                <w:szCs w:val="19"/>
              </w:rPr>
              <w:t> </w:t>
            </w:r>
            <w:r>
              <w:rPr>
                <w:rFonts w:ascii="Times New Roman" w:hAnsi="Times New Roman"/>
                <w:spacing w:val="1"/>
                <w:sz w:val="19"/>
                <w:szCs w:val="19"/>
              </w:rPr>
              <w:t>T</w:t>
            </w:r>
            <w:r>
              <w:rPr>
                <w:rFonts w:ascii="Times New Roman" w:hAnsi="Times New Roman"/>
                <w:sz w:val="19"/>
                <w:szCs w:val="19"/>
              </w:rPr>
              <w:t>he esti</w:t>
            </w:r>
            <w:r>
              <w:rPr>
                <w:rFonts w:ascii="Times New Roman" w:hAnsi="Times New Roman"/>
                <w:spacing w:val="1"/>
                <w:sz w:val="19"/>
                <w:szCs w:val="19"/>
              </w:rPr>
              <w:t>m</w:t>
            </w:r>
            <w:r>
              <w:rPr>
                <w:rFonts w:ascii="Times New Roman" w:hAnsi="Times New Roman"/>
                <w:sz w:val="19"/>
                <w:szCs w:val="19"/>
              </w:rPr>
              <w:t>ate</w:t>
            </w:r>
            <w:r>
              <w:rPr>
                <w:rFonts w:ascii="Times New Roman" w:hAnsi="Times New Roman"/>
                <w:spacing w:val="17"/>
                <w:sz w:val="19"/>
                <w:szCs w:val="19"/>
              </w:rPr>
              <w:t xml:space="preserve"> </w:t>
            </w:r>
            <w:r>
              <w:rPr>
                <w:rFonts w:ascii="Times New Roman" w:hAnsi="Times New Roman"/>
                <w:sz w:val="19"/>
                <w:szCs w:val="19"/>
              </w:rPr>
              <w:t>or</w:t>
            </w:r>
            <w:r>
              <w:rPr>
                <w:rFonts w:ascii="Times New Roman" w:hAnsi="Times New Roman"/>
                <w:spacing w:val="17"/>
                <w:sz w:val="19"/>
                <w:szCs w:val="19"/>
              </w:rPr>
              <w:t xml:space="preserve"> </w:t>
            </w:r>
            <w:r>
              <w:rPr>
                <w:rFonts w:ascii="Times New Roman" w:hAnsi="Times New Roman"/>
                <w:sz w:val="19"/>
                <w:szCs w:val="19"/>
              </w:rPr>
              <w:t>any</w:t>
            </w:r>
            <w:r w:rsidR="00D16143">
              <w:rPr>
                <w:rFonts w:ascii="Times New Roman" w:hAnsi="Times New Roman"/>
                <w:sz w:val="19"/>
                <w:szCs w:val="19"/>
              </w:rPr>
              <w:t xml:space="preserve"> </w:t>
            </w:r>
            <w:r>
              <w:rPr>
                <w:rFonts w:ascii="Times New Roman" w:hAnsi="Times New Roman"/>
                <w:sz w:val="19"/>
                <w:szCs w:val="19"/>
              </w:rPr>
              <w:t>esti</w:t>
            </w:r>
            <w:r>
              <w:rPr>
                <w:rFonts w:ascii="Times New Roman" w:hAnsi="Times New Roman"/>
                <w:spacing w:val="1"/>
                <w:sz w:val="19"/>
                <w:szCs w:val="19"/>
              </w:rPr>
              <w:t>m</w:t>
            </w:r>
            <w:r>
              <w:rPr>
                <w:rFonts w:ascii="Times New Roman" w:hAnsi="Times New Roman"/>
                <w:sz w:val="19"/>
                <w:szCs w:val="19"/>
              </w:rPr>
              <w:t>ate</w:t>
            </w:r>
            <w:r>
              <w:rPr>
                <w:rFonts w:ascii="Times New Roman" w:hAnsi="Times New Roman"/>
                <w:spacing w:val="15"/>
                <w:sz w:val="19"/>
                <w:szCs w:val="19"/>
              </w:rPr>
              <w:t xml:space="preserve"> </w:t>
            </w:r>
            <w:r>
              <w:rPr>
                <w:rFonts w:ascii="Times New Roman" w:hAnsi="Times New Roman"/>
                <w:sz w:val="19"/>
                <w:szCs w:val="19"/>
              </w:rPr>
              <w:t>of</w:t>
            </w:r>
            <w:r>
              <w:rPr>
                <w:rFonts w:ascii="Times New Roman" w:hAnsi="Times New Roman"/>
                <w:spacing w:val="15"/>
                <w:sz w:val="19"/>
                <w:szCs w:val="19"/>
              </w:rPr>
              <w:t xml:space="preserve"> </w:t>
            </w:r>
            <w:r>
              <w:rPr>
                <w:rFonts w:ascii="Times New Roman" w:hAnsi="Times New Roman"/>
                <w:sz w:val="19"/>
                <w:szCs w:val="19"/>
              </w:rPr>
              <w:t>effect</w:t>
            </w:r>
            <w:r>
              <w:rPr>
                <w:rFonts w:ascii="Times New Roman" w:hAnsi="Times New Roman"/>
                <w:spacing w:val="15"/>
                <w:sz w:val="19"/>
                <w:szCs w:val="19"/>
              </w:rPr>
              <w:t xml:space="preserve"> </w:t>
            </w:r>
            <w:r>
              <w:rPr>
                <w:rFonts w:ascii="Times New Roman" w:hAnsi="Times New Roman"/>
                <w:sz w:val="19"/>
                <w:szCs w:val="19"/>
              </w:rPr>
              <w:t>is very</w:t>
            </w:r>
            <w:r>
              <w:rPr>
                <w:rFonts w:ascii="Times New Roman" w:hAnsi="Times New Roman"/>
                <w:spacing w:val="34"/>
                <w:sz w:val="19"/>
                <w:szCs w:val="19"/>
              </w:rPr>
              <w:t xml:space="preserve"> </w:t>
            </w:r>
            <w:r>
              <w:rPr>
                <w:rFonts w:ascii="Times New Roman" w:hAnsi="Times New Roman"/>
                <w:sz w:val="19"/>
                <w:szCs w:val="19"/>
              </w:rPr>
              <w:t>uncertain.</w:t>
            </w:r>
          </w:p>
        </w:tc>
        <w:tc>
          <w:tcPr>
            <w:tcW w:w="2971" w:type="dxa"/>
            <w:tcBorders>
              <w:top w:val="nil"/>
              <w:left w:val="nil"/>
              <w:bottom w:val="single" w:sz="8" w:space="0" w:color="000000"/>
              <w:right w:val="single" w:sz="8" w:space="0" w:color="000000"/>
            </w:tcBorders>
            <w:hideMark/>
          </w:tcPr>
          <w:p w:rsidR="007F6021" w:rsidRDefault="007F6021" w:rsidP="00D16143">
            <w:pPr>
              <w:overflowPunct w:val="0"/>
              <w:autoSpaceDE w:val="0"/>
              <w:autoSpaceDN w:val="0"/>
              <w:spacing w:before="34" w:line="242" w:lineRule="auto"/>
              <w:ind w:left="114" w:right="120" w:firstLine="10"/>
              <w:rPr>
                <w:rFonts w:ascii="Times New Roman" w:hAnsi="Times New Roman"/>
                <w:sz w:val="24"/>
                <w:szCs w:val="24"/>
              </w:rPr>
            </w:pPr>
            <w:r>
              <w:rPr>
                <w:rFonts w:ascii="Times New Roman" w:hAnsi="Times New Roman"/>
                <w:spacing w:val="1"/>
                <w:sz w:val="19"/>
                <w:szCs w:val="19"/>
              </w:rPr>
              <w:t>T</w:t>
            </w:r>
            <w:r>
              <w:rPr>
                <w:rFonts w:ascii="Times New Roman" w:hAnsi="Times New Roman"/>
                <w:sz w:val="19"/>
                <w:szCs w:val="19"/>
              </w:rPr>
              <w:t>he</w:t>
            </w:r>
            <w:r>
              <w:rPr>
                <w:rFonts w:ascii="Times New Roman" w:hAnsi="Times New Roman"/>
                <w:spacing w:val="14"/>
                <w:sz w:val="19"/>
                <w:szCs w:val="19"/>
              </w:rPr>
              <w:t xml:space="preserve"> </w:t>
            </w:r>
            <w:r>
              <w:rPr>
                <w:rFonts w:ascii="Times New Roman" w:hAnsi="Times New Roman"/>
                <w:spacing w:val="1"/>
                <w:sz w:val="19"/>
                <w:szCs w:val="19"/>
              </w:rPr>
              <w:t>w</w:t>
            </w:r>
            <w:r>
              <w:rPr>
                <w:rFonts w:ascii="Times New Roman" w:hAnsi="Times New Roman"/>
                <w:sz w:val="19"/>
                <w:szCs w:val="19"/>
              </w:rPr>
              <w:t>ork</w:t>
            </w:r>
            <w:r>
              <w:rPr>
                <w:rFonts w:ascii="Times New Roman" w:hAnsi="Times New Roman"/>
                <w:spacing w:val="14"/>
                <w:sz w:val="19"/>
                <w:szCs w:val="19"/>
              </w:rPr>
              <w:t xml:space="preserve"> </w:t>
            </w:r>
            <w:r>
              <w:rPr>
                <w:rFonts w:ascii="Times New Roman" w:hAnsi="Times New Roman"/>
                <w:sz w:val="19"/>
                <w:szCs w:val="19"/>
              </w:rPr>
              <w:t>group</w:t>
            </w:r>
            <w:r>
              <w:rPr>
                <w:rFonts w:ascii="Times New Roman" w:hAnsi="Times New Roman"/>
                <w:spacing w:val="14"/>
                <w:sz w:val="19"/>
                <w:szCs w:val="19"/>
              </w:rPr>
              <w:t xml:space="preserve"> </w:t>
            </w:r>
            <w:r>
              <w:rPr>
                <w:rFonts w:ascii="Times New Roman" w:hAnsi="Times New Roman"/>
                <w:sz w:val="19"/>
                <w:szCs w:val="19"/>
              </w:rPr>
              <w:t>feels</w:t>
            </w:r>
            <w:r>
              <w:rPr>
                <w:rFonts w:ascii="Times New Roman" w:hAnsi="Times New Roman"/>
                <w:spacing w:val="14"/>
                <w:sz w:val="19"/>
                <w:szCs w:val="19"/>
              </w:rPr>
              <w:t xml:space="preserve"> </w:t>
            </w:r>
            <w:r>
              <w:rPr>
                <w:rFonts w:ascii="Times New Roman" w:hAnsi="Times New Roman"/>
                <w:sz w:val="19"/>
                <w:szCs w:val="19"/>
              </w:rPr>
              <w:t>that</w:t>
            </w:r>
            <w:r>
              <w:rPr>
                <w:rFonts w:ascii="Times New Roman" w:hAnsi="Times New Roman"/>
                <w:spacing w:val="13"/>
                <w:sz w:val="19"/>
                <w:szCs w:val="19"/>
              </w:rPr>
              <w:t xml:space="preserve"> </w:t>
            </w:r>
            <w:r>
              <w:rPr>
                <w:rFonts w:ascii="Times New Roman" w:hAnsi="Times New Roman"/>
                <w:sz w:val="19"/>
                <w:szCs w:val="19"/>
              </w:rPr>
              <w:t>the evidence</w:t>
            </w:r>
            <w:r>
              <w:rPr>
                <w:rFonts w:ascii="Times New Roman" w:hAnsi="Times New Roman"/>
                <w:spacing w:val="25"/>
                <w:sz w:val="19"/>
                <w:szCs w:val="19"/>
              </w:rPr>
              <w:t xml:space="preserve"> </w:t>
            </w:r>
            <w:r>
              <w:rPr>
                <w:rFonts w:ascii="Times New Roman" w:hAnsi="Times New Roman"/>
                <w:sz w:val="19"/>
                <w:szCs w:val="19"/>
              </w:rPr>
              <w:t>consistently</w:t>
            </w:r>
            <w:r>
              <w:rPr>
                <w:rFonts w:ascii="Times New Roman" w:hAnsi="Times New Roman"/>
                <w:spacing w:val="26"/>
                <w:sz w:val="19"/>
                <w:szCs w:val="19"/>
              </w:rPr>
              <w:t xml:space="preserve"> </w:t>
            </w:r>
            <w:r>
              <w:rPr>
                <w:rFonts w:ascii="Times New Roman" w:hAnsi="Times New Roman"/>
                <w:sz w:val="19"/>
                <w:szCs w:val="19"/>
              </w:rPr>
              <w:t>indicates</w:t>
            </w:r>
            <w:r>
              <w:rPr>
                <w:rFonts w:ascii="Times New Roman" w:hAnsi="Times New Roman"/>
                <w:spacing w:val="26"/>
                <w:sz w:val="19"/>
                <w:szCs w:val="19"/>
              </w:rPr>
              <w:t xml:space="preserve"> </w:t>
            </w:r>
            <w:r>
              <w:rPr>
                <w:rFonts w:ascii="Times New Roman" w:hAnsi="Times New Roman"/>
                <w:sz w:val="19"/>
                <w:szCs w:val="19"/>
              </w:rPr>
              <w:t>the benefit</w:t>
            </w:r>
            <w:r>
              <w:rPr>
                <w:rFonts w:ascii="Times New Roman" w:hAnsi="Times New Roman"/>
                <w:spacing w:val="16"/>
                <w:sz w:val="19"/>
                <w:szCs w:val="19"/>
              </w:rPr>
              <w:t xml:space="preserve"> </w:t>
            </w:r>
            <w:r>
              <w:rPr>
                <w:rFonts w:ascii="Times New Roman" w:hAnsi="Times New Roman"/>
                <w:sz w:val="19"/>
                <w:szCs w:val="19"/>
              </w:rPr>
              <w:t>of</w:t>
            </w:r>
            <w:r>
              <w:rPr>
                <w:rFonts w:ascii="Times New Roman" w:hAnsi="Times New Roman"/>
                <w:spacing w:val="18"/>
                <w:sz w:val="19"/>
                <w:szCs w:val="19"/>
              </w:rPr>
              <w:t xml:space="preserve"> </w:t>
            </w:r>
            <w:r>
              <w:rPr>
                <w:rFonts w:ascii="Times New Roman" w:hAnsi="Times New Roman"/>
                <w:sz w:val="19"/>
                <w:szCs w:val="19"/>
              </w:rPr>
              <w:t>this</w:t>
            </w:r>
            <w:r>
              <w:rPr>
                <w:rFonts w:ascii="Times New Roman" w:hAnsi="Times New Roman"/>
                <w:spacing w:val="19"/>
                <w:sz w:val="19"/>
                <w:szCs w:val="19"/>
              </w:rPr>
              <w:t xml:space="preserve"> </w:t>
            </w:r>
            <w:r>
              <w:rPr>
                <w:rFonts w:ascii="Times New Roman" w:hAnsi="Times New Roman"/>
                <w:sz w:val="19"/>
                <w:szCs w:val="19"/>
              </w:rPr>
              <w:t>action</w:t>
            </w:r>
            <w:r>
              <w:rPr>
                <w:rFonts w:ascii="Times New Roman" w:hAnsi="Times New Roman"/>
                <w:spacing w:val="18"/>
                <w:sz w:val="19"/>
                <w:szCs w:val="19"/>
              </w:rPr>
              <w:t xml:space="preserve"> </w:t>
            </w:r>
            <w:r>
              <w:rPr>
                <w:rFonts w:ascii="Times New Roman" w:hAnsi="Times New Roman"/>
                <w:sz w:val="19"/>
                <w:szCs w:val="19"/>
              </w:rPr>
              <w:t>out</w:t>
            </w:r>
            <w:r>
              <w:rPr>
                <w:rFonts w:ascii="Times New Roman" w:hAnsi="Times New Roman"/>
                <w:spacing w:val="1"/>
                <w:sz w:val="19"/>
                <w:szCs w:val="19"/>
              </w:rPr>
              <w:t>w</w:t>
            </w:r>
            <w:r>
              <w:rPr>
                <w:rFonts w:ascii="Times New Roman" w:hAnsi="Times New Roman"/>
                <w:sz w:val="19"/>
                <w:szCs w:val="19"/>
              </w:rPr>
              <w:t>eighs</w:t>
            </w:r>
            <w:r w:rsidR="00D16143">
              <w:rPr>
                <w:rFonts w:ascii="Times New Roman" w:hAnsi="Times New Roman"/>
                <w:sz w:val="19"/>
                <w:szCs w:val="19"/>
              </w:rPr>
              <w:t xml:space="preserve"> </w:t>
            </w:r>
            <w:r>
              <w:rPr>
                <w:rFonts w:ascii="Times New Roman" w:hAnsi="Times New Roman"/>
                <w:sz w:val="19"/>
                <w:szCs w:val="19"/>
              </w:rPr>
              <w:t>the</w:t>
            </w:r>
            <w:r>
              <w:rPr>
                <w:rFonts w:ascii="Times New Roman" w:hAnsi="Times New Roman"/>
                <w:spacing w:val="25"/>
                <w:sz w:val="19"/>
                <w:szCs w:val="19"/>
              </w:rPr>
              <w:t xml:space="preserve"> </w:t>
            </w:r>
            <w:r>
              <w:rPr>
                <w:rFonts w:ascii="Times New Roman" w:hAnsi="Times New Roman"/>
                <w:sz w:val="19"/>
                <w:szCs w:val="19"/>
              </w:rPr>
              <w:t>har</w:t>
            </w:r>
            <w:r>
              <w:rPr>
                <w:rFonts w:ascii="Times New Roman" w:hAnsi="Times New Roman"/>
                <w:spacing w:val="1"/>
                <w:sz w:val="19"/>
                <w:szCs w:val="19"/>
              </w:rPr>
              <w:t>m</w:t>
            </w:r>
            <w:r>
              <w:rPr>
                <w:rFonts w:ascii="Times New Roman" w:hAnsi="Times New Roman"/>
                <w:sz w:val="19"/>
                <w:szCs w:val="19"/>
              </w:rPr>
              <w:t>s.</w:t>
            </w:r>
            <w:r>
              <w:rPr>
                <w:rFonts w:ascii="Times New Roman" w:hAnsi="Times New Roman"/>
                <w:spacing w:val="23"/>
                <w:sz w:val="19"/>
                <w:szCs w:val="19"/>
              </w:rPr>
              <w:t xml:space="preserve"> </w:t>
            </w:r>
            <w:r>
              <w:rPr>
                <w:rFonts w:ascii="Times New Roman" w:hAnsi="Times New Roman"/>
                <w:spacing w:val="1"/>
                <w:sz w:val="19"/>
                <w:szCs w:val="19"/>
              </w:rPr>
              <w:t>T</w:t>
            </w:r>
            <w:r>
              <w:rPr>
                <w:rFonts w:ascii="Times New Roman" w:hAnsi="Times New Roman"/>
                <w:sz w:val="19"/>
                <w:szCs w:val="19"/>
              </w:rPr>
              <w:t>his</w:t>
            </w:r>
            <w:r>
              <w:rPr>
                <w:rFonts w:ascii="Times New Roman" w:hAnsi="Times New Roman"/>
                <w:spacing w:val="26"/>
                <w:sz w:val="19"/>
                <w:szCs w:val="19"/>
              </w:rPr>
              <w:t xml:space="preserve"> </w:t>
            </w:r>
            <w:r>
              <w:rPr>
                <w:rFonts w:ascii="Times New Roman" w:hAnsi="Times New Roman"/>
                <w:sz w:val="19"/>
                <w:szCs w:val="19"/>
              </w:rPr>
              <w:t>reco</w:t>
            </w:r>
            <w:r>
              <w:rPr>
                <w:rFonts w:ascii="Times New Roman" w:hAnsi="Times New Roman"/>
                <w:spacing w:val="1"/>
                <w:sz w:val="19"/>
                <w:szCs w:val="19"/>
              </w:rPr>
              <w:t>mm</w:t>
            </w:r>
            <w:r>
              <w:rPr>
                <w:rFonts w:ascii="Times New Roman" w:hAnsi="Times New Roman"/>
                <w:sz w:val="19"/>
                <w:szCs w:val="19"/>
              </w:rPr>
              <w:t xml:space="preserve">endation </w:t>
            </w:r>
            <w:r>
              <w:rPr>
                <w:rFonts w:ascii="Times New Roman" w:hAnsi="Times New Roman"/>
                <w:spacing w:val="1"/>
                <w:sz w:val="19"/>
                <w:szCs w:val="19"/>
              </w:rPr>
              <w:t>m</w:t>
            </w:r>
            <w:r>
              <w:rPr>
                <w:rFonts w:ascii="Times New Roman" w:hAnsi="Times New Roman"/>
                <w:sz w:val="19"/>
                <w:szCs w:val="19"/>
              </w:rPr>
              <w:t>ight</w:t>
            </w:r>
            <w:r>
              <w:rPr>
                <w:rFonts w:ascii="Times New Roman" w:hAnsi="Times New Roman"/>
                <w:spacing w:val="18"/>
                <w:sz w:val="19"/>
                <w:szCs w:val="19"/>
              </w:rPr>
              <w:t xml:space="preserve"> </w:t>
            </w:r>
            <w:r>
              <w:rPr>
                <w:rFonts w:ascii="Times New Roman" w:hAnsi="Times New Roman"/>
                <w:sz w:val="19"/>
                <w:szCs w:val="19"/>
              </w:rPr>
              <w:t>change</w:t>
            </w:r>
            <w:r>
              <w:rPr>
                <w:rFonts w:ascii="Times New Roman" w:hAnsi="Times New Roman"/>
                <w:spacing w:val="19"/>
                <w:sz w:val="19"/>
                <w:szCs w:val="19"/>
              </w:rPr>
              <w:t xml:space="preserve"> </w:t>
            </w:r>
            <w:r>
              <w:rPr>
                <w:rFonts w:ascii="Times New Roman" w:hAnsi="Times New Roman"/>
                <w:spacing w:val="1"/>
                <w:sz w:val="19"/>
                <w:szCs w:val="19"/>
              </w:rPr>
              <w:t>w</w:t>
            </w:r>
            <w:r>
              <w:rPr>
                <w:rFonts w:ascii="Times New Roman" w:hAnsi="Times New Roman"/>
                <w:sz w:val="19"/>
                <w:szCs w:val="19"/>
              </w:rPr>
              <w:t>hen</w:t>
            </w:r>
            <w:r>
              <w:rPr>
                <w:rFonts w:ascii="Times New Roman" w:hAnsi="Times New Roman"/>
                <w:spacing w:val="20"/>
                <w:sz w:val="19"/>
                <w:szCs w:val="19"/>
              </w:rPr>
              <w:t xml:space="preserve"> </w:t>
            </w:r>
            <w:r>
              <w:rPr>
                <w:rFonts w:ascii="Times New Roman" w:hAnsi="Times New Roman"/>
                <w:sz w:val="19"/>
                <w:szCs w:val="19"/>
              </w:rPr>
              <w:t>higher</w:t>
            </w:r>
            <w:r>
              <w:rPr>
                <w:rFonts w:ascii="Times New Roman" w:hAnsi="Times New Roman"/>
                <w:spacing w:val="20"/>
                <w:sz w:val="19"/>
                <w:szCs w:val="19"/>
              </w:rPr>
              <w:t xml:space="preserve"> </w:t>
            </w:r>
            <w:r>
              <w:rPr>
                <w:rFonts w:ascii="Times New Roman" w:hAnsi="Times New Roman"/>
                <w:sz w:val="19"/>
                <w:szCs w:val="19"/>
              </w:rPr>
              <w:t>quality evidence</w:t>
            </w:r>
            <w:r>
              <w:rPr>
                <w:rFonts w:ascii="Times New Roman" w:hAnsi="Times New Roman"/>
                <w:spacing w:val="32"/>
                <w:sz w:val="19"/>
                <w:szCs w:val="19"/>
              </w:rPr>
              <w:t xml:space="preserve"> </w:t>
            </w:r>
            <w:r>
              <w:rPr>
                <w:rFonts w:ascii="Times New Roman" w:hAnsi="Times New Roman"/>
                <w:sz w:val="19"/>
                <w:szCs w:val="19"/>
              </w:rPr>
              <w:t>beco</w:t>
            </w:r>
            <w:r>
              <w:rPr>
                <w:rFonts w:ascii="Times New Roman" w:hAnsi="Times New Roman"/>
                <w:spacing w:val="1"/>
                <w:sz w:val="19"/>
                <w:szCs w:val="19"/>
              </w:rPr>
              <w:t>m</w:t>
            </w:r>
            <w:r>
              <w:rPr>
                <w:rFonts w:ascii="Times New Roman" w:hAnsi="Times New Roman"/>
                <w:sz w:val="19"/>
                <w:szCs w:val="19"/>
              </w:rPr>
              <w:t>es</w:t>
            </w:r>
            <w:r>
              <w:rPr>
                <w:rFonts w:ascii="Times New Roman" w:hAnsi="Times New Roman"/>
                <w:spacing w:val="33"/>
                <w:sz w:val="19"/>
                <w:szCs w:val="19"/>
              </w:rPr>
              <w:t xml:space="preserve"> </w:t>
            </w:r>
            <w:r>
              <w:rPr>
                <w:rFonts w:ascii="Times New Roman" w:hAnsi="Times New Roman"/>
                <w:sz w:val="19"/>
                <w:szCs w:val="19"/>
              </w:rPr>
              <w:t>available.</w:t>
            </w:r>
          </w:p>
        </w:tc>
        <w:tc>
          <w:tcPr>
            <w:tcW w:w="2005" w:type="dxa"/>
            <w:tcBorders>
              <w:top w:val="nil"/>
              <w:left w:val="nil"/>
              <w:bottom w:val="single" w:sz="8" w:space="0" w:color="000000"/>
              <w:right w:val="single" w:sz="8" w:space="0" w:color="000000"/>
            </w:tcBorders>
            <w:hideMark/>
          </w:tcPr>
          <w:p w:rsidR="007F6021" w:rsidRDefault="007F6021" w:rsidP="00D16143">
            <w:pPr>
              <w:overflowPunct w:val="0"/>
              <w:autoSpaceDE w:val="0"/>
              <w:autoSpaceDN w:val="0"/>
              <w:spacing w:before="34" w:line="242" w:lineRule="auto"/>
              <w:ind w:left="113" w:right="186" w:hanging="46"/>
              <w:rPr>
                <w:rFonts w:ascii="Times New Roman" w:hAnsi="Times New Roman"/>
                <w:sz w:val="24"/>
                <w:szCs w:val="24"/>
              </w:rPr>
            </w:pPr>
            <w:r>
              <w:rPr>
                <w:rFonts w:ascii="Times New Roman" w:hAnsi="Times New Roman"/>
                <w:spacing w:val="1"/>
                <w:sz w:val="19"/>
                <w:szCs w:val="19"/>
              </w:rPr>
              <w:t>T</w:t>
            </w:r>
            <w:r>
              <w:rPr>
                <w:rFonts w:ascii="Times New Roman" w:hAnsi="Times New Roman"/>
                <w:sz w:val="19"/>
                <w:szCs w:val="19"/>
              </w:rPr>
              <w:t>he</w:t>
            </w:r>
            <w:r>
              <w:rPr>
                <w:rFonts w:ascii="Times New Roman" w:hAnsi="Times New Roman"/>
                <w:spacing w:val="21"/>
                <w:sz w:val="19"/>
                <w:szCs w:val="19"/>
              </w:rPr>
              <w:t xml:space="preserve"> </w:t>
            </w:r>
            <w:r>
              <w:rPr>
                <w:rFonts w:ascii="Times New Roman" w:hAnsi="Times New Roman"/>
                <w:spacing w:val="1"/>
                <w:sz w:val="19"/>
                <w:szCs w:val="19"/>
              </w:rPr>
              <w:t>w</w:t>
            </w:r>
            <w:r>
              <w:rPr>
                <w:rFonts w:ascii="Times New Roman" w:hAnsi="Times New Roman"/>
                <w:sz w:val="19"/>
                <w:szCs w:val="19"/>
              </w:rPr>
              <w:t>ork</w:t>
            </w:r>
            <w:r>
              <w:rPr>
                <w:rFonts w:ascii="Times New Roman" w:hAnsi="Times New Roman"/>
                <w:spacing w:val="22"/>
                <w:sz w:val="19"/>
                <w:szCs w:val="19"/>
              </w:rPr>
              <w:t xml:space="preserve"> </w:t>
            </w:r>
            <w:r>
              <w:rPr>
                <w:rFonts w:ascii="Times New Roman" w:hAnsi="Times New Roman"/>
                <w:sz w:val="19"/>
                <w:szCs w:val="19"/>
              </w:rPr>
              <w:t>group</w:t>
            </w:r>
            <w:r>
              <w:rPr>
                <w:rFonts w:ascii="Times New Roman" w:hAnsi="Times New Roman"/>
                <w:spacing w:val="21"/>
                <w:sz w:val="19"/>
                <w:szCs w:val="19"/>
              </w:rPr>
              <w:t xml:space="preserve"> </w:t>
            </w:r>
            <w:r>
              <w:rPr>
                <w:rFonts w:ascii="Times New Roman" w:hAnsi="Times New Roman"/>
                <w:sz w:val="19"/>
                <w:szCs w:val="19"/>
              </w:rPr>
              <w:t>recognizes that</w:t>
            </w:r>
            <w:r>
              <w:rPr>
                <w:rFonts w:ascii="Times New Roman" w:hAnsi="Times New Roman"/>
                <w:spacing w:val="16"/>
                <w:sz w:val="19"/>
                <w:szCs w:val="19"/>
              </w:rPr>
              <w:t xml:space="preserve"> </w:t>
            </w:r>
            <w:r>
              <w:rPr>
                <w:rFonts w:ascii="Times New Roman" w:hAnsi="Times New Roman"/>
                <w:sz w:val="19"/>
                <w:szCs w:val="19"/>
              </w:rPr>
              <w:t>there</w:t>
            </w:r>
            <w:r>
              <w:rPr>
                <w:rFonts w:ascii="Times New Roman" w:hAnsi="Times New Roman"/>
                <w:spacing w:val="18"/>
                <w:sz w:val="19"/>
                <w:szCs w:val="19"/>
              </w:rPr>
              <w:t xml:space="preserve"> </w:t>
            </w:r>
            <w:r>
              <w:rPr>
                <w:rFonts w:ascii="Times New Roman" w:hAnsi="Times New Roman"/>
                <w:sz w:val="19"/>
                <w:szCs w:val="19"/>
              </w:rPr>
              <w:t>is</w:t>
            </w:r>
            <w:r>
              <w:rPr>
                <w:rFonts w:ascii="Times New Roman" w:hAnsi="Times New Roman"/>
                <w:spacing w:val="17"/>
                <w:sz w:val="19"/>
                <w:szCs w:val="19"/>
              </w:rPr>
              <w:t xml:space="preserve"> </w:t>
            </w:r>
            <w:r>
              <w:rPr>
                <w:rFonts w:ascii="Times New Roman" w:hAnsi="Times New Roman"/>
                <w:sz w:val="19"/>
                <w:szCs w:val="19"/>
              </w:rPr>
              <w:t>significant uncertainty</w:t>
            </w:r>
            <w:r>
              <w:rPr>
                <w:rFonts w:ascii="Times New Roman" w:hAnsi="Times New Roman"/>
                <w:spacing w:val="19"/>
                <w:sz w:val="19"/>
                <w:szCs w:val="19"/>
              </w:rPr>
              <w:t xml:space="preserve"> </w:t>
            </w:r>
            <w:r>
              <w:rPr>
                <w:rFonts w:ascii="Times New Roman" w:hAnsi="Times New Roman"/>
                <w:sz w:val="19"/>
                <w:szCs w:val="19"/>
              </w:rPr>
              <w:t>about</w:t>
            </w:r>
            <w:r>
              <w:rPr>
                <w:rFonts w:ascii="Times New Roman" w:hAnsi="Times New Roman"/>
                <w:spacing w:val="19"/>
                <w:sz w:val="19"/>
                <w:szCs w:val="19"/>
              </w:rPr>
              <w:t xml:space="preserve"> </w:t>
            </w:r>
            <w:r>
              <w:rPr>
                <w:rFonts w:ascii="Times New Roman" w:hAnsi="Times New Roman"/>
                <w:sz w:val="19"/>
                <w:szCs w:val="19"/>
              </w:rPr>
              <w:t>the</w:t>
            </w:r>
            <w:r>
              <w:rPr>
                <w:rFonts w:ascii="Times New Roman" w:hAnsi="Times New Roman"/>
                <w:spacing w:val="20"/>
                <w:sz w:val="19"/>
                <w:szCs w:val="19"/>
              </w:rPr>
              <w:t xml:space="preserve"> </w:t>
            </w:r>
            <w:r>
              <w:rPr>
                <w:rFonts w:ascii="Times New Roman" w:hAnsi="Times New Roman"/>
                <w:sz w:val="19"/>
                <w:szCs w:val="19"/>
              </w:rPr>
              <w:t>best esti</w:t>
            </w:r>
            <w:r>
              <w:rPr>
                <w:rFonts w:ascii="Times New Roman" w:hAnsi="Times New Roman"/>
                <w:spacing w:val="1"/>
                <w:sz w:val="19"/>
                <w:szCs w:val="19"/>
              </w:rPr>
              <w:t>m</w:t>
            </w:r>
            <w:r>
              <w:rPr>
                <w:rFonts w:ascii="Times New Roman" w:hAnsi="Times New Roman"/>
                <w:sz w:val="19"/>
                <w:szCs w:val="19"/>
              </w:rPr>
              <w:t>ates</w:t>
            </w:r>
            <w:r>
              <w:rPr>
                <w:rFonts w:ascii="Times New Roman" w:hAnsi="Times New Roman"/>
                <w:spacing w:val="18"/>
                <w:sz w:val="19"/>
                <w:szCs w:val="19"/>
              </w:rPr>
              <w:t xml:space="preserve"> </w:t>
            </w:r>
            <w:r>
              <w:rPr>
                <w:rFonts w:ascii="Times New Roman" w:hAnsi="Times New Roman"/>
                <w:sz w:val="19"/>
                <w:szCs w:val="19"/>
              </w:rPr>
              <w:t>of</w:t>
            </w:r>
            <w:r>
              <w:rPr>
                <w:rFonts w:ascii="Times New Roman" w:hAnsi="Times New Roman"/>
                <w:spacing w:val="19"/>
                <w:sz w:val="19"/>
                <w:szCs w:val="19"/>
              </w:rPr>
              <w:t xml:space="preserve"> </w:t>
            </w:r>
            <w:r>
              <w:rPr>
                <w:rFonts w:ascii="Times New Roman" w:hAnsi="Times New Roman"/>
                <w:sz w:val="19"/>
                <w:szCs w:val="19"/>
              </w:rPr>
              <w:t>benefits</w:t>
            </w:r>
            <w:r>
              <w:rPr>
                <w:rFonts w:ascii="Times New Roman" w:hAnsi="Times New Roman"/>
                <w:spacing w:val="19"/>
                <w:sz w:val="19"/>
                <w:szCs w:val="19"/>
              </w:rPr>
              <w:t xml:space="preserve"> </w:t>
            </w:r>
            <w:r>
              <w:rPr>
                <w:rFonts w:ascii="Times New Roman" w:hAnsi="Times New Roman"/>
                <w:sz w:val="19"/>
                <w:szCs w:val="19"/>
              </w:rPr>
              <w:t>and har</w:t>
            </w:r>
            <w:r>
              <w:rPr>
                <w:rFonts w:ascii="Times New Roman" w:hAnsi="Times New Roman"/>
                <w:spacing w:val="1"/>
                <w:sz w:val="19"/>
                <w:szCs w:val="19"/>
              </w:rPr>
              <w:t>m</w:t>
            </w:r>
            <w:r>
              <w:rPr>
                <w:rFonts w:ascii="Times New Roman" w:hAnsi="Times New Roman"/>
                <w:sz w:val="19"/>
                <w:szCs w:val="19"/>
              </w:rPr>
              <w:t>s.</w:t>
            </w:r>
          </w:p>
        </w:tc>
      </w:tr>
    </w:tbl>
    <w:p w:rsidR="007F6021" w:rsidRDefault="007F6021" w:rsidP="007F6021">
      <w:pPr>
        <w:rPr>
          <w:rFonts w:ascii="Calibri" w:hAnsi="Calibri"/>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Default="004A3470" w:rsidP="002E2177">
      <w:pPr>
        <w:ind w:left="432" w:hanging="432"/>
      </w:pPr>
      <w:r w:rsidRPr="004A3470">
        <w:t>Citation</w:t>
      </w:r>
      <w:r w:rsidR="0026527B">
        <w:t>s</w:t>
      </w:r>
      <w:r w:rsidRPr="004A3470">
        <w:t xml:space="preserve"> not different from 1a4.1</w:t>
      </w:r>
    </w:p>
    <w:p w:rsidR="0026527B" w:rsidRPr="004A3470" w:rsidRDefault="0026527B" w:rsidP="002E2177">
      <w:pPr>
        <w:ind w:left="432" w:hanging="432"/>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4C452F"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4C452F" w:rsidP="0098657F">
      <w:pPr>
        <w:ind w:left="1008" w:hanging="720"/>
      </w:pPr>
      <w:sdt>
        <w:sdtPr>
          <w:rPr>
            <w:bCs/>
            <w:color w:val="0000FF"/>
          </w:rPr>
          <w:id w:val="777454248"/>
          <w14:checkbox>
            <w14:checked w14:val="1"/>
            <w14:checkedState w14:val="2612" w14:font="MS Gothic"/>
            <w14:uncheckedState w14:val="2610" w14:font="MS Gothic"/>
          </w14:checkbox>
        </w:sdtPr>
        <w:sdtEndPr/>
        <w:sdtContent>
          <w:r w:rsidR="00E60DBD">
            <w:rPr>
              <w:rFonts w:ascii="MS Gothic" w:eastAsia="MS Gothic" w:hAnsi="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lastRenderedPageBreak/>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9B5B84" w:rsidRDefault="003D3434" w:rsidP="00307FA5">
      <w:pPr>
        <w:ind w:left="0" w:firstLine="0"/>
        <w:rPr>
          <w:rFonts w:cs="Arial"/>
        </w:rPr>
      </w:pPr>
      <w:r w:rsidRPr="009B5B84">
        <w:rPr>
          <w:rFonts w:cs="Arial"/>
        </w:rPr>
        <w:t>N/A</w:t>
      </w:r>
    </w:p>
    <w:p w:rsidR="00307FA5" w:rsidRPr="003B1CC5" w:rsidRDefault="00307FA5" w:rsidP="00307FA5">
      <w:pPr>
        <w:ind w:left="0" w:firstLine="0"/>
      </w:pPr>
    </w:p>
    <w:p w:rsidR="001C568D"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r w:rsidR="00595714">
        <w:t xml:space="preserve">  </w:t>
      </w:r>
    </w:p>
    <w:p w:rsidR="00307FA5" w:rsidRDefault="009B5B84" w:rsidP="00307FA5">
      <w:pPr>
        <w:ind w:left="0" w:firstLine="0"/>
        <w:rPr>
          <w:rFonts w:cs="Arial"/>
        </w:rPr>
      </w:pPr>
      <w:r w:rsidRPr="009B5B84">
        <w:rPr>
          <w:rFonts w:cs="Arial"/>
        </w:rPr>
        <w:t>N/A</w:t>
      </w:r>
    </w:p>
    <w:p w:rsidR="001A76BA" w:rsidRPr="009B5B84" w:rsidRDefault="001A76BA" w:rsidP="00307FA5">
      <w:pPr>
        <w:ind w:left="0" w:firstLine="0"/>
        <w:rPr>
          <w:rFonts w:cs="Arial"/>
        </w:rPr>
      </w:pPr>
    </w:p>
    <w:p w:rsidR="009B5B84" w:rsidRPr="009B5B84" w:rsidRDefault="00307FA5" w:rsidP="009B5B84">
      <w:pPr>
        <w:ind w:left="0" w:firstLine="0"/>
        <w:rPr>
          <w:rFonts w:cs="Arial"/>
        </w:rPr>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r w:rsidR="00595714">
        <w:t xml:space="preserve"> </w:t>
      </w:r>
      <w:r w:rsidR="009B5B84" w:rsidRPr="009B5B84">
        <w:rPr>
          <w:rFonts w:cs="Arial"/>
        </w:rPr>
        <w:t>N/A</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9B5B84" w:rsidRPr="009B5B84" w:rsidRDefault="009B5B84" w:rsidP="009B5B84">
      <w:pPr>
        <w:ind w:left="0" w:firstLine="0"/>
        <w:rPr>
          <w:rFonts w:cs="Arial"/>
        </w:rPr>
      </w:pPr>
      <w:r w:rsidRPr="009B5B84">
        <w:rPr>
          <w:rFonts w:cs="Arial"/>
        </w:rPr>
        <w:t>N/A</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9B5B84" w:rsidRPr="009B5B84" w:rsidRDefault="009B5B84" w:rsidP="009B5B84">
      <w:pPr>
        <w:ind w:left="0" w:firstLine="0"/>
        <w:rPr>
          <w:rFonts w:cs="Arial"/>
        </w:rPr>
      </w:pPr>
      <w:r w:rsidRPr="009B5B84">
        <w:rPr>
          <w:rFonts w:cs="Arial"/>
        </w:rPr>
        <w:t>N/A</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F2446F" w:rsidRPr="009B5B84" w:rsidRDefault="00F2446F" w:rsidP="00EA79C9">
      <w:pPr>
        <w:ind w:left="0" w:firstLine="0"/>
      </w:pPr>
      <w:r w:rsidRPr="009B5B84">
        <w:t>Same as 1a.4.1.:</w:t>
      </w:r>
    </w:p>
    <w:p w:rsidR="00EE5AF6" w:rsidRPr="009B5B84" w:rsidRDefault="00EE5AF6" w:rsidP="00107311">
      <w:pPr>
        <w:pStyle w:val="ListParagraph"/>
        <w:numPr>
          <w:ilvl w:val="0"/>
          <w:numId w:val="10"/>
        </w:numPr>
        <w:rPr>
          <w:rFonts w:cs="Arial"/>
        </w:rPr>
      </w:pPr>
      <w:r w:rsidRPr="009B5B84">
        <w:t xml:space="preserve"> </w:t>
      </w:r>
      <w:r w:rsidR="00F371E2" w:rsidRPr="009B5B84">
        <w:rPr>
          <w:rFonts w:cs="Arial"/>
        </w:rPr>
        <w:t xml:space="preserve">Delitto, A., George, S.A., Van Dillen, L.R., Whitman, J. M., Sowa, G., Shekelle, P. &amp; Denniger, T.R.  (2012). Low back pain:  Clinical practice guidelines linked to the International Classification of Functioning, Disability, and Health from the Orthopedic Section of the American Physical Therapy Association.  </w:t>
      </w:r>
      <w:r w:rsidR="00F371E2" w:rsidRPr="009B5B84">
        <w:rPr>
          <w:rFonts w:cs="Arial"/>
          <w:i/>
        </w:rPr>
        <w:t>Journal of Orthopedic Sports Physical Therapy</w:t>
      </w:r>
      <w:r w:rsidR="00F371E2" w:rsidRPr="009B5B84">
        <w:rPr>
          <w:rFonts w:cs="Arial"/>
        </w:rPr>
        <w:t xml:space="preserve">, 42(4), A1-A57. Retrieved from </w:t>
      </w:r>
      <w:hyperlink r:id="rId21" w:history="1">
        <w:r w:rsidR="00F371E2" w:rsidRPr="009B5B84">
          <w:rPr>
            <w:rStyle w:val="Hyperlink"/>
            <w:rFonts w:cs="Arial"/>
          </w:rPr>
          <w:t>http://www.jospt.org/doi/pdfplus/10.2519/jospt.2012.42.4.A1</w:t>
        </w:r>
      </w:hyperlink>
    </w:p>
    <w:p w:rsidR="00AD2708" w:rsidRPr="009B5B84" w:rsidRDefault="00AD2708" w:rsidP="00107311">
      <w:pPr>
        <w:pStyle w:val="ListParagraph"/>
        <w:numPr>
          <w:ilvl w:val="0"/>
          <w:numId w:val="10"/>
        </w:numPr>
        <w:rPr>
          <w:rStyle w:val="Hyperlink"/>
          <w:color w:val="auto"/>
          <w:u w:val="none"/>
        </w:rPr>
      </w:pPr>
      <w:r w:rsidRPr="009B5B84">
        <w:t>Kelley, M. J., Shaffer, M.A., Kuhn, J.E.</w:t>
      </w:r>
      <w:r w:rsidR="009B6C7E" w:rsidRPr="009B5B84">
        <w:t xml:space="preserve">, Michener, L.A., Seitz, A.L., </w:t>
      </w:r>
      <w:r w:rsidRPr="009B5B84">
        <w:t>Uhl, T.L., Godges, J.J., &amp;McClure, P.W.  (2013)</w:t>
      </w:r>
      <w:r w:rsidR="00B0074F" w:rsidRPr="009B5B84">
        <w:t>. Shoulder</w:t>
      </w:r>
      <w:r w:rsidRPr="009B5B84">
        <w:t xml:space="preserve"> Pain and Mobility Deficits: Adhesive Capsulitis Clinical Practice Guidelines Linked to the International Classification of Functioning, Disability, and Health From the Orthopaedic Section of the American Physical Therapy Association. </w:t>
      </w:r>
      <w:r w:rsidRPr="009B5B84">
        <w:rPr>
          <w:i/>
        </w:rPr>
        <w:t xml:space="preserve">Journal </w:t>
      </w:r>
      <w:r w:rsidR="00FF0338" w:rsidRPr="009B5B84">
        <w:rPr>
          <w:i/>
        </w:rPr>
        <w:t>of Orthopedic</w:t>
      </w:r>
      <w:r w:rsidRPr="009B5B84">
        <w:rPr>
          <w:i/>
        </w:rPr>
        <w:t xml:space="preserve"> Sports </w:t>
      </w:r>
      <w:r w:rsidR="00FF0338" w:rsidRPr="009B5B84">
        <w:rPr>
          <w:i/>
        </w:rPr>
        <w:t>Physical Therapy</w:t>
      </w:r>
      <w:r w:rsidRPr="009B5B84">
        <w:t>, 43(5)</w:t>
      </w:r>
      <w:r w:rsidR="00FF0338" w:rsidRPr="009B5B84">
        <w:t xml:space="preserve">, </w:t>
      </w:r>
      <w:r w:rsidRPr="009B5B84">
        <w:t xml:space="preserve">A1-A31. doi:10.2519/jospt.2013.0302. </w:t>
      </w:r>
      <w:r w:rsidR="00FF0338" w:rsidRPr="009B5B84">
        <w:t xml:space="preserve">Retrieved from </w:t>
      </w:r>
      <w:hyperlink r:id="rId22" w:history="1">
        <w:r w:rsidR="00FF0338" w:rsidRPr="009B5B84">
          <w:rPr>
            <w:rStyle w:val="Hyperlink"/>
          </w:rPr>
          <w:t>http://www.jospt.org/doi/pdfplus/10.2519/jospt.2013.0302</w:t>
        </w:r>
      </w:hyperlink>
    </w:p>
    <w:p w:rsidR="00EE5AF6" w:rsidRPr="000A6BFE" w:rsidRDefault="00F2446F" w:rsidP="000A6BFE">
      <w:pPr>
        <w:pStyle w:val="ListParagraph"/>
        <w:numPr>
          <w:ilvl w:val="0"/>
          <w:numId w:val="10"/>
        </w:numPr>
      </w:pPr>
      <w:r w:rsidRPr="009B5B84">
        <w:rPr>
          <w:rFonts w:cs="Arial"/>
        </w:rPr>
        <w:t>Institute for Clinical Systems Improvement (2012). Goertz, M., Thorson, D., Bonsell, J., Bonte, B., Campbell, R., Haake, B., Johnson, K., Kramer, C., Mueller, B.., Peterson, S., Setterlund, L., &amp; Timming, R.  Adult Acute and Subacute Low Back Pain.  Retrieved from http;//www.icsi.org/_asset/bjvqri/LBP/pdf</w:t>
      </w: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Default="00107311" w:rsidP="00EE5AF6">
      <w:pPr>
        <w:ind w:left="0" w:firstLine="0"/>
      </w:pPr>
      <w:r>
        <w:t>Same as 1a.6.1  Methodology included</w:t>
      </w:r>
      <w:r w:rsidR="00604708">
        <w:t xml:space="preserve"> in citations</w:t>
      </w:r>
    </w:p>
    <w:p w:rsidR="009B5B84" w:rsidRPr="003B1CC5" w:rsidRDefault="009B5B84" w:rsidP="00EE5AF6">
      <w:pPr>
        <w:ind w:left="0" w:firstLine="0"/>
      </w:pPr>
    </w:p>
    <w:p w:rsidR="00C84623" w:rsidRPr="003B1CC5" w:rsidRDefault="00C84623" w:rsidP="00EE5AF6">
      <w:pPr>
        <w:ind w:left="0" w:firstLine="0"/>
      </w:pPr>
      <w:r w:rsidRPr="003B1CC5">
        <w:rPr>
          <w:b/>
          <w:i/>
          <w:highlight w:val="green"/>
        </w:rPr>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 xml:space="preserve">If more than one systematic review of the evidence is identified above, you may choose to summarize the one (or more) for which the best information is available to provide a summary of the quantity, quality, </w:t>
      </w:r>
      <w:r w:rsidRPr="003B1CC5">
        <w:rPr>
          <w:i/>
        </w:rPr>
        <w:lastRenderedPageBreak/>
        <w:t>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p>
    <w:p w:rsidR="00107311" w:rsidRDefault="00107311" w:rsidP="00EE5AF6">
      <w:pPr>
        <w:ind w:left="0" w:firstLine="0"/>
      </w:pPr>
    </w:p>
    <w:p w:rsidR="00107311" w:rsidRPr="003B3DF2" w:rsidRDefault="00107311" w:rsidP="00107311">
      <w:pPr>
        <w:autoSpaceDE w:val="0"/>
        <w:autoSpaceDN w:val="0"/>
        <w:adjustRightInd w:val="0"/>
        <w:rPr>
          <w:rFonts w:cs="TimesNewRoman,Bold"/>
          <w:bCs/>
        </w:rPr>
      </w:pPr>
      <w:r w:rsidRPr="003B3DF2">
        <w:t>Clinicians should use validated self-report questionnaires, such as the Oswestry Disability Index and the Roland-Morris Disability Ques</w:t>
      </w:r>
      <w:r w:rsidRPr="003B3DF2">
        <w:softHyphen/>
        <w:t xml:space="preserve">tionnaire. These tools are useful for identifying a patient’s baseline status relative to pain, function, and disability and for monitoring a change in a patient’s status throughout the course of treatment (Delitto et al., 2012, p. A2) </w:t>
      </w:r>
      <w:r w:rsidRPr="003B3DF2">
        <w:rPr>
          <w:rFonts w:cs="TimesNewRoman,Bold"/>
          <w:bCs/>
        </w:rPr>
        <w:t>(Guideline).</w:t>
      </w:r>
    </w:p>
    <w:p w:rsidR="00AC6C6B" w:rsidRPr="003B3DF2" w:rsidRDefault="00AC6C6B" w:rsidP="00AC6C6B">
      <w:pPr>
        <w:ind w:firstLine="0"/>
      </w:pPr>
      <w:r w:rsidRPr="003B3DF2">
        <w:rPr>
          <w:b/>
        </w:rPr>
        <w:t>A.Recommendation based on strong evidence:</w:t>
      </w:r>
      <w:r w:rsidRPr="003B3DF2">
        <w:t xml:space="preserve">  A preponderance of level I and/or level II studies support the recommendation. This must include at least 1 level I study</w:t>
      </w:r>
    </w:p>
    <w:p w:rsidR="00F371E2" w:rsidRPr="003B3DF2" w:rsidRDefault="00F371E2" w:rsidP="00F371E2">
      <w:pPr>
        <w:autoSpaceDE w:val="0"/>
        <w:autoSpaceDN w:val="0"/>
        <w:adjustRightInd w:val="0"/>
      </w:pPr>
    </w:p>
    <w:p w:rsidR="00F371E2" w:rsidRPr="003B3DF2" w:rsidRDefault="00F371E2" w:rsidP="00F371E2">
      <w:pPr>
        <w:autoSpaceDE w:val="0"/>
        <w:autoSpaceDN w:val="0"/>
        <w:adjustRightInd w:val="0"/>
        <w:rPr>
          <w:rFonts w:cs="TimesNewRoman,Bold"/>
          <w:bCs/>
        </w:rPr>
      </w:pPr>
      <w:r w:rsidRPr="003B3DF2">
        <w:t>Clinicians should routinely assess activity limitation and participation restriction through validated performance-based measures. Changes in the patient’s level of activity limitation and participation restric</w:t>
      </w:r>
      <w:r w:rsidRPr="003B3DF2">
        <w:softHyphen/>
        <w:t xml:space="preserve">tion should be monitored with these same measures over the course of treatment (Delitto et al., 2012, p. A2) </w:t>
      </w:r>
      <w:r w:rsidRPr="003B3DF2">
        <w:rPr>
          <w:rFonts w:cs="TimesNewRoman,Bold"/>
          <w:bCs/>
        </w:rPr>
        <w:t>(Guideline)</w:t>
      </w:r>
      <w:r w:rsidRPr="003B3DF2">
        <w:t>.</w:t>
      </w:r>
    </w:p>
    <w:p w:rsidR="00AD2708" w:rsidRPr="003B3DF2" w:rsidRDefault="00164861" w:rsidP="00164861">
      <w:pPr>
        <w:autoSpaceDE w:val="0"/>
        <w:autoSpaceDN w:val="0"/>
        <w:adjustRightInd w:val="0"/>
        <w:ind w:firstLine="0"/>
      </w:pPr>
      <w:r w:rsidRPr="003B3DF2">
        <w:rPr>
          <w:rFonts w:cs="Arial"/>
          <w:b/>
        </w:rPr>
        <w:t>F. Recommendation based on Expert opinion:</w:t>
      </w:r>
      <w:r w:rsidRPr="003B3DF2">
        <w:rPr>
          <w:rFonts w:cs="Arial"/>
        </w:rPr>
        <w:t xml:space="preserve"> </w:t>
      </w:r>
      <w:r w:rsidRPr="003B3DF2">
        <w:t>Best practice based on the clinical experience of the guideline development team</w:t>
      </w:r>
    </w:p>
    <w:p w:rsidR="00164861" w:rsidRPr="003B3DF2" w:rsidRDefault="00164861" w:rsidP="00164861">
      <w:pPr>
        <w:autoSpaceDE w:val="0"/>
        <w:autoSpaceDN w:val="0"/>
        <w:adjustRightInd w:val="0"/>
        <w:ind w:firstLine="0"/>
        <w:rPr>
          <w:rFonts w:cs="TimesNewRoman,Bold"/>
          <w:bCs/>
        </w:rPr>
      </w:pPr>
    </w:p>
    <w:p w:rsidR="00107311" w:rsidRPr="003B3DF2" w:rsidRDefault="00AD2708" w:rsidP="00FF0338">
      <w:pPr>
        <w:autoSpaceDE w:val="0"/>
        <w:autoSpaceDN w:val="0"/>
        <w:adjustRightInd w:val="0"/>
        <w:rPr>
          <w:rFonts w:cs="TimesNewRoman,Bold"/>
          <w:bCs/>
        </w:rPr>
      </w:pPr>
      <w:r w:rsidRPr="003B3DF2">
        <w:rPr>
          <w:rFonts w:cs="TimesNewRoman,Bold"/>
          <w:bCs/>
        </w:rPr>
        <w:t>Clinicians should use validated functional outcome measures, such as the Disabilities of the Arm, Shoulder and Hand (DASH), the American Shoulder and Elbow Surgeons shoulder scale (ASES), or the Shoulder Pain and Disability Index (SPPADI).  These should be utilized before and after interventions intended to alleviate the impairments of body function and structure, activity limitations, and participation restrictions associated with adhesive capsulitis  (Kelley et al., 2013, p. A2) (Guideline).</w:t>
      </w:r>
    </w:p>
    <w:p w:rsidR="00EE5AF6" w:rsidRPr="003B3DF2" w:rsidRDefault="00AC6C6B" w:rsidP="00AC6C6B">
      <w:pPr>
        <w:ind w:firstLine="0"/>
      </w:pPr>
      <w:r w:rsidRPr="003B3DF2">
        <w:rPr>
          <w:b/>
        </w:rPr>
        <w:t>A.Recommendation based on strong evidence:</w:t>
      </w:r>
      <w:r w:rsidRPr="003B3DF2">
        <w:t xml:space="preserve">  A preponderance of level I and/or level II studies support the recommendation. This must include at least 1 level I study</w:t>
      </w:r>
    </w:p>
    <w:p w:rsidR="00780EE4" w:rsidRPr="003B3DF2" w:rsidRDefault="00780EE4" w:rsidP="00AC6C6B">
      <w:pPr>
        <w:ind w:firstLine="0"/>
      </w:pPr>
    </w:p>
    <w:p w:rsidR="00780EE4" w:rsidRPr="003B3DF2" w:rsidRDefault="00780EE4" w:rsidP="00780EE4">
      <w:pPr>
        <w:ind w:left="0" w:firstLine="0"/>
        <w:rPr>
          <w:rFonts w:cs="TimesNewRoman,Bold"/>
          <w:bCs/>
        </w:rPr>
      </w:pPr>
      <w:r w:rsidRPr="003B3DF2">
        <w:rPr>
          <w:rFonts w:cs="TimesNewRoman,Bold"/>
          <w:bCs/>
        </w:rPr>
        <w:t>Clinicians should not recommend imaging (including computed tomography [CT], magnetic resonance imaging [MRI] and x-ray) for patients with non-specific low back pain (Institute for Clinical Systems Improvement, 2012, p.12).</w:t>
      </w:r>
    </w:p>
    <w:p w:rsidR="00780EE4" w:rsidRPr="003B3DF2" w:rsidRDefault="00780EE4" w:rsidP="00780EE4">
      <w:pPr>
        <w:ind w:firstLine="0"/>
        <w:rPr>
          <w:rStyle w:val="Emphasis"/>
          <w:rFonts w:cs="Times"/>
        </w:rPr>
      </w:pPr>
      <w:r w:rsidRPr="003B3DF2">
        <w:rPr>
          <w:rFonts w:cs="TimesNewRoman,Bold"/>
          <w:bCs/>
        </w:rPr>
        <w:t>(</w:t>
      </w:r>
      <w:r w:rsidR="00D97846" w:rsidRPr="003B3DF2">
        <w:rPr>
          <w:rFonts w:cs="TimesNewRoman,Bold"/>
          <w:bCs/>
          <w:i/>
          <w:iCs/>
        </w:rPr>
        <w:t>The</w:t>
      </w:r>
      <w:r w:rsidRPr="003B3DF2">
        <w:rPr>
          <w:rFonts w:cs="TimesNewRoman,Bold"/>
          <w:bCs/>
          <w:i/>
          <w:iCs/>
        </w:rPr>
        <w:t xml:space="preserve"> guideline provides alternatives such</w:t>
      </w:r>
      <w:r w:rsidRPr="003B3DF2">
        <w:rPr>
          <w:rStyle w:val="Emphasis"/>
          <w:rFonts w:cs="Times"/>
        </w:rPr>
        <w:t xml:space="preserve"> as the Oswestry that should be included as part of the initial evaluation)</w:t>
      </w:r>
    </w:p>
    <w:p w:rsidR="00780EE4" w:rsidRPr="003B3DF2" w:rsidRDefault="00780EE4" w:rsidP="00780EE4">
      <w:pPr>
        <w:ind w:firstLine="0"/>
        <w:rPr>
          <w:rFonts w:cs="Arial"/>
        </w:rPr>
      </w:pPr>
      <w:r w:rsidRPr="003B3DF2">
        <w:rPr>
          <w:rFonts w:cs="Arial"/>
          <w:b/>
        </w:rPr>
        <w:t xml:space="preserve">GRADE: Strong Recommendation, Moderate Quality Evidence: </w:t>
      </w:r>
      <w:r w:rsidRPr="003B3DF2">
        <w:rPr>
          <w:rFonts w:cs="Arial"/>
        </w:rPr>
        <w:t>The work group is confident that the benefits outweigh the risks, but recognizes that the evidence has limitations.  Further evidence may impact this recommendation.  This is a recommendation that likely applies to most patients.</w:t>
      </w:r>
    </w:p>
    <w:p w:rsidR="00AC6C6B" w:rsidRPr="00D84D44" w:rsidRDefault="00AC6C6B" w:rsidP="00AC6C6B">
      <w:pPr>
        <w:ind w:firstLine="0"/>
        <w:rPr>
          <w:rFonts w:ascii="Arial Narrow" w:hAnsi="Arial Narrow"/>
        </w:rPr>
      </w:pPr>
    </w:p>
    <w:p w:rsidR="00095EC9" w:rsidRPr="003B1CC5"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D72316" w:rsidRPr="00882C18" w:rsidRDefault="00D72316" w:rsidP="00107311">
      <w:pPr>
        <w:autoSpaceDE w:val="0"/>
        <w:autoSpaceDN w:val="0"/>
        <w:adjustRightInd w:val="0"/>
        <w:ind w:left="720" w:firstLine="0"/>
        <w:rPr>
          <w:rFonts w:cs="TimesNewRoman,Bold"/>
          <w:bCs/>
        </w:rPr>
      </w:pPr>
    </w:p>
    <w:p w:rsidR="00107311" w:rsidRPr="00882C18" w:rsidRDefault="00DF5655" w:rsidP="00882C18">
      <w:pPr>
        <w:autoSpaceDE w:val="0"/>
        <w:autoSpaceDN w:val="0"/>
        <w:adjustRightInd w:val="0"/>
        <w:rPr>
          <w:rFonts w:cs="TimesNewRoman,Bold"/>
          <w:bCs/>
        </w:rPr>
      </w:pPr>
      <w:r w:rsidRPr="00882C18">
        <w:rPr>
          <w:rFonts w:cs="TimesNewRoman,Bold"/>
          <w:bCs/>
        </w:rPr>
        <w:t>The Oxford Centre for Evidence-Based Medicine criteria was used</w:t>
      </w:r>
      <w:r w:rsidR="00E967D5" w:rsidRPr="00882C18">
        <w:rPr>
          <w:rFonts w:cs="TimesNewRoman,Bold"/>
          <w:bCs/>
        </w:rPr>
        <w:t xml:space="preserve"> for Delitto and Kelley references</w:t>
      </w:r>
      <w:r w:rsidR="00882C18">
        <w:rPr>
          <w:rFonts w:cs="TimesNewRoman,Bold"/>
          <w:bCs/>
        </w:rPr>
        <w:t xml:space="preserve">. </w:t>
      </w:r>
      <w:r w:rsidR="00E967D5" w:rsidRPr="00882C18">
        <w:rPr>
          <w:rFonts w:cs="TimesNewRoman,Bold"/>
          <w:bCs/>
        </w:rPr>
        <w:t>GRADE</w:t>
      </w:r>
      <w:r w:rsidR="00882C18">
        <w:rPr>
          <w:rFonts w:cs="TimesNewRoman,Bold"/>
          <w:bCs/>
        </w:rPr>
        <w:t xml:space="preserve"> system</w:t>
      </w:r>
      <w:r w:rsidR="00E967D5" w:rsidRPr="00882C18">
        <w:rPr>
          <w:rFonts w:cs="TimesNewRoman,Bold"/>
          <w:bCs/>
        </w:rPr>
        <w:t xml:space="preserve"> was used for </w:t>
      </w:r>
      <w:r w:rsidR="00D97846" w:rsidRPr="00090E30">
        <w:rPr>
          <w:rFonts w:cs="TimesNewRoman,Bold"/>
          <w:bCs/>
        </w:rPr>
        <w:t>Institute for Clinical Systems Improvement</w:t>
      </w:r>
      <w:r w:rsidR="00E967D5" w:rsidRPr="00882C18">
        <w:rPr>
          <w:rFonts w:cs="TimesNewRoman,Bold"/>
          <w:bCs/>
        </w:rPr>
        <w:t xml:space="preserve"> reference.  </w:t>
      </w:r>
      <w:r w:rsidR="00AC6C6B" w:rsidRPr="00882C18">
        <w:rPr>
          <w:rFonts w:cs="TimesNewRoman,Bold"/>
          <w:bCs/>
        </w:rPr>
        <w:t>See Grade</w:t>
      </w:r>
      <w:r w:rsidR="00E967D5" w:rsidRPr="00882C18">
        <w:rPr>
          <w:rFonts w:cs="TimesNewRoman,Bold"/>
          <w:bCs/>
        </w:rPr>
        <w:t>s</w:t>
      </w:r>
      <w:r w:rsidR="00AC6C6B" w:rsidRPr="00882C18">
        <w:rPr>
          <w:rFonts w:cs="TimesNewRoman,Bold"/>
          <w:bCs/>
        </w:rPr>
        <w:t xml:space="preserve"> assigned with definition</w:t>
      </w:r>
      <w:r w:rsidR="00E967D5" w:rsidRPr="00882C18">
        <w:rPr>
          <w:rFonts w:cs="TimesNewRoman,Bold"/>
          <w:bCs/>
        </w:rPr>
        <w:t>s</w:t>
      </w:r>
      <w:r w:rsidR="00AC6C6B" w:rsidRPr="00882C18">
        <w:rPr>
          <w:rFonts w:cs="TimesNewRoman,Bold"/>
          <w:bCs/>
        </w:rPr>
        <w:t xml:space="preserve"> in 1a.7.1</w:t>
      </w:r>
    </w:p>
    <w:p w:rsidR="00095EC9" w:rsidRPr="003B1CC5" w:rsidRDefault="00095EC9" w:rsidP="00EA79C9">
      <w:pPr>
        <w:ind w:left="0" w:firstLine="0"/>
      </w:pPr>
    </w:p>
    <w:p w:rsidR="00E52487" w:rsidRDefault="00095EC9" w:rsidP="00EA79C9">
      <w:pPr>
        <w:ind w:left="0" w:firstLine="0"/>
        <w:rPr>
          <w:b/>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grading system</w:t>
      </w:r>
    </w:p>
    <w:p w:rsidR="00164861" w:rsidRPr="00090E30" w:rsidRDefault="00E967D5" w:rsidP="00164861">
      <w:pPr>
        <w:ind w:left="0" w:firstLine="0"/>
      </w:pPr>
      <w:r w:rsidRPr="00090E30">
        <w:t>See 1a.4.4.</w:t>
      </w:r>
    </w:p>
    <w:p w:rsidR="00164861" w:rsidRPr="00D050E8" w:rsidRDefault="00164861" w:rsidP="00164861">
      <w:pPr>
        <w:ind w:left="0" w:firstLine="0"/>
        <w:rPr>
          <w:rFonts w:ascii="Arial Narrow" w:hAnsi="Arial Narrow"/>
        </w:rPr>
      </w:pPr>
    </w:p>
    <w:p w:rsidR="00496AF8" w:rsidRPr="003B1CC5" w:rsidRDefault="00496AF8" w:rsidP="002E2177">
      <w:pPr>
        <w:ind w:left="432" w:hanging="432"/>
      </w:pPr>
      <w:bookmarkStart w:id="10" w:name="Section1a7"/>
      <w:bookmarkEnd w:id="10"/>
      <w:r w:rsidRPr="003B1CC5">
        <w:rPr>
          <w:b/>
          <w:noProof/>
          <w:color w:val="0000FF"/>
        </w:rPr>
        <w:lastRenderedPageBreak/>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p>
    <w:p w:rsidR="00090E30" w:rsidRDefault="00090E30" w:rsidP="002E2177">
      <w:pPr>
        <w:ind w:left="0" w:firstLine="0"/>
        <w:rPr>
          <w:noProof/>
        </w:rPr>
      </w:pPr>
    </w:p>
    <w:p w:rsidR="00496AF8" w:rsidRPr="00090E30" w:rsidRDefault="00E52487" w:rsidP="002E2177">
      <w:pPr>
        <w:ind w:left="0" w:firstLine="0"/>
        <w:rPr>
          <w:noProof/>
        </w:rPr>
      </w:pPr>
      <w:r w:rsidRPr="00090E30">
        <w:rPr>
          <w:noProof/>
        </w:rPr>
        <w:t xml:space="preserve">Delitto 2012 and </w:t>
      </w:r>
      <w:r w:rsidR="00806529" w:rsidRPr="00090E30">
        <w:rPr>
          <w:noProof/>
        </w:rPr>
        <w:t>Kelley 2013 reference</w:t>
      </w:r>
      <w:r w:rsidRPr="00090E30">
        <w:rPr>
          <w:noProof/>
        </w:rPr>
        <w:t>s</w:t>
      </w:r>
      <w:r w:rsidR="00E9290F" w:rsidRPr="00090E30">
        <w:rPr>
          <w:noProof/>
        </w:rPr>
        <w:t xml:space="preserve"> below</w:t>
      </w:r>
      <w:r w:rsidR="00806529" w:rsidRPr="00090E30">
        <w:rPr>
          <w:noProof/>
        </w:rPr>
        <w:t xml:space="preserve">:  </w:t>
      </w:r>
      <w:r w:rsidR="00256898" w:rsidRPr="00090E30">
        <w:rPr>
          <w:noProof/>
        </w:rPr>
        <w:t xml:space="preserve">time period covered for systematic review is </w:t>
      </w:r>
      <w:r w:rsidR="00806529" w:rsidRPr="00090E30">
        <w:rPr>
          <w:noProof/>
        </w:rPr>
        <w:t>1966-2011</w:t>
      </w:r>
    </w:p>
    <w:p w:rsidR="00E9290F" w:rsidRPr="00090E30" w:rsidRDefault="00E9290F" w:rsidP="002E2177">
      <w:pPr>
        <w:ind w:left="0" w:firstLine="0"/>
        <w:rPr>
          <w:noProof/>
        </w:rPr>
      </w:pPr>
    </w:p>
    <w:p w:rsidR="00E9290F" w:rsidRPr="00090E30" w:rsidRDefault="00E9290F" w:rsidP="00E9290F">
      <w:pPr>
        <w:pStyle w:val="ListParagraph"/>
        <w:numPr>
          <w:ilvl w:val="0"/>
          <w:numId w:val="21"/>
        </w:numPr>
        <w:rPr>
          <w:rFonts w:cs="Arial"/>
        </w:rPr>
      </w:pPr>
      <w:r w:rsidRPr="00090E30">
        <w:rPr>
          <w:rFonts w:cs="Arial"/>
        </w:rPr>
        <w:t xml:space="preserve">Delitto, A., George, S.A., Van Dillen, L.R., Whitman, J. M., Sowa, G., Shekelle, P. &amp; Denniger, T.R.  (2012). Low back pain:  Clinical practice guidelines linked to the International Classification of Functioning, Disability, and Health from the Orthopedic Section of the American Physical Therapy Association.  </w:t>
      </w:r>
      <w:r w:rsidRPr="00090E30">
        <w:rPr>
          <w:rFonts w:cs="Arial"/>
          <w:i/>
        </w:rPr>
        <w:t>Journal of Orthopedic Sports Physical Therapy</w:t>
      </w:r>
      <w:r w:rsidRPr="00090E30">
        <w:rPr>
          <w:rFonts w:cs="Arial"/>
        </w:rPr>
        <w:t xml:space="preserve">, 42(4), A1-A57. Retrieved from </w:t>
      </w:r>
      <w:hyperlink r:id="rId23" w:history="1">
        <w:r w:rsidRPr="00090E30">
          <w:rPr>
            <w:rStyle w:val="Hyperlink"/>
            <w:rFonts w:cs="Arial"/>
          </w:rPr>
          <w:t>http://www.jospt.org/doi/pdfplus/10.2519/jospt.2012.42.4.A1</w:t>
        </w:r>
      </w:hyperlink>
    </w:p>
    <w:p w:rsidR="00E9290F" w:rsidRPr="00090E30" w:rsidRDefault="00E9290F" w:rsidP="00E9290F">
      <w:pPr>
        <w:pStyle w:val="ListParagraph"/>
        <w:numPr>
          <w:ilvl w:val="0"/>
          <w:numId w:val="21"/>
        </w:numPr>
        <w:rPr>
          <w:rStyle w:val="Hyperlink"/>
          <w:color w:val="auto"/>
          <w:u w:val="none"/>
        </w:rPr>
      </w:pPr>
      <w:r w:rsidRPr="00090E30">
        <w:t xml:space="preserve">Kelley, M. J., Shaffer, M.A., Kuhn, J.E., Michener, L.A., Seitz, A.L., Uhl, T.L., Godges, J.J., &amp;McClure, P.W.  (2013). Shoulder Pain and Mobility Deficits: Adhesive Capsulitis Clinical Practice Guidelines Linked to the International Classification of Functioning, Disability, and Health From the Orthopaedic Section of the American Physical Therapy Association. </w:t>
      </w:r>
      <w:r w:rsidRPr="00090E30">
        <w:rPr>
          <w:i/>
        </w:rPr>
        <w:t>Journal of Orthopedic Sports Physical Therapy</w:t>
      </w:r>
      <w:r w:rsidRPr="00090E30">
        <w:t xml:space="preserve">, 43(5), A1-A31. doi:10.2519/jospt.2013.0302. Retrieved from </w:t>
      </w:r>
      <w:hyperlink r:id="rId24" w:history="1">
        <w:r w:rsidRPr="00090E30">
          <w:rPr>
            <w:rStyle w:val="Hyperlink"/>
          </w:rPr>
          <w:t>http://www.jospt.org/doi/pdfplus/10.2519/jospt.2013.0302</w:t>
        </w:r>
      </w:hyperlink>
    </w:p>
    <w:p w:rsidR="00875E62" w:rsidRPr="00F977C6" w:rsidRDefault="00875E62" w:rsidP="00F977C6">
      <w:pPr>
        <w:rPr>
          <w:rStyle w:val="Hyperlink"/>
          <w:color w:val="auto"/>
          <w:u w:val="none"/>
        </w:rPr>
      </w:pPr>
      <w:r w:rsidRPr="00F977C6">
        <w:rPr>
          <w:rStyle w:val="Hyperlink"/>
          <w:color w:val="auto"/>
          <w:u w:val="none"/>
        </w:rPr>
        <w:t>ICSI 2012 reference below did literature search limited to systematic reviews, meta-</w:t>
      </w:r>
      <w:r w:rsidR="00DE2B2F" w:rsidRPr="00F977C6">
        <w:rPr>
          <w:rStyle w:val="Hyperlink"/>
          <w:color w:val="auto"/>
          <w:u w:val="none"/>
        </w:rPr>
        <w:t>analysis</w:t>
      </w:r>
      <w:r w:rsidRPr="00F977C6">
        <w:rPr>
          <w:rStyle w:val="Hyperlink"/>
          <w:color w:val="auto"/>
          <w:u w:val="none"/>
        </w:rPr>
        <w:t xml:space="preserve"> and randomized control trials from May 2011 through June 2012.</w:t>
      </w:r>
    </w:p>
    <w:p w:rsidR="00875E62" w:rsidRPr="00CB6278" w:rsidRDefault="00875E62" w:rsidP="00CB6278">
      <w:pPr>
        <w:pStyle w:val="ListParagraph"/>
        <w:numPr>
          <w:ilvl w:val="0"/>
          <w:numId w:val="21"/>
        </w:numPr>
      </w:pPr>
      <w:r w:rsidRPr="00090E30">
        <w:rPr>
          <w:rFonts w:cs="Arial"/>
        </w:rPr>
        <w:t>Institute for Clinical Systems Improvement (2012). Goertz, M., Thorson, D., Bonsell, J., Bonte, B., Campbell, R., Haake, B., Johnson, K., Kramer, C., Mueller, B.., Peterson, S., Setterlund, L., &amp; Timming, R.  Adult Acute and Subacute Low Back Pain.  Retrieved from http;//www.icsi.org/_asset/bjvqri/LBP/pdf</w:t>
      </w:r>
    </w:p>
    <w:p w:rsidR="00496AF8" w:rsidRPr="003B1CC5" w:rsidRDefault="00C5180E" w:rsidP="002E2177">
      <w:pPr>
        <w:ind w:left="0" w:firstLine="0"/>
        <w:rPr>
          <w:b/>
        </w:rPr>
      </w:pPr>
      <w:r w:rsidRPr="003B1CC5">
        <w:rPr>
          <w:b/>
          <w:noProof/>
        </w:rPr>
        <w:t>QUANTITY AND QUALITY OF BODY OF EVIDENCE</w:t>
      </w:r>
    </w:p>
    <w:p w:rsidR="009B5BEA"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CB6278" w:rsidRDefault="00CB6278" w:rsidP="002E2177">
      <w:pPr>
        <w:ind w:left="432" w:hanging="432"/>
        <w:rPr>
          <w:rFonts w:ascii="Arial Narrow" w:hAnsi="Arial Narrow"/>
          <w:noProof/>
        </w:rPr>
      </w:pPr>
    </w:p>
    <w:p w:rsidR="00107311" w:rsidRPr="00CB6278" w:rsidRDefault="00F61F77" w:rsidP="002E2177">
      <w:pPr>
        <w:ind w:left="432" w:hanging="432"/>
        <w:rPr>
          <w:noProof/>
        </w:rPr>
      </w:pPr>
      <w:r w:rsidRPr="00CB6278">
        <w:rPr>
          <w:noProof/>
        </w:rPr>
        <w:t>For both Delitto 2012 and Kelley 2013 references:</w:t>
      </w:r>
    </w:p>
    <w:p w:rsidR="00107311" w:rsidRPr="00CB6278" w:rsidRDefault="00107311" w:rsidP="002E2177">
      <w:pPr>
        <w:ind w:left="432" w:hanging="432"/>
      </w:pPr>
      <w:r w:rsidRPr="00CB6278">
        <w:t xml:space="preserve">There are numerous </w:t>
      </w:r>
      <w:r w:rsidR="00F61F77" w:rsidRPr="00CB6278">
        <w:t>randomized controlled trials (</w:t>
      </w:r>
      <w:r w:rsidRPr="00CB6278">
        <w:t>RCTs</w:t>
      </w:r>
      <w:r w:rsidR="00F61F77" w:rsidRPr="00CB6278">
        <w:t>)</w:t>
      </w:r>
      <w:r w:rsidRPr="00CB6278">
        <w:t xml:space="preserve"> and a variety of other studies included in this review</w:t>
      </w:r>
      <w:r w:rsidR="004F3A97" w:rsidRPr="00CB6278">
        <w:t xml:space="preserve">.  </w:t>
      </w:r>
      <w:r w:rsidR="00D97846" w:rsidRPr="00CB6278">
        <w:t>Specific numbers n</w:t>
      </w:r>
      <w:r w:rsidR="004F3A97" w:rsidRPr="00CB6278">
        <w:t>ot provided.</w:t>
      </w:r>
    </w:p>
    <w:p w:rsidR="0096098A" w:rsidRPr="00CB6278" w:rsidRDefault="0096098A" w:rsidP="002E2177">
      <w:pPr>
        <w:ind w:left="432" w:hanging="432"/>
      </w:pPr>
    </w:p>
    <w:p w:rsidR="0096098A" w:rsidRPr="00CB6278" w:rsidRDefault="00D97846" w:rsidP="0096098A">
      <w:pPr>
        <w:rPr>
          <w:rStyle w:val="Hyperlink"/>
          <w:color w:val="auto"/>
          <w:u w:val="none"/>
        </w:rPr>
      </w:pPr>
      <w:r w:rsidRPr="00CB6278">
        <w:rPr>
          <w:rFonts w:cs="Arial"/>
        </w:rPr>
        <w:t>Institute for Clinical Systems Improvement</w:t>
      </w:r>
      <w:r w:rsidR="0096098A" w:rsidRPr="00CB6278">
        <w:rPr>
          <w:rStyle w:val="Hyperlink"/>
          <w:color w:val="auto"/>
          <w:u w:val="none"/>
        </w:rPr>
        <w:t xml:space="preserve"> 2012 reference did literature search limited to systematic reviews, meta-analysis and randomized control trials from May 2011 through June 2012.  Specific numbers not provided.</w:t>
      </w:r>
    </w:p>
    <w:p w:rsidR="00496AF8" w:rsidRPr="003B1CC5" w:rsidRDefault="00496AF8" w:rsidP="002E2177">
      <w:pPr>
        <w:ind w:left="0" w:firstLine="0"/>
      </w:pPr>
    </w:p>
    <w:p w:rsidR="00496AF8" w:rsidRDefault="001B772D" w:rsidP="002E2177">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2D5F2D" w:rsidRDefault="002D5F2D" w:rsidP="002E2177">
      <w:pPr>
        <w:ind w:left="432" w:hanging="432"/>
        <w:rPr>
          <w:rFonts w:ascii="Arial Narrow" w:hAnsi="Arial Narrow"/>
          <w:iCs/>
        </w:rPr>
      </w:pPr>
    </w:p>
    <w:p w:rsidR="00107311" w:rsidRDefault="000E6EE6" w:rsidP="002E2177">
      <w:pPr>
        <w:ind w:left="432" w:hanging="432"/>
        <w:rPr>
          <w:iCs/>
        </w:rPr>
      </w:pPr>
      <w:r w:rsidRPr="002D5F2D">
        <w:rPr>
          <w:iCs/>
        </w:rPr>
        <w:t>Delitto</w:t>
      </w:r>
      <w:r w:rsidR="007125C2" w:rsidRPr="002D5F2D">
        <w:rPr>
          <w:iCs/>
        </w:rPr>
        <w:t xml:space="preserve"> 2012</w:t>
      </w:r>
      <w:r w:rsidRPr="002D5F2D">
        <w:rPr>
          <w:iCs/>
        </w:rPr>
        <w:t xml:space="preserve">:  </w:t>
      </w:r>
      <w:r w:rsidR="00107311" w:rsidRPr="002D5F2D">
        <w:rPr>
          <w:iCs/>
        </w:rPr>
        <w:t>The body of evidence varies from theoretical/foundational evidence to expert opinion to strong evidence.</w:t>
      </w:r>
    </w:p>
    <w:p w:rsidR="002411BA" w:rsidRPr="002D5F2D" w:rsidRDefault="002411BA" w:rsidP="002E2177">
      <w:pPr>
        <w:ind w:left="432" w:hanging="432"/>
        <w:rPr>
          <w:iCs/>
        </w:rPr>
      </w:pPr>
    </w:p>
    <w:p w:rsidR="000E6EE6" w:rsidRPr="002D5F2D" w:rsidRDefault="000E6EE6" w:rsidP="002E2177">
      <w:pPr>
        <w:ind w:left="432" w:hanging="432"/>
        <w:rPr>
          <w:iCs/>
        </w:rPr>
      </w:pPr>
      <w:r w:rsidRPr="002D5F2D">
        <w:rPr>
          <w:iCs/>
        </w:rPr>
        <w:t>Kelley</w:t>
      </w:r>
      <w:r w:rsidR="007125C2" w:rsidRPr="002D5F2D">
        <w:rPr>
          <w:iCs/>
        </w:rPr>
        <w:t xml:space="preserve"> 2013</w:t>
      </w:r>
      <w:r w:rsidRPr="002D5F2D">
        <w:rPr>
          <w:iCs/>
        </w:rPr>
        <w:t>:  The body of evidence varies from theoretical to strong evidence</w:t>
      </w:r>
    </w:p>
    <w:p w:rsidR="00DE2B2F" w:rsidRPr="002D5F2D" w:rsidRDefault="00DE2B2F" w:rsidP="002E2177">
      <w:pPr>
        <w:ind w:left="432" w:hanging="432"/>
        <w:rPr>
          <w:iCs/>
        </w:rPr>
      </w:pPr>
    </w:p>
    <w:p w:rsidR="00DE2B2F" w:rsidRPr="002D5F2D" w:rsidRDefault="00C12693" w:rsidP="002E2177">
      <w:pPr>
        <w:ind w:left="432" w:hanging="432"/>
        <w:rPr>
          <w:iCs/>
        </w:rPr>
      </w:pPr>
      <w:r w:rsidRPr="002D5F2D">
        <w:rPr>
          <w:iCs/>
        </w:rPr>
        <w:lastRenderedPageBreak/>
        <w:t>Institute for Clinical S</w:t>
      </w:r>
      <w:r w:rsidR="00DE2B2F" w:rsidRPr="002D5F2D">
        <w:rPr>
          <w:iCs/>
        </w:rPr>
        <w:t>ystems Improvement 2012:  The body of evidence was “Moderate Quality Evidence”</w:t>
      </w:r>
      <w:r w:rsidR="00CA2AD6">
        <w:rPr>
          <w:iCs/>
        </w:rPr>
        <w:t xml:space="preserve"> </w:t>
      </w:r>
      <w:r w:rsidR="00C83B7C" w:rsidRPr="002D5F2D">
        <w:rPr>
          <w:iCs/>
        </w:rPr>
        <w:t>(Further research is likely to have an important impact on our confidence in the estimate of effect and may change the estimate).</w:t>
      </w: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Pr="003B1CC5"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9238FB" w:rsidRDefault="009238FB" w:rsidP="00BE1B05">
      <w:pPr>
        <w:rPr>
          <w:rFonts w:ascii="Arial Narrow" w:hAnsi="Arial Narrow"/>
          <w:iCs/>
        </w:rPr>
      </w:pPr>
    </w:p>
    <w:p w:rsidR="00BE1B05" w:rsidRPr="009238FB" w:rsidRDefault="00BE1B05" w:rsidP="00BE1B05">
      <w:pPr>
        <w:rPr>
          <w:iCs/>
        </w:rPr>
      </w:pPr>
      <w:r w:rsidRPr="009238FB">
        <w:rPr>
          <w:iCs/>
        </w:rPr>
        <w:t>Consistency of results across studies: While the magnitude of the effects varies from study to study, the effects are consistently positive.</w:t>
      </w:r>
    </w:p>
    <w:p w:rsidR="00C83B7C" w:rsidRPr="009238FB" w:rsidRDefault="00C83B7C" w:rsidP="00BE1B05">
      <w:pPr>
        <w:rPr>
          <w:iCs/>
        </w:rPr>
      </w:pPr>
    </w:p>
    <w:p w:rsidR="00496AF8" w:rsidRPr="00CA2AD6" w:rsidRDefault="00C83B7C" w:rsidP="00CA2AD6">
      <w:pPr>
        <w:rPr>
          <w:iCs/>
        </w:rPr>
      </w:pPr>
      <w:r w:rsidRPr="009238FB">
        <w:rPr>
          <w:iCs/>
        </w:rPr>
        <w:t xml:space="preserve">Institute for Clinical systems Improvement 2012: </w:t>
      </w:r>
      <w:r w:rsidRPr="009238FB">
        <w:rPr>
          <w:color w:val="000000"/>
        </w:rPr>
        <w:t>The work group is confident that the benefits outweigh the risks, but recognizes that the evidence has limitations. Further evidence may impact this recommendation. This is a recommendation that likely applies to most patients.</w:t>
      </w:r>
    </w:p>
    <w:p w:rsidR="009B5BEA" w:rsidRPr="003B1CC5" w:rsidRDefault="009B5BEA" w:rsidP="002E2177">
      <w:pPr>
        <w:ind w:left="0" w:firstLine="0"/>
      </w:pPr>
    </w:p>
    <w:p w:rsidR="00496AF8" w:rsidRPr="003B1CC5"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496AF8" w:rsidRPr="00CA2AD6" w:rsidRDefault="00107311" w:rsidP="002E2177">
      <w:pPr>
        <w:ind w:left="0" w:firstLine="0"/>
      </w:pPr>
      <w:r w:rsidRPr="00CA2AD6">
        <w:t xml:space="preserve">No harms were </w:t>
      </w:r>
      <w:r w:rsidR="00C83B7C" w:rsidRPr="00CA2AD6">
        <w:t>identified</w:t>
      </w:r>
      <w:r w:rsidRPr="00CA2AD6">
        <w:t>.</w:t>
      </w:r>
    </w:p>
    <w:p w:rsidR="00496AF8" w:rsidRPr="003B1CC5" w:rsidRDefault="00496AF8" w:rsidP="002E2177">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837121" w:rsidRPr="00CA2AD6" w:rsidRDefault="001B772D" w:rsidP="007F3F6D">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r w:rsidR="00025415" w:rsidRPr="00CA2AD6">
        <w:rPr>
          <w:noProof/>
        </w:rPr>
        <w:t>N/A</w:t>
      </w:r>
      <w:r w:rsidR="00CA2AD6" w:rsidRPr="00CA2AD6">
        <w:rPr>
          <w:noProof/>
        </w:rPr>
        <w:tab/>
      </w: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C64056" w:rsidRDefault="00C64056" w:rsidP="002E2177">
      <w:pPr>
        <w:ind w:left="0" w:firstLine="0"/>
      </w:pPr>
    </w:p>
    <w:p w:rsidR="00837121" w:rsidRPr="00495BB1" w:rsidRDefault="001A7105" w:rsidP="002E2177">
      <w:pPr>
        <w:ind w:left="0" w:firstLine="0"/>
      </w:pPr>
      <w:r w:rsidRPr="00495BB1">
        <w:t xml:space="preserve">An environmental scan was conducted by Thomas Jefferson School of Population Health annually to compile relevant and most up to date evidence for the performance measure.  </w:t>
      </w:r>
    </w:p>
    <w:p w:rsidR="00495BB1" w:rsidRPr="003B1CC5" w:rsidRDefault="00495BB1" w:rsidP="002E2177">
      <w:pPr>
        <w:ind w:left="0" w:firstLine="0"/>
      </w:pPr>
    </w:p>
    <w:p w:rsidR="00837121" w:rsidRDefault="00837121" w:rsidP="002E2177">
      <w:pPr>
        <w:ind w:left="0" w:firstLine="0"/>
        <w:rPr>
          <w:b/>
        </w:rPr>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p w:rsidR="005173B1" w:rsidRPr="007475D2" w:rsidRDefault="005173B1" w:rsidP="002E2177">
      <w:pPr>
        <w:ind w:left="0" w:firstLine="0"/>
        <w:rPr>
          <w:b/>
        </w:rPr>
      </w:pPr>
    </w:p>
    <w:p w:rsidR="005173B1" w:rsidRPr="007475D2" w:rsidRDefault="005173B1" w:rsidP="005173B1">
      <w:pPr>
        <w:pStyle w:val="ListParagraph"/>
        <w:numPr>
          <w:ilvl w:val="0"/>
          <w:numId w:val="13"/>
        </w:numPr>
      </w:pPr>
      <w:r w:rsidRPr="007475D2">
        <w:t>Standardized outcome assessments, questionnaires or tools are a vital part of evidence-based practice. Despite the recognition of the importance of outcomes assessments, questionnaires and tools, recent evidence suggests their use in clinical practice is limited. Selecting the most appropriate outcomes assessment, questionnaire or tool enhances clinical practice by (1) identifying and quantifying body function and structure limitations; (2) formulating the evaluation, diagnosis, and prognosis; (3) informing the plan of care; and (4) helping to evaluate the success of physical therapy interventions (Potter et al., 2011).</w:t>
      </w:r>
    </w:p>
    <w:p w:rsidR="006B5E8B" w:rsidRPr="007475D2" w:rsidRDefault="006B5E8B" w:rsidP="006B5E8B">
      <w:pPr>
        <w:autoSpaceDE w:val="0"/>
        <w:autoSpaceDN w:val="0"/>
        <w:adjustRightInd w:val="0"/>
        <w:ind w:left="720" w:firstLine="0"/>
        <w:rPr>
          <w:rFonts w:eastAsiaTheme="minorEastAsia"/>
        </w:rPr>
      </w:pPr>
      <w:r w:rsidRPr="007475D2">
        <w:rPr>
          <w:rFonts w:eastAsiaTheme="minorEastAsia"/>
        </w:rPr>
        <w:t>Potter K</w:t>
      </w:r>
      <w:r w:rsidR="00430760" w:rsidRPr="007475D2">
        <w:rPr>
          <w:rFonts w:eastAsiaTheme="minorEastAsia"/>
        </w:rPr>
        <w:t>.</w:t>
      </w:r>
      <w:r w:rsidRPr="007475D2">
        <w:rPr>
          <w:rFonts w:eastAsiaTheme="minorEastAsia"/>
        </w:rPr>
        <w:t>, Fulk G</w:t>
      </w:r>
      <w:r w:rsidR="00430760" w:rsidRPr="007475D2">
        <w:rPr>
          <w:rFonts w:eastAsiaTheme="minorEastAsia"/>
        </w:rPr>
        <w:t>.</w:t>
      </w:r>
      <w:r w:rsidRPr="007475D2">
        <w:rPr>
          <w:rFonts w:eastAsiaTheme="minorEastAsia"/>
        </w:rPr>
        <w:t>D</w:t>
      </w:r>
      <w:r w:rsidR="00430760" w:rsidRPr="007475D2">
        <w:rPr>
          <w:rFonts w:eastAsiaTheme="minorEastAsia"/>
        </w:rPr>
        <w:t>.</w:t>
      </w:r>
      <w:r w:rsidRPr="007475D2">
        <w:rPr>
          <w:rFonts w:eastAsiaTheme="minorEastAsia"/>
        </w:rPr>
        <w:t>, Salem Y</w:t>
      </w:r>
      <w:r w:rsidR="00430760" w:rsidRPr="007475D2">
        <w:rPr>
          <w:rFonts w:eastAsiaTheme="minorEastAsia"/>
        </w:rPr>
        <w:t>.</w:t>
      </w:r>
      <w:r w:rsidRPr="007475D2">
        <w:rPr>
          <w:rFonts w:eastAsiaTheme="minorEastAsia"/>
        </w:rPr>
        <w:t xml:space="preserve">, </w:t>
      </w:r>
      <w:r w:rsidR="00430760" w:rsidRPr="007475D2">
        <w:rPr>
          <w:rFonts w:eastAsiaTheme="minorEastAsia"/>
        </w:rPr>
        <w:t>&amp; Sullivan J.  (2011)</w:t>
      </w:r>
      <w:r w:rsidR="008170BB" w:rsidRPr="007475D2">
        <w:rPr>
          <w:rFonts w:eastAsiaTheme="minorEastAsia"/>
        </w:rPr>
        <w:t>. Outcome</w:t>
      </w:r>
      <w:r w:rsidRPr="007475D2">
        <w:rPr>
          <w:rFonts w:eastAsiaTheme="minorEastAsia"/>
        </w:rPr>
        <w:t xml:space="preserve"> Measures in Neurological Physical Therapy Practice: Part l.  Making Sound Decisions.  </w:t>
      </w:r>
      <w:r w:rsidRPr="007475D2">
        <w:rPr>
          <w:rFonts w:eastAsiaTheme="minorEastAsia"/>
          <w:i/>
        </w:rPr>
        <w:t>Journal of Neurological Physical Therapy</w:t>
      </w:r>
      <w:r w:rsidR="00430760" w:rsidRPr="007475D2">
        <w:rPr>
          <w:rFonts w:eastAsiaTheme="minorEastAsia"/>
        </w:rPr>
        <w:t xml:space="preserve">, 35, p. </w:t>
      </w:r>
      <w:r w:rsidRPr="007475D2">
        <w:rPr>
          <w:rFonts w:eastAsiaTheme="minorEastAsia"/>
        </w:rPr>
        <w:t>57-64.</w:t>
      </w:r>
    </w:p>
    <w:p w:rsidR="006B5E8B" w:rsidRPr="007475D2" w:rsidRDefault="006B5E8B" w:rsidP="006B5E8B">
      <w:pPr>
        <w:autoSpaceDE w:val="0"/>
        <w:autoSpaceDN w:val="0"/>
        <w:adjustRightInd w:val="0"/>
        <w:ind w:firstLine="360"/>
        <w:rPr>
          <w:rFonts w:eastAsiaTheme="minorEastAsia"/>
          <w:b/>
        </w:rPr>
      </w:pPr>
      <w:r w:rsidRPr="007475D2">
        <w:rPr>
          <w:rFonts w:eastAsiaTheme="minorEastAsia"/>
          <w:b/>
        </w:rPr>
        <w:t>SORT Study quality level 3 (other evidence)</w:t>
      </w:r>
    </w:p>
    <w:p w:rsidR="00430760" w:rsidRPr="007475D2" w:rsidRDefault="00430760" w:rsidP="006B5E8B">
      <w:pPr>
        <w:autoSpaceDE w:val="0"/>
        <w:autoSpaceDN w:val="0"/>
        <w:adjustRightInd w:val="0"/>
        <w:ind w:firstLine="360"/>
        <w:rPr>
          <w:rFonts w:eastAsiaTheme="minorEastAsia"/>
          <w:b/>
        </w:rPr>
      </w:pPr>
    </w:p>
    <w:p w:rsidR="006B5E8B" w:rsidRPr="007475D2" w:rsidRDefault="006B5E8B" w:rsidP="006B5E8B">
      <w:pPr>
        <w:pStyle w:val="ListParagraph"/>
        <w:numPr>
          <w:ilvl w:val="0"/>
          <w:numId w:val="13"/>
        </w:numPr>
      </w:pPr>
      <w:r w:rsidRPr="007475D2">
        <w:t>The use of standardized tests and measures early in an episode of care establishes the baseline status of the patient/client, providing a means to quantify change in the patient's/client's functioning. Outcome measures, along with other standardized tests and measures used throughout the episode of care, as part of periodic reexamination, provide information about whether predicted outcomes are being realized”</w:t>
      </w:r>
      <w:r w:rsidRPr="007475D2">
        <w:rPr>
          <w:rFonts w:eastAsia="Times New Roman" w:cs="Arial"/>
          <w:color w:val="575757"/>
        </w:rPr>
        <w:t xml:space="preserve"> (</w:t>
      </w:r>
      <w:r w:rsidRPr="007475D2">
        <w:t>American Physical Therapy Association (APTA), 2011).</w:t>
      </w:r>
    </w:p>
    <w:p w:rsidR="00F66E2F" w:rsidRPr="007475D2" w:rsidRDefault="00F66E2F" w:rsidP="00F66E2F">
      <w:pPr>
        <w:pStyle w:val="ListParagraph"/>
        <w:ind w:firstLine="0"/>
      </w:pPr>
    </w:p>
    <w:p w:rsidR="003B47D5" w:rsidRPr="007475D2" w:rsidRDefault="003B47D5" w:rsidP="003B47D5">
      <w:pPr>
        <w:pStyle w:val="ListParagraph"/>
        <w:ind w:firstLine="0"/>
      </w:pPr>
      <w:r w:rsidRPr="007475D2">
        <w:t xml:space="preserve">American Physical Therapy Association (APTA).  2011.  Outcome Measures in Patient Care.   </w:t>
      </w:r>
      <w:r w:rsidR="00430760" w:rsidRPr="007475D2">
        <w:t xml:space="preserve">Retrieved from </w:t>
      </w:r>
      <w:hyperlink r:id="rId25" w:history="1">
        <w:r w:rsidR="00430760" w:rsidRPr="007475D2">
          <w:rPr>
            <w:rStyle w:val="Hyperlink"/>
          </w:rPr>
          <w:t>http://www.apta.org/Outcome Measures /</w:t>
        </w:r>
      </w:hyperlink>
    </w:p>
    <w:p w:rsidR="00430760" w:rsidRPr="007475D2" w:rsidRDefault="00430760" w:rsidP="003B47D5">
      <w:pPr>
        <w:pStyle w:val="ListParagraph"/>
        <w:ind w:firstLine="0"/>
      </w:pPr>
    </w:p>
    <w:p w:rsidR="003B47D5" w:rsidRPr="007475D2" w:rsidRDefault="003B47D5" w:rsidP="003B47D5">
      <w:pPr>
        <w:pStyle w:val="ListParagraph"/>
        <w:numPr>
          <w:ilvl w:val="0"/>
          <w:numId w:val="13"/>
        </w:numPr>
      </w:pPr>
      <w:r w:rsidRPr="007475D2">
        <w:t>Early in the intervention process, occupational therapists should select outcomes that are valid, reliable, sensitive to change; congruent with client goals and based on their actual or purported ability to predict future outcomes.  Outcomes are applied to measure progress and adjust goals and interventions.  Results are used to make decisions about future direction of intervention (American Occupational Therapy Association (AOTA), 2014).</w:t>
      </w:r>
    </w:p>
    <w:p w:rsidR="00F66E2F" w:rsidRPr="007475D2" w:rsidRDefault="00F66E2F" w:rsidP="00F66E2F">
      <w:pPr>
        <w:pStyle w:val="ListParagraph"/>
        <w:ind w:firstLine="0"/>
      </w:pPr>
    </w:p>
    <w:p w:rsidR="00430760" w:rsidRPr="007475D2" w:rsidRDefault="00F66E2F" w:rsidP="00430760">
      <w:pPr>
        <w:pStyle w:val="ListParagraph"/>
        <w:ind w:firstLine="0"/>
      </w:pPr>
      <w:r w:rsidRPr="007475D2">
        <w:t xml:space="preserve">American Occupational Therapy Association (2014).  Occupational therapy practice framework: Domain and process (3rd ed.).  </w:t>
      </w:r>
      <w:r w:rsidRPr="007475D2">
        <w:rPr>
          <w:i/>
        </w:rPr>
        <w:t>American Journal of Occupational Therapy</w:t>
      </w:r>
      <w:r w:rsidRPr="007475D2">
        <w:t>, 68(Suppl.1), S1–S48.  Retrieved from http://dx.doi.org/10.5014/ajot.2014.68200</w:t>
      </w:r>
    </w:p>
    <w:p w:rsidR="00F66E2F" w:rsidRPr="007475D2" w:rsidRDefault="00F66E2F" w:rsidP="00430760">
      <w:pPr>
        <w:pStyle w:val="ListParagraph"/>
        <w:ind w:firstLine="0"/>
      </w:pPr>
    </w:p>
    <w:p w:rsidR="00715601" w:rsidRDefault="000744D5" w:rsidP="007475D2">
      <w:pPr>
        <w:pStyle w:val="ListParagraph"/>
        <w:numPr>
          <w:ilvl w:val="0"/>
          <w:numId w:val="13"/>
        </w:numPr>
      </w:pPr>
      <w:r w:rsidRPr="007475D2">
        <w:t>“Few outcome measures are routinely used to assess patients with neck pain other than a numeric pain rating scale. A comparison of practice patterns to current evidence suggests overutilization of some measures that have questionable reliability and underutilization of some with better supporting evidence. This practice analysis suggests that there is substantial need to implement more consistent outcome measurement” (MacDermid et al., 2013) .</w:t>
      </w:r>
    </w:p>
    <w:p w:rsidR="007475D2" w:rsidRPr="007475D2" w:rsidRDefault="007475D2" w:rsidP="007475D2">
      <w:pPr>
        <w:pStyle w:val="ListParagraph"/>
        <w:ind w:firstLine="0"/>
      </w:pPr>
    </w:p>
    <w:p w:rsidR="0066189B" w:rsidRPr="007475D2" w:rsidRDefault="000744D5" w:rsidP="0066189B">
      <w:pPr>
        <w:pStyle w:val="ListParagraph"/>
        <w:ind w:firstLine="0"/>
      </w:pPr>
      <w:r w:rsidRPr="007475D2">
        <w:t>M</w:t>
      </w:r>
      <w:r w:rsidR="00C2216D" w:rsidRPr="007475D2">
        <w:t xml:space="preserve">acDermid, J. C., Walton, D.M., </w:t>
      </w:r>
      <w:r w:rsidRPr="007475D2">
        <w:t>Coté, P., Santaguida, P.L., Gross, A., Carlesso, L., &amp; ICON. (2013).   Use of Outcome Measures in Mana</w:t>
      </w:r>
      <w:r w:rsidR="00C2216D" w:rsidRPr="007475D2">
        <w:t xml:space="preserve">ging Neck Pain: </w:t>
      </w:r>
      <w:r w:rsidR="009422A4" w:rsidRPr="007475D2">
        <w:t xml:space="preserve">An International </w:t>
      </w:r>
      <w:r w:rsidRPr="007475D2">
        <w:t>Multidisciplinary Survey.</w:t>
      </w:r>
      <w:r w:rsidRPr="007475D2">
        <w:rPr>
          <w:i/>
        </w:rPr>
        <w:t xml:space="preserve">  The Open Orthopedics Journal</w:t>
      </w:r>
      <w:r w:rsidR="00C2216D" w:rsidRPr="007475D2">
        <w:t xml:space="preserve">.  7(Suppl 4: M10), p. </w:t>
      </w:r>
      <w:r w:rsidRPr="007475D2">
        <w:t>506-520. doi: 10.2174/1874325001307010506</w:t>
      </w:r>
    </w:p>
    <w:p w:rsidR="000744D5" w:rsidRPr="007475D2" w:rsidRDefault="000744D5" w:rsidP="0066189B">
      <w:pPr>
        <w:pStyle w:val="ListParagraph"/>
        <w:ind w:firstLine="0"/>
      </w:pPr>
      <w:r w:rsidRPr="007475D2">
        <w:rPr>
          <w:b/>
        </w:rPr>
        <w:t>GRADE evidence quality grade: Low</w:t>
      </w:r>
    </w:p>
    <w:p w:rsidR="000744D5" w:rsidRPr="000744D5" w:rsidRDefault="000744D5" w:rsidP="000744D5">
      <w:pPr>
        <w:pStyle w:val="ListParagraph"/>
        <w:ind w:firstLine="0"/>
        <w:rPr>
          <w:rFonts w:ascii="Arial Narrow" w:hAnsi="Arial Narrow"/>
        </w:rPr>
      </w:pPr>
    </w:p>
    <w:p w:rsidR="006B5E8B" w:rsidRPr="007475D2" w:rsidRDefault="00B40ED2" w:rsidP="006B5E8B">
      <w:pPr>
        <w:pStyle w:val="ListParagraph"/>
        <w:numPr>
          <w:ilvl w:val="0"/>
          <w:numId w:val="13"/>
        </w:numPr>
        <w:autoSpaceDE w:val="0"/>
        <w:autoSpaceDN w:val="0"/>
        <w:adjustRightInd w:val="0"/>
      </w:pPr>
      <w:r w:rsidRPr="007475D2">
        <w:t>Barriers to use of classification systems and outcome measures were lack of knowledge, too limiting and time. Classification systems are being used for decision-making in physical therapy practice for patients with lower back pain (LBP). Lack of knowledge and training seems to be the main barrier to the use of classification systems in practice. The Oswestry Disability Index and Numerical Pain Scale were the most commonly used outcome measures. The main barrier to their use was lack of time. Continuing education and reading the literature were identified as important tools to teach evidence-based practice to physical therapists in practice (Davies et al., 2014)</w:t>
      </w:r>
    </w:p>
    <w:p w:rsidR="00B40ED2" w:rsidRPr="007475D2" w:rsidRDefault="00B40ED2" w:rsidP="00B40ED2">
      <w:pPr>
        <w:autoSpaceDE w:val="0"/>
        <w:autoSpaceDN w:val="0"/>
        <w:adjustRightInd w:val="0"/>
        <w:ind w:left="720" w:firstLine="0"/>
      </w:pPr>
      <w:r w:rsidRPr="007475D2">
        <w:lastRenderedPageBreak/>
        <w:t>Davies, C., Nitz, A. J., Mattacola, C.G., Kitzman, P</w:t>
      </w:r>
      <w:r w:rsidR="001743BA" w:rsidRPr="007475D2">
        <w:t>.</w:t>
      </w:r>
      <w:r w:rsidRPr="007475D2">
        <w:t>, Howell, D</w:t>
      </w:r>
      <w:r w:rsidR="001743BA" w:rsidRPr="007475D2">
        <w:t>.</w:t>
      </w:r>
      <w:r w:rsidRPr="007475D2">
        <w:t xml:space="preserve">, Viele, K. ….Brockopp, D.  (2014). Practice patterns when treating patients with low back pain: a survey of physical therapists.  </w:t>
      </w:r>
      <w:r w:rsidRPr="007475D2">
        <w:rPr>
          <w:i/>
        </w:rPr>
        <w:t>Physiotherapy Theory and Practice.</w:t>
      </w:r>
      <w:r w:rsidRPr="007475D2">
        <w:t xml:space="preserve">  Early online, 1-10.  </w:t>
      </w:r>
      <w:r w:rsidR="001743BA" w:rsidRPr="007475D2">
        <w:t xml:space="preserve">Retrieved from </w:t>
      </w:r>
      <w:r w:rsidRPr="007475D2">
        <w:t>http://informahealthcare.com/ptp, ISSN: 1532-5040</w:t>
      </w:r>
    </w:p>
    <w:p w:rsidR="00B40ED2" w:rsidRPr="007475D2" w:rsidRDefault="00B40ED2" w:rsidP="00B40ED2">
      <w:pPr>
        <w:ind w:firstLine="360"/>
        <w:rPr>
          <w:b/>
        </w:rPr>
      </w:pPr>
      <w:r w:rsidRPr="007475D2">
        <w:rPr>
          <w:b/>
        </w:rPr>
        <w:t>GRADE evidence quality grade: Low</w:t>
      </w:r>
    </w:p>
    <w:p w:rsidR="00F2714D" w:rsidRPr="007475D2" w:rsidRDefault="00F2714D" w:rsidP="00F2714D">
      <w:pPr>
        <w:rPr>
          <w:b/>
        </w:rPr>
      </w:pPr>
    </w:p>
    <w:p w:rsidR="00F2714D" w:rsidRPr="007475D2" w:rsidRDefault="001674C0" w:rsidP="00F2714D">
      <w:pPr>
        <w:pStyle w:val="ListParagraph"/>
        <w:numPr>
          <w:ilvl w:val="0"/>
          <w:numId w:val="13"/>
        </w:numPr>
        <w:rPr>
          <w:b/>
        </w:rPr>
      </w:pPr>
      <w:r w:rsidRPr="007475D2">
        <w:t>Outcome use in occupational therapy indicated that some therapists used both biomechanical and self assessment of function measures in their practice to measure outcomes, but the major</w:t>
      </w:r>
      <w:r w:rsidR="00C12693" w:rsidRPr="007475D2">
        <w:t>ity use biomechanical outcomes (</w:t>
      </w:r>
      <w:r w:rsidR="00915720" w:rsidRPr="007475D2">
        <w:t>Bohnen</w:t>
      </w:r>
      <w:r w:rsidRPr="007475D2">
        <w:t>, 2011).</w:t>
      </w:r>
    </w:p>
    <w:p w:rsidR="007475D2" w:rsidRPr="007475D2" w:rsidRDefault="007475D2" w:rsidP="007475D2">
      <w:pPr>
        <w:pStyle w:val="ListParagraph"/>
        <w:ind w:firstLine="0"/>
        <w:rPr>
          <w:b/>
        </w:rPr>
      </w:pPr>
    </w:p>
    <w:p w:rsidR="00C12693" w:rsidRPr="007475D2" w:rsidRDefault="00C12693" w:rsidP="00C12693">
      <w:pPr>
        <w:pStyle w:val="ListParagraph"/>
        <w:ind w:firstLine="0"/>
        <w:rPr>
          <w:b/>
        </w:rPr>
      </w:pPr>
      <w:r w:rsidRPr="007475D2">
        <w:rPr>
          <w:rFonts w:cs="Times New Roman"/>
        </w:rPr>
        <w:t xml:space="preserve">Bohnen, C. L.  (2011). Outcome Measure Use in Occupational Therapy for Upper Extremity Rehabilitation: Results of a Survey of Therapist Clinical Practices.  </w:t>
      </w:r>
      <w:r w:rsidRPr="007475D2">
        <w:rPr>
          <w:rFonts w:cs="Times New Roman"/>
          <w:iCs/>
        </w:rPr>
        <w:t xml:space="preserve">St. Catherine University, Master of Arts in Occupational Therapy Theses.  </w:t>
      </w:r>
      <w:r w:rsidRPr="007475D2">
        <w:rPr>
          <w:rFonts w:cs="Times New Roman"/>
        </w:rPr>
        <w:t xml:space="preserve">Paper 1. Retrieved from </w:t>
      </w:r>
      <w:hyperlink r:id="rId26" w:history="1">
        <w:r w:rsidRPr="007475D2">
          <w:rPr>
            <w:rStyle w:val="Hyperlink"/>
            <w:rFonts w:cs="Times New Roman"/>
          </w:rPr>
          <w:t>http://sophia.stkate.edu/ma_osot</w:t>
        </w:r>
      </w:hyperlink>
    </w:p>
    <w:p w:rsidR="001B7E27" w:rsidRPr="00BE151B" w:rsidRDefault="00882EFF" w:rsidP="00BE151B">
      <w:pPr>
        <w:pStyle w:val="ListParagraph"/>
        <w:ind w:firstLine="0"/>
        <w:rPr>
          <w:b/>
        </w:rPr>
      </w:pPr>
      <w:r w:rsidRPr="007475D2">
        <w:rPr>
          <w:b/>
        </w:rPr>
        <w:t>GRADE evidence quality grade: Low</w:t>
      </w:r>
    </w:p>
    <w:p w:rsidR="00671179" w:rsidRDefault="00671179" w:rsidP="00BD28B7">
      <w:pPr>
        <w:ind w:firstLine="360"/>
        <w:rPr>
          <w:rFonts w:ascii="Times New Roman" w:hAnsi="Times New Roman" w:cs="Times New Roman"/>
          <w:b/>
          <w:sz w:val="24"/>
          <w:szCs w:val="24"/>
        </w:rPr>
      </w:pPr>
    </w:p>
    <w:p w:rsidR="00F452B9" w:rsidRDefault="0080685F" w:rsidP="007475D2">
      <w:pPr>
        <w:pStyle w:val="ListParagraph"/>
        <w:ind w:firstLine="0"/>
        <w:rPr>
          <w:rFonts w:ascii="Times New Roman" w:hAnsi="Times New Roman"/>
          <w:b/>
          <w:sz w:val="24"/>
          <w:szCs w:val="24"/>
        </w:rPr>
      </w:pPr>
      <w:r w:rsidDel="0080685F">
        <w:rPr>
          <w:rFonts w:ascii="Times New Roman" w:hAnsi="Times New Roman" w:cs="Times New Roman"/>
          <w:b/>
          <w:sz w:val="24"/>
          <w:szCs w:val="24"/>
        </w:rPr>
        <w:t xml:space="preserve"> </w:t>
      </w:r>
    </w:p>
    <w:p w:rsidR="006D1776" w:rsidRDefault="006D1776" w:rsidP="006D1776">
      <w:pPr>
        <w:autoSpaceDE w:val="0"/>
        <w:autoSpaceDN w:val="0"/>
        <w:adjustRightInd w:val="0"/>
        <w:rPr>
          <w:rFonts w:ascii="Times New Roman" w:hAnsi="Times New Roman"/>
          <w:b/>
          <w:sz w:val="24"/>
          <w:szCs w:val="24"/>
        </w:rPr>
      </w:pPr>
    </w:p>
    <w:p w:rsidR="009D2F91" w:rsidRDefault="009D2F91" w:rsidP="00DE54BD">
      <w:pPr>
        <w:autoSpaceDE w:val="0"/>
        <w:autoSpaceDN w:val="0"/>
        <w:adjustRightInd w:val="0"/>
        <w:ind w:firstLine="360"/>
        <w:rPr>
          <w:rFonts w:ascii="Times New Roman" w:hAnsi="Times New Roman"/>
          <w:b/>
          <w:sz w:val="24"/>
          <w:szCs w:val="24"/>
        </w:rPr>
      </w:pPr>
    </w:p>
    <w:p w:rsidR="009D2F91" w:rsidRDefault="009D2F91" w:rsidP="009D2F91">
      <w:pPr>
        <w:autoSpaceDE w:val="0"/>
        <w:autoSpaceDN w:val="0"/>
        <w:adjustRightInd w:val="0"/>
        <w:ind w:firstLine="360"/>
        <w:rPr>
          <w:rFonts w:ascii="Times New Roman" w:hAnsi="Times New Roman"/>
          <w:b/>
          <w:sz w:val="24"/>
          <w:szCs w:val="24"/>
        </w:rPr>
      </w:pPr>
    </w:p>
    <w:p w:rsidR="00F452B9" w:rsidRPr="00C6404D" w:rsidRDefault="00F452B9" w:rsidP="00C6404D">
      <w:pPr>
        <w:pStyle w:val="ListParagraph"/>
        <w:autoSpaceDE w:val="0"/>
        <w:autoSpaceDN w:val="0"/>
        <w:adjustRightInd w:val="0"/>
        <w:ind w:firstLine="0"/>
        <w:rPr>
          <w:rFonts w:ascii="Arial Narrow" w:eastAsiaTheme="minorHAnsi" w:hAnsi="Arial Narrow" w:cs="AdvTT6120e2aa"/>
          <w:color w:val="000000"/>
        </w:rPr>
      </w:pPr>
    </w:p>
    <w:sectPr w:rsidR="00F452B9" w:rsidRPr="00C6404D">
      <w:headerReference w:type="default" r:id="rId2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52F" w:rsidRDefault="004C452F" w:rsidP="007E37A5">
      <w:r>
        <w:separator/>
      </w:r>
    </w:p>
  </w:endnote>
  <w:endnote w:type="continuationSeparator" w:id="0">
    <w:p w:rsidR="004C452F" w:rsidRDefault="004C452F"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ntonGothicCond Regular">
    <w:altName w:val="BentonGothicCond Regular"/>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NewRoman,Bold">
    <w:panose1 w:val="00000000000000000000"/>
    <w:charset w:val="00"/>
    <w:family w:val="roman"/>
    <w:notTrueType/>
    <w:pitch w:val="default"/>
    <w:sig w:usb0="00000003" w:usb1="00000000" w:usb2="00000000" w:usb3="00000000" w:csb0="00000001" w:csb1="00000000"/>
  </w:font>
  <w:font w:name="AdvTT6120e2a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B2F" w:rsidRDefault="00DE2B2F">
    <w:pPr>
      <w:pStyle w:val="Footer"/>
    </w:pPr>
    <w:r w:rsidRPr="00395263">
      <w:t xml:space="preserve">Version 6.5 </w:t>
    </w:r>
    <w:r>
      <w:t xml:space="preserve"> 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E352A6">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52F" w:rsidRDefault="004C452F" w:rsidP="007E37A5">
      <w:r>
        <w:separator/>
      </w:r>
    </w:p>
  </w:footnote>
  <w:footnote w:type="continuationSeparator" w:id="0">
    <w:p w:rsidR="004C452F" w:rsidRDefault="004C452F"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2B2F" w:rsidRDefault="00DE2B2F"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B0D4E"/>
    <w:multiLevelType w:val="hybridMultilevel"/>
    <w:tmpl w:val="A222728E"/>
    <w:lvl w:ilvl="0" w:tplc="4E1632D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D57708E"/>
    <w:multiLevelType w:val="hybridMultilevel"/>
    <w:tmpl w:val="BFA6E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762302"/>
    <w:multiLevelType w:val="hybridMultilevel"/>
    <w:tmpl w:val="7E4238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A065CE5"/>
    <w:multiLevelType w:val="hybridMultilevel"/>
    <w:tmpl w:val="66068336"/>
    <w:lvl w:ilvl="0" w:tplc="EAD0F01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1901266"/>
    <w:multiLevelType w:val="hybridMultilevel"/>
    <w:tmpl w:val="BFA6EC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84323A"/>
    <w:multiLevelType w:val="hybridMultilevel"/>
    <w:tmpl w:val="97202446"/>
    <w:lvl w:ilvl="0" w:tplc="41523696">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73E59DA"/>
    <w:multiLevelType w:val="hybridMultilevel"/>
    <w:tmpl w:val="4FB69378"/>
    <w:lvl w:ilvl="0" w:tplc="CC18400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CB25D8F"/>
    <w:multiLevelType w:val="hybridMultilevel"/>
    <w:tmpl w:val="7E4238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0" w:hanging="360"/>
      </w:pPr>
    </w:lvl>
    <w:lvl w:ilvl="2" w:tplc="0409001B" w:tentative="1">
      <w:start w:val="1"/>
      <w:numFmt w:val="lowerRoman"/>
      <w:lvlText w:val="%3."/>
      <w:lvlJc w:val="right"/>
      <w:pPr>
        <w:ind w:left="720" w:hanging="180"/>
      </w:pPr>
    </w:lvl>
    <w:lvl w:ilvl="3" w:tplc="0409000F" w:tentative="1">
      <w:start w:val="1"/>
      <w:numFmt w:val="decimal"/>
      <w:lvlText w:val="%4."/>
      <w:lvlJc w:val="left"/>
      <w:pPr>
        <w:ind w:left="1440" w:hanging="360"/>
      </w:pPr>
    </w:lvl>
    <w:lvl w:ilvl="4" w:tplc="04090019" w:tentative="1">
      <w:start w:val="1"/>
      <w:numFmt w:val="lowerLetter"/>
      <w:lvlText w:val="%5."/>
      <w:lvlJc w:val="left"/>
      <w:pPr>
        <w:ind w:left="2160" w:hanging="360"/>
      </w:pPr>
    </w:lvl>
    <w:lvl w:ilvl="5" w:tplc="0409001B" w:tentative="1">
      <w:start w:val="1"/>
      <w:numFmt w:val="lowerRoman"/>
      <w:lvlText w:val="%6."/>
      <w:lvlJc w:val="right"/>
      <w:pPr>
        <w:ind w:left="2880" w:hanging="180"/>
      </w:pPr>
    </w:lvl>
    <w:lvl w:ilvl="6" w:tplc="0409000F" w:tentative="1">
      <w:start w:val="1"/>
      <w:numFmt w:val="decimal"/>
      <w:lvlText w:val="%7."/>
      <w:lvlJc w:val="left"/>
      <w:pPr>
        <w:ind w:left="3600" w:hanging="360"/>
      </w:pPr>
    </w:lvl>
    <w:lvl w:ilvl="7" w:tplc="04090019" w:tentative="1">
      <w:start w:val="1"/>
      <w:numFmt w:val="lowerLetter"/>
      <w:lvlText w:val="%8."/>
      <w:lvlJc w:val="left"/>
      <w:pPr>
        <w:ind w:left="4320" w:hanging="360"/>
      </w:pPr>
    </w:lvl>
    <w:lvl w:ilvl="8" w:tplc="0409001B" w:tentative="1">
      <w:start w:val="1"/>
      <w:numFmt w:val="lowerRoman"/>
      <w:lvlText w:val="%9."/>
      <w:lvlJc w:val="right"/>
      <w:pPr>
        <w:ind w:left="5040" w:hanging="180"/>
      </w:pPr>
    </w:lvl>
  </w:abstractNum>
  <w:abstractNum w:abstractNumId="14">
    <w:nsid w:val="60282DAD"/>
    <w:multiLevelType w:val="hybridMultilevel"/>
    <w:tmpl w:val="87C07112"/>
    <w:lvl w:ilvl="0" w:tplc="129A13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40C6C2D"/>
    <w:multiLevelType w:val="hybridMultilevel"/>
    <w:tmpl w:val="39722508"/>
    <w:lvl w:ilvl="0" w:tplc="2FFC1CA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733A19"/>
    <w:multiLevelType w:val="hybridMultilevel"/>
    <w:tmpl w:val="53EE2A18"/>
    <w:lvl w:ilvl="0" w:tplc="FB103D3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7C1E7E"/>
    <w:multiLevelType w:val="hybridMultilevel"/>
    <w:tmpl w:val="BFA6EC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EAB3A8B"/>
    <w:multiLevelType w:val="hybridMultilevel"/>
    <w:tmpl w:val="CFEAF67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2"/>
  </w:num>
  <w:num w:numId="3">
    <w:abstractNumId w:val="3"/>
  </w:num>
  <w:num w:numId="4">
    <w:abstractNumId w:val="5"/>
  </w:num>
  <w:num w:numId="5">
    <w:abstractNumId w:val="7"/>
  </w:num>
  <w:num w:numId="6">
    <w:abstractNumId w:val="6"/>
  </w:num>
  <w:num w:numId="7">
    <w:abstractNumId w:val="17"/>
  </w:num>
  <w:num w:numId="8">
    <w:abstractNumId w:val="16"/>
  </w:num>
  <w:num w:numId="9">
    <w:abstractNumId w:val="8"/>
  </w:num>
  <w:num w:numId="10">
    <w:abstractNumId w:val="19"/>
  </w:num>
  <w:num w:numId="11">
    <w:abstractNumId w:val="4"/>
  </w:num>
  <w:num w:numId="12">
    <w:abstractNumId w:val="2"/>
  </w:num>
  <w:num w:numId="13">
    <w:abstractNumId w:val="11"/>
  </w:num>
  <w:num w:numId="14">
    <w:abstractNumId w:val="13"/>
  </w:num>
  <w:num w:numId="15">
    <w:abstractNumId w:val="0"/>
  </w:num>
  <w:num w:numId="16">
    <w:abstractNumId w:val="9"/>
  </w:num>
  <w:num w:numId="17">
    <w:abstractNumId w:val="20"/>
  </w:num>
  <w:num w:numId="18">
    <w:abstractNumId w:val="14"/>
  </w:num>
  <w:num w:numId="19">
    <w:abstractNumId w:val="15"/>
  </w:num>
  <w:num w:numId="20">
    <w:abstractNumId w:val="18"/>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5BBA"/>
    <w:rsid w:val="000160E6"/>
    <w:rsid w:val="00024526"/>
    <w:rsid w:val="00024C56"/>
    <w:rsid w:val="00025415"/>
    <w:rsid w:val="00030F43"/>
    <w:rsid w:val="00033AE2"/>
    <w:rsid w:val="00035AB7"/>
    <w:rsid w:val="00040DCF"/>
    <w:rsid w:val="00041A1B"/>
    <w:rsid w:val="00041F8B"/>
    <w:rsid w:val="00052C0B"/>
    <w:rsid w:val="00061CF3"/>
    <w:rsid w:val="00063601"/>
    <w:rsid w:val="00073079"/>
    <w:rsid w:val="000744D5"/>
    <w:rsid w:val="0007593F"/>
    <w:rsid w:val="00090E30"/>
    <w:rsid w:val="00095EC9"/>
    <w:rsid w:val="00096A37"/>
    <w:rsid w:val="000A0810"/>
    <w:rsid w:val="000A6BFE"/>
    <w:rsid w:val="000B627F"/>
    <w:rsid w:val="000D278D"/>
    <w:rsid w:val="000D4E12"/>
    <w:rsid w:val="000D649E"/>
    <w:rsid w:val="000D6D06"/>
    <w:rsid w:val="000E1841"/>
    <w:rsid w:val="000E6EE6"/>
    <w:rsid w:val="0010628E"/>
    <w:rsid w:val="00106F9B"/>
    <w:rsid w:val="00107311"/>
    <w:rsid w:val="00114848"/>
    <w:rsid w:val="001173A2"/>
    <w:rsid w:val="00120934"/>
    <w:rsid w:val="00121BA5"/>
    <w:rsid w:val="00122F2A"/>
    <w:rsid w:val="00123628"/>
    <w:rsid w:val="001236D0"/>
    <w:rsid w:val="00132070"/>
    <w:rsid w:val="00141875"/>
    <w:rsid w:val="0014347E"/>
    <w:rsid w:val="0015156D"/>
    <w:rsid w:val="00154438"/>
    <w:rsid w:val="001551F6"/>
    <w:rsid w:val="0015535B"/>
    <w:rsid w:val="00155A17"/>
    <w:rsid w:val="00162036"/>
    <w:rsid w:val="001632DD"/>
    <w:rsid w:val="00164861"/>
    <w:rsid w:val="001674C0"/>
    <w:rsid w:val="001743BA"/>
    <w:rsid w:val="00176E60"/>
    <w:rsid w:val="00194D9A"/>
    <w:rsid w:val="00195FD2"/>
    <w:rsid w:val="001A196B"/>
    <w:rsid w:val="001A6D05"/>
    <w:rsid w:val="001A7105"/>
    <w:rsid w:val="001A76BA"/>
    <w:rsid w:val="001A7B06"/>
    <w:rsid w:val="001B38BF"/>
    <w:rsid w:val="001B772D"/>
    <w:rsid w:val="001B7E27"/>
    <w:rsid w:val="001C568D"/>
    <w:rsid w:val="001D2A5A"/>
    <w:rsid w:val="001D5B5D"/>
    <w:rsid w:val="001E6153"/>
    <w:rsid w:val="001F43DE"/>
    <w:rsid w:val="00201FF9"/>
    <w:rsid w:val="00203678"/>
    <w:rsid w:val="00205857"/>
    <w:rsid w:val="00206B60"/>
    <w:rsid w:val="00222C71"/>
    <w:rsid w:val="00226191"/>
    <w:rsid w:val="00232759"/>
    <w:rsid w:val="00235ADC"/>
    <w:rsid w:val="00236F87"/>
    <w:rsid w:val="00240824"/>
    <w:rsid w:val="002411BA"/>
    <w:rsid w:val="00252C53"/>
    <w:rsid w:val="00256898"/>
    <w:rsid w:val="0026527B"/>
    <w:rsid w:val="00265702"/>
    <w:rsid w:val="002662B2"/>
    <w:rsid w:val="002717C7"/>
    <w:rsid w:val="002875E9"/>
    <w:rsid w:val="00287EB3"/>
    <w:rsid w:val="002906C9"/>
    <w:rsid w:val="002A47BA"/>
    <w:rsid w:val="002A6777"/>
    <w:rsid w:val="002B06BD"/>
    <w:rsid w:val="002B5824"/>
    <w:rsid w:val="002C0E48"/>
    <w:rsid w:val="002C6F04"/>
    <w:rsid w:val="002D5F2D"/>
    <w:rsid w:val="002E2177"/>
    <w:rsid w:val="002E2E41"/>
    <w:rsid w:val="002E78CD"/>
    <w:rsid w:val="002F20A7"/>
    <w:rsid w:val="002F6400"/>
    <w:rsid w:val="003008F4"/>
    <w:rsid w:val="00302B1D"/>
    <w:rsid w:val="00307FA5"/>
    <w:rsid w:val="00324D64"/>
    <w:rsid w:val="00341E32"/>
    <w:rsid w:val="00341FC5"/>
    <w:rsid w:val="00352B52"/>
    <w:rsid w:val="00353913"/>
    <w:rsid w:val="0035760D"/>
    <w:rsid w:val="00361169"/>
    <w:rsid w:val="00363ECC"/>
    <w:rsid w:val="0036492D"/>
    <w:rsid w:val="00377192"/>
    <w:rsid w:val="00377A7B"/>
    <w:rsid w:val="003824AA"/>
    <w:rsid w:val="0039020B"/>
    <w:rsid w:val="00390D2E"/>
    <w:rsid w:val="00395263"/>
    <w:rsid w:val="003954F7"/>
    <w:rsid w:val="003956E0"/>
    <w:rsid w:val="0039609A"/>
    <w:rsid w:val="00397500"/>
    <w:rsid w:val="003A13BE"/>
    <w:rsid w:val="003A2E38"/>
    <w:rsid w:val="003B1302"/>
    <w:rsid w:val="003B1CC5"/>
    <w:rsid w:val="003B3DF2"/>
    <w:rsid w:val="003B47D5"/>
    <w:rsid w:val="003B5BC8"/>
    <w:rsid w:val="003B65CE"/>
    <w:rsid w:val="003D266B"/>
    <w:rsid w:val="003D2F35"/>
    <w:rsid w:val="003D3434"/>
    <w:rsid w:val="003D586E"/>
    <w:rsid w:val="003E039E"/>
    <w:rsid w:val="003F7A97"/>
    <w:rsid w:val="004051DE"/>
    <w:rsid w:val="00422917"/>
    <w:rsid w:val="00427476"/>
    <w:rsid w:val="00430760"/>
    <w:rsid w:val="00440687"/>
    <w:rsid w:val="0044131D"/>
    <w:rsid w:val="00441ADA"/>
    <w:rsid w:val="004432B7"/>
    <w:rsid w:val="00457E46"/>
    <w:rsid w:val="00472DB3"/>
    <w:rsid w:val="00480858"/>
    <w:rsid w:val="004837E0"/>
    <w:rsid w:val="00495BB1"/>
    <w:rsid w:val="00496AF8"/>
    <w:rsid w:val="004A3470"/>
    <w:rsid w:val="004A575D"/>
    <w:rsid w:val="004A5B7A"/>
    <w:rsid w:val="004B148D"/>
    <w:rsid w:val="004B65C6"/>
    <w:rsid w:val="004C452F"/>
    <w:rsid w:val="004D1DC7"/>
    <w:rsid w:val="004F3A97"/>
    <w:rsid w:val="004F7D7E"/>
    <w:rsid w:val="00500B0C"/>
    <w:rsid w:val="00510A89"/>
    <w:rsid w:val="005173B1"/>
    <w:rsid w:val="00537150"/>
    <w:rsid w:val="00540984"/>
    <w:rsid w:val="00543851"/>
    <w:rsid w:val="0055559D"/>
    <w:rsid w:val="005569AE"/>
    <w:rsid w:val="0056099B"/>
    <w:rsid w:val="00581F8F"/>
    <w:rsid w:val="00582B67"/>
    <w:rsid w:val="005857F8"/>
    <w:rsid w:val="005927BD"/>
    <w:rsid w:val="00595714"/>
    <w:rsid w:val="005B0D18"/>
    <w:rsid w:val="005B12C3"/>
    <w:rsid w:val="005B409D"/>
    <w:rsid w:val="005C03F3"/>
    <w:rsid w:val="005D0FDB"/>
    <w:rsid w:val="005D25E9"/>
    <w:rsid w:val="005D6D59"/>
    <w:rsid w:val="005E43F7"/>
    <w:rsid w:val="005F32EC"/>
    <w:rsid w:val="00604708"/>
    <w:rsid w:val="00611487"/>
    <w:rsid w:val="00613C0D"/>
    <w:rsid w:val="00617390"/>
    <w:rsid w:val="00623420"/>
    <w:rsid w:val="00634768"/>
    <w:rsid w:val="0063596F"/>
    <w:rsid w:val="0066189B"/>
    <w:rsid w:val="006709EB"/>
    <w:rsid w:val="00671179"/>
    <w:rsid w:val="00672824"/>
    <w:rsid w:val="0068184A"/>
    <w:rsid w:val="006B5C51"/>
    <w:rsid w:val="006B5E8B"/>
    <w:rsid w:val="006C4359"/>
    <w:rsid w:val="006C7F30"/>
    <w:rsid w:val="006D0399"/>
    <w:rsid w:val="006D1776"/>
    <w:rsid w:val="006D4C58"/>
    <w:rsid w:val="006D5911"/>
    <w:rsid w:val="006E6FDD"/>
    <w:rsid w:val="006F4B7F"/>
    <w:rsid w:val="006F6C68"/>
    <w:rsid w:val="006F6CFE"/>
    <w:rsid w:val="006F760B"/>
    <w:rsid w:val="00701CC3"/>
    <w:rsid w:val="0070304C"/>
    <w:rsid w:val="00704116"/>
    <w:rsid w:val="00710FE0"/>
    <w:rsid w:val="007125C2"/>
    <w:rsid w:val="00715601"/>
    <w:rsid w:val="00724801"/>
    <w:rsid w:val="00734949"/>
    <w:rsid w:val="00736AEC"/>
    <w:rsid w:val="00736E0F"/>
    <w:rsid w:val="007434FA"/>
    <w:rsid w:val="00746740"/>
    <w:rsid w:val="007475D2"/>
    <w:rsid w:val="00753921"/>
    <w:rsid w:val="007573F0"/>
    <w:rsid w:val="00757F20"/>
    <w:rsid w:val="00765156"/>
    <w:rsid w:val="00767669"/>
    <w:rsid w:val="00773485"/>
    <w:rsid w:val="00776E8F"/>
    <w:rsid w:val="00776F6D"/>
    <w:rsid w:val="00780EE4"/>
    <w:rsid w:val="00781D87"/>
    <w:rsid w:val="0078449E"/>
    <w:rsid w:val="007945BD"/>
    <w:rsid w:val="007B7CFA"/>
    <w:rsid w:val="007C0297"/>
    <w:rsid w:val="007C1887"/>
    <w:rsid w:val="007C547D"/>
    <w:rsid w:val="007C5E6B"/>
    <w:rsid w:val="007D4775"/>
    <w:rsid w:val="007D5DC6"/>
    <w:rsid w:val="007E37A5"/>
    <w:rsid w:val="007F3F6D"/>
    <w:rsid w:val="007F49D8"/>
    <w:rsid w:val="007F6021"/>
    <w:rsid w:val="00805940"/>
    <w:rsid w:val="00806529"/>
    <w:rsid w:val="0080685F"/>
    <w:rsid w:val="008170BB"/>
    <w:rsid w:val="0083392C"/>
    <w:rsid w:val="00837121"/>
    <w:rsid w:val="008411A9"/>
    <w:rsid w:val="008471E5"/>
    <w:rsid w:val="00850C35"/>
    <w:rsid w:val="00851466"/>
    <w:rsid w:val="00863E43"/>
    <w:rsid w:val="008647C3"/>
    <w:rsid w:val="008659ED"/>
    <w:rsid w:val="00870987"/>
    <w:rsid w:val="00874221"/>
    <w:rsid w:val="0087564A"/>
    <w:rsid w:val="00875E62"/>
    <w:rsid w:val="00881160"/>
    <w:rsid w:val="00882C18"/>
    <w:rsid w:val="00882EFF"/>
    <w:rsid w:val="0088371C"/>
    <w:rsid w:val="008873B0"/>
    <w:rsid w:val="008A45F3"/>
    <w:rsid w:val="008A7478"/>
    <w:rsid w:val="008B170A"/>
    <w:rsid w:val="008B2118"/>
    <w:rsid w:val="008B51D9"/>
    <w:rsid w:val="008B652E"/>
    <w:rsid w:val="008B65D5"/>
    <w:rsid w:val="008B6BC2"/>
    <w:rsid w:val="008C5168"/>
    <w:rsid w:val="008E1B0B"/>
    <w:rsid w:val="008F0E81"/>
    <w:rsid w:val="008F1DC6"/>
    <w:rsid w:val="008F6AC8"/>
    <w:rsid w:val="00905C5B"/>
    <w:rsid w:val="00915720"/>
    <w:rsid w:val="00920D37"/>
    <w:rsid w:val="00922BF0"/>
    <w:rsid w:val="00923295"/>
    <w:rsid w:val="009238FB"/>
    <w:rsid w:val="00925F11"/>
    <w:rsid w:val="0093223C"/>
    <w:rsid w:val="00935265"/>
    <w:rsid w:val="009422A4"/>
    <w:rsid w:val="0094689F"/>
    <w:rsid w:val="009477D6"/>
    <w:rsid w:val="00953ED3"/>
    <w:rsid w:val="0096098A"/>
    <w:rsid w:val="00965FF6"/>
    <w:rsid w:val="009846D6"/>
    <w:rsid w:val="0098657F"/>
    <w:rsid w:val="009A3236"/>
    <w:rsid w:val="009B5A93"/>
    <w:rsid w:val="009B5B84"/>
    <w:rsid w:val="009B5BEA"/>
    <w:rsid w:val="009B6C7E"/>
    <w:rsid w:val="009C291F"/>
    <w:rsid w:val="009C2FC4"/>
    <w:rsid w:val="009C42A4"/>
    <w:rsid w:val="009C50CF"/>
    <w:rsid w:val="009D1CA8"/>
    <w:rsid w:val="009D2F91"/>
    <w:rsid w:val="009D7CC7"/>
    <w:rsid w:val="009E37BD"/>
    <w:rsid w:val="009E6B86"/>
    <w:rsid w:val="009F5419"/>
    <w:rsid w:val="00A03301"/>
    <w:rsid w:val="00A12762"/>
    <w:rsid w:val="00A13867"/>
    <w:rsid w:val="00A16020"/>
    <w:rsid w:val="00A26FED"/>
    <w:rsid w:val="00A2794A"/>
    <w:rsid w:val="00A27C43"/>
    <w:rsid w:val="00A3011E"/>
    <w:rsid w:val="00A301CC"/>
    <w:rsid w:val="00A421D4"/>
    <w:rsid w:val="00A44D41"/>
    <w:rsid w:val="00A44FF0"/>
    <w:rsid w:val="00A47B8B"/>
    <w:rsid w:val="00A50E55"/>
    <w:rsid w:val="00A67EB1"/>
    <w:rsid w:val="00A75159"/>
    <w:rsid w:val="00A91A47"/>
    <w:rsid w:val="00A92536"/>
    <w:rsid w:val="00A95D2B"/>
    <w:rsid w:val="00AA5587"/>
    <w:rsid w:val="00AB6F30"/>
    <w:rsid w:val="00AC0EF1"/>
    <w:rsid w:val="00AC1E53"/>
    <w:rsid w:val="00AC541F"/>
    <w:rsid w:val="00AC6C6B"/>
    <w:rsid w:val="00AD2708"/>
    <w:rsid w:val="00AD79C8"/>
    <w:rsid w:val="00AE6CE0"/>
    <w:rsid w:val="00AF023D"/>
    <w:rsid w:val="00B0074F"/>
    <w:rsid w:val="00B015CE"/>
    <w:rsid w:val="00B0511E"/>
    <w:rsid w:val="00B058A6"/>
    <w:rsid w:val="00B117D0"/>
    <w:rsid w:val="00B13998"/>
    <w:rsid w:val="00B15896"/>
    <w:rsid w:val="00B23F2A"/>
    <w:rsid w:val="00B25754"/>
    <w:rsid w:val="00B25F2E"/>
    <w:rsid w:val="00B40ED2"/>
    <w:rsid w:val="00B42499"/>
    <w:rsid w:val="00B439DD"/>
    <w:rsid w:val="00B512E2"/>
    <w:rsid w:val="00B52E0F"/>
    <w:rsid w:val="00B64D3E"/>
    <w:rsid w:val="00B71744"/>
    <w:rsid w:val="00B71B99"/>
    <w:rsid w:val="00B74629"/>
    <w:rsid w:val="00B91F58"/>
    <w:rsid w:val="00BA1A89"/>
    <w:rsid w:val="00BA370A"/>
    <w:rsid w:val="00BA579E"/>
    <w:rsid w:val="00BB0CB1"/>
    <w:rsid w:val="00BB7D05"/>
    <w:rsid w:val="00BD28B7"/>
    <w:rsid w:val="00BD5909"/>
    <w:rsid w:val="00BE151B"/>
    <w:rsid w:val="00BE1B05"/>
    <w:rsid w:val="00BE2295"/>
    <w:rsid w:val="00BE6373"/>
    <w:rsid w:val="00BE755B"/>
    <w:rsid w:val="00BF533A"/>
    <w:rsid w:val="00C12693"/>
    <w:rsid w:val="00C2216D"/>
    <w:rsid w:val="00C33698"/>
    <w:rsid w:val="00C43C3F"/>
    <w:rsid w:val="00C46677"/>
    <w:rsid w:val="00C5180E"/>
    <w:rsid w:val="00C54E40"/>
    <w:rsid w:val="00C554A9"/>
    <w:rsid w:val="00C557EE"/>
    <w:rsid w:val="00C55F56"/>
    <w:rsid w:val="00C57BA4"/>
    <w:rsid w:val="00C613EB"/>
    <w:rsid w:val="00C6404D"/>
    <w:rsid w:val="00C64056"/>
    <w:rsid w:val="00C8145B"/>
    <w:rsid w:val="00C8153C"/>
    <w:rsid w:val="00C83B7C"/>
    <w:rsid w:val="00C84623"/>
    <w:rsid w:val="00CA2AD6"/>
    <w:rsid w:val="00CB06C9"/>
    <w:rsid w:val="00CB1E41"/>
    <w:rsid w:val="00CB271C"/>
    <w:rsid w:val="00CB6278"/>
    <w:rsid w:val="00CD02DD"/>
    <w:rsid w:val="00CD710C"/>
    <w:rsid w:val="00CE4F96"/>
    <w:rsid w:val="00CF0AB1"/>
    <w:rsid w:val="00CF4B9B"/>
    <w:rsid w:val="00CF55E6"/>
    <w:rsid w:val="00CF772F"/>
    <w:rsid w:val="00D048DB"/>
    <w:rsid w:val="00D050E8"/>
    <w:rsid w:val="00D058C4"/>
    <w:rsid w:val="00D12C85"/>
    <w:rsid w:val="00D14F0B"/>
    <w:rsid w:val="00D16143"/>
    <w:rsid w:val="00D16350"/>
    <w:rsid w:val="00D178CA"/>
    <w:rsid w:val="00D3311C"/>
    <w:rsid w:val="00D53405"/>
    <w:rsid w:val="00D5457B"/>
    <w:rsid w:val="00D625FA"/>
    <w:rsid w:val="00D72316"/>
    <w:rsid w:val="00D72995"/>
    <w:rsid w:val="00D84D44"/>
    <w:rsid w:val="00D97846"/>
    <w:rsid w:val="00DA7FA2"/>
    <w:rsid w:val="00DC0654"/>
    <w:rsid w:val="00DC1ACE"/>
    <w:rsid w:val="00DC2D8D"/>
    <w:rsid w:val="00DE1F5D"/>
    <w:rsid w:val="00DE2B2F"/>
    <w:rsid w:val="00DE3BC1"/>
    <w:rsid w:val="00DE50D8"/>
    <w:rsid w:val="00DE54BD"/>
    <w:rsid w:val="00DF1245"/>
    <w:rsid w:val="00DF278A"/>
    <w:rsid w:val="00DF5655"/>
    <w:rsid w:val="00E1664B"/>
    <w:rsid w:val="00E30D12"/>
    <w:rsid w:val="00E3394E"/>
    <w:rsid w:val="00E35241"/>
    <w:rsid w:val="00E352A6"/>
    <w:rsid w:val="00E41417"/>
    <w:rsid w:val="00E52487"/>
    <w:rsid w:val="00E536D3"/>
    <w:rsid w:val="00E57BE2"/>
    <w:rsid w:val="00E6062A"/>
    <w:rsid w:val="00E60DBD"/>
    <w:rsid w:val="00E60E0B"/>
    <w:rsid w:val="00E62A95"/>
    <w:rsid w:val="00E67B95"/>
    <w:rsid w:val="00E746A2"/>
    <w:rsid w:val="00E81FCF"/>
    <w:rsid w:val="00E90D06"/>
    <w:rsid w:val="00E9290F"/>
    <w:rsid w:val="00E967D5"/>
    <w:rsid w:val="00E97E59"/>
    <w:rsid w:val="00EA5B12"/>
    <w:rsid w:val="00EA79C9"/>
    <w:rsid w:val="00EB3456"/>
    <w:rsid w:val="00EB66AC"/>
    <w:rsid w:val="00EC2247"/>
    <w:rsid w:val="00ED3192"/>
    <w:rsid w:val="00ED5ABB"/>
    <w:rsid w:val="00ED6AF3"/>
    <w:rsid w:val="00EE1F87"/>
    <w:rsid w:val="00EE2DA9"/>
    <w:rsid w:val="00EE3931"/>
    <w:rsid w:val="00EE5AF6"/>
    <w:rsid w:val="00EF2CEF"/>
    <w:rsid w:val="00F1092D"/>
    <w:rsid w:val="00F1490B"/>
    <w:rsid w:val="00F2446F"/>
    <w:rsid w:val="00F2714D"/>
    <w:rsid w:val="00F312A6"/>
    <w:rsid w:val="00F371E2"/>
    <w:rsid w:val="00F42C20"/>
    <w:rsid w:val="00F431D8"/>
    <w:rsid w:val="00F452B9"/>
    <w:rsid w:val="00F6073F"/>
    <w:rsid w:val="00F61519"/>
    <w:rsid w:val="00F6156B"/>
    <w:rsid w:val="00F61F77"/>
    <w:rsid w:val="00F6602E"/>
    <w:rsid w:val="00F66E2F"/>
    <w:rsid w:val="00F67706"/>
    <w:rsid w:val="00F76359"/>
    <w:rsid w:val="00F91977"/>
    <w:rsid w:val="00F92D75"/>
    <w:rsid w:val="00F97327"/>
    <w:rsid w:val="00F977C6"/>
    <w:rsid w:val="00F97C25"/>
    <w:rsid w:val="00FA1A23"/>
    <w:rsid w:val="00FA296F"/>
    <w:rsid w:val="00FA7323"/>
    <w:rsid w:val="00FA73CF"/>
    <w:rsid w:val="00FC2158"/>
    <w:rsid w:val="00FC32D3"/>
    <w:rsid w:val="00FC3923"/>
    <w:rsid w:val="00FC5CFE"/>
    <w:rsid w:val="00FD0DB8"/>
    <w:rsid w:val="00FD4D82"/>
    <w:rsid w:val="00FD68B8"/>
    <w:rsid w:val="00FE57AE"/>
    <w:rsid w:val="00FE5B26"/>
    <w:rsid w:val="00FF0338"/>
    <w:rsid w:val="00FF26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4432B7"/>
    <w:pPr>
      <w:autoSpaceDE w:val="0"/>
      <w:autoSpaceDN w:val="0"/>
      <w:adjustRightInd w:val="0"/>
      <w:ind w:left="0" w:firstLine="0"/>
    </w:pPr>
    <w:rPr>
      <w:rFonts w:ascii="Calibri" w:hAnsi="Calibri" w:cs="Calibri"/>
      <w:color w:val="000000"/>
      <w:sz w:val="24"/>
      <w:szCs w:val="24"/>
    </w:rPr>
  </w:style>
  <w:style w:type="paragraph" w:customStyle="1" w:styleId="Pa51">
    <w:name w:val="Pa5+1"/>
    <w:basedOn w:val="Default"/>
    <w:next w:val="Default"/>
    <w:uiPriority w:val="99"/>
    <w:rsid w:val="00613C0D"/>
    <w:pPr>
      <w:spacing w:line="181" w:lineRule="atLeast"/>
    </w:pPr>
    <w:rPr>
      <w:rFonts w:ascii="BentonGothicCond Regular" w:hAnsi="BentonGothicCond Regular" w:cstheme="minorBidi"/>
      <w:color w:val="auto"/>
    </w:rPr>
  </w:style>
  <w:style w:type="character" w:styleId="Emphasis">
    <w:name w:val="Emphasis"/>
    <w:basedOn w:val="DefaultParagraphFont"/>
    <w:uiPriority w:val="20"/>
    <w:qFormat/>
    <w:rsid w:val="00252C53"/>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paragraph" w:customStyle="1" w:styleId="Default">
    <w:name w:val="Default"/>
    <w:rsid w:val="004432B7"/>
    <w:pPr>
      <w:autoSpaceDE w:val="0"/>
      <w:autoSpaceDN w:val="0"/>
      <w:adjustRightInd w:val="0"/>
      <w:ind w:left="0" w:firstLine="0"/>
    </w:pPr>
    <w:rPr>
      <w:rFonts w:ascii="Calibri" w:hAnsi="Calibri" w:cs="Calibri"/>
      <w:color w:val="000000"/>
      <w:sz w:val="24"/>
      <w:szCs w:val="24"/>
    </w:rPr>
  </w:style>
  <w:style w:type="paragraph" w:customStyle="1" w:styleId="Pa51">
    <w:name w:val="Pa5+1"/>
    <w:basedOn w:val="Default"/>
    <w:next w:val="Default"/>
    <w:uiPriority w:val="99"/>
    <w:rsid w:val="00613C0D"/>
    <w:pPr>
      <w:spacing w:line="181" w:lineRule="atLeast"/>
    </w:pPr>
    <w:rPr>
      <w:rFonts w:ascii="BentonGothicCond Regular" w:hAnsi="BentonGothicCond Regular" w:cstheme="minorBidi"/>
      <w:color w:val="auto"/>
    </w:rPr>
  </w:style>
  <w:style w:type="character" w:styleId="Emphasis">
    <w:name w:val="Emphasis"/>
    <w:basedOn w:val="DefaultParagraphFont"/>
    <w:uiPriority w:val="20"/>
    <w:qFormat/>
    <w:rsid w:val="00252C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476118">
      <w:bodyDiv w:val="1"/>
      <w:marLeft w:val="0"/>
      <w:marRight w:val="0"/>
      <w:marTop w:val="0"/>
      <w:marBottom w:val="0"/>
      <w:divBdr>
        <w:top w:val="none" w:sz="0" w:space="0" w:color="auto"/>
        <w:left w:val="none" w:sz="0" w:space="0" w:color="auto"/>
        <w:bottom w:val="none" w:sz="0" w:space="0" w:color="auto"/>
        <w:right w:val="none" w:sz="0" w:space="0" w:color="auto"/>
      </w:divBdr>
    </w:div>
    <w:div w:id="1332559746">
      <w:bodyDiv w:val="1"/>
      <w:marLeft w:val="0"/>
      <w:marRight w:val="0"/>
      <w:marTop w:val="0"/>
      <w:marBottom w:val="0"/>
      <w:divBdr>
        <w:top w:val="none" w:sz="0" w:space="0" w:color="auto"/>
        <w:left w:val="none" w:sz="0" w:space="0" w:color="auto"/>
        <w:bottom w:val="none" w:sz="0" w:space="0" w:color="auto"/>
        <w:right w:val="none" w:sz="0" w:space="0" w:color="auto"/>
      </w:divBdr>
    </w:div>
    <w:div w:id="1347826798">
      <w:bodyDiv w:val="1"/>
      <w:marLeft w:val="0"/>
      <w:marRight w:val="0"/>
      <w:marTop w:val="0"/>
      <w:marBottom w:val="0"/>
      <w:divBdr>
        <w:top w:val="none" w:sz="0" w:space="0" w:color="auto"/>
        <w:left w:val="none" w:sz="0" w:space="0" w:color="auto"/>
        <w:bottom w:val="none" w:sz="0" w:space="0" w:color="auto"/>
        <w:right w:val="none" w:sz="0" w:space="0" w:color="auto"/>
      </w:divBdr>
    </w:div>
    <w:div w:id="172471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hyperlink" Target="http://www.aqaalliance.org/files/PrinciplesofEfficiencyMeasurementApril2006.doc" TargetMode="External"/><Relationship Id="rId26" Type="http://schemas.openxmlformats.org/officeDocument/2006/relationships/hyperlink" Target="http://sophia.stkate.edu/ma_osot" TargetMode="External"/><Relationship Id="rId3" Type="http://schemas.openxmlformats.org/officeDocument/2006/relationships/customXml" Target="../customXml/item3.xml"/><Relationship Id="rId21" Type="http://schemas.openxmlformats.org/officeDocument/2006/relationships/hyperlink" Target="http://www.jospt.org/doi/pdfplus/10.2519/jospt.2012.42.4.A1"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yperlink" Target="http://www.qualityforum.org/Publications/2010/01/Measurement_Framework__Evaluating_Efficiency_Across_Patient-Focused_Episodes_of_Care.aspx" TargetMode="External"/><Relationship Id="rId25" Type="http://schemas.openxmlformats.org/officeDocument/2006/relationships/hyperlink" Target="http://www.apta.org/Outcome%20Measures%20/" TargetMode="External"/><Relationship Id="rId2" Type="http://schemas.openxmlformats.org/officeDocument/2006/relationships/customXml" Target="../customXml/item2.xml"/><Relationship Id="rId16" Type="http://schemas.openxmlformats.org/officeDocument/2006/relationships/hyperlink" Target="http://www.gradeworkinggroup.org/publications/index.htm" TargetMode="External"/><Relationship Id="rId20" Type="http://schemas.openxmlformats.org/officeDocument/2006/relationships/hyperlink" Target="http://www.jospt.org/doi/pdfplus/10.2519/jospt.2012.42.4.A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yperlink" Target="http://www.jospt.org/doi/pdfplus/10.2519/jospt.2013.0302" TargetMode="External"/><Relationship Id="rId5" Type="http://schemas.openxmlformats.org/officeDocument/2006/relationships/customXml" Target="../customXml/item5.xml"/><Relationship Id="rId15" Type="http://schemas.openxmlformats.org/officeDocument/2006/relationships/hyperlink" Target="http://www.uspreventiveservicestaskforce.org/methods.htm" TargetMode="External"/><Relationship Id="rId23" Type="http://schemas.openxmlformats.org/officeDocument/2006/relationships/hyperlink" Target="http://www.jospt.org/doi/pdfplus/10.2519/jospt.2012.42.4.A1"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www.jospt.org/doi/pdfplus/10.2519/jospt.2013.0302"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uspreventiveservicestaskforce.org/uspstf/grades.htm" TargetMode="External"/><Relationship Id="rId22" Type="http://schemas.openxmlformats.org/officeDocument/2006/relationships/hyperlink" Target="http://www.jospt.org/doi/pdfplus/10.2519/jospt.2013.0302"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entonGothicCond Regular">
    <w:altName w:val="BentonGothicCond Regular"/>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NewRoman,Bold">
    <w:panose1 w:val="00000000000000000000"/>
    <w:charset w:val="00"/>
    <w:family w:val="roman"/>
    <w:notTrueType/>
    <w:pitch w:val="default"/>
    <w:sig w:usb0="00000003" w:usb1="00000000" w:usb2="00000000" w:usb3="00000000" w:csb0="00000001" w:csb1="00000000"/>
  </w:font>
  <w:font w:name="AdvTT6120e2aa">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065CF8"/>
    <w:rsid w:val="00073054"/>
    <w:rsid w:val="00103DC1"/>
    <w:rsid w:val="00160241"/>
    <w:rsid w:val="001976C9"/>
    <w:rsid w:val="00220730"/>
    <w:rsid w:val="002B5F47"/>
    <w:rsid w:val="003A1E4B"/>
    <w:rsid w:val="00400A33"/>
    <w:rsid w:val="00455EB5"/>
    <w:rsid w:val="00461C1C"/>
    <w:rsid w:val="004D196E"/>
    <w:rsid w:val="004E2027"/>
    <w:rsid w:val="00553F87"/>
    <w:rsid w:val="005F21F3"/>
    <w:rsid w:val="006F0075"/>
    <w:rsid w:val="007C1FCA"/>
    <w:rsid w:val="008F6A9B"/>
    <w:rsid w:val="009568CD"/>
    <w:rsid w:val="00971956"/>
    <w:rsid w:val="00A230C9"/>
    <w:rsid w:val="00A26CB7"/>
    <w:rsid w:val="00A63E67"/>
    <w:rsid w:val="00B36A75"/>
    <w:rsid w:val="00BE0F2D"/>
    <w:rsid w:val="00C03643"/>
    <w:rsid w:val="00C2797F"/>
    <w:rsid w:val="00C727F1"/>
    <w:rsid w:val="00C80225"/>
    <w:rsid w:val="00D228C9"/>
    <w:rsid w:val="00DA2150"/>
    <w:rsid w:val="00DB148C"/>
    <w:rsid w:val="00DB5324"/>
    <w:rsid w:val="00E97654"/>
    <w:rsid w:val="00EA555A"/>
    <w:rsid w:val="00F87EB9"/>
    <w:rsid w:val="00FA2EBC"/>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e971fbd-848f-43d6-ba46-e1dc74f1ee5d">YTHJMCQMW44X-350-212</_dlc_DocId>
    <_dlc_DocIdUrl xmlns="7e971fbd-848f-43d6-ba46-e1dc74f1ee5d">
      <Url>http://wvminet/workspaces/MIDS-PQRS/_layouts/DocIdRedir.aspx?ID=YTHJMCQMW44X-350-212</Url>
      <Description>YTHJMCQMW44X-350-212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310913041EEA43A3BC551400B31F6D" ma:contentTypeVersion="0" ma:contentTypeDescription="Create a new document." ma:contentTypeScope="" ma:versionID="c9b68bb71cadd34994a4503621c4ca1e">
  <xsd:schema xmlns:xsd="http://www.w3.org/2001/XMLSchema" xmlns:xs="http://www.w3.org/2001/XMLSchema" xmlns:p="http://schemas.microsoft.com/office/2006/metadata/properties" xmlns:ns2="7e971fbd-848f-43d6-ba46-e1dc74f1ee5d" targetNamespace="http://schemas.microsoft.com/office/2006/metadata/properties" ma:root="true" ma:fieldsID="ba70b97bc93485380dca10b192c7671d" ns2:_="">
    <xsd:import namespace="7e971fbd-848f-43d6-ba46-e1dc74f1ee5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71fbd-848f-43d6-ba46-e1dc74f1ee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71B94-D584-4941-8ED4-008A1F8D8FC4}">
  <ds:schemaRefs>
    <ds:schemaRef ds:uri="http://schemas.microsoft.com/office/2006/metadata/properties"/>
    <ds:schemaRef ds:uri="http://schemas.microsoft.com/office/infopath/2007/PartnerControls"/>
    <ds:schemaRef ds:uri="7e971fbd-848f-43d6-ba46-e1dc74f1ee5d"/>
  </ds:schemaRefs>
</ds:datastoreItem>
</file>

<file path=customXml/itemProps2.xml><?xml version="1.0" encoding="utf-8"?>
<ds:datastoreItem xmlns:ds="http://schemas.openxmlformats.org/officeDocument/2006/customXml" ds:itemID="{4878D15A-8FEE-47F7-81EF-1230E184F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971fbd-848f-43d6-ba46-e1dc74f1ee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CC52A6-A190-4C6D-B9D1-E3EA3D16963D}">
  <ds:schemaRefs>
    <ds:schemaRef ds:uri="http://schemas.microsoft.com/sharepoint/events"/>
  </ds:schemaRefs>
</ds:datastoreItem>
</file>

<file path=customXml/itemProps4.xml><?xml version="1.0" encoding="utf-8"?>
<ds:datastoreItem xmlns:ds="http://schemas.openxmlformats.org/officeDocument/2006/customXml" ds:itemID="{906B4EDA-02DD-4950-8AD9-C69DB870568D}">
  <ds:schemaRefs>
    <ds:schemaRef ds:uri="http://schemas.microsoft.com/sharepoint/v3/contenttype/forms"/>
  </ds:schemaRefs>
</ds:datastoreItem>
</file>

<file path=customXml/itemProps5.xml><?xml version="1.0" encoding="utf-8"?>
<ds:datastoreItem xmlns:ds="http://schemas.openxmlformats.org/officeDocument/2006/customXml" ds:itemID="{0F63EADD-9164-4054-9681-1D7702004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12</Pages>
  <Words>4969</Words>
  <Characters>28326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Dudhwala, Hiral</cp:lastModifiedBy>
  <cp:revision>18</cp:revision>
  <dcterms:created xsi:type="dcterms:W3CDTF">2014-10-02T15:53:00Z</dcterms:created>
  <dcterms:modified xsi:type="dcterms:W3CDTF">2014-10-21T13:46:00Z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f954b1fe-76e4-4578-a8f5-24486fddd9a8</vt:lpwstr>
  </property>
  <property fmtid="{D5CDD505-2E9C-101B-9397-08002B2CF9AE}" pid="3" name="ContentTypeId">
    <vt:lpwstr>0x010100C9310913041EEA43A3BC551400B31F6D</vt:lpwstr>
  </property>
</Properties>
</file>