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8FABDC8373F34925BFF1276DEF2737DE"/>
          </w:placeholder>
        </w:sdtPr>
        <w:sdtEndPr>
          <w:rPr>
            <w:rStyle w:val="DefaultParagraphFont"/>
            <w:rFonts w:cstheme="minorHAnsi"/>
            <w:b/>
            <w:noProof/>
            <w:color w:val="auto"/>
          </w:rPr>
        </w:sdtEndPr>
        <w:sdtContent>
          <w:r w:rsidR="00B65C8F">
            <w:rPr>
              <w:rStyle w:val="Style1"/>
            </w:rPr>
            <w:t>Not applicable</w:t>
          </w:r>
        </w:sdtContent>
      </w:sdt>
    </w:p>
    <w:p w:rsidR="00496AF8" w:rsidRPr="00E51798" w:rsidRDefault="00496AF8" w:rsidP="002E2177">
      <w:pPr>
        <w:ind w:left="0" w:firstLine="0"/>
        <w:rPr>
          <w:noProof/>
        </w:rPr>
      </w:pPr>
      <w:r w:rsidRPr="00B91F58">
        <w:rPr>
          <w:b/>
          <w:noProof/>
        </w:rPr>
        <w:t>Measure Title</w:t>
      </w:r>
      <w:r w:rsidRPr="00DA7FA2">
        <w:rPr>
          <w:noProof/>
        </w:rPr>
        <w:t>:</w:t>
      </w:r>
      <w:r w:rsidR="00432980">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52BD9" w:rsidRPr="00752BD9">
            <w:rPr>
              <w:color w:val="0000FF"/>
            </w:rPr>
            <w:t xml:space="preserve">Percent of Long-Term Care Hospital </w:t>
          </w:r>
          <w:r w:rsidR="008369A8">
            <w:rPr>
              <w:color w:val="0000FF"/>
            </w:rPr>
            <w:t xml:space="preserve">(LTCH) </w:t>
          </w:r>
          <w:r w:rsidR="00752BD9" w:rsidRPr="00752BD9">
            <w:rPr>
              <w:color w:val="0000FF"/>
            </w:rPr>
            <w:t>Patients with an Admission and Discharge Functional Assessment and a Care Plan that Addresses Function</w:t>
          </w:r>
          <w:r w:rsidR="00432980">
            <w:rPr>
              <w:color w:val="0000FF"/>
            </w:rPr>
            <w:t xml:space="preserve"> </w:t>
          </w:r>
        </w:sdtContent>
      </w:sdt>
    </w:p>
    <w:p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009930B7">
        <w:rPr>
          <w:rStyle w:val="Style1"/>
        </w:rPr>
        <w:t xml:space="preserve">: </w:t>
      </w:r>
      <w:r w:rsidR="00B65C8F">
        <w:rPr>
          <w:rStyle w:val="Style1"/>
        </w:rPr>
        <w:t>Not applicable</w:t>
      </w:r>
    </w:p>
    <w:p w:rsidR="00496AF8" w:rsidRDefault="00496AF8" w:rsidP="006128E4">
      <w:pPr>
        <w:tabs>
          <w:tab w:val="left" w:pos="4082"/>
        </w:tabs>
        <w:ind w:left="0" w:firstLine="0"/>
        <w:rPr>
          <w:rStyle w:val="Style2"/>
        </w:rPr>
      </w:pPr>
      <w:r w:rsidRPr="00B91F58">
        <w:rPr>
          <w:b/>
          <w:noProof/>
        </w:rPr>
        <w:t>Date of Submission</w:t>
      </w:r>
      <w:r w:rsidRPr="00DA7FA2">
        <w:rPr>
          <w:noProof/>
        </w:rPr>
        <w:t>:</w:t>
      </w:r>
      <w:r w:rsidR="00432980">
        <w:rPr>
          <w:noProof/>
        </w:rPr>
        <w:t xml:space="preserve"> </w:t>
      </w:r>
      <w:sdt>
        <w:sdtPr>
          <w:rPr>
            <w:rStyle w:val="Style2"/>
          </w:rPr>
          <w:id w:val="-1689821638"/>
          <w:placeholder>
            <w:docPart w:val="6A100845774148B09AFD987423307E3B"/>
          </w:placeholder>
          <w:date w:fullDate="2014-11-02T00:00:00Z">
            <w:dateFormat w:val="M/d/yyyy"/>
            <w:lid w:val="en-US"/>
            <w:storeMappedDataAs w:val="dateTime"/>
            <w:calendar w:val="gregorian"/>
          </w:date>
        </w:sdtPr>
        <w:sdtEndPr>
          <w:rPr>
            <w:rStyle w:val="DefaultParagraphFont"/>
            <w:noProof/>
            <w:color w:val="auto"/>
            <w:u w:val="none"/>
          </w:rPr>
        </w:sdtEndPr>
        <w:sdtContent>
          <w:r w:rsidR="006128E4">
            <w:rPr>
              <w:rStyle w:val="Style2"/>
            </w:rPr>
            <w:t>11/2/2014</w:t>
          </w:r>
        </w:sdtContent>
      </w:sdt>
      <w:r w:rsidR="006128E4">
        <w:rPr>
          <w:noProof/>
        </w:rPr>
        <w:tab/>
      </w:r>
    </w:p>
    <w:p w:rsidR="00176E60"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Tr="006128E4">
        <w:trPr>
          <w:jc w:val="center"/>
        </w:trPr>
        <w:tc>
          <w:tcPr>
            <w:tcW w:w="10534"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For composite performance measures:</w:t>
            </w:r>
            <w:r w:rsidR="00432980">
              <w:rPr>
                <w:i/>
                <w:sz w:val="22"/>
                <w:szCs w:val="22"/>
              </w:rPr>
              <w:t xml:space="preserve">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r w:rsidR="00A13867">
              <w:rPr>
                <w:rFonts w:cstheme="minorHAnsi"/>
              </w:rPr>
              <w:t>sub</w:t>
            </w:r>
            <w:r w:rsidR="008B652E" w:rsidRPr="005B409D">
              <w:rPr>
                <w:rFonts w:cstheme="minorHAnsi"/>
              </w:rPr>
              <w:t>criterion (1a)</w:t>
            </w:r>
            <w:r w:rsidR="008B652E" w:rsidRPr="00496AF8">
              <w:t xml:space="preserve"> must be in this form.</w:t>
            </w:r>
            <w:r w:rsidR="00432980">
              <w:t xml:space="preserve"> </w:t>
            </w:r>
            <w:r w:rsidR="008B652E" w:rsidRPr="00496AF8">
              <w:t xml:space="preserve">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951601">
              <w:t xml:space="preserve">Maximum of </w:t>
            </w:r>
            <w:r w:rsidR="00235ADC" w:rsidRPr="00951601">
              <w:t>10</w:t>
            </w:r>
            <w:r w:rsidR="00A421D4" w:rsidRPr="00951601">
              <w:t xml:space="preserve"> pages</w:t>
            </w:r>
            <w:r w:rsidR="00A421D4">
              <w:t xml:space="preserve"> (</w:t>
            </w:r>
            <w:r w:rsidR="00114848">
              <w:rPr>
                <w:i/>
              </w:rPr>
              <w:t>incudes questions/instructions</w:t>
            </w:r>
            <w:r>
              <w:t>; minimum font size 11 pt</w:t>
            </w:r>
            <w:r w:rsidR="00114848">
              <w:t>; do not change margins).</w:t>
            </w:r>
            <w:r w:rsidR="0088371C">
              <w:t xml:space="preserve"> </w:t>
            </w:r>
            <w:r w:rsidR="009E37BD" w:rsidRPr="000D6D06">
              <w:rPr>
                <w:b/>
                <w:i/>
              </w:rPr>
              <w:t xml:space="preserve">Contact </w:t>
            </w:r>
            <w:r w:rsidR="008B652E" w:rsidRPr="00BD35B1">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r w:rsidRPr="00E371B1">
              <w:t>Submitting Standards webpage</w:t>
            </w:r>
            <w:r>
              <w:t>.</w:t>
            </w:r>
          </w:p>
        </w:tc>
      </w:tr>
      <w:tr w:rsidR="00176E60" w:rsidTr="006128E4">
        <w:trPr>
          <w:jc w:val="center"/>
        </w:trPr>
        <w:tc>
          <w:tcPr>
            <w:tcW w:w="10534" w:type="dxa"/>
          </w:tcPr>
          <w:p w:rsidR="008B652E" w:rsidRPr="002A3C05" w:rsidRDefault="007573F0" w:rsidP="008B652E">
            <w:pPr>
              <w:ind w:left="0" w:firstLine="0"/>
              <w:rPr>
                <w:sz w:val="20"/>
              </w:rPr>
            </w:pPr>
            <w:r w:rsidRPr="002A3C05">
              <w:rPr>
                <w:b/>
                <w:sz w:val="20"/>
                <w:u w:val="single"/>
              </w:rPr>
              <w:t>Note</w:t>
            </w:r>
            <w:r w:rsidRPr="002A3C05">
              <w:rPr>
                <w:b/>
                <w:sz w:val="20"/>
              </w:rPr>
              <w:t xml:space="preserve">: </w:t>
            </w:r>
            <w:r w:rsidR="008B652E" w:rsidRPr="002A3C05">
              <w:rPr>
                <w:b/>
                <w:sz w:val="20"/>
              </w:rPr>
              <w:t>The information provided in this form is intended to aid the Steering Committee and other stakeholders in understanding to what degree the evidence for this measure meets NQF’s evaluation criteria.</w:t>
            </w:r>
          </w:p>
          <w:p w:rsidR="008B652E" w:rsidRPr="002A3C05" w:rsidRDefault="008B652E" w:rsidP="002A3C05">
            <w:pPr>
              <w:ind w:left="90" w:hanging="90"/>
              <w:rPr>
                <w:sz w:val="20"/>
              </w:rPr>
            </w:pPr>
          </w:p>
          <w:p w:rsidR="00176E60" w:rsidRPr="002A3C05" w:rsidRDefault="00176E60" w:rsidP="002A3C05">
            <w:pPr>
              <w:pStyle w:val="Heading3"/>
              <w:rPr>
                <w:sz w:val="20"/>
              </w:rPr>
            </w:pPr>
            <w:r w:rsidRPr="002A3C05">
              <w:rPr>
                <w:rFonts w:asciiTheme="minorHAnsi" w:hAnsiTheme="minorHAnsi"/>
                <w:sz w:val="20"/>
              </w:rPr>
              <w:t>1a. Evidence to Support the Measure Focus</w:t>
            </w:r>
            <w:r w:rsidR="00432980">
              <w:rPr>
                <w:rFonts w:asciiTheme="minorHAnsi" w:hAnsiTheme="minorHAnsi"/>
                <w:sz w:val="20"/>
                <w:szCs w:val="20"/>
              </w:rPr>
              <w:t xml:space="preserve"> </w:t>
            </w:r>
          </w:p>
          <w:p w:rsidR="00176E60" w:rsidRPr="002A3C05" w:rsidRDefault="00176E60" w:rsidP="00176E60">
            <w:pPr>
              <w:rPr>
                <w:sz w:val="20"/>
              </w:rPr>
            </w:pPr>
            <w:r w:rsidRPr="002A3C05">
              <w:rPr>
                <w:sz w:val="20"/>
              </w:rPr>
              <w:t xml:space="preserve">The measure focus is evidence-based, demonstrated as follows: </w:t>
            </w:r>
          </w:p>
          <w:p w:rsidR="00176E60" w:rsidRPr="002A3C05" w:rsidRDefault="00176E60" w:rsidP="002A3C05">
            <w:pPr>
              <w:numPr>
                <w:ilvl w:val="0"/>
                <w:numId w:val="7"/>
              </w:numPr>
              <w:rPr>
                <w:sz w:val="20"/>
              </w:rPr>
            </w:pPr>
            <w:r w:rsidRPr="002A3C05">
              <w:rPr>
                <w:sz w:val="20"/>
                <w:u w:val="single"/>
              </w:rPr>
              <w:t xml:space="preserve">Health </w:t>
            </w:r>
            <w:r w:rsidRPr="002A3C05">
              <w:rPr>
                <w:sz w:val="20"/>
              </w:rPr>
              <w:t>outcome</w:t>
            </w:r>
            <w:r w:rsidR="00CB1E41" w:rsidRPr="003B1CC5">
              <w:rPr>
                <w:rFonts w:eastAsia="Calibri" w:cs="Calibri"/>
                <w:color w:val="0000FF"/>
                <w:sz w:val="20"/>
                <w:szCs w:val="20"/>
              </w:rPr>
              <w:t xml:space="preserve">: </w:t>
            </w:r>
            <w:r w:rsidRPr="00E371B1">
              <w:rPr>
                <w:b/>
                <w:sz w:val="20"/>
                <w:vertAlign w:val="superscript"/>
              </w:rPr>
              <w:t>3</w:t>
            </w:r>
            <w:r w:rsidRPr="002A3C05">
              <w:rPr>
                <w:color w:val="0000FF"/>
                <w:sz w:val="20"/>
              </w:rPr>
              <w:t xml:space="preserve"> </w:t>
            </w:r>
            <w:r w:rsidRPr="002A3C05">
              <w:rPr>
                <w:sz w:val="20"/>
              </w:rPr>
              <w:t>a rationale supports the relationship of the health outcome to processes or structures of care.</w:t>
            </w:r>
            <w:r w:rsidR="008659ED" w:rsidRPr="003B1CC5">
              <w:rPr>
                <w:rFonts w:eastAsia="Calibri" w:cs="Calibri"/>
                <w:sz w:val="20"/>
                <w:szCs w:val="20"/>
              </w:rPr>
              <w:t xml:space="preserve"> Applies to p</w:t>
            </w:r>
            <w:r w:rsidR="008659ED" w:rsidRPr="00A03301">
              <w:rPr>
                <w:rFonts w:eastAsia="Calibri" w:cs="Calibri"/>
                <w:sz w:val="20"/>
                <w:szCs w:val="20"/>
              </w:rPr>
              <w:t>atient</w:t>
            </w:r>
            <w:r w:rsidR="008659ED" w:rsidRPr="003B1CC5">
              <w:rPr>
                <w:rFonts w:eastAsia="Calibri" w:cs="Calibri"/>
                <w:sz w:val="20"/>
                <w:szCs w:val="20"/>
              </w:rPr>
              <w:t>-reported outcomes (</w:t>
            </w:r>
            <w:r w:rsidR="008659ED" w:rsidRPr="00BD35B1">
              <w:rPr>
                <w:rFonts w:eastAsia="Calibri" w:cs="Calibri"/>
                <w:sz w:val="20"/>
                <w:szCs w:val="20"/>
              </w:rPr>
              <w:t>PRO</w:t>
            </w:r>
            <w:r w:rsidR="008659ED" w:rsidRPr="003B1CC5">
              <w:rPr>
                <w:rFonts w:eastAsia="Calibri" w:cs="Calibri"/>
                <w:sz w:val="20"/>
                <w:szCs w:val="20"/>
              </w:rPr>
              <w:t>), including health-related quality of life/functional status, symptom/symptom burden, experience with care, health-related behavior.</w:t>
            </w:r>
          </w:p>
          <w:p w:rsidR="008659ED" w:rsidRPr="003B1CC5" w:rsidRDefault="00176E60" w:rsidP="008659ED">
            <w:pPr>
              <w:numPr>
                <w:ilvl w:val="0"/>
                <w:numId w:val="7"/>
              </w:numPr>
              <w:rPr>
                <w:rFonts w:eastAsia="Calibri" w:cs="Calibri"/>
                <w:sz w:val="20"/>
                <w:szCs w:val="20"/>
              </w:rPr>
            </w:pPr>
            <w:r w:rsidRPr="002A3C05">
              <w:rPr>
                <w:sz w:val="20"/>
                <w:u w:val="single"/>
              </w:rPr>
              <w:t>Intermediate clinical outcome</w:t>
            </w:r>
            <w:r w:rsidR="008659ED" w:rsidRPr="003B1CC5">
              <w:rPr>
                <w:rFonts w:eastAsia="Calibri" w:cs="Calibri"/>
                <w:sz w:val="20"/>
                <w:szCs w:val="20"/>
              </w:rPr>
              <w:t xml:space="preserve">: a systematic assessment and grading of the quantity, quality, and consistency of the body of evidence </w:t>
            </w:r>
            <w:r w:rsidR="008659ED" w:rsidRPr="00E371B1">
              <w:rPr>
                <w:rFonts w:eastAsia="Calibri" w:cs="Calibri"/>
                <w:b/>
                <w:sz w:val="20"/>
                <w:szCs w:val="20"/>
                <w:vertAlign w:val="superscript"/>
              </w:rPr>
              <w:t>4</w:t>
            </w:r>
            <w:r w:rsidR="008659ED" w:rsidRPr="003B1CC5">
              <w:rPr>
                <w:rFonts w:eastAsia="Calibri" w:cs="Calibri"/>
                <w:b/>
                <w:sz w:val="20"/>
                <w:szCs w:val="20"/>
                <w:vertAlign w:val="superscript"/>
              </w:rPr>
              <w:t xml:space="preserve"> </w:t>
            </w:r>
            <w:r w:rsidR="008659ED" w:rsidRPr="003B1CC5">
              <w:rPr>
                <w:rFonts w:eastAsia="Calibri" w:cs="Calibri"/>
                <w:bCs/>
                <w:sz w:val="20"/>
                <w:szCs w:val="20"/>
              </w:rPr>
              <w:t>that the measured intermediate clinical outcome leads to a desired health outcome.</w:t>
            </w:r>
          </w:p>
          <w:p w:rsidR="008659ED" w:rsidRPr="003B1CC5" w:rsidRDefault="00176E60" w:rsidP="008659ED">
            <w:pPr>
              <w:numPr>
                <w:ilvl w:val="0"/>
                <w:numId w:val="7"/>
              </w:numPr>
              <w:rPr>
                <w:rFonts w:eastAsia="Calibri" w:cs="Calibri"/>
                <w:sz w:val="20"/>
                <w:szCs w:val="20"/>
              </w:rPr>
            </w:pPr>
            <w:r w:rsidRPr="002A3C05">
              <w:rPr>
                <w:sz w:val="20"/>
                <w:u w:val="single"/>
              </w:rPr>
              <w:t>Process</w:t>
            </w:r>
            <w:r w:rsidR="008659ED" w:rsidRPr="003B1CC5">
              <w:rPr>
                <w:rFonts w:eastAsia="Calibri" w:cs="Calibri"/>
                <w:sz w:val="20"/>
                <w:szCs w:val="20"/>
              </w:rPr>
              <w:t xml:space="preserve">: </w:t>
            </w:r>
            <w:r w:rsidR="008659ED" w:rsidRPr="00E371B1">
              <w:rPr>
                <w:rFonts w:eastAsia="Calibri" w:cs="Calibri"/>
                <w:b/>
                <w:sz w:val="20"/>
                <w:szCs w:val="20"/>
                <w:vertAlign w:val="superscript"/>
              </w:rPr>
              <w:t>5</w:t>
            </w:r>
            <w:r w:rsidR="008659ED" w:rsidRPr="003B1CC5">
              <w:rPr>
                <w:rFonts w:eastAsia="Calibri" w:cs="Calibri"/>
                <w:sz w:val="20"/>
                <w:szCs w:val="20"/>
              </w:rPr>
              <w:t xml:space="preserve"> a systematic assessment and grading of the quantity, quality, and consistency of the body of evidence </w:t>
            </w:r>
            <w:r w:rsidR="00CB1E41" w:rsidRPr="00E371B1">
              <w:rPr>
                <w:rFonts w:eastAsia="Calibri" w:cs="Calibri"/>
                <w:b/>
                <w:sz w:val="20"/>
                <w:szCs w:val="20"/>
                <w:vertAlign w:val="superscript"/>
              </w:rPr>
              <w:t>4</w:t>
            </w:r>
            <w:r w:rsidR="008659ED" w:rsidRPr="003B1CC5">
              <w:rPr>
                <w:rFonts w:eastAsia="Calibri" w:cs="Calibri"/>
                <w:bCs/>
                <w:sz w:val="20"/>
                <w:szCs w:val="20"/>
              </w:rPr>
              <w:t xml:space="preserve"> that the measured process leads to a desired health outcome.</w:t>
            </w:r>
          </w:p>
          <w:p w:rsidR="00176E60" w:rsidRPr="002A3C05" w:rsidRDefault="00176E60" w:rsidP="002A3C05">
            <w:pPr>
              <w:numPr>
                <w:ilvl w:val="0"/>
                <w:numId w:val="8"/>
              </w:numPr>
              <w:autoSpaceDE w:val="0"/>
              <w:autoSpaceDN w:val="0"/>
              <w:adjustRightInd w:val="0"/>
              <w:contextualSpacing/>
              <w:rPr>
                <w:sz w:val="20"/>
              </w:rPr>
            </w:pPr>
            <w:r w:rsidRPr="002A3C05">
              <w:rPr>
                <w:sz w:val="20"/>
                <w:u w:val="single"/>
              </w:rPr>
              <w:t>Structure</w:t>
            </w:r>
            <w:r w:rsidRPr="002A3C05">
              <w:rPr>
                <w:sz w:val="20"/>
              </w:rPr>
              <w:t>: a systematic assessment and grading of the quantity, quality, and consistency of the body of evidence</w:t>
            </w:r>
            <w:r w:rsidR="008659ED" w:rsidRPr="003B1CC5">
              <w:rPr>
                <w:rFonts w:eastAsia="Calibri" w:cs="Calibri"/>
                <w:sz w:val="20"/>
                <w:szCs w:val="20"/>
              </w:rPr>
              <w:t xml:space="preserve"> </w:t>
            </w:r>
            <w:r w:rsidR="00CB1E41" w:rsidRPr="00E371B1">
              <w:rPr>
                <w:rFonts w:eastAsia="Calibri" w:cs="Calibri"/>
                <w:b/>
                <w:sz w:val="20"/>
                <w:szCs w:val="20"/>
                <w:vertAlign w:val="superscript"/>
              </w:rPr>
              <w:t>4</w:t>
            </w:r>
            <w:r w:rsidR="00432980">
              <w:rPr>
                <w:rFonts w:eastAsia="Calibri" w:cs="Calibri"/>
                <w:b/>
                <w:sz w:val="20"/>
                <w:szCs w:val="20"/>
                <w:vertAlign w:val="superscript"/>
              </w:rPr>
              <w:t xml:space="preserve"> </w:t>
            </w:r>
            <w:r w:rsidRPr="002A3C05">
              <w:rPr>
                <w:sz w:val="20"/>
              </w:rPr>
              <w:t xml:space="preserve">that the </w:t>
            </w:r>
            <w:r w:rsidR="008659ED" w:rsidRPr="003B1CC5">
              <w:rPr>
                <w:rFonts w:eastAsia="Calibri" w:cs="Calibri"/>
                <w:bCs/>
                <w:sz w:val="20"/>
                <w:szCs w:val="20"/>
              </w:rPr>
              <w:t>measured structure</w:t>
            </w:r>
            <w:r w:rsidRPr="002A3C05">
              <w:rPr>
                <w:sz w:val="20"/>
              </w:rPr>
              <w:t xml:space="preserve"> leads to a desired health outcome.</w:t>
            </w:r>
          </w:p>
          <w:p w:rsidR="00176E60" w:rsidRPr="002A3C05" w:rsidRDefault="00176E60" w:rsidP="002A3C05">
            <w:pPr>
              <w:numPr>
                <w:ilvl w:val="0"/>
                <w:numId w:val="8"/>
              </w:numPr>
              <w:autoSpaceDE w:val="0"/>
              <w:autoSpaceDN w:val="0"/>
              <w:adjustRightInd w:val="0"/>
              <w:contextualSpacing/>
              <w:rPr>
                <w:sz w:val="20"/>
              </w:rPr>
            </w:pPr>
            <w:r w:rsidRPr="002A3C05">
              <w:rPr>
                <w:sz w:val="20"/>
                <w:u w:val="single"/>
              </w:rPr>
              <w:t>Efficiency</w:t>
            </w:r>
            <w:r w:rsidR="00E536D3" w:rsidRPr="003B1CC5">
              <w:rPr>
                <w:rFonts w:eastAsia="Calibri" w:cs="Calibri"/>
                <w:sz w:val="20"/>
                <w:szCs w:val="20"/>
              </w:rPr>
              <w:t xml:space="preserve">: </w:t>
            </w:r>
            <w:r w:rsidRPr="00E371B1">
              <w:rPr>
                <w:b/>
                <w:sz w:val="20"/>
                <w:vertAlign w:val="superscript"/>
              </w:rPr>
              <w:t>6</w:t>
            </w:r>
            <w:r w:rsidRPr="002A3C05">
              <w:rPr>
                <w:sz w:val="20"/>
              </w:rPr>
              <w:t xml:space="preserve"> evidence </w:t>
            </w:r>
            <w:r w:rsidR="008659ED" w:rsidRPr="003B1CC5">
              <w:rPr>
                <w:rFonts w:eastAsia="Calibri" w:cs="Calibri"/>
                <w:sz w:val="20"/>
                <w:szCs w:val="20"/>
              </w:rPr>
              <w:t xml:space="preserve">not required </w:t>
            </w:r>
            <w:r w:rsidRPr="002A3C05">
              <w:rPr>
                <w:sz w:val="20"/>
              </w:rPr>
              <w:t xml:space="preserve">for the </w:t>
            </w:r>
            <w:r w:rsidR="008659ED" w:rsidRPr="003B1CC5">
              <w:rPr>
                <w:rFonts w:eastAsia="Calibri" w:cs="Calibri"/>
                <w:sz w:val="20"/>
                <w:szCs w:val="20"/>
              </w:rPr>
              <w:t>resource use</w:t>
            </w:r>
            <w:r w:rsidRPr="002A3C05">
              <w:rPr>
                <w:sz w:val="20"/>
              </w:rPr>
              <w:t xml:space="preserve"> component.</w:t>
            </w:r>
          </w:p>
          <w:p w:rsidR="00CB1E41" w:rsidRPr="003B1CC5" w:rsidRDefault="00CB1E41" w:rsidP="008659ED">
            <w:pPr>
              <w:autoSpaceDE w:val="0"/>
              <w:autoSpaceDN w:val="0"/>
              <w:adjustRightInd w:val="0"/>
              <w:rPr>
                <w:rFonts w:eastAsia="Calibri" w:cs="Calibri"/>
                <w:b/>
                <w:bCs/>
                <w:iCs/>
                <w:sz w:val="18"/>
              </w:rPr>
            </w:pPr>
          </w:p>
          <w:p w:rsidR="00176E60" w:rsidRPr="002A3C05" w:rsidRDefault="00176E60" w:rsidP="00176E60">
            <w:pPr>
              <w:autoSpaceDE w:val="0"/>
              <w:autoSpaceDN w:val="0"/>
              <w:adjustRightInd w:val="0"/>
              <w:rPr>
                <w:b/>
                <w:sz w:val="20"/>
              </w:rPr>
            </w:pPr>
            <w:r w:rsidRPr="002A3C05">
              <w:rPr>
                <w:b/>
                <w:sz w:val="20"/>
              </w:rPr>
              <w:t>Notes</w:t>
            </w:r>
          </w:p>
          <w:p w:rsidR="00176E60" w:rsidRPr="002A3C05" w:rsidRDefault="00176E60" w:rsidP="002A3C05">
            <w:pPr>
              <w:ind w:left="0" w:firstLine="0"/>
              <w:rPr>
                <w:sz w:val="20"/>
              </w:rPr>
            </w:pPr>
            <w:bookmarkStart w:id="0" w:name="Note2"/>
            <w:bookmarkStart w:id="1" w:name="Note3"/>
            <w:bookmarkEnd w:id="0"/>
            <w:bookmarkEnd w:id="1"/>
            <w:r w:rsidRPr="002A3C05">
              <w:rPr>
                <w:b/>
                <w:sz w:val="20"/>
              </w:rPr>
              <w:t>3.</w:t>
            </w:r>
            <w:r w:rsidRPr="002A3C05">
              <w:rPr>
                <w:sz w:val="20"/>
              </w:rPr>
              <w:t xml:space="preserve"> Generally, rare event outcomes do not provide adequate information for improvement or discrimination; however, serious reportable events that are compared to zero are appropriate outcomes for public reporting and quality improvement.</w:t>
            </w:r>
            <w:r w:rsidR="00432980">
              <w:rPr>
                <w:sz w:val="20"/>
              </w:rPr>
              <w:t xml:space="preserve"> </w:t>
            </w:r>
          </w:p>
          <w:p w:rsidR="00176E60" w:rsidRPr="002A3C05" w:rsidRDefault="008659ED" w:rsidP="002A3C05">
            <w:pPr>
              <w:ind w:left="0" w:firstLine="0"/>
              <w:rPr>
                <w:sz w:val="20"/>
              </w:rPr>
            </w:pPr>
            <w:bookmarkStart w:id="2" w:name="Note4"/>
            <w:bookmarkEnd w:id="2"/>
            <w:r w:rsidRPr="003B1CC5">
              <w:rPr>
                <w:rFonts w:cs="Calibri"/>
                <w:b/>
              </w:rPr>
              <w:t>4.</w:t>
            </w:r>
            <w:bookmarkStart w:id="3" w:name="Note5"/>
            <w:bookmarkEnd w:id="3"/>
            <w:r w:rsidR="00176E60" w:rsidRPr="002A3C05">
              <w:rPr>
                <w:sz w:val="20"/>
              </w:rPr>
              <w:t xml:space="preserve"> The preferred systems for grading the evidence are the U.S. Preventive Services Task Force (</w:t>
            </w:r>
            <w:r w:rsidR="00176E60" w:rsidRPr="00BD35B1">
              <w:rPr>
                <w:sz w:val="20"/>
              </w:rPr>
              <w:t>USPSTF</w:t>
            </w:r>
            <w:r w:rsidR="00176E60" w:rsidRPr="002A3C05">
              <w:rPr>
                <w:sz w:val="20"/>
              </w:rPr>
              <w:t xml:space="preserve">) </w:t>
            </w:r>
            <w:r w:rsidR="00176E60" w:rsidRPr="002A3C05">
              <w:rPr>
                <w:color w:val="0000FF"/>
              </w:rPr>
              <w:t>grading definitions</w:t>
            </w:r>
            <w:r w:rsidR="00176E60" w:rsidRPr="002A3C05">
              <w:rPr>
                <w:sz w:val="20"/>
              </w:rPr>
              <w:t xml:space="preserve"> and </w:t>
            </w:r>
            <w:r w:rsidR="00176E60" w:rsidRPr="002A3C05">
              <w:rPr>
                <w:color w:val="0000FF"/>
              </w:rPr>
              <w:t>methods</w:t>
            </w:r>
            <w:r w:rsidR="00176E60" w:rsidRPr="002A3C05">
              <w:rPr>
                <w:sz w:val="20"/>
              </w:rPr>
              <w:t xml:space="preserve">, or Grading of Recommendations, Assessment, Development and Evaluation </w:t>
            </w:r>
            <w:r w:rsidR="00176E60" w:rsidRPr="002A3C05">
              <w:rPr>
                <w:color w:val="0000FF"/>
              </w:rPr>
              <w:t>(GRADE) guidelines</w:t>
            </w:r>
            <w:r w:rsidR="00176E60" w:rsidRPr="002A3C05">
              <w:rPr>
                <w:sz w:val="20"/>
              </w:rPr>
              <w:t>.</w:t>
            </w:r>
          </w:p>
          <w:p w:rsidR="008659ED" w:rsidRPr="003B1CC5" w:rsidRDefault="008659ED" w:rsidP="00CB1E41">
            <w:pPr>
              <w:ind w:left="0" w:firstLine="0"/>
              <w:rPr>
                <w:rFonts w:eastAsia="Calibri" w:cs="Calibri"/>
                <w:sz w:val="20"/>
                <w:szCs w:val="20"/>
              </w:rPr>
            </w:pPr>
            <w:bookmarkStart w:id="4" w:name="Note6"/>
            <w:bookmarkEnd w:id="4"/>
            <w:r w:rsidRPr="003B1CC5">
              <w:rPr>
                <w:rFonts w:eastAsia="Calibri" w:cs="Calibri"/>
                <w:b/>
                <w:sz w:val="20"/>
                <w:szCs w:val="20"/>
              </w:rPr>
              <w:t>5</w:t>
            </w:r>
            <w:r w:rsidR="00176E60" w:rsidRPr="002A3C05">
              <w:rPr>
                <w:b/>
                <w:sz w:val="20"/>
              </w:rPr>
              <w:t>.</w:t>
            </w:r>
            <w:r w:rsidR="00176E60" w:rsidRPr="002A3C05">
              <w:rPr>
                <w:sz w:val="20"/>
              </w:rPr>
              <w:t xml:space="preserve"> Clinical care processes typically include multiple steps: assess </w:t>
            </w:r>
            <w:r w:rsidR="00176E60" w:rsidRPr="002A3C05">
              <w:rPr>
                <w:sz w:val="20"/>
              </w:rPr>
              <w:sym w:font="Symbol" w:char="F0AE"/>
            </w:r>
            <w:r w:rsidR="00176E60" w:rsidRPr="002A3C05">
              <w:rPr>
                <w:sz w:val="20"/>
              </w:rPr>
              <w:t xml:space="preserve"> identify problem/potential problem </w:t>
            </w:r>
            <w:r w:rsidR="00176E60" w:rsidRPr="002A3C05">
              <w:rPr>
                <w:sz w:val="20"/>
              </w:rPr>
              <w:sym w:font="Symbol" w:char="F0AE"/>
            </w:r>
            <w:r w:rsidR="00176E60" w:rsidRPr="002A3C05">
              <w:rPr>
                <w:sz w:val="20"/>
              </w:rPr>
              <w:t xml:space="preserve"> choose/plan intervention (with patient input) </w:t>
            </w:r>
            <w:r w:rsidR="00176E60" w:rsidRPr="002A3C05">
              <w:rPr>
                <w:sz w:val="20"/>
              </w:rPr>
              <w:sym w:font="Symbol" w:char="F0AE"/>
            </w:r>
            <w:r w:rsidR="00176E60" w:rsidRPr="002A3C05">
              <w:rPr>
                <w:sz w:val="20"/>
              </w:rPr>
              <w:t xml:space="preserve"> provide intervention </w:t>
            </w:r>
            <w:r w:rsidR="00176E60" w:rsidRPr="002A3C05">
              <w:rPr>
                <w:sz w:val="20"/>
              </w:rPr>
              <w:sym w:font="Symbol" w:char="F0AE"/>
            </w:r>
            <w:r w:rsidR="00176E60" w:rsidRPr="002A3C05">
              <w:rPr>
                <w:sz w:val="20"/>
              </w:rPr>
              <w:t xml:space="preserve"> evaluate impact on health status. If the measure focus is one step in such a multistep process, the step with the strongest evidence for the link to the desired outcome should be selected as the focus of measurement. </w:t>
            </w:r>
            <w:r w:rsidRPr="003B1CC5">
              <w:rPr>
                <w:rFonts w:eastAsia="Calibri" w:cs="Calibri"/>
                <w:sz w:val="20"/>
                <w:szCs w:val="20"/>
              </w:rPr>
              <w:t xml:space="preserve">Note: A measure focused only on collecting </w:t>
            </w:r>
            <w:r w:rsidRPr="0049449B">
              <w:rPr>
                <w:rFonts w:eastAsia="Calibri" w:cs="Calibri"/>
                <w:sz w:val="20"/>
                <w:szCs w:val="20"/>
              </w:rPr>
              <w:t xml:space="preserve">PROM </w:t>
            </w:r>
            <w:r w:rsidRPr="003B1CC5">
              <w:rPr>
                <w:rFonts w:eastAsia="Calibri" w:cs="Calibri"/>
                <w:sz w:val="20"/>
                <w:szCs w:val="20"/>
              </w:rPr>
              <w:t xml:space="preserve">data is not a </w:t>
            </w:r>
            <w:r w:rsidRPr="0049449B">
              <w:rPr>
                <w:rFonts w:eastAsia="Calibri" w:cs="Calibri"/>
                <w:sz w:val="20"/>
                <w:szCs w:val="20"/>
              </w:rPr>
              <w:t>PRO-PM</w:t>
            </w:r>
            <w:r w:rsidRPr="003B1CC5">
              <w:rPr>
                <w:rFonts w:eastAsia="Calibri" w:cs="Calibri"/>
                <w:sz w:val="20"/>
                <w:szCs w:val="20"/>
              </w:rPr>
              <w:t>.</w:t>
            </w:r>
          </w:p>
          <w:p w:rsidR="00176E60" w:rsidRDefault="00176E60" w:rsidP="002A3C05">
            <w:pPr>
              <w:autoSpaceDE w:val="0"/>
              <w:autoSpaceDN w:val="0"/>
              <w:adjustRightInd w:val="0"/>
              <w:ind w:left="0" w:firstLine="0"/>
              <w:contextualSpacing/>
            </w:pPr>
            <w:r w:rsidRPr="002A3C05">
              <w:rPr>
                <w:b/>
                <w:sz w:val="20"/>
              </w:rPr>
              <w:t xml:space="preserve">6. </w:t>
            </w:r>
            <w:r w:rsidRPr="002A3C05">
              <w:rPr>
                <w:sz w:val="20"/>
              </w:rPr>
              <w:t xml:space="preserve">Measures of efficiency combine the concepts of resource use </w:t>
            </w:r>
            <w:r w:rsidRPr="002A3C05">
              <w:rPr>
                <w:sz w:val="20"/>
                <w:u w:val="single"/>
              </w:rPr>
              <w:t>and</w:t>
            </w:r>
            <w:r w:rsidRPr="002A3C05">
              <w:rPr>
                <w:sz w:val="20"/>
              </w:rPr>
              <w:t xml:space="preserve"> quality (</w:t>
            </w:r>
            <w:r w:rsidR="008659ED" w:rsidRPr="003B1CC5">
              <w:rPr>
                <w:rFonts w:eastAsia="Calibri" w:cs="Calibri"/>
                <w:sz w:val="20"/>
                <w:szCs w:val="20"/>
              </w:rPr>
              <w:t xml:space="preserve">see </w:t>
            </w:r>
            <w:r w:rsidRPr="002A3C05">
              <w:rPr>
                <w:sz w:val="20"/>
              </w:rPr>
              <w:t xml:space="preserve">NQF’s </w:t>
            </w:r>
            <w:r w:rsidRPr="002A3C05">
              <w:rPr>
                <w:color w:val="0000FF"/>
                <w:sz w:val="20"/>
              </w:rPr>
              <w:t>Measurement Framework: Evaluating Efficiency Across Episodes of Care</w:t>
            </w:r>
            <w:r w:rsidRPr="002A3C05">
              <w:rPr>
                <w:sz w:val="20"/>
              </w:rPr>
              <w:t xml:space="preserve">; </w:t>
            </w:r>
            <w:r w:rsidRPr="0049449B">
              <w:rPr>
                <w:color w:val="0000FF"/>
                <w:sz w:val="20"/>
              </w:rPr>
              <w:t xml:space="preserve">AQA </w:t>
            </w:r>
            <w:r w:rsidRPr="002A3C05">
              <w:rPr>
                <w:color w:val="0000FF"/>
                <w:sz w:val="20"/>
              </w:rPr>
              <w:t>Principles of Efficiency Measures</w:t>
            </w:r>
            <w:r w:rsidRPr="002A3C05">
              <w:rPr>
                <w:sz w:val="20"/>
              </w:rPr>
              <w:t>).</w:t>
            </w:r>
          </w:p>
        </w:tc>
      </w:tr>
    </w:tbl>
    <w:p w:rsidR="00496AF8" w:rsidRPr="00E51798" w:rsidRDefault="00496AF8" w:rsidP="002E2177">
      <w:pPr>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Pr="00C5180E">
        <w:rPr>
          <w:b/>
          <w:bCs/>
        </w:rPr>
        <w:t>This is a measure of</w:t>
      </w:r>
      <w:r w:rsidRPr="00C5180E">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2A3C05" w:rsidRDefault="00E41417" w:rsidP="00015986">
      <w:pPr>
        <w:ind w:left="432" w:hanging="432"/>
      </w:pPr>
      <w:r w:rsidRPr="002A3C05">
        <w:t>O</w:t>
      </w:r>
      <w:r w:rsidR="00496AF8" w:rsidRPr="002A3C05">
        <w:t>utcome</w:t>
      </w:r>
    </w:p>
    <w:p w:rsidR="00496AF8" w:rsidRPr="00E51798" w:rsidRDefault="0015535B" w:rsidP="00D7206B">
      <w:pPr>
        <w:ind w:left="720" w:hanging="432"/>
        <w:rPr>
          <w:bCs/>
        </w:rPr>
      </w:pPr>
      <w:r>
        <w:rPr>
          <w:rFonts w:ascii="MS Gothic" w:eastAsia="MS Gothic" w:hAnsi="MS Gothic" w:hint="eastAsia"/>
          <w:bCs/>
          <w:color w:val="0000FF"/>
        </w:rPr>
        <w:t>☐</w:t>
      </w:r>
      <w:r w:rsidRPr="00B62DBE">
        <w:rPr>
          <w:bCs/>
          <w:color w:val="0000FF"/>
        </w:rPr>
        <w:t xml:space="preserve"> </w:t>
      </w:r>
      <w:r w:rsidR="00E41417" w:rsidRPr="00B62DBE">
        <w:rPr>
          <w:bCs/>
        </w:rPr>
        <w:t>H</w:t>
      </w:r>
      <w:r w:rsidR="00BE6373" w:rsidRPr="00B62DBE">
        <w:rPr>
          <w:bCs/>
        </w:rPr>
        <w:t>ealth outc</w:t>
      </w:r>
      <w:r w:rsidR="00496AF8" w:rsidRPr="00B62DBE">
        <w:rPr>
          <w:bCs/>
        </w:rPr>
        <w:t>ome</w:t>
      </w:r>
      <w:r w:rsidR="00B117D0" w:rsidRPr="00B62DBE">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322628782"/>
              <w:showingPlcHdr/>
            </w:sdtPr>
            <w:sdtEndPr>
              <w:rPr>
                <w:rStyle w:val="DefaultParagraphFont"/>
                <w:rFonts w:cstheme="minorBidi"/>
                <w:bCs/>
                <w:color w:val="auto"/>
                <w:highlight w:val="green"/>
                <w:u w:val="none"/>
              </w:rPr>
            </w:sdtEndPr>
            <w:sdtContent>
              <w:r w:rsidR="002460F5" w:rsidRPr="00B62DBE">
                <w:rPr>
                  <w:rStyle w:val="Style2"/>
                  <w:rFonts w:cstheme="minorHAnsi"/>
                </w:rPr>
                <w:t xml:space="preserve">     </w:t>
              </w:r>
            </w:sdtContent>
          </w:sdt>
        </w:sdtContent>
      </w:sdt>
    </w:p>
    <w:p w:rsidR="00236F87" w:rsidRPr="003B1CC5" w:rsidRDefault="00C543B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432980">
        <w:rPr>
          <w:bCs/>
          <w:color w:val="0000FF"/>
        </w:rPr>
        <w:t xml:space="preserve"> </w:t>
      </w:r>
      <w:r w:rsidR="00236F87" w:rsidRPr="001E6153">
        <w:rPr>
          <w:bCs/>
        </w:rPr>
        <w:t>Patient</w:t>
      </w:r>
      <w:r w:rsidR="00B117D0" w:rsidRPr="002A3C05">
        <w:t xml:space="preserve">-reported </w:t>
      </w:r>
      <w:r w:rsidR="00236F87" w:rsidRPr="001E6153">
        <w:rPr>
          <w:bCs/>
        </w:rPr>
        <w:t>outc</w:t>
      </w:r>
      <w:r w:rsidR="00C613EB" w:rsidRPr="001E6153">
        <w:rPr>
          <w:bCs/>
        </w:rPr>
        <w:t>o</w:t>
      </w:r>
      <w:r w:rsidR="00236F87" w:rsidRPr="001E6153">
        <w:rPr>
          <w:bCs/>
        </w:rPr>
        <w:t>me</w:t>
      </w:r>
      <w:r w:rsidR="00B117D0" w:rsidRPr="002A3C05">
        <w:t xml:space="preserve"> (PRO</w:t>
      </w:r>
      <w:r w:rsidR="009C291F" w:rsidRPr="001E6153">
        <w:rPr>
          <w:bCs/>
        </w:rPr>
        <w:t>)</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2A3C05" w:rsidRDefault="00B117D0" w:rsidP="005857F8">
      <w:pPr>
        <w:ind w:left="720" w:firstLine="0"/>
        <w:rPr>
          <w:i/>
          <w:color w:val="0000FF"/>
        </w:rPr>
      </w:pPr>
      <w:r w:rsidRPr="003B1CC5">
        <w:rPr>
          <w:bCs/>
          <w:i/>
        </w:rPr>
        <w:t>PRO</w:t>
      </w:r>
      <w:r w:rsidR="009C291F" w:rsidRPr="003B1CC5">
        <w:rPr>
          <w:bCs/>
          <w:i/>
        </w:rPr>
        <w:t>s include</w:t>
      </w:r>
      <w:r w:rsidR="005857F8">
        <w:rPr>
          <w:bCs/>
          <w:i/>
        </w:rPr>
        <w:t xml:space="preserve"> </w:t>
      </w:r>
      <w:r w:rsidR="005857F8" w:rsidRPr="0049449B">
        <w:rPr>
          <w:bCs/>
          <w:i/>
        </w:rPr>
        <w:t>HRQoL</w:t>
      </w:r>
      <w:r w:rsidR="005857F8" w:rsidRPr="005857F8">
        <w:rPr>
          <w:bCs/>
          <w:i/>
        </w:rPr>
        <w:t xml:space="preserve">/functional status, </w:t>
      </w:r>
      <w:r w:rsidR="005857F8">
        <w:rPr>
          <w:bCs/>
          <w:i/>
        </w:rPr>
        <w:t>symptom/</w:t>
      </w:r>
      <w:r w:rsidR="003008F4">
        <w:rPr>
          <w:bCs/>
          <w:i/>
        </w:rPr>
        <w:t xml:space="preserve">symptom </w:t>
      </w:r>
      <w:r w:rsidR="005857F8">
        <w:rPr>
          <w:bCs/>
          <w:i/>
        </w:rPr>
        <w:t>burden</w:t>
      </w:r>
      <w:r w:rsidR="005857F8" w:rsidRPr="005857F8">
        <w:rPr>
          <w:bCs/>
          <w:i/>
        </w:rPr>
        <w:t>, experience with care, health-related behaviors</w:t>
      </w:r>
    </w:p>
    <w:p w:rsidR="00496AF8" w:rsidRPr="00E51798" w:rsidRDefault="00C543B3" w:rsidP="005857F8">
      <w:pPr>
        <w:ind w:left="720" w:hanging="432"/>
        <w:rPr>
          <w:bCs/>
        </w:rPr>
      </w:pPr>
      <w:sdt>
        <w:sdtPr>
          <w:rPr>
            <w:bCs/>
            <w:color w:val="0000FF"/>
          </w:rPr>
          <w:id w:val="269889740"/>
        </w:sdtPr>
        <w:sdtEndPr/>
        <w:sdtContent>
          <w:r w:rsidR="00B15083">
            <w:rPr>
              <w:rFonts w:ascii="MS Gothic" w:eastAsia="MS Gothic" w:hAnsi="MS Gothic" w:hint="eastAsia"/>
              <w:bCs/>
              <w:color w:val="0000FF"/>
            </w:rPr>
            <w:t>☐</w:t>
          </w:r>
        </w:sdtContent>
      </w:sdt>
      <w:r w:rsidR="00432980">
        <w:rPr>
          <w:bCs/>
        </w:rPr>
        <w:t xml:space="preserve"> </w:t>
      </w:r>
      <w:r w:rsidR="00E41417">
        <w:rPr>
          <w:bCs/>
        </w:rPr>
        <w:t>I</w:t>
      </w:r>
      <w:r w:rsidR="00496AF8" w:rsidRPr="00B058A6">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w:t>
      </w:r>
      <w:r w:rsidR="00432980">
        <w:rPr>
          <w:bCs/>
        </w:rPr>
        <w:t xml:space="preserve"> </w:t>
      </w:r>
      <w:sdt>
        <w:sdtPr>
          <w:rPr>
            <w:rStyle w:val="Style2"/>
            <w:rFonts w:cstheme="minorHAnsi"/>
          </w:rPr>
          <w:id w:val="66782676"/>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E51798" w:rsidRDefault="00C543B3" w:rsidP="00BD58DE">
      <w:pPr>
        <w:ind w:left="432" w:hanging="432"/>
        <w:rPr>
          <w:bCs/>
        </w:rPr>
      </w:pPr>
      <w:sdt>
        <w:sdtPr>
          <w:rPr>
            <w:bCs/>
            <w:color w:val="0000FF"/>
          </w:rPr>
          <w:id w:val="-1535727686"/>
        </w:sdtPr>
        <w:sdtEndPr/>
        <w:sdtContent>
          <w:r w:rsidR="00752BD9">
            <w:rPr>
              <w:bCs/>
              <w:color w:val="0000FF"/>
            </w:rPr>
            <w:t>X</w:t>
          </w:r>
        </w:sdtContent>
      </w:sdt>
      <w:r w:rsidR="0015535B">
        <w:rPr>
          <w:bCs/>
        </w:rPr>
        <w:t xml:space="preserve"> </w:t>
      </w:r>
      <w:r w:rsidR="00E41417">
        <w:rPr>
          <w:bCs/>
        </w:rPr>
        <w:t>P</w:t>
      </w:r>
      <w:r w:rsidR="00496AF8" w:rsidRPr="00B058A6">
        <w:rPr>
          <w:bCs/>
        </w:rPr>
        <w:t>rocess:</w:t>
      </w:r>
      <w:r w:rsidR="00432980">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BD58DE">
            <w:rPr>
              <w:rStyle w:val="Style2"/>
              <w:rFonts w:cstheme="minorHAnsi"/>
            </w:rPr>
            <w:t>Functional assessment conducted at admission and discharge and function</w:t>
          </w:r>
          <w:r w:rsidR="00B62DBE">
            <w:rPr>
              <w:rStyle w:val="Style2"/>
              <w:rFonts w:cstheme="minorHAnsi"/>
            </w:rPr>
            <w:t xml:space="preserve"> is</w:t>
          </w:r>
          <w:r w:rsidR="00BD58DE">
            <w:rPr>
              <w:rStyle w:val="Style2"/>
              <w:rFonts w:cstheme="minorHAnsi"/>
            </w:rPr>
            <w:t xml:space="preserve"> included in the </w:t>
          </w:r>
          <w:r w:rsidR="00B62DBE">
            <w:rPr>
              <w:rStyle w:val="Style2"/>
              <w:rFonts w:cstheme="minorHAnsi"/>
            </w:rPr>
            <w:t xml:space="preserve">patient’s </w:t>
          </w:r>
          <w:r w:rsidR="00BD58DE">
            <w:rPr>
              <w:rStyle w:val="Style2"/>
              <w:rFonts w:cstheme="minorHAnsi"/>
            </w:rPr>
            <w:t>care plan</w:t>
          </w:r>
        </w:sdtContent>
      </w:sdt>
    </w:p>
    <w:p w:rsidR="00496AF8" w:rsidRPr="00E51798" w:rsidRDefault="00C543B3" w:rsidP="00015986">
      <w:pPr>
        <w:ind w:left="432" w:hanging="432"/>
        <w:rPr>
          <w:bCs/>
        </w:rPr>
      </w:pPr>
      <w:sdt>
        <w:sdtPr>
          <w:rPr>
            <w:bCs/>
            <w:color w:val="0000FF"/>
          </w:rPr>
          <w:id w:val="1676770628"/>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32980">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C543B3" w:rsidP="00015986">
      <w:pPr>
        <w:ind w:left="432" w:hanging="432"/>
        <w:rPr>
          <w:bCs/>
        </w:rPr>
      </w:pPr>
      <w:sdt>
        <w:sdtPr>
          <w:rPr>
            <w:bCs/>
            <w:color w:val="0000FF"/>
          </w:rPr>
          <w:id w:val="1719405626"/>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32980">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850C35" w:rsidRPr="003B1CC5" w:rsidRDefault="00925F11" w:rsidP="002E2177">
      <w:pPr>
        <w:ind w:left="0" w:firstLine="0"/>
        <w:rPr>
          <w:b/>
          <w:bCs/>
        </w:rPr>
      </w:pPr>
      <w:r w:rsidRPr="003B1CC5">
        <w:rPr>
          <w:b/>
          <w:iCs/>
          <w:caps/>
        </w:rPr>
        <w:t>_________________________</w:t>
      </w:r>
    </w:p>
    <w:p w:rsidR="00496AF8" w:rsidRDefault="00496AF8" w:rsidP="002E2177">
      <w:pPr>
        <w:ind w:left="0" w:firstLine="0"/>
        <w:rPr>
          <w:bCs/>
          <w:i/>
        </w:rPr>
      </w:pPr>
      <w:r w:rsidRPr="003956E0">
        <w:rPr>
          <w:b/>
          <w:bCs/>
        </w:rPr>
        <w:t>HEALTH OUTCOME</w:t>
      </w:r>
      <w:r w:rsidR="00236F87" w:rsidRPr="003B1CC5">
        <w:rPr>
          <w:b/>
          <w:bCs/>
        </w:rPr>
        <w:t>/PRO</w:t>
      </w:r>
      <w:r w:rsidRPr="003956E0">
        <w:rPr>
          <w:b/>
          <w:bCs/>
        </w:rPr>
        <w:t xml:space="preserve"> </w:t>
      </w:r>
      <w:r w:rsidR="005857F8">
        <w:rPr>
          <w:b/>
          <w:bCs/>
        </w:rPr>
        <w:t xml:space="preserve">PERFORMANCE </w:t>
      </w:r>
      <w:r w:rsidRPr="003956E0">
        <w:rPr>
          <w:b/>
          <w:bCs/>
        </w:rPr>
        <w:t>MEASURE</w:t>
      </w:r>
      <w:r w:rsidR="00432980">
        <w:rPr>
          <w:b/>
          <w:bCs/>
        </w:rPr>
        <w:t xml:space="preserve"> </w:t>
      </w:r>
      <w:r w:rsidRPr="00E51798">
        <w:rPr>
          <w:bCs/>
          <w:i/>
          <w:highlight w:val="green"/>
        </w:rPr>
        <w:t xml:space="preserve">If not </w:t>
      </w:r>
      <w:r w:rsidR="00132070">
        <w:rPr>
          <w:bCs/>
          <w:i/>
          <w:highlight w:val="green"/>
        </w:rPr>
        <w:t>a health outcome</w:t>
      </w:r>
      <w:r w:rsidR="00AC1E53">
        <w:rPr>
          <w:bCs/>
          <w:i/>
          <w:highlight w:val="green"/>
        </w:rPr>
        <w:t xml:space="preserve"> or PRO</w:t>
      </w:r>
      <w:r w:rsidR="00132070">
        <w:rPr>
          <w:bCs/>
          <w:i/>
          <w:highlight w:val="green"/>
        </w:rPr>
        <w:t xml:space="preserve">, skip to </w:t>
      </w:r>
      <w:r w:rsidR="00132070" w:rsidRPr="00E371B1">
        <w:rPr>
          <w:bCs/>
          <w:i/>
          <w:highlight w:val="green"/>
        </w:rPr>
        <w:t>1</w:t>
      </w:r>
      <w:r w:rsidR="00837121" w:rsidRPr="00E371B1">
        <w:rPr>
          <w:bCs/>
          <w:i/>
          <w:highlight w:val="green"/>
        </w:rPr>
        <w:t>a</w:t>
      </w:r>
      <w:r w:rsidR="00132070" w:rsidRPr="00E371B1">
        <w:rPr>
          <w:bCs/>
          <w:i/>
          <w:highlight w:val="green"/>
        </w:rPr>
        <w:t>.3</w:t>
      </w:r>
    </w:p>
    <w:p w:rsidR="002B06BD" w:rsidRDefault="002B06BD" w:rsidP="002B06BD">
      <w:pPr>
        <w:ind w:left="432" w:hanging="432"/>
        <w:rPr>
          <w:iCs/>
        </w:rPr>
      </w:pPr>
      <w:r w:rsidRPr="00B439DD">
        <w:rPr>
          <w:b/>
          <w:bCs/>
          <w:color w:val="0000FF"/>
        </w:rPr>
        <w:t>1</w:t>
      </w:r>
      <w:r>
        <w:rPr>
          <w:b/>
          <w:bCs/>
          <w:color w:val="0000FF"/>
        </w:rPr>
        <w:t>a</w:t>
      </w:r>
      <w:r w:rsidRPr="00B439DD">
        <w:rPr>
          <w:b/>
          <w:bCs/>
          <w:color w:val="0000FF"/>
        </w:rPr>
        <w:t>.2.</w:t>
      </w:r>
      <w:r>
        <w:rPr>
          <w:bCs/>
        </w:rPr>
        <w:t xml:space="preserve"> </w:t>
      </w:r>
      <w:r w:rsidRPr="00C5180E">
        <w:rPr>
          <w:b/>
          <w:iCs/>
        </w:rPr>
        <w:t xml:space="preserve">Briefly state or diagram the </w:t>
      </w:r>
      <w:r w:rsidR="00236F87" w:rsidRPr="003B1CC5">
        <w:rPr>
          <w:b/>
          <w:iCs/>
        </w:rPr>
        <w:t>path</w:t>
      </w:r>
      <w:r>
        <w:rPr>
          <w:b/>
          <w:iCs/>
        </w:rPr>
        <w:t xml:space="preserv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135057" w:rsidRPr="003E7593" w:rsidRDefault="003E7593" w:rsidP="002E2177">
      <w:pPr>
        <w:ind w:left="432" w:hanging="432"/>
        <w:rPr>
          <w:rFonts w:eastAsia="Calibri" w:cs="Times New Roman"/>
          <w:color w:val="0000FF"/>
        </w:rPr>
      </w:pPr>
      <w:r w:rsidRPr="003E7593">
        <w:rPr>
          <w:rFonts w:eastAsia="Calibri" w:cs="Times New Roman"/>
          <w:color w:val="0000FF"/>
        </w:rPr>
        <w:t>Not applicable.</w:t>
      </w:r>
      <w:r w:rsidR="00146CA9">
        <w:rPr>
          <w:rFonts w:eastAsia="Calibri" w:cs="Times New Roman"/>
          <w:color w:val="0000FF"/>
        </w:rPr>
        <w:t xml:space="preserve"> This is a process quality measure.</w:t>
      </w:r>
    </w:p>
    <w:p w:rsidR="00B44A28" w:rsidRPr="002A3C05" w:rsidRDefault="00B44A28" w:rsidP="002E2177">
      <w:pPr>
        <w:ind w:left="432" w:hanging="432"/>
        <w:rPr>
          <w:b/>
          <w:color w:val="0000FF"/>
        </w:rPr>
      </w:pPr>
    </w:p>
    <w:p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r w:rsidR="005857F8">
        <w:rPr>
          <w:b/>
          <w:iCs/>
        </w:rPr>
        <w:t>or PRO</w:t>
      </w:r>
      <w:r w:rsidR="00AA5587">
        <w:rPr>
          <w:b/>
          <w:iCs/>
        </w:rPr>
        <w:t>)</w:t>
      </w:r>
      <w:r w:rsidR="008B51D9" w:rsidRPr="00C5180E">
        <w:rPr>
          <w:b/>
          <w:iCs/>
        </w:rPr>
        <w:t xml:space="preserve"> </w:t>
      </w:r>
      <w:r w:rsidR="005D25E9">
        <w:rPr>
          <w:b/>
          <w:iCs/>
        </w:rPr>
        <w:t>to</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E51798" w:rsidRDefault="00D14F0B" w:rsidP="002E2177">
      <w:pPr>
        <w:ind w:left="0" w:firstLine="0"/>
        <w:rPr>
          <w:iCs/>
        </w:rPr>
      </w:pPr>
    </w:p>
    <w:p w:rsidR="00496AF8" w:rsidRPr="00DA7FA2" w:rsidRDefault="00496AF8" w:rsidP="002E2177">
      <w:pPr>
        <w:ind w:left="0" w:firstLine="0"/>
        <w:rPr>
          <w:i/>
          <w:iCs/>
        </w:rPr>
      </w:pPr>
      <w:r w:rsidRPr="00B62DBE">
        <w:rPr>
          <w:i/>
          <w:iCs/>
          <w:u w:val="single"/>
        </w:rPr>
        <w:t>Note</w:t>
      </w:r>
      <w:r w:rsidR="009B5BEA" w:rsidRPr="00B62DBE">
        <w:rPr>
          <w:i/>
          <w:iCs/>
        </w:rPr>
        <w:t>:</w:t>
      </w:r>
      <w:r w:rsidR="00432980">
        <w:rPr>
          <w:i/>
          <w:iCs/>
        </w:rPr>
        <w:t xml:space="preserve"> </w:t>
      </w:r>
      <w:r w:rsidR="009B5BEA" w:rsidRPr="00B62DBE">
        <w:rPr>
          <w:i/>
          <w:iCs/>
        </w:rPr>
        <w:t>F</w:t>
      </w:r>
      <w:r w:rsidRPr="00B62DBE">
        <w:rPr>
          <w:i/>
          <w:iCs/>
        </w:rPr>
        <w:t>or health outcome</w:t>
      </w:r>
      <w:r w:rsidR="00236F87" w:rsidRPr="00B62DBE">
        <w:rPr>
          <w:i/>
          <w:iCs/>
        </w:rPr>
        <w:t>/PRO</w:t>
      </w:r>
      <w:r w:rsidRPr="00B62DBE">
        <w:rPr>
          <w:i/>
          <w:iCs/>
        </w:rPr>
        <w:t xml:space="preserve"> </w:t>
      </w:r>
      <w:r w:rsidR="005857F8" w:rsidRPr="00B62DBE">
        <w:rPr>
          <w:i/>
          <w:iCs/>
        </w:rPr>
        <w:t xml:space="preserve">performance </w:t>
      </w:r>
      <w:r w:rsidRPr="00B62DBE">
        <w:rPr>
          <w:i/>
          <w:iCs/>
        </w:rPr>
        <w:t>measures, no further information is require</w:t>
      </w:r>
      <w:r w:rsidR="005857F8" w:rsidRPr="00B62DBE">
        <w:rPr>
          <w:i/>
          <w:iCs/>
        </w:rPr>
        <w:t xml:space="preserve">d; however, you may provide evidence for any of the structures, processes, interventions, or service identified above. </w:t>
      </w:r>
    </w:p>
    <w:p w:rsidR="002B06BD" w:rsidRDefault="00925F11" w:rsidP="002E2177">
      <w:pPr>
        <w:ind w:left="0" w:firstLine="0"/>
        <w:rPr>
          <w:b/>
          <w:iCs/>
          <w:caps/>
        </w:rPr>
      </w:pPr>
      <w:r w:rsidRPr="003B1CC5">
        <w:rPr>
          <w:b/>
          <w:iCs/>
          <w:caps/>
        </w:rPr>
        <w:t>_________________________</w:t>
      </w:r>
    </w:p>
    <w:p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rsidR="00496AF8" w:rsidRDefault="002B06BD" w:rsidP="002E2177">
      <w:pPr>
        <w:ind w:left="0" w:firstLine="0"/>
        <w:rPr>
          <w:i/>
          <w:iCs/>
        </w:rPr>
      </w:pPr>
      <w:bookmarkStart w:id="5" w:name="Section1a3"/>
      <w:bookmarkEnd w:id="5"/>
      <w:r w:rsidRPr="00B439DD">
        <w:rPr>
          <w:b/>
          <w:iCs/>
          <w:color w:val="0000FF"/>
        </w:rPr>
        <w:t>1</w:t>
      </w:r>
      <w:r>
        <w:rPr>
          <w:b/>
          <w:iCs/>
          <w:color w:val="0000FF"/>
        </w:rPr>
        <w:t>a</w:t>
      </w:r>
      <w:r w:rsidRPr="00B439DD">
        <w:rPr>
          <w:b/>
          <w:iCs/>
          <w:color w:val="0000FF"/>
        </w:rPr>
        <w:t>.3.</w:t>
      </w:r>
      <w:r w:rsidRPr="00E1664B">
        <w:rPr>
          <w:i/>
          <w:iCs/>
          <w:color w:val="0000FF"/>
        </w:rPr>
        <w:t xml:space="preserve"> </w:t>
      </w:r>
      <w:r w:rsidRPr="00C5180E">
        <w:rPr>
          <w:b/>
          <w:iCs/>
        </w:rPr>
        <w:t xml:space="preserve">Briefly state or diagram the </w:t>
      </w:r>
      <w:r w:rsidR="00236F87" w:rsidRPr="003B1CC5">
        <w:rPr>
          <w:b/>
          <w:iCs/>
        </w:rPr>
        <w:t>path</w:t>
      </w:r>
      <w:r>
        <w:rPr>
          <w:b/>
          <w:iCs/>
        </w:rPr>
        <w:t xml:space="preserve">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rsidR="00BF0B8B" w:rsidRPr="00752BD9" w:rsidRDefault="00BF0B8B" w:rsidP="004F5533">
      <w:pPr>
        <w:spacing w:before="240" w:after="120"/>
        <w:ind w:left="0" w:firstLine="0"/>
        <w:rPr>
          <w:rFonts w:eastAsia="Calibri" w:cs="Times New Roman"/>
          <w:color w:val="0000FF"/>
        </w:rPr>
      </w:pPr>
      <w:r w:rsidRPr="00752BD9">
        <w:rPr>
          <w:rFonts w:eastAsia="Calibri" w:cs="Times New Roman"/>
          <w:color w:val="0000FF"/>
        </w:rPr>
        <w:t xml:space="preserve">Patients in </w:t>
      </w:r>
      <w:r w:rsidR="008369A8">
        <w:rPr>
          <w:rFonts w:eastAsia="Calibri" w:cs="Times New Roman"/>
          <w:color w:val="0000FF"/>
        </w:rPr>
        <w:t>Long-Term Care Hospitals (</w:t>
      </w:r>
      <w:r w:rsidRPr="00752BD9">
        <w:rPr>
          <w:rFonts w:eastAsia="Calibri" w:cs="Times New Roman"/>
          <w:color w:val="0000FF"/>
        </w:rPr>
        <w:t>LTCHs</w:t>
      </w:r>
      <w:r w:rsidR="008369A8">
        <w:rPr>
          <w:rFonts w:eastAsia="Calibri" w:cs="Times New Roman"/>
          <w:color w:val="0000FF"/>
        </w:rPr>
        <w:t>)</w:t>
      </w:r>
      <w:r w:rsidRPr="00752BD9">
        <w:rPr>
          <w:rFonts w:eastAsia="Calibri" w:cs="Times New Roman"/>
          <w:color w:val="0000FF"/>
        </w:rPr>
        <w:t xml:space="preserve"> are clinically complex and are sometimes referred to as chronically critically ill. In addition to having complex medical care needs for an extended period of time, LTCH patients often have limitations in functioning because of the nature of their conditions, as well as deconditioning due to prolonged bed rest and treatment requirements (e.g., ventilator use). These patients are therefore at high risk for functional deterioration that is both condition-related and </w:t>
      </w:r>
      <w:r w:rsidR="004F5533" w:rsidRPr="00752BD9">
        <w:rPr>
          <w:rFonts w:eastAsia="Calibri" w:cs="Times New Roman"/>
          <w:color w:val="0000FF"/>
        </w:rPr>
        <w:t>iatrogenic</w:t>
      </w:r>
      <w:r w:rsidR="004F5533">
        <w:rPr>
          <w:rFonts w:eastAsia="Calibri" w:cs="Times New Roman"/>
          <w:color w:val="0000FF"/>
        </w:rPr>
        <w:t xml:space="preserve"> (i.e., related to medical treatment)</w:t>
      </w:r>
      <w:r w:rsidR="004F5533" w:rsidRPr="00752BD9">
        <w:rPr>
          <w:rFonts w:eastAsia="Calibri" w:cs="Times New Roman"/>
          <w:color w:val="0000FF"/>
        </w:rPr>
        <w:t>.</w:t>
      </w:r>
    </w:p>
    <w:p w:rsidR="00BE0EAC" w:rsidRDefault="00BE0EAC" w:rsidP="00EC5761">
      <w:pPr>
        <w:spacing w:before="240" w:after="120"/>
        <w:ind w:left="0" w:firstLine="0"/>
        <w:rPr>
          <w:rFonts w:eastAsia="Calibri" w:cs="Times New Roman"/>
          <w:color w:val="0000FF"/>
        </w:rPr>
      </w:pPr>
      <w:r w:rsidRPr="00752BD9">
        <w:rPr>
          <w:rFonts w:eastAsia="Calibri" w:cs="Times New Roman"/>
          <w:color w:val="0000FF"/>
        </w:rPr>
        <w:t>An increasing body of evidence has reported on the safety and feasibility of early mobilization and rehabilitation of critically ill but stable patients, with minimal adverse events and risk to the patient</w:t>
      </w:r>
      <w:r>
        <w:rPr>
          <w:rFonts w:eastAsia="Calibri" w:cs="Times New Roman"/>
          <w:color w:val="0000FF"/>
        </w:rPr>
        <w:t xml:space="preserve"> </w:t>
      </w:r>
      <w:r w:rsidRPr="00752BD9">
        <w:rPr>
          <w:rFonts w:eastAsia="Calibri" w:cs="Times New Roman"/>
          <w:color w:val="0000FF"/>
        </w:rPr>
        <w:t xml:space="preserve">(Adler &amp; Malone, 2012; Drolet et al., 2013; Kress, 2009; Schweickert &amp; Kress, 2011; Schweickert et al., 2009; </w:t>
      </w:r>
      <w:r w:rsidRPr="00752BD9">
        <w:rPr>
          <w:rFonts w:ascii="Calibri" w:eastAsia="Calibri" w:hAnsi="Calibri" w:cs="Times New Roman"/>
          <w:color w:val="0000FF"/>
        </w:rPr>
        <w:t>Zanni et al., 2010)</w:t>
      </w:r>
      <w:r>
        <w:rPr>
          <w:rFonts w:ascii="Calibri" w:eastAsia="Calibri" w:hAnsi="Calibri" w:cs="Times New Roman"/>
          <w:color w:val="0000FF"/>
        </w:rPr>
        <w:t>.</w:t>
      </w:r>
      <w:r w:rsidRPr="00752BD9">
        <w:rPr>
          <w:rFonts w:eastAsia="Calibri" w:cs="Times New Roman"/>
          <w:color w:val="0000FF"/>
        </w:rPr>
        <w:t xml:space="preserve"> Early mobility and rehabilitation have been associated with improved patient outcomes.</w:t>
      </w:r>
    </w:p>
    <w:p w:rsidR="00BF0B8B" w:rsidRDefault="00BF0B8B" w:rsidP="00146CA9">
      <w:pPr>
        <w:spacing w:before="240" w:after="120"/>
        <w:ind w:left="0" w:firstLine="0"/>
        <w:rPr>
          <w:rFonts w:eastAsia="Calibri" w:cs="Times New Roman"/>
          <w:color w:val="0000FF"/>
        </w:rPr>
      </w:pPr>
      <w:r w:rsidRPr="00752BD9">
        <w:rPr>
          <w:rFonts w:eastAsia="Calibri" w:cs="Times New Roman"/>
          <w:color w:val="0000FF"/>
        </w:rPr>
        <w:t xml:space="preserve">This process measure requires the collection of admission and discharge functional </w:t>
      </w:r>
      <w:r w:rsidR="002E63A4">
        <w:rPr>
          <w:rFonts w:eastAsia="Calibri" w:cs="Times New Roman"/>
          <w:color w:val="0000FF"/>
        </w:rPr>
        <w:t>assessment</w:t>
      </w:r>
      <w:r w:rsidRPr="00752BD9">
        <w:rPr>
          <w:rFonts w:eastAsia="Calibri" w:cs="Times New Roman"/>
          <w:color w:val="0000FF"/>
        </w:rPr>
        <w:t xml:space="preserve"> data by trained clinicians using standardized clinical assessment items (also known as data elements) that assess specific areas of function (i.e., self-care, mobility, cognition, communication, and bladder continence). The self-care and mobility items are coded </w:t>
      </w:r>
      <w:r w:rsidR="00146CA9">
        <w:rPr>
          <w:rFonts w:eastAsia="Calibri" w:cs="Times New Roman"/>
          <w:color w:val="0000FF"/>
        </w:rPr>
        <w:t>using</w:t>
      </w:r>
      <w:r w:rsidRPr="00752BD9">
        <w:rPr>
          <w:rFonts w:eastAsia="Calibri" w:cs="Times New Roman"/>
          <w:color w:val="0000FF"/>
        </w:rPr>
        <w:t xml:space="preserve"> a 6-level rating scale. For this quality measure, inclusion of function in the patient’s care plan is determined based on whether a functional goal is recorded at admission for at least one of the standardized self-care or mobility function items using the 6-level rating scale.</w:t>
      </w:r>
      <w:r w:rsidR="002E63A4">
        <w:rPr>
          <w:rFonts w:eastAsia="Calibri" w:cs="Times New Roman"/>
          <w:color w:val="0000FF"/>
        </w:rPr>
        <w:t xml:space="preserve"> </w:t>
      </w:r>
      <w:r w:rsidR="002E63A4" w:rsidRPr="00752BD9">
        <w:rPr>
          <w:rFonts w:eastAsia="Calibri" w:cs="Times New Roman"/>
          <w:color w:val="0000FF"/>
        </w:rPr>
        <w:t>The Centers for Medicare &amp; Medicaid Services intends to revise the LTCH CARE Data Set to include these items.</w:t>
      </w:r>
    </w:p>
    <w:p w:rsidR="00873574" w:rsidRDefault="00752BD9" w:rsidP="00C543B3">
      <w:pPr>
        <w:spacing w:before="240" w:after="120"/>
        <w:ind w:left="0" w:firstLine="0"/>
        <w:rPr>
          <w:rFonts w:eastAsia="Calibri" w:cs="Times New Roman"/>
          <w:color w:val="0000FF"/>
        </w:rPr>
      </w:pPr>
      <w:r w:rsidRPr="00752BD9">
        <w:rPr>
          <w:rFonts w:eastAsia="Calibri" w:cs="Times New Roman"/>
          <w:color w:val="0000FF"/>
        </w:rPr>
        <w:lastRenderedPageBreak/>
        <w:t>This quality measure addresses the importance of 1) conducting a functional assessment at the time of admission addressing self-care, mobility, cognition and communication skills, and bladder continence; 2) incorporating the adm</w:t>
      </w:r>
      <w:bookmarkStart w:id="6" w:name="_GoBack"/>
      <w:bookmarkEnd w:id="6"/>
      <w:r w:rsidRPr="00752BD9">
        <w:rPr>
          <w:rFonts w:eastAsia="Calibri" w:cs="Times New Roman"/>
          <w:color w:val="0000FF"/>
        </w:rPr>
        <w:t xml:space="preserve">ission functional assessment findings into the patients’ care plan and setting discharge functional status goals; and 3) conducting a functional assessment at the time of discharge addressing self-care, mobility, cognition, communication, and bladder continence. </w:t>
      </w:r>
      <w:r w:rsidR="00C543B3" w:rsidRPr="00C543B3">
        <w:rPr>
          <w:rFonts w:eastAsia="Calibri" w:cs="Times New Roman"/>
          <w:b/>
          <w:bCs/>
          <w:color w:val="0000FF"/>
        </w:rPr>
        <w:t>Figure 1</w:t>
      </w:r>
      <w:r w:rsidR="00873574">
        <w:rPr>
          <w:rFonts w:eastAsia="Calibri" w:cs="Times New Roman"/>
          <w:color w:val="0000FF"/>
        </w:rPr>
        <w:t xml:space="preserve"> below shows the admission functional assessment is used to establish the patient’s goals and design the treatment plan. Following treatment, the discharge functional assessment is conducted, and this discharge data may be shared with another provider as part of the care transition process.</w:t>
      </w:r>
    </w:p>
    <w:p w:rsidR="00C543B3" w:rsidRPr="00CC408C" w:rsidRDefault="00C543B3" w:rsidP="00C543B3">
      <w:pPr>
        <w:autoSpaceDE w:val="0"/>
        <w:autoSpaceDN w:val="0"/>
        <w:adjustRightInd w:val="0"/>
        <w:spacing w:before="240"/>
        <w:ind w:left="432" w:firstLine="0"/>
        <w:rPr>
          <w:rFonts w:eastAsia="Calibri" w:cs="Times New Roman"/>
          <w:b/>
          <w:bCs/>
          <w:color w:val="0000FF"/>
        </w:rPr>
      </w:pPr>
      <w:r w:rsidRPr="00CC408C">
        <w:rPr>
          <w:rFonts w:eastAsia="Calibri" w:cs="Times New Roman"/>
          <w:b/>
          <w:bCs/>
          <w:color w:val="0000FF"/>
        </w:rPr>
        <w:t xml:space="preserve">Figure 1. Role of Patient Assessment, </w:t>
      </w:r>
      <w:r>
        <w:rPr>
          <w:rFonts w:eastAsia="Calibri" w:cs="Times New Roman"/>
          <w:b/>
          <w:bCs/>
          <w:color w:val="0000FF"/>
        </w:rPr>
        <w:t xml:space="preserve">Patient Goals, </w:t>
      </w:r>
      <w:r w:rsidRPr="00CC408C">
        <w:rPr>
          <w:rFonts w:eastAsia="Calibri" w:cs="Times New Roman"/>
          <w:b/>
          <w:bCs/>
          <w:color w:val="0000FF"/>
        </w:rPr>
        <w:t>Interventions and Functional Outcomes</w:t>
      </w:r>
    </w:p>
    <w:p w:rsidR="00873574" w:rsidRPr="00752BD9" w:rsidRDefault="00873574" w:rsidP="00B44A28">
      <w:pPr>
        <w:spacing w:before="240" w:after="120"/>
        <w:ind w:left="0" w:firstLine="0"/>
        <w:rPr>
          <w:rFonts w:eastAsia="Calibri" w:cs="Times New Roman"/>
          <w:color w:val="0000FF"/>
        </w:rPr>
      </w:pPr>
      <w:r>
        <w:object w:dxaOrig="8094" w:dyaOrig="2424" w14:anchorId="1F7E3D33">
          <v:shape id="_x0000_i1027" type="#_x0000_t75" style="width:405.5pt;height:120.9pt" o:ole="">
            <v:imagedata r:id="rId8" o:title=""/>
          </v:shape>
          <o:OLEObject Type="Embed" ProgID="Visio.Drawing.11" ShapeID="_x0000_i1027" DrawAspect="Content" ObjectID="_1476772272" r:id="rId9"/>
        </w:object>
      </w:r>
    </w:p>
    <w:p w:rsidR="00752BD9" w:rsidRPr="006200DA" w:rsidRDefault="00752BD9" w:rsidP="00B44A28">
      <w:pPr>
        <w:spacing w:before="240" w:after="120"/>
        <w:ind w:left="0" w:firstLine="0"/>
        <w:rPr>
          <w:rFonts w:eastAsia="Calibri" w:cs="Times New Roman"/>
          <w:b/>
          <w:color w:val="0000FF"/>
        </w:rPr>
      </w:pPr>
      <w:r w:rsidRPr="006200DA">
        <w:rPr>
          <w:rFonts w:eastAsia="Calibri" w:cs="Times New Roman"/>
          <w:b/>
          <w:color w:val="0000FF"/>
        </w:rPr>
        <w:t>Citations</w:t>
      </w:r>
    </w:p>
    <w:p w:rsidR="00752BD9" w:rsidRPr="00752BD9" w:rsidRDefault="00752BD9" w:rsidP="00752BD9">
      <w:pPr>
        <w:spacing w:before="240" w:after="120"/>
        <w:ind w:left="432" w:firstLine="0"/>
        <w:rPr>
          <w:rFonts w:eastAsia="Calibri" w:cs="Times New Roman"/>
          <w:color w:val="0000FF"/>
        </w:rPr>
      </w:pPr>
      <w:bookmarkStart w:id="7" w:name="_ENREF_1"/>
      <w:r w:rsidRPr="00752BD9">
        <w:rPr>
          <w:rFonts w:eastAsia="Calibri" w:cs="Times New Roman"/>
          <w:color w:val="0000FF"/>
        </w:rPr>
        <w:t xml:space="preserve">Adler, J., &amp; Malone, D. (2012). Early mobilization in the intensive care unit: </w:t>
      </w:r>
      <w:r w:rsidR="00DF7223">
        <w:rPr>
          <w:rFonts w:eastAsia="Calibri" w:cs="Times New Roman"/>
          <w:color w:val="0000FF"/>
        </w:rPr>
        <w:t>A</w:t>
      </w:r>
      <w:r w:rsidR="00DF7223" w:rsidRPr="00752BD9">
        <w:rPr>
          <w:rFonts w:eastAsia="Calibri" w:cs="Times New Roman"/>
          <w:color w:val="0000FF"/>
        </w:rPr>
        <w:t xml:space="preserve"> </w:t>
      </w:r>
      <w:r w:rsidRPr="00752BD9">
        <w:rPr>
          <w:rFonts w:eastAsia="Calibri" w:cs="Times New Roman"/>
          <w:color w:val="0000FF"/>
        </w:rPr>
        <w:t xml:space="preserve">systematic review. </w:t>
      </w:r>
      <w:r w:rsidRPr="00752BD9">
        <w:rPr>
          <w:rFonts w:eastAsia="Calibri" w:cs="Times New Roman"/>
          <w:i/>
          <w:color w:val="0000FF"/>
        </w:rPr>
        <w:t>Cardiopulm</w:t>
      </w:r>
      <w:r w:rsidR="00DF7223">
        <w:rPr>
          <w:rFonts w:eastAsia="Calibri" w:cs="Times New Roman"/>
          <w:i/>
          <w:color w:val="0000FF"/>
        </w:rPr>
        <w:t>onary</w:t>
      </w:r>
      <w:r w:rsidRPr="00752BD9">
        <w:rPr>
          <w:rFonts w:eastAsia="Calibri" w:cs="Times New Roman"/>
          <w:i/>
          <w:color w:val="0000FF"/>
        </w:rPr>
        <w:t xml:space="preserve"> Phys</w:t>
      </w:r>
      <w:r w:rsidR="00DF7223">
        <w:rPr>
          <w:rFonts w:eastAsia="Calibri" w:cs="Times New Roman"/>
          <w:i/>
          <w:color w:val="0000FF"/>
        </w:rPr>
        <w:t>ical</w:t>
      </w:r>
      <w:r w:rsidRPr="00752BD9">
        <w:rPr>
          <w:rFonts w:eastAsia="Calibri" w:cs="Times New Roman"/>
          <w:i/>
          <w:color w:val="0000FF"/>
        </w:rPr>
        <w:t xml:space="preserve"> Ther</w:t>
      </w:r>
      <w:r w:rsidR="00DF7223">
        <w:rPr>
          <w:rFonts w:eastAsia="Calibri" w:cs="Times New Roman"/>
          <w:i/>
          <w:color w:val="0000FF"/>
        </w:rPr>
        <w:t>apy</w:t>
      </w:r>
      <w:r w:rsidRPr="00752BD9">
        <w:rPr>
          <w:rFonts w:eastAsia="Calibri" w:cs="Times New Roman"/>
          <w:i/>
          <w:color w:val="0000FF"/>
        </w:rPr>
        <w:t xml:space="preserve"> J</w:t>
      </w:r>
      <w:r w:rsidR="00DF7223">
        <w:rPr>
          <w:rFonts w:eastAsia="Calibri" w:cs="Times New Roman"/>
          <w:i/>
          <w:color w:val="0000FF"/>
        </w:rPr>
        <w:t>ournal</w:t>
      </w:r>
      <w:r w:rsidRPr="00752BD9">
        <w:rPr>
          <w:rFonts w:eastAsia="Calibri" w:cs="Times New Roman"/>
          <w:i/>
          <w:color w:val="0000FF"/>
        </w:rPr>
        <w:t>, 23</w:t>
      </w:r>
      <w:r w:rsidRPr="00752BD9">
        <w:rPr>
          <w:rFonts w:eastAsia="Calibri" w:cs="Times New Roman"/>
          <w:color w:val="0000FF"/>
        </w:rPr>
        <w:t>(1), 5</w:t>
      </w:r>
      <w:r w:rsidR="00DF7223">
        <w:rPr>
          <w:rFonts w:eastAsia="Calibri" w:cs="Times New Roman"/>
          <w:color w:val="0000FF"/>
        </w:rPr>
        <w:t>–</w:t>
      </w:r>
      <w:r w:rsidRPr="00752BD9">
        <w:rPr>
          <w:rFonts w:eastAsia="Calibri" w:cs="Times New Roman"/>
          <w:color w:val="0000FF"/>
        </w:rPr>
        <w:t xml:space="preserve">13. </w:t>
      </w:r>
      <w:bookmarkEnd w:id="7"/>
    </w:p>
    <w:p w:rsidR="00752BD9" w:rsidRPr="00752BD9" w:rsidRDefault="00752BD9" w:rsidP="00EF2EA9">
      <w:pPr>
        <w:spacing w:before="240" w:after="120"/>
        <w:ind w:left="432" w:firstLine="0"/>
        <w:rPr>
          <w:rFonts w:eastAsia="Calibri" w:cs="Times New Roman"/>
          <w:color w:val="0000FF"/>
        </w:rPr>
      </w:pPr>
      <w:bookmarkStart w:id="8" w:name="_ENREF_7"/>
      <w:r w:rsidRPr="00752BD9">
        <w:rPr>
          <w:rFonts w:eastAsia="Calibri" w:cs="Times New Roman"/>
          <w:color w:val="0000FF"/>
        </w:rPr>
        <w:t xml:space="preserve">Drolet, A., DeJuilio, P., Harkless, S., Henricks, S., Kamin, E., Leddy, E. A., </w:t>
      </w:r>
      <w:r w:rsidR="00DF7223">
        <w:rPr>
          <w:rFonts w:eastAsia="Calibri" w:cs="Times New Roman"/>
          <w:color w:val="0000FF"/>
        </w:rPr>
        <w:t xml:space="preserve">&amp; </w:t>
      </w:r>
      <w:r w:rsidRPr="00752BD9">
        <w:rPr>
          <w:rFonts w:eastAsia="Calibri" w:cs="Times New Roman"/>
          <w:color w:val="0000FF"/>
        </w:rPr>
        <w:t xml:space="preserve">Williams, S. (2013). Move to improve: </w:t>
      </w:r>
      <w:r w:rsidR="00DF7223">
        <w:rPr>
          <w:rFonts w:eastAsia="Calibri" w:cs="Times New Roman"/>
          <w:color w:val="0000FF"/>
        </w:rPr>
        <w:t>T</w:t>
      </w:r>
      <w:r w:rsidRPr="00752BD9">
        <w:rPr>
          <w:rFonts w:eastAsia="Calibri" w:cs="Times New Roman"/>
          <w:color w:val="0000FF"/>
        </w:rPr>
        <w:t xml:space="preserve">he feasibility of using an early mobility protocol to increase ambulation in the intensive and intermediate care settings. </w:t>
      </w:r>
      <w:r w:rsidRPr="00752BD9">
        <w:rPr>
          <w:rFonts w:eastAsia="Calibri" w:cs="Times New Roman"/>
          <w:i/>
          <w:color w:val="0000FF"/>
        </w:rPr>
        <w:t>Phys</w:t>
      </w:r>
      <w:r w:rsidR="00DF7223">
        <w:rPr>
          <w:rFonts w:eastAsia="Calibri" w:cs="Times New Roman"/>
          <w:i/>
          <w:color w:val="0000FF"/>
        </w:rPr>
        <w:t>ical</w:t>
      </w:r>
      <w:r w:rsidRPr="00752BD9">
        <w:rPr>
          <w:rFonts w:eastAsia="Calibri" w:cs="Times New Roman"/>
          <w:i/>
          <w:color w:val="0000FF"/>
        </w:rPr>
        <w:t xml:space="preserve"> Ther</w:t>
      </w:r>
      <w:r w:rsidR="00DF7223">
        <w:rPr>
          <w:rFonts w:eastAsia="Calibri" w:cs="Times New Roman"/>
          <w:i/>
          <w:color w:val="0000FF"/>
        </w:rPr>
        <w:t>apy</w:t>
      </w:r>
      <w:r w:rsidRPr="00752BD9">
        <w:rPr>
          <w:rFonts w:eastAsia="Calibri" w:cs="Times New Roman"/>
          <w:i/>
          <w:color w:val="0000FF"/>
        </w:rPr>
        <w:t>, 93</w:t>
      </w:r>
      <w:r w:rsidR="00DC460A" w:rsidRPr="00036B89">
        <w:rPr>
          <w:rFonts w:eastAsia="Calibri" w:cs="Times New Roman"/>
          <w:i/>
          <w:color w:val="0000FF"/>
        </w:rPr>
        <w:t>,</w:t>
      </w:r>
      <w:r w:rsidRPr="00752BD9">
        <w:rPr>
          <w:rFonts w:eastAsia="Calibri" w:cs="Times New Roman"/>
          <w:color w:val="0000FF"/>
        </w:rPr>
        <w:t xml:space="preserve"> 197</w:t>
      </w:r>
      <w:r w:rsidR="00DF7223">
        <w:rPr>
          <w:rFonts w:eastAsia="Calibri" w:cs="Times New Roman"/>
          <w:color w:val="0000FF"/>
        </w:rPr>
        <w:t>–</w:t>
      </w:r>
      <w:r w:rsidRPr="00752BD9">
        <w:rPr>
          <w:rFonts w:eastAsia="Calibri" w:cs="Times New Roman"/>
          <w:color w:val="0000FF"/>
        </w:rPr>
        <w:t>207.</w:t>
      </w:r>
      <w:bookmarkEnd w:id="8"/>
    </w:p>
    <w:p w:rsidR="00752BD9" w:rsidRPr="00752BD9" w:rsidRDefault="00752BD9" w:rsidP="00752BD9">
      <w:pPr>
        <w:spacing w:before="240" w:after="120"/>
        <w:ind w:left="432" w:firstLine="0"/>
        <w:rPr>
          <w:rFonts w:eastAsia="Calibri" w:cs="Times New Roman"/>
          <w:color w:val="0000FF"/>
        </w:rPr>
      </w:pPr>
      <w:bookmarkStart w:id="9" w:name="_ENREF_16"/>
      <w:r w:rsidRPr="00752BD9">
        <w:rPr>
          <w:rFonts w:eastAsia="Calibri" w:cs="Times New Roman"/>
          <w:color w:val="0000FF"/>
        </w:rPr>
        <w:t xml:space="preserve">Kress, J. P. (2009). Clinical trials of early mobilization of critically ill patients. </w:t>
      </w:r>
      <w:r w:rsidRPr="00752BD9">
        <w:rPr>
          <w:rFonts w:eastAsia="Calibri" w:cs="Times New Roman"/>
          <w:i/>
          <w:color w:val="0000FF"/>
        </w:rPr>
        <w:t>Crit</w:t>
      </w:r>
      <w:r w:rsidR="00DC460A">
        <w:rPr>
          <w:rFonts w:eastAsia="Calibri" w:cs="Times New Roman"/>
          <w:i/>
          <w:color w:val="0000FF"/>
        </w:rPr>
        <w:t>ical</w:t>
      </w:r>
      <w:r w:rsidRPr="00752BD9">
        <w:rPr>
          <w:rFonts w:eastAsia="Calibri" w:cs="Times New Roman"/>
          <w:i/>
          <w:color w:val="0000FF"/>
        </w:rPr>
        <w:t xml:space="preserve"> Care Med</w:t>
      </w:r>
      <w:r w:rsidR="00DC460A">
        <w:rPr>
          <w:rFonts w:eastAsia="Calibri" w:cs="Times New Roman"/>
          <w:i/>
          <w:color w:val="0000FF"/>
        </w:rPr>
        <w:t>icine</w:t>
      </w:r>
      <w:r w:rsidRPr="00752BD9">
        <w:rPr>
          <w:rFonts w:eastAsia="Calibri" w:cs="Times New Roman"/>
          <w:i/>
          <w:color w:val="0000FF"/>
        </w:rPr>
        <w:t>, 37</w:t>
      </w:r>
      <w:r w:rsidR="00DF7223" w:rsidRPr="00036B89">
        <w:rPr>
          <w:rFonts w:eastAsia="Calibri" w:cs="Times New Roman"/>
          <w:i/>
          <w:color w:val="0000FF"/>
        </w:rPr>
        <w:t xml:space="preserve">, </w:t>
      </w:r>
      <w:r w:rsidR="00DF7223">
        <w:rPr>
          <w:rFonts w:eastAsia="Calibri" w:cs="Times New Roman"/>
          <w:color w:val="0000FF"/>
        </w:rPr>
        <w:t>S442–S447</w:t>
      </w:r>
      <w:r w:rsidRPr="00752BD9">
        <w:rPr>
          <w:rFonts w:eastAsia="Calibri" w:cs="Times New Roman"/>
          <w:color w:val="0000FF"/>
        </w:rPr>
        <w:t xml:space="preserve">. </w:t>
      </w:r>
      <w:bookmarkEnd w:id="9"/>
    </w:p>
    <w:p w:rsidR="00752BD9" w:rsidRPr="00752BD9" w:rsidRDefault="00752BD9" w:rsidP="00752BD9">
      <w:pPr>
        <w:spacing w:before="240" w:after="120"/>
        <w:ind w:left="432" w:firstLine="0"/>
        <w:rPr>
          <w:rFonts w:eastAsia="Calibri" w:cs="Times New Roman"/>
          <w:color w:val="0000FF"/>
        </w:rPr>
      </w:pPr>
      <w:bookmarkStart w:id="10" w:name="_ENREF_25"/>
      <w:r w:rsidRPr="00752BD9">
        <w:rPr>
          <w:rFonts w:eastAsia="Calibri" w:cs="Times New Roman"/>
          <w:color w:val="0000FF"/>
        </w:rPr>
        <w:t xml:space="preserve">Schweickert, W. D., &amp; Kress, J. P. (2011). Implementing early mobilization interventions in mechanically ventilated patients in the </w:t>
      </w:r>
      <w:r w:rsidRPr="00BD35B1">
        <w:rPr>
          <w:rFonts w:eastAsia="Calibri" w:cs="Times New Roman"/>
          <w:color w:val="0000FF"/>
        </w:rPr>
        <w:t>ICU</w:t>
      </w:r>
      <w:r w:rsidRPr="00752BD9">
        <w:rPr>
          <w:rFonts w:eastAsia="Calibri" w:cs="Times New Roman"/>
          <w:color w:val="0000FF"/>
        </w:rPr>
        <w:t xml:space="preserve">. </w:t>
      </w:r>
      <w:r w:rsidRPr="00752BD9">
        <w:rPr>
          <w:rFonts w:eastAsia="Calibri" w:cs="Times New Roman"/>
          <w:i/>
          <w:color w:val="0000FF"/>
        </w:rPr>
        <w:t>Chest, 140</w:t>
      </w:r>
      <w:r w:rsidR="00DF7223" w:rsidRPr="00036B89">
        <w:rPr>
          <w:rFonts w:eastAsia="Calibri" w:cs="Times New Roman"/>
          <w:i/>
          <w:color w:val="0000FF"/>
        </w:rPr>
        <w:t>,</w:t>
      </w:r>
      <w:r w:rsidRPr="00752BD9">
        <w:rPr>
          <w:rFonts w:eastAsia="Calibri" w:cs="Times New Roman"/>
          <w:color w:val="0000FF"/>
        </w:rPr>
        <w:t xml:space="preserve"> 1612</w:t>
      </w:r>
      <w:r w:rsidR="00DF7223">
        <w:rPr>
          <w:rFonts w:eastAsia="Calibri" w:cs="Times New Roman"/>
          <w:color w:val="0000FF"/>
        </w:rPr>
        <w:t>–</w:t>
      </w:r>
      <w:r w:rsidRPr="00752BD9">
        <w:rPr>
          <w:rFonts w:eastAsia="Calibri" w:cs="Times New Roman"/>
          <w:color w:val="0000FF"/>
        </w:rPr>
        <w:t>1617. doi:10.1378/chest.10-2829</w:t>
      </w:r>
      <w:bookmarkEnd w:id="10"/>
    </w:p>
    <w:p w:rsidR="00752BD9" w:rsidRPr="00752BD9" w:rsidRDefault="00752BD9" w:rsidP="0009044D">
      <w:pPr>
        <w:spacing w:before="240" w:after="120"/>
        <w:ind w:left="432" w:firstLine="0"/>
        <w:rPr>
          <w:rFonts w:eastAsia="Calibri" w:cs="Times New Roman"/>
          <w:color w:val="0000FF"/>
        </w:rPr>
      </w:pPr>
      <w:bookmarkStart w:id="11" w:name="_ENREF_26"/>
      <w:r w:rsidRPr="00752BD9">
        <w:rPr>
          <w:rFonts w:eastAsia="Calibri" w:cs="Times New Roman"/>
          <w:color w:val="0000FF"/>
        </w:rPr>
        <w:t>Schweickert, W. D., Pohlman, M. C., Pohlman, A. S., Nigos, C., Pawlik, A. J., Esbrook, C. L., Kress, J.</w:t>
      </w:r>
      <w:r w:rsidR="00DF7223">
        <w:rPr>
          <w:rFonts w:eastAsia="Calibri" w:cs="Times New Roman"/>
          <w:color w:val="0000FF"/>
        </w:rPr>
        <w:t> </w:t>
      </w:r>
      <w:r w:rsidRPr="00752BD9">
        <w:rPr>
          <w:rFonts w:eastAsia="Calibri" w:cs="Times New Roman"/>
          <w:color w:val="0000FF"/>
        </w:rPr>
        <w:t xml:space="preserve">P. (2009). Early physical and occupational therapy in mechanically ventilated, critically ill patients: </w:t>
      </w:r>
      <w:r w:rsidR="00DF7223">
        <w:rPr>
          <w:rFonts w:eastAsia="Calibri" w:cs="Times New Roman"/>
          <w:color w:val="0000FF"/>
        </w:rPr>
        <w:t>A</w:t>
      </w:r>
      <w:r w:rsidR="00DF7223" w:rsidRPr="00752BD9">
        <w:rPr>
          <w:rFonts w:eastAsia="Calibri" w:cs="Times New Roman"/>
          <w:color w:val="0000FF"/>
        </w:rPr>
        <w:t xml:space="preserve"> </w:t>
      </w:r>
      <w:r w:rsidRPr="00752BD9">
        <w:rPr>
          <w:rFonts w:eastAsia="Calibri" w:cs="Times New Roman"/>
          <w:color w:val="0000FF"/>
        </w:rPr>
        <w:t xml:space="preserve">randomised controlled trial. </w:t>
      </w:r>
      <w:r w:rsidRPr="00752BD9">
        <w:rPr>
          <w:rFonts w:eastAsia="Calibri" w:cs="Times New Roman"/>
          <w:i/>
          <w:color w:val="0000FF"/>
        </w:rPr>
        <w:t>Lancet, 373</w:t>
      </w:r>
      <w:r w:rsidRPr="00752BD9">
        <w:rPr>
          <w:rFonts w:eastAsia="Calibri" w:cs="Times New Roman"/>
          <w:color w:val="0000FF"/>
        </w:rPr>
        <w:t>(9678), 1874</w:t>
      </w:r>
      <w:r w:rsidR="00DF7223">
        <w:rPr>
          <w:rFonts w:eastAsia="Calibri" w:cs="Times New Roman"/>
          <w:color w:val="0000FF"/>
        </w:rPr>
        <w:t>–</w:t>
      </w:r>
      <w:r w:rsidRPr="00752BD9">
        <w:rPr>
          <w:rFonts w:eastAsia="Calibri" w:cs="Times New Roman"/>
          <w:color w:val="0000FF"/>
        </w:rPr>
        <w:t xml:space="preserve">1882. </w:t>
      </w:r>
      <w:bookmarkEnd w:id="11"/>
    </w:p>
    <w:p w:rsidR="00316B9D" w:rsidRDefault="00752BD9" w:rsidP="0009044D">
      <w:pPr>
        <w:spacing w:before="240" w:after="120"/>
        <w:ind w:left="432" w:firstLine="0"/>
        <w:rPr>
          <w:b/>
          <w:color w:val="0000FF"/>
        </w:rPr>
      </w:pPr>
      <w:bookmarkStart w:id="12" w:name="_ENREF_31"/>
      <w:r w:rsidRPr="00752BD9">
        <w:rPr>
          <w:rFonts w:eastAsia="Calibri" w:cs="Times New Roman"/>
          <w:color w:val="0000FF"/>
        </w:rPr>
        <w:t xml:space="preserve">Zanni, J. M., Korupolu, R., Fan, E., Pradhan, P., Janjua, K., Palmer, J. B., Needham, D. M. (2010). Rehabilitation therapy and outcomes in acute respiratory failure: </w:t>
      </w:r>
      <w:r w:rsidR="00DF7223">
        <w:rPr>
          <w:rFonts w:eastAsia="Calibri" w:cs="Times New Roman"/>
          <w:color w:val="0000FF"/>
        </w:rPr>
        <w:t>A</w:t>
      </w:r>
      <w:r w:rsidRPr="00752BD9">
        <w:rPr>
          <w:rFonts w:eastAsia="Calibri" w:cs="Times New Roman"/>
          <w:color w:val="0000FF"/>
        </w:rPr>
        <w:t xml:space="preserve">n observational pilot project. </w:t>
      </w:r>
      <w:r w:rsidRPr="00752BD9">
        <w:rPr>
          <w:rFonts w:eastAsia="Calibri" w:cs="Times New Roman"/>
          <w:i/>
          <w:color w:val="0000FF"/>
        </w:rPr>
        <w:t>J</w:t>
      </w:r>
      <w:r w:rsidR="00DC460A">
        <w:rPr>
          <w:rFonts w:eastAsia="Calibri" w:cs="Times New Roman"/>
          <w:i/>
          <w:color w:val="0000FF"/>
        </w:rPr>
        <w:t>ournal of</w:t>
      </w:r>
      <w:r w:rsidRPr="00752BD9">
        <w:rPr>
          <w:rFonts w:eastAsia="Calibri" w:cs="Times New Roman"/>
          <w:i/>
          <w:color w:val="0000FF"/>
        </w:rPr>
        <w:t xml:space="preserve"> Crit</w:t>
      </w:r>
      <w:r w:rsidR="00DC460A">
        <w:rPr>
          <w:rFonts w:eastAsia="Calibri" w:cs="Times New Roman"/>
          <w:i/>
          <w:color w:val="0000FF"/>
        </w:rPr>
        <w:t>ical</w:t>
      </w:r>
      <w:r w:rsidRPr="00752BD9">
        <w:rPr>
          <w:rFonts w:eastAsia="Calibri" w:cs="Times New Roman"/>
          <w:i/>
          <w:color w:val="0000FF"/>
        </w:rPr>
        <w:t xml:space="preserve"> Care, 25</w:t>
      </w:r>
      <w:r w:rsidRPr="00036B89">
        <w:rPr>
          <w:rFonts w:eastAsia="Calibri" w:cs="Times New Roman"/>
          <w:i/>
          <w:color w:val="0000FF"/>
        </w:rPr>
        <w:t>,</w:t>
      </w:r>
      <w:r w:rsidRPr="00752BD9">
        <w:rPr>
          <w:rFonts w:eastAsia="Calibri" w:cs="Times New Roman"/>
          <w:color w:val="0000FF"/>
        </w:rPr>
        <w:t xml:space="preserve"> 254</w:t>
      </w:r>
      <w:r w:rsidR="00DF7223">
        <w:rPr>
          <w:rFonts w:eastAsia="Calibri" w:cs="Times New Roman"/>
          <w:color w:val="0000FF"/>
        </w:rPr>
        <w:t>–</w:t>
      </w:r>
      <w:r w:rsidRPr="00752BD9">
        <w:rPr>
          <w:rFonts w:eastAsia="Calibri" w:cs="Times New Roman"/>
          <w:color w:val="0000FF"/>
        </w:rPr>
        <w:t xml:space="preserve">262. </w:t>
      </w:r>
      <w:bookmarkEnd w:id="12"/>
      <w:r w:rsidR="00316B9D">
        <w:rPr>
          <w:b/>
          <w:color w:val="0000FF"/>
        </w:rPr>
        <w:br w:type="page"/>
      </w:r>
    </w:p>
    <w:p w:rsidR="0055559D" w:rsidRDefault="00FD4D82" w:rsidP="002E2177">
      <w:pPr>
        <w:ind w:left="0" w:firstLine="0"/>
        <w:rPr>
          <w:b/>
        </w:rPr>
      </w:pPr>
      <w:r w:rsidRPr="0094689F">
        <w:rPr>
          <w:b/>
          <w:color w:val="0000FF"/>
        </w:rPr>
        <w:lastRenderedPageBreak/>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r w:rsidRPr="00CB06C9">
        <w:rPr>
          <w:b/>
        </w:rPr>
        <w:t>What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rsidR="00FD4D82" w:rsidRDefault="00C543B3" w:rsidP="002E2177">
      <w:pPr>
        <w:ind w:left="0" w:firstLine="0"/>
      </w:pPr>
      <w:sdt>
        <w:sdtPr>
          <w:rPr>
            <w:bCs/>
            <w:color w:val="0000FF"/>
          </w:rPr>
          <w:id w:val="1520584815"/>
          <w14:checkbox>
            <w14:checked w14:val="1"/>
            <w14:checkedState w14:val="2612" w14:font="MS Gothic"/>
            <w14:uncheckedState w14:val="2610" w14:font="MS Gothic"/>
          </w14:checkbox>
        </w:sdtPr>
        <w:sdtEndPr/>
        <w:sdtContent>
          <w:r w:rsidR="00752BD9">
            <w:rPr>
              <w:rFonts w:ascii="MS Gothic" w:eastAsia="MS Gothic" w:hAnsi="MS Gothic" w:hint="eastAsia"/>
              <w:bCs/>
              <w:color w:val="0000FF"/>
            </w:rPr>
            <w:t>☒</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r w:rsidR="00FD4D82" w:rsidRPr="00E371B1">
        <w:rPr>
          <w:b/>
          <w:i/>
        </w:rPr>
        <w:t>1</w:t>
      </w:r>
      <w:r w:rsidR="00773485" w:rsidRPr="00E371B1">
        <w:rPr>
          <w:b/>
          <w:i/>
        </w:rPr>
        <w:t>a</w:t>
      </w:r>
      <w:r w:rsidR="00701CC3" w:rsidRPr="00E371B1">
        <w:rPr>
          <w:b/>
          <w:i/>
        </w:rPr>
        <w:t>.</w:t>
      </w:r>
      <w:r w:rsidR="00AA5587" w:rsidRPr="00E371B1">
        <w:rPr>
          <w:b/>
          <w:i/>
        </w:rPr>
        <w:t>4</w:t>
      </w:r>
      <w:r w:rsidR="00CB06C9">
        <w:rPr>
          <w:b/>
          <w:i/>
        </w:rPr>
        <w:t>,</w:t>
      </w:r>
      <w:r w:rsidR="00773485" w:rsidRPr="002B06BD">
        <w:rPr>
          <w:b/>
          <w:i/>
        </w:rPr>
        <w:t xml:space="preserve"> and </w:t>
      </w:r>
      <w:r w:rsidR="00773485" w:rsidRPr="00E371B1">
        <w:rPr>
          <w:b/>
          <w:i/>
        </w:rPr>
        <w:t>1a.7</w:t>
      </w:r>
      <w:r w:rsidR="001B38BF">
        <w:t xml:space="preserve"> </w:t>
      </w:r>
    </w:p>
    <w:p w:rsidR="00FD4D82" w:rsidRDefault="00C543B3" w:rsidP="002E2177">
      <w:pPr>
        <w:ind w:left="0" w:firstLine="0"/>
        <w:rPr>
          <w:b/>
          <w:i/>
        </w:rPr>
      </w:pPr>
      <w:sdt>
        <w:sdtPr>
          <w:rPr>
            <w:bCs/>
            <w:color w:val="0000FF"/>
          </w:rPr>
          <w:id w:val="465866153"/>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t xml:space="preserve"> </w:t>
      </w:r>
      <w:r w:rsidR="00FD4D82" w:rsidRPr="0049449B">
        <w:t xml:space="preserve">US </w:t>
      </w:r>
      <w:r w:rsidR="00FD4D82">
        <w:t xml:space="preserve">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r w:rsidR="00FD4D82" w:rsidRPr="00E371B1">
        <w:rPr>
          <w:b/>
          <w:i/>
        </w:rPr>
        <w:t>1</w:t>
      </w:r>
      <w:r w:rsidR="00773485" w:rsidRPr="00E371B1">
        <w:rPr>
          <w:b/>
          <w:i/>
        </w:rPr>
        <w:t>a</w:t>
      </w:r>
      <w:r w:rsidR="00FD4D82" w:rsidRPr="00E371B1">
        <w:rPr>
          <w:b/>
          <w:i/>
        </w:rPr>
        <w:t>.5</w:t>
      </w:r>
      <w:r w:rsidR="007C1887">
        <w:rPr>
          <w:b/>
          <w:i/>
        </w:rPr>
        <w:t xml:space="preserve"> and </w:t>
      </w:r>
      <w:r w:rsidR="00CF772F" w:rsidRPr="00E371B1">
        <w:rPr>
          <w:b/>
          <w:i/>
        </w:rPr>
        <w:t>1a.7</w:t>
      </w:r>
    </w:p>
    <w:p w:rsidR="007573F0" w:rsidRDefault="007573F0" w:rsidP="00951601">
      <w:pPr>
        <w:pStyle w:val="ListParagraph"/>
        <w:numPr>
          <w:ilvl w:val="0"/>
          <w:numId w:val="11"/>
        </w:numPr>
        <w:spacing w:after="0" w:line="240" w:lineRule="auto"/>
      </w:pPr>
      <w:r>
        <w:t>Other systematic review and grading of the body of evidence (</w:t>
      </w:r>
      <w:r w:rsidRPr="001A3572">
        <w:rPr>
          <w:i/>
        </w:rPr>
        <w:t xml:space="preserve">e.g., Cochrane Collaboration, </w:t>
      </w:r>
      <w:r w:rsidRPr="0049449B">
        <w:rPr>
          <w:i/>
        </w:rPr>
        <w:t xml:space="preserve">AHRQ </w:t>
      </w:r>
      <w:r w:rsidRPr="001A3572">
        <w:rPr>
          <w:i/>
        </w:rPr>
        <w:t>Evidence Practice Center</w:t>
      </w:r>
      <w:r>
        <w:t xml:space="preserve">) – </w:t>
      </w:r>
      <w:r w:rsidRPr="001A3572">
        <w:rPr>
          <w:b/>
          <w:i/>
        </w:rPr>
        <w:t xml:space="preserve">complete sections </w:t>
      </w:r>
      <w:r w:rsidRPr="00E371B1">
        <w:rPr>
          <w:b/>
          <w:i/>
        </w:rPr>
        <w:t>1a.6</w:t>
      </w:r>
      <w:r w:rsidRPr="001A3572">
        <w:rPr>
          <w:b/>
          <w:i/>
        </w:rPr>
        <w:t xml:space="preserve"> and </w:t>
      </w:r>
      <w:r w:rsidR="00CF772F" w:rsidRPr="00E371B1">
        <w:rPr>
          <w:b/>
          <w:i/>
        </w:rPr>
        <w:t>1a.7</w:t>
      </w:r>
    </w:p>
    <w:p w:rsidR="00FD4D82" w:rsidRDefault="00C543B3" w:rsidP="008139D0">
      <w:pPr>
        <w:ind w:left="0" w:firstLine="0"/>
      </w:pPr>
      <w:sdt>
        <w:sdtPr>
          <w:rPr>
            <w:bCs/>
            <w:color w:val="0000FF"/>
          </w:rPr>
          <w:id w:val="302275832"/>
          <w14:checkbox>
            <w14:checked w14:val="0"/>
            <w14:checkedState w14:val="2612" w14:font="MS Gothic"/>
            <w14:uncheckedState w14:val="2610" w14:font="MS Gothic"/>
          </w14:checkbox>
        </w:sdtPr>
        <w:sdtEndPr/>
        <w:sdtContent>
          <w:r w:rsidR="00432980">
            <w:rPr>
              <w:rFonts w:ascii="MS Gothic" w:eastAsia="MS Gothic" w:hAnsi="MS Gothic" w:hint="eastAsia"/>
              <w:bCs/>
              <w:color w:val="0000FF"/>
            </w:rPr>
            <w:t>☐</w:t>
          </w:r>
        </w:sdtContent>
      </w:sdt>
      <w:sdt>
        <w:sdtPr>
          <w:rPr>
            <w:bCs/>
            <w:color w:val="0000FF"/>
            <w:u w:val="single"/>
          </w:rPr>
          <w:id w:val="245557813"/>
          <w:showingPlcHdr/>
        </w:sdtPr>
        <w:sdtEndPr/>
        <w:sdtContent>
          <w:r w:rsidR="00D93D6C">
            <w:rPr>
              <w:bCs/>
              <w:color w:val="0000FF"/>
              <w:u w:val="single"/>
            </w:rPr>
            <w:t xml:space="preserve">     </w:t>
          </w:r>
        </w:sdtContent>
      </w:sdt>
      <w:r w:rsidR="00FD4D82">
        <w:t xml:space="preserve">Other </w:t>
      </w:r>
      <w:r w:rsidR="001B38BF">
        <w:t xml:space="preserve">– </w:t>
      </w:r>
      <w:r w:rsidR="00FD4D82" w:rsidRPr="002B06BD">
        <w:rPr>
          <w:b/>
          <w:i/>
        </w:rPr>
        <w:t xml:space="preserve">complete </w:t>
      </w:r>
      <w:r w:rsidR="00FD4D82" w:rsidRPr="00CF0AB1">
        <w:rPr>
          <w:b/>
          <w:i/>
        </w:rPr>
        <w:t xml:space="preserve">section </w:t>
      </w:r>
      <w:r w:rsidR="00FD4D82" w:rsidRPr="00E371B1">
        <w:rPr>
          <w:b/>
          <w:i/>
        </w:rPr>
        <w:t>1</w:t>
      </w:r>
      <w:r w:rsidR="00773485" w:rsidRPr="00E371B1">
        <w:rPr>
          <w:b/>
          <w:i/>
        </w:rPr>
        <w:t>a</w:t>
      </w:r>
      <w:r w:rsidR="00FD4D82" w:rsidRPr="00E371B1">
        <w:rPr>
          <w:b/>
          <w:i/>
        </w:rPr>
        <w:t>.</w:t>
      </w:r>
      <w:r w:rsidR="00773485" w:rsidRPr="00E371B1">
        <w:rPr>
          <w:b/>
          <w:i/>
        </w:rPr>
        <w:t>8</w:t>
      </w:r>
    </w:p>
    <w:p w:rsidR="00FD4D82" w:rsidRDefault="00FD4D82" w:rsidP="002E2177">
      <w:pPr>
        <w:ind w:left="0" w:firstLine="0"/>
      </w:pPr>
    </w:p>
    <w:p w:rsidR="00201FF9" w:rsidRPr="00201FF9" w:rsidRDefault="00201FF9" w:rsidP="002E2177">
      <w:pPr>
        <w:ind w:left="0" w:firstLine="0"/>
        <w:rPr>
          <w:i/>
        </w:rPr>
      </w:pPr>
      <w:r w:rsidRPr="00201FF9">
        <w:rPr>
          <w:i/>
          <w:highlight w:val="green"/>
        </w:rPr>
        <w:t xml:space="preserve">Please complete the sections indicated </w:t>
      </w:r>
      <w:r w:rsidR="00030F43">
        <w:rPr>
          <w:i/>
          <w:highlight w:val="green"/>
        </w:rPr>
        <w:t xml:space="preserve">above </w:t>
      </w:r>
      <w:r w:rsidRPr="00201FF9">
        <w:rPr>
          <w:i/>
          <w:highlight w:val="green"/>
        </w:rPr>
        <w:t xml:space="preserve">for the source of evidence. You may </w:t>
      </w:r>
      <w:r>
        <w:rPr>
          <w:i/>
          <w:highlight w:val="green"/>
        </w:rPr>
        <w:t xml:space="preserve">skip </w:t>
      </w:r>
      <w:r w:rsidRPr="00201FF9">
        <w:rPr>
          <w:i/>
          <w:highlight w:val="green"/>
        </w:rPr>
        <w:t xml:space="preserve">the </w:t>
      </w:r>
      <w:r w:rsidR="00030F43">
        <w:rPr>
          <w:i/>
          <w:highlight w:val="green"/>
        </w:rPr>
        <w:t>section</w:t>
      </w:r>
      <w:r w:rsidRPr="00201FF9">
        <w:rPr>
          <w:i/>
          <w:highlight w:val="green"/>
        </w:rPr>
        <w:t>s that do not apply.</w:t>
      </w:r>
    </w:p>
    <w:p w:rsidR="00925F11" w:rsidRPr="003B1CC5" w:rsidRDefault="00925F11" w:rsidP="002E2177">
      <w:pPr>
        <w:ind w:left="0" w:firstLine="0"/>
        <w:rPr>
          <w:b/>
          <w:iCs/>
          <w:caps/>
        </w:rPr>
      </w:pPr>
      <w:r w:rsidRPr="003B1CC5">
        <w:rPr>
          <w:b/>
          <w:iCs/>
          <w:caps/>
        </w:rPr>
        <w:t>_________________________</w:t>
      </w:r>
    </w:p>
    <w:p w:rsidR="000F35B2" w:rsidRDefault="000F35B2" w:rsidP="002E2177">
      <w:pPr>
        <w:ind w:left="0" w:firstLine="0"/>
        <w:rPr>
          <w:b/>
          <w:color w:val="0070C0"/>
        </w:rPr>
      </w:pPr>
    </w:p>
    <w:p w:rsidR="009B5BEA" w:rsidRPr="00FD4D82" w:rsidRDefault="00FD4D82" w:rsidP="002E2177">
      <w:pPr>
        <w:ind w:left="0" w:firstLine="0"/>
        <w:rPr>
          <w:b/>
        </w:rPr>
      </w:pPr>
      <w:bookmarkStart w:id="13" w:name="Section1a4"/>
      <w:bookmarkEnd w:id="13"/>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rsidR="00752BD9" w:rsidRDefault="00AE487D" w:rsidP="00EC5761">
      <w:pPr>
        <w:spacing w:before="240" w:after="240"/>
        <w:ind w:left="0" w:firstLine="0"/>
        <w:rPr>
          <w:rFonts w:eastAsia="Calibri" w:cs="Times New Roman"/>
          <w:color w:val="0000FF"/>
        </w:rPr>
      </w:pPr>
      <w:r>
        <w:rPr>
          <w:rFonts w:eastAsia="Calibri" w:cs="Times New Roman"/>
          <w:b/>
          <w:color w:val="0000FF"/>
        </w:rPr>
        <w:t>I</w:t>
      </w:r>
      <w:r w:rsidR="00752BD9" w:rsidRPr="00752BD9">
        <w:rPr>
          <w:rFonts w:eastAsia="Calibri" w:cs="Times New Roman"/>
          <w:b/>
          <w:color w:val="0000FF"/>
        </w:rPr>
        <w:t>.</w:t>
      </w:r>
      <w:r w:rsidR="00752BD9" w:rsidRPr="00752BD9">
        <w:rPr>
          <w:rFonts w:eastAsia="Calibri" w:cs="Times New Roman"/>
          <w:color w:val="0000FF"/>
        </w:rPr>
        <w:t xml:space="preserve"> Centre for Clinical Practice at NICE (UK). </w:t>
      </w:r>
      <w:r w:rsidR="00DC460A">
        <w:rPr>
          <w:rFonts w:eastAsia="Calibri" w:cs="Times New Roman"/>
          <w:color w:val="0000FF"/>
        </w:rPr>
        <w:t xml:space="preserve">(2009). </w:t>
      </w:r>
      <w:r w:rsidR="00752BD9" w:rsidRPr="00036B89">
        <w:rPr>
          <w:rFonts w:eastAsia="Calibri" w:cs="Times New Roman"/>
          <w:i/>
          <w:color w:val="0000FF"/>
        </w:rPr>
        <w:t>Rehabilitation after critical illness</w:t>
      </w:r>
      <w:r w:rsidR="00752BD9" w:rsidRPr="00752BD9">
        <w:rPr>
          <w:rFonts w:eastAsia="Calibri" w:cs="Times New Roman"/>
          <w:color w:val="0000FF"/>
        </w:rPr>
        <w:t xml:space="preserve"> (NICE Clinical Guidelines No. 83)</w:t>
      </w:r>
      <w:r w:rsidR="00316B9D">
        <w:rPr>
          <w:rFonts w:eastAsia="Calibri" w:cs="Times New Roman"/>
          <w:color w:val="0000FF"/>
        </w:rPr>
        <w:t>.</w:t>
      </w:r>
      <w:r w:rsidR="00752BD9" w:rsidRPr="00752BD9">
        <w:rPr>
          <w:rFonts w:eastAsia="Calibri" w:cs="Times New Roman"/>
          <w:color w:val="0000FF"/>
        </w:rPr>
        <w:t xml:space="preserve"> </w:t>
      </w:r>
      <w:r w:rsidR="00DC460A">
        <w:rPr>
          <w:rFonts w:eastAsia="Calibri" w:cs="Times New Roman"/>
          <w:color w:val="0000FF"/>
        </w:rPr>
        <w:t>Retrieved from</w:t>
      </w:r>
      <w:r w:rsidR="00752BD9" w:rsidRPr="00752BD9">
        <w:rPr>
          <w:rFonts w:eastAsia="Calibri" w:cs="Times New Roman"/>
          <w:color w:val="0000FF"/>
        </w:rPr>
        <w:t xml:space="preserve"> </w:t>
      </w:r>
      <w:hyperlink r:id="rId10" w:history="1">
        <w:r w:rsidR="00EF483B" w:rsidRPr="002032EB">
          <w:rPr>
            <w:rStyle w:val="Hyperlink"/>
            <w:rFonts w:eastAsia="Calibri" w:cs="Times New Roman"/>
          </w:rPr>
          <w:t>http://www.nice.org.uk/guidance/CG83</w:t>
        </w:r>
      </w:hyperlink>
    </w:p>
    <w:p w:rsidR="00752BD9" w:rsidRDefault="00AE487D" w:rsidP="00EC5761">
      <w:pPr>
        <w:spacing w:before="240" w:after="240"/>
        <w:ind w:left="0" w:firstLine="0"/>
        <w:rPr>
          <w:rFonts w:eastAsia="Calibri" w:cs="Times New Roman"/>
          <w:color w:val="0000FF"/>
        </w:rPr>
      </w:pPr>
      <w:r>
        <w:rPr>
          <w:rFonts w:eastAsia="Calibri" w:cs="Times New Roman"/>
          <w:b/>
          <w:color w:val="0000FF"/>
        </w:rPr>
        <w:t>II</w:t>
      </w:r>
      <w:r w:rsidR="00752BD9" w:rsidRPr="00752BD9">
        <w:rPr>
          <w:rFonts w:eastAsia="Calibri" w:cs="Times New Roman"/>
          <w:b/>
          <w:color w:val="0000FF"/>
        </w:rPr>
        <w:t>.</w:t>
      </w:r>
      <w:r w:rsidR="00752BD9" w:rsidRPr="00752BD9">
        <w:rPr>
          <w:rFonts w:eastAsia="Calibri" w:cs="Times New Roman"/>
          <w:color w:val="0000FF"/>
        </w:rPr>
        <w:t xml:space="preserve"> </w:t>
      </w:r>
      <w:r w:rsidR="00F32733" w:rsidRPr="00AE487D">
        <w:rPr>
          <w:rFonts w:eastAsia="Calibri" w:cs="Times New Roman"/>
          <w:color w:val="0000FF"/>
        </w:rPr>
        <w:t>Milisen, K., Braes, T., &amp; Foreman, M. D. (2012). Assessing cognitive function. In M. Boltz, E. Capezuti, T. Fulmer, &amp; D. Zwicker (Eds.), Evidence-based geriatric nursing protocols for best practice (4th ed., pp. 122–134). New York, NY: Springer.</w:t>
      </w:r>
      <w:r w:rsidR="00EF483B">
        <w:rPr>
          <w:rFonts w:eastAsia="Calibri" w:cs="Times New Roman"/>
          <w:color w:val="0000FF"/>
        </w:rPr>
        <w:t xml:space="preserve"> Retrieved from </w:t>
      </w:r>
      <w:hyperlink r:id="rId11" w:history="1">
        <w:r w:rsidR="00EF483B" w:rsidRPr="002032EB">
          <w:rPr>
            <w:rStyle w:val="Hyperlink"/>
            <w:rFonts w:eastAsia="Calibri" w:cs="Times New Roman"/>
          </w:rPr>
          <w:t>http://www.guideline.gov/content.aspx?id=43917</w:t>
        </w:r>
      </w:hyperlink>
    </w:p>
    <w:p w:rsidR="00AE487D" w:rsidRDefault="00AE487D" w:rsidP="00EC5761">
      <w:pPr>
        <w:spacing w:before="240" w:after="240"/>
        <w:ind w:left="0" w:firstLine="0"/>
        <w:rPr>
          <w:rFonts w:eastAsia="Calibri" w:cs="Times New Roman"/>
          <w:color w:val="0000FF"/>
        </w:rPr>
      </w:pPr>
      <w:r>
        <w:rPr>
          <w:rFonts w:eastAsia="Calibri" w:cs="Times New Roman"/>
          <w:b/>
          <w:color w:val="0000FF"/>
        </w:rPr>
        <w:t>III</w:t>
      </w:r>
      <w:r w:rsidRPr="00AE487D">
        <w:rPr>
          <w:rFonts w:eastAsia="Calibri" w:cs="Times New Roman"/>
          <w:b/>
          <w:color w:val="0000FF"/>
        </w:rPr>
        <w:t>.</w:t>
      </w:r>
      <w:r w:rsidRPr="00AE487D">
        <w:rPr>
          <w:color w:val="0000FF"/>
        </w:rPr>
        <w:t xml:space="preserve"> </w:t>
      </w:r>
      <w:r w:rsidRPr="00AE487D">
        <w:rPr>
          <w:rFonts w:eastAsia="Calibri" w:cs="Times New Roman"/>
          <w:color w:val="0000FF"/>
        </w:rPr>
        <w:t>Balas MC, Casey CM, Happ MB. Comprehensive assessment and management of the critically ill. In Boltz M, Capezuti E, Fulmer T, Zwicker D, editor(s). Evidence-based geriatric nursing protocols for best practice. (4th ed., pp. 600-27). New York, NY: Springer.</w:t>
      </w:r>
      <w:r w:rsidR="00EF483B">
        <w:rPr>
          <w:rFonts w:eastAsia="Calibri" w:cs="Times New Roman"/>
          <w:color w:val="0000FF"/>
        </w:rPr>
        <w:t xml:space="preserve"> Retrieved from </w:t>
      </w:r>
      <w:hyperlink r:id="rId12" w:history="1">
        <w:r w:rsidR="00EF483B" w:rsidRPr="002032EB">
          <w:rPr>
            <w:rStyle w:val="Hyperlink"/>
            <w:rFonts w:eastAsia="Calibri" w:cs="Times New Roman"/>
          </w:rPr>
          <w:t>http://www.guideline.gov/content.aspx?id=43919</w:t>
        </w:r>
      </w:hyperlink>
    </w:p>
    <w:p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rsidR="00951601" w:rsidRDefault="00951601" w:rsidP="002E2177">
      <w:pPr>
        <w:ind w:left="0" w:firstLine="0"/>
      </w:pPr>
    </w:p>
    <w:p w:rsidR="00D524BA" w:rsidRDefault="00D524BA" w:rsidP="00951601">
      <w:pPr>
        <w:keepNext/>
        <w:numPr>
          <w:ilvl w:val="3"/>
          <w:numId w:val="12"/>
        </w:numPr>
        <w:outlineLvl w:val="2"/>
        <w:rPr>
          <w:rFonts w:eastAsia="Calibri" w:cs="Times New Roman"/>
          <w:b/>
          <w:color w:val="0000FF"/>
        </w:rPr>
      </w:pPr>
      <w:r w:rsidRPr="00752BD9">
        <w:rPr>
          <w:rFonts w:eastAsia="Calibri" w:cs="Times New Roman"/>
          <w:b/>
          <w:color w:val="0000FF"/>
        </w:rPr>
        <w:t>I. Centre for Clinical Practice at NICE (UK). Rehabilitation after critical illness</w:t>
      </w:r>
    </w:p>
    <w:p w:rsidR="00951601" w:rsidRDefault="00951601" w:rsidP="00951601">
      <w:pPr>
        <w:keepNext/>
        <w:numPr>
          <w:ilvl w:val="3"/>
          <w:numId w:val="12"/>
        </w:numPr>
        <w:outlineLvl w:val="2"/>
        <w:rPr>
          <w:rFonts w:eastAsia="Calibri" w:cs="Times New Roman"/>
          <w:b/>
          <w:color w:val="0000FF"/>
        </w:rPr>
      </w:pPr>
    </w:p>
    <w:p w:rsidR="00D524BA" w:rsidRPr="00776842" w:rsidRDefault="00D524BA" w:rsidP="00951601">
      <w:pPr>
        <w:keepNext/>
        <w:numPr>
          <w:ilvl w:val="3"/>
          <w:numId w:val="12"/>
        </w:numPr>
        <w:spacing w:after="240"/>
        <w:outlineLvl w:val="2"/>
        <w:rPr>
          <w:rFonts w:eastAsia="Calibri" w:cs="Times New Roman"/>
          <w:b/>
          <w:color w:val="0000FF"/>
        </w:rPr>
      </w:pPr>
      <w:r>
        <w:rPr>
          <w:rFonts w:eastAsia="Calibri" w:cs="Times New Roman"/>
          <w:color w:val="0000FF"/>
        </w:rPr>
        <w:t>(</w:t>
      </w:r>
      <w:r w:rsidRPr="00776842">
        <w:rPr>
          <w:rFonts w:eastAsia="Calibri" w:cs="Times New Roman"/>
          <w:b/>
          <w:color w:val="0000FF"/>
        </w:rPr>
        <w:t xml:space="preserve">Full citation: </w:t>
      </w:r>
      <w:r w:rsidRPr="00776842">
        <w:rPr>
          <w:rFonts w:eastAsia="Calibri" w:cs="Times New Roman"/>
          <w:color w:val="0000FF"/>
        </w:rPr>
        <w:t xml:space="preserve">Centre for Clinical Practice at NICE (UK). (2009). </w:t>
      </w:r>
      <w:r w:rsidRPr="00776842">
        <w:rPr>
          <w:rFonts w:eastAsia="Calibri" w:cs="Times New Roman"/>
          <w:i/>
          <w:color w:val="0000FF"/>
        </w:rPr>
        <w:t>Rehabilitation after critical illness</w:t>
      </w:r>
      <w:r w:rsidRPr="00776842">
        <w:rPr>
          <w:rFonts w:eastAsia="Calibri" w:cs="Times New Roman"/>
          <w:color w:val="0000FF"/>
        </w:rPr>
        <w:t xml:space="preserve"> (NICE Clinical Guidelines No. 83) Retrieved from </w:t>
      </w:r>
      <w:r w:rsidRPr="00E371B1">
        <w:rPr>
          <w:rFonts w:eastAsia="Calibri" w:cs="Times New Roman"/>
          <w:color w:val="0000FF"/>
        </w:rPr>
        <w:t>http://www.nice.org.uk/guidance/CG83</w:t>
      </w:r>
      <w:r>
        <w:rPr>
          <w:rFonts w:eastAsia="Calibri" w:cs="Times New Roman"/>
          <w:color w:val="0000FF"/>
        </w:rPr>
        <w:t>)</w:t>
      </w:r>
    </w:p>
    <w:p w:rsidR="00D524BA" w:rsidRPr="00BE0EAC" w:rsidRDefault="00D524BA" w:rsidP="00D524BA">
      <w:pPr>
        <w:numPr>
          <w:ilvl w:val="3"/>
          <w:numId w:val="12"/>
        </w:numPr>
        <w:rPr>
          <w:rFonts w:eastAsia="Calibri" w:cs="Times New Roman"/>
          <w:i/>
          <w:iCs/>
          <w:color w:val="0000FF"/>
        </w:rPr>
      </w:pPr>
      <w:r w:rsidRPr="00BE0EAC">
        <w:rPr>
          <w:rFonts w:eastAsia="Calibri" w:cs="Times New Roman"/>
          <w:i/>
          <w:iCs/>
          <w:color w:val="0000FF"/>
        </w:rPr>
        <w:t>Key principle of care</w:t>
      </w:r>
    </w:p>
    <w:p w:rsidR="00D524BA" w:rsidRPr="003951C6" w:rsidRDefault="00D524BA" w:rsidP="00BE0EAC">
      <w:pPr>
        <w:ind w:left="0" w:firstLine="0"/>
        <w:rPr>
          <w:rFonts w:eastAsia="Calibri" w:cs="Times New Roman"/>
          <w:color w:val="0000FF"/>
        </w:rPr>
      </w:pPr>
      <w:r w:rsidRPr="003951C6">
        <w:rPr>
          <w:rFonts w:eastAsia="Calibri" w:cs="Times New Roman"/>
          <w:color w:val="0000FF"/>
        </w:rPr>
        <w:t>1.1</w:t>
      </w:r>
      <w:r>
        <w:rPr>
          <w:rFonts w:eastAsia="Calibri" w:cs="Times New Roman"/>
          <w:color w:val="0000FF"/>
        </w:rPr>
        <w:t xml:space="preserve"> </w:t>
      </w:r>
      <w:r w:rsidR="00BE0EAC">
        <w:rPr>
          <w:rFonts w:eastAsia="Calibri" w:cs="Times New Roman"/>
          <w:color w:val="0000FF"/>
        </w:rPr>
        <w:t xml:space="preserve">- </w:t>
      </w:r>
      <w:r w:rsidRPr="003951C6">
        <w:rPr>
          <w:rFonts w:eastAsia="Calibri" w:cs="Times New Roman"/>
          <w:color w:val="0000FF"/>
        </w:rPr>
        <w:t>To ensure continuity of care, healthcare professional(s) with the appropriate competencies should coordinate the patient’s rehabilitation care pathway. Key elements of the coordination are as follows.</w:t>
      </w:r>
    </w:p>
    <w:p w:rsidR="00D524BA" w:rsidRPr="003951C6" w:rsidRDefault="00D524BA" w:rsidP="00D524BA">
      <w:pPr>
        <w:numPr>
          <w:ilvl w:val="0"/>
          <w:numId w:val="13"/>
        </w:numPr>
        <w:rPr>
          <w:rFonts w:eastAsia="Calibri" w:cs="Times New Roman"/>
          <w:color w:val="0000FF"/>
        </w:rPr>
      </w:pPr>
      <w:r w:rsidRPr="003951C6">
        <w:rPr>
          <w:rFonts w:eastAsia="Calibri" w:cs="Times New Roman"/>
          <w:color w:val="0000FF"/>
        </w:rPr>
        <w:t>Ensure the short-term and medium-term rehabilitation goals are reviewed, agreed and updated throughout the patient’s rehabilitation care pathway.</w:t>
      </w:r>
    </w:p>
    <w:p w:rsidR="00D524BA" w:rsidRPr="003951C6" w:rsidRDefault="00D524BA" w:rsidP="00D524BA">
      <w:pPr>
        <w:numPr>
          <w:ilvl w:val="0"/>
          <w:numId w:val="13"/>
        </w:numPr>
        <w:rPr>
          <w:rFonts w:eastAsia="Calibri" w:cs="Times New Roman"/>
          <w:color w:val="0000FF"/>
        </w:rPr>
      </w:pPr>
      <w:r w:rsidRPr="003951C6">
        <w:rPr>
          <w:rFonts w:eastAsia="Calibri" w:cs="Times New Roman"/>
          <w:color w:val="0000FF"/>
        </w:rPr>
        <w:t>Ensure the delivery of the structured and supported self-directed rehabilitation manual, when applicable.</w:t>
      </w:r>
    </w:p>
    <w:p w:rsidR="00D524BA" w:rsidRPr="003951C6" w:rsidRDefault="00D524BA" w:rsidP="00D524BA">
      <w:pPr>
        <w:numPr>
          <w:ilvl w:val="0"/>
          <w:numId w:val="13"/>
        </w:numPr>
        <w:rPr>
          <w:rFonts w:eastAsia="Calibri" w:cs="Times New Roman"/>
          <w:color w:val="0000FF"/>
        </w:rPr>
      </w:pPr>
      <w:r w:rsidRPr="003951C6">
        <w:rPr>
          <w:rFonts w:eastAsia="Calibri" w:cs="Times New Roman"/>
          <w:color w:val="0000FF"/>
        </w:rPr>
        <w:t>Liaise with primary/community care for the functional reassessment at 2–3 months after the patient’s discharge from critical care.</w:t>
      </w:r>
    </w:p>
    <w:p w:rsidR="00D524BA" w:rsidRPr="003951C6" w:rsidRDefault="00D524BA" w:rsidP="00D524BA">
      <w:pPr>
        <w:numPr>
          <w:ilvl w:val="0"/>
          <w:numId w:val="13"/>
        </w:numPr>
        <w:rPr>
          <w:rFonts w:eastAsia="Calibri" w:cs="Times New Roman"/>
          <w:color w:val="0000FF"/>
        </w:rPr>
      </w:pPr>
      <w:r w:rsidRPr="003951C6">
        <w:rPr>
          <w:rFonts w:eastAsia="Calibri" w:cs="Times New Roman"/>
          <w:color w:val="0000FF"/>
        </w:rPr>
        <w:t>Ensure information, including documentation, is communicated between hospitals and to other hospital-based or community rehabilitation services and primary care services.</w:t>
      </w:r>
    </w:p>
    <w:p w:rsidR="00D524BA" w:rsidRPr="003951C6" w:rsidRDefault="00D524BA" w:rsidP="00D524BA">
      <w:pPr>
        <w:numPr>
          <w:ilvl w:val="0"/>
          <w:numId w:val="13"/>
        </w:numPr>
        <w:rPr>
          <w:rFonts w:eastAsia="Calibri" w:cs="Times New Roman"/>
          <w:color w:val="0000FF"/>
        </w:rPr>
      </w:pPr>
      <w:r w:rsidRPr="003951C6">
        <w:rPr>
          <w:rFonts w:eastAsia="Calibri" w:cs="Times New Roman"/>
          <w:color w:val="0000FF"/>
        </w:rPr>
        <w:t>Give patients the contact details of the healthcare professional(s) on discharge from critical care, and again on discharge from hospital.</w:t>
      </w:r>
    </w:p>
    <w:p w:rsidR="00D524BA" w:rsidRPr="00BE0EAC" w:rsidRDefault="00D524BA" w:rsidP="00D524BA">
      <w:pPr>
        <w:ind w:left="0" w:firstLine="0"/>
        <w:rPr>
          <w:rFonts w:eastAsia="Calibri" w:cs="Times New Roman"/>
          <w:i/>
          <w:iCs/>
          <w:color w:val="0000FF"/>
        </w:rPr>
      </w:pPr>
      <w:r w:rsidRPr="00BE0EAC">
        <w:rPr>
          <w:rFonts w:eastAsia="Calibri" w:cs="Times New Roman"/>
          <w:i/>
          <w:iCs/>
          <w:color w:val="0000FF"/>
        </w:rPr>
        <w:lastRenderedPageBreak/>
        <w:t>During the critical care stay</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1.2 </w:t>
      </w:r>
      <w:r w:rsidR="00BE0EAC">
        <w:rPr>
          <w:rFonts w:eastAsia="Calibri" w:cs="Times New Roman"/>
          <w:color w:val="0000FF"/>
        </w:rPr>
        <w:t xml:space="preserve">- </w:t>
      </w:r>
      <w:r w:rsidRPr="003951C6">
        <w:rPr>
          <w:rFonts w:eastAsia="Calibri" w:cs="Times New Roman"/>
          <w:color w:val="0000FF"/>
        </w:rPr>
        <w:t xml:space="preserve">During the patient’s critical care stay and as early as clinically possible, perform a short clinical assessment to determine the patient’s risk of developing physical and non-physical morbidity </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1.3 </w:t>
      </w:r>
      <w:r w:rsidR="00BE0EAC">
        <w:rPr>
          <w:rFonts w:eastAsia="Calibri" w:cs="Times New Roman"/>
          <w:color w:val="0000FF"/>
        </w:rPr>
        <w:t xml:space="preserve">- </w:t>
      </w:r>
      <w:r w:rsidRPr="003951C6">
        <w:rPr>
          <w:rFonts w:eastAsia="Calibri" w:cs="Times New Roman"/>
          <w:color w:val="0000FF"/>
        </w:rPr>
        <w:t>For patients at risk of physical and non-physical morbidity, perform a comprehensive clinical assessment to identify their current rehabilitation needs. This should include assessments by healthcare professionals experienced in critical care and rehabilitation.</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1.5 </w:t>
      </w:r>
      <w:r w:rsidR="00BE0EAC">
        <w:rPr>
          <w:rFonts w:eastAsia="Calibri" w:cs="Times New Roman"/>
          <w:color w:val="0000FF"/>
        </w:rPr>
        <w:t xml:space="preserve">- </w:t>
      </w:r>
      <w:r w:rsidRPr="003951C6">
        <w:rPr>
          <w:rFonts w:eastAsia="Calibri" w:cs="Times New Roman"/>
          <w:color w:val="0000FF"/>
        </w:rPr>
        <w:t>The comprehensive clinical assessment and the rehabilitation goals should be collated and documented in the patient’s clinical records.</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1.6 </w:t>
      </w:r>
      <w:r w:rsidR="00BE0EAC">
        <w:rPr>
          <w:rFonts w:eastAsia="Calibri" w:cs="Times New Roman"/>
          <w:color w:val="0000FF"/>
        </w:rPr>
        <w:t xml:space="preserve">- </w:t>
      </w:r>
      <w:r w:rsidRPr="003951C6">
        <w:rPr>
          <w:rFonts w:eastAsia="Calibri" w:cs="Times New Roman"/>
          <w:color w:val="0000FF"/>
        </w:rPr>
        <w:t xml:space="preserve">For patients at risk, start rehabilitation as early as clinically possible, based on the comprehensive clinical assessment and the rehabilitation goals. </w:t>
      </w:r>
    </w:p>
    <w:p w:rsidR="00D524BA" w:rsidRDefault="00D524BA" w:rsidP="00D524BA">
      <w:pPr>
        <w:ind w:left="0" w:firstLine="0"/>
        <w:rPr>
          <w:rFonts w:eastAsia="Calibri" w:cs="Times New Roman"/>
          <w:color w:val="0000FF"/>
        </w:rPr>
      </w:pPr>
    </w:p>
    <w:p w:rsidR="00D524BA" w:rsidRPr="00BE0EAC" w:rsidRDefault="00D524BA" w:rsidP="00D524BA">
      <w:pPr>
        <w:ind w:left="0" w:firstLine="0"/>
        <w:rPr>
          <w:rFonts w:eastAsia="Calibri" w:cs="Times New Roman"/>
          <w:i/>
          <w:iCs/>
          <w:color w:val="0000FF"/>
        </w:rPr>
      </w:pPr>
      <w:r w:rsidRPr="00BE0EAC">
        <w:rPr>
          <w:rFonts w:eastAsia="Calibri" w:cs="Times New Roman"/>
          <w:i/>
          <w:iCs/>
          <w:color w:val="0000FF"/>
        </w:rPr>
        <w:t>Before discharge from critical care</w:t>
      </w:r>
    </w:p>
    <w:p w:rsidR="00D524BA" w:rsidRPr="003951C6" w:rsidRDefault="00D524BA" w:rsidP="00BE0EAC">
      <w:pPr>
        <w:ind w:left="0" w:firstLine="0"/>
        <w:rPr>
          <w:rFonts w:eastAsia="Calibri" w:cs="Times New Roman"/>
          <w:color w:val="0000FF"/>
        </w:rPr>
      </w:pPr>
      <w:r w:rsidRPr="003951C6">
        <w:rPr>
          <w:rFonts w:eastAsia="Calibri" w:cs="Times New Roman"/>
          <w:color w:val="0000FF"/>
        </w:rPr>
        <w:t xml:space="preserve">1.8. </w:t>
      </w:r>
      <w:r w:rsidR="00BE0EAC">
        <w:rPr>
          <w:rFonts w:eastAsia="Calibri" w:cs="Times New Roman"/>
          <w:color w:val="0000FF"/>
        </w:rPr>
        <w:t xml:space="preserve">- </w:t>
      </w:r>
      <w:r w:rsidRPr="003951C6">
        <w:rPr>
          <w:rFonts w:eastAsia="Calibri" w:cs="Times New Roman"/>
          <w:color w:val="0000FF"/>
        </w:rPr>
        <w:t>For patients who were previously identified as being at low risk, perform a short clinical assessment before their discharge from critical care to</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1.9 </w:t>
      </w:r>
      <w:r w:rsidR="00BE0EAC">
        <w:rPr>
          <w:rFonts w:eastAsia="Calibri" w:cs="Times New Roman"/>
          <w:color w:val="0000FF"/>
        </w:rPr>
        <w:t xml:space="preserve">- </w:t>
      </w:r>
      <w:r w:rsidRPr="003951C6">
        <w:rPr>
          <w:rFonts w:eastAsia="Calibri" w:cs="Times New Roman"/>
          <w:color w:val="0000FF"/>
        </w:rPr>
        <w:t xml:space="preserve">For patients at risk, and patients who started the individualised, structured rehabilitation programme in critical care, perform a comprehensive clinical reassessment to identify their current rehabilitation needs. </w:t>
      </w:r>
    </w:p>
    <w:p w:rsidR="00D524BA" w:rsidRPr="003951C6" w:rsidRDefault="00D524BA" w:rsidP="00BE0EAC">
      <w:pPr>
        <w:ind w:left="0" w:firstLine="0"/>
        <w:rPr>
          <w:rFonts w:eastAsia="Calibri" w:cs="Times New Roman"/>
          <w:color w:val="0000FF"/>
        </w:rPr>
      </w:pPr>
      <w:r w:rsidRPr="003951C6">
        <w:rPr>
          <w:rFonts w:eastAsia="Calibri" w:cs="Times New Roman"/>
          <w:color w:val="0000FF"/>
        </w:rPr>
        <w:t>1.10</w:t>
      </w:r>
      <w:r w:rsidR="00BE0EAC">
        <w:rPr>
          <w:rFonts w:eastAsia="Calibri" w:cs="Times New Roman"/>
          <w:color w:val="0000FF"/>
        </w:rPr>
        <w:t xml:space="preserve"> - </w:t>
      </w:r>
      <w:r w:rsidRPr="003951C6">
        <w:rPr>
          <w:rFonts w:eastAsia="Calibri" w:cs="Times New Roman"/>
          <w:color w:val="0000FF"/>
        </w:rPr>
        <w:t>For patients who were previously identified as being at risk during critical care, the outcomes of the comprehensive reassessment should inform the individualised, structured rehabilitation programme (recommendation 1.1.6).</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1.11 </w:t>
      </w:r>
      <w:r w:rsidR="00BE0EAC">
        <w:rPr>
          <w:rFonts w:eastAsia="Calibri" w:cs="Times New Roman"/>
          <w:color w:val="0000FF"/>
        </w:rPr>
        <w:t xml:space="preserve">- </w:t>
      </w:r>
      <w:r w:rsidRPr="003951C6">
        <w:rPr>
          <w:rFonts w:eastAsia="Calibri" w:cs="Times New Roman"/>
          <w:color w:val="0000FF"/>
        </w:rPr>
        <w:t>For patients at risk, agree or review and update the rehabilitation goals, based on the comprehensive reassessment. The family and/or carer should also be involved, unless the patient disagrees.</w:t>
      </w:r>
    </w:p>
    <w:p w:rsidR="00D524BA" w:rsidRDefault="00D524BA" w:rsidP="00D524BA">
      <w:pPr>
        <w:ind w:left="0" w:firstLine="0"/>
        <w:rPr>
          <w:rFonts w:eastAsia="Calibri" w:cs="Times New Roman"/>
          <w:color w:val="0000FF"/>
        </w:rPr>
      </w:pPr>
    </w:p>
    <w:p w:rsidR="00D524BA" w:rsidRPr="00BE0EAC" w:rsidRDefault="00D524BA" w:rsidP="00D524BA">
      <w:pPr>
        <w:ind w:left="0" w:firstLine="0"/>
        <w:rPr>
          <w:rFonts w:eastAsia="Calibri" w:cs="Times New Roman"/>
          <w:i/>
          <w:iCs/>
          <w:color w:val="0000FF"/>
        </w:rPr>
      </w:pPr>
      <w:r w:rsidRPr="00BE0EAC">
        <w:rPr>
          <w:rFonts w:eastAsia="Calibri" w:cs="Times New Roman"/>
          <w:i/>
          <w:iCs/>
          <w:color w:val="0000FF"/>
        </w:rPr>
        <w:t>Before discharge to home or community care</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1.20 </w:t>
      </w:r>
      <w:r w:rsidR="00BE0EAC">
        <w:rPr>
          <w:rFonts w:eastAsia="Calibri" w:cs="Times New Roman"/>
          <w:color w:val="0000FF"/>
        </w:rPr>
        <w:t xml:space="preserve">- </w:t>
      </w:r>
      <w:r w:rsidRPr="003951C6">
        <w:rPr>
          <w:rFonts w:eastAsia="Calibri" w:cs="Times New Roman"/>
          <w:color w:val="0000FF"/>
        </w:rPr>
        <w:t>Before discharging patients who were receiving the individualised structured rehabilitation programme during ward-based care (recommendation 1.1.15):</w:t>
      </w:r>
    </w:p>
    <w:p w:rsidR="00D524BA" w:rsidRPr="003951C6" w:rsidRDefault="00D524BA" w:rsidP="00D524BA">
      <w:pPr>
        <w:numPr>
          <w:ilvl w:val="0"/>
          <w:numId w:val="15"/>
        </w:numPr>
        <w:rPr>
          <w:rFonts w:eastAsia="Calibri" w:cs="Times New Roman"/>
          <w:color w:val="0000FF"/>
        </w:rPr>
      </w:pPr>
      <w:r w:rsidRPr="003951C6">
        <w:rPr>
          <w:rFonts w:eastAsia="Calibri" w:cs="Times New Roman"/>
          <w:color w:val="0000FF"/>
        </w:rPr>
        <w:t>perform a functional assessment which should include the following</w:t>
      </w:r>
      <w:r>
        <w:rPr>
          <w:rFonts w:eastAsia="Calibri" w:cs="Times New Roman"/>
          <w:color w:val="0000FF"/>
        </w:rPr>
        <w:t xml:space="preserve"> physical and non-physical dimensions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physical problems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sensory problems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communication problems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social care or equipment needs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anxiety</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depression</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post-traumatic stress-related symptoms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behavioural and cognitive problems</w:t>
      </w:r>
    </w:p>
    <w:p w:rsidR="00D524BA" w:rsidRPr="003951C6" w:rsidRDefault="00D524BA" w:rsidP="00D524BA">
      <w:pPr>
        <w:ind w:left="1440" w:firstLine="0"/>
        <w:rPr>
          <w:rFonts w:eastAsia="Calibri" w:cs="Times New Roman"/>
          <w:color w:val="0000FF"/>
        </w:rPr>
      </w:pPr>
      <w:r w:rsidRPr="003951C6">
        <w:rPr>
          <w:rFonts w:eastAsia="Calibri" w:cs="Times New Roman"/>
          <w:color w:val="0000FF"/>
        </w:rPr>
        <w:t>– psychosocial problems.</w:t>
      </w:r>
    </w:p>
    <w:p w:rsidR="00D524BA" w:rsidRPr="003951C6" w:rsidRDefault="00D524BA" w:rsidP="00D524BA">
      <w:pPr>
        <w:numPr>
          <w:ilvl w:val="0"/>
          <w:numId w:val="16"/>
        </w:numPr>
        <w:rPr>
          <w:rFonts w:eastAsia="Calibri" w:cs="Times New Roman"/>
          <w:color w:val="0000FF"/>
        </w:rPr>
      </w:pPr>
      <w:r w:rsidRPr="003951C6">
        <w:rPr>
          <w:rFonts w:eastAsia="Calibri" w:cs="Times New Roman"/>
          <w:color w:val="0000FF"/>
        </w:rPr>
        <w:t>assess the impact of the outcomes from the functional assessment on the patient’s activities of daily living and participation</w:t>
      </w:r>
    </w:p>
    <w:p w:rsidR="00D524BA" w:rsidRPr="003951C6" w:rsidRDefault="00D524BA" w:rsidP="00D524BA">
      <w:pPr>
        <w:numPr>
          <w:ilvl w:val="0"/>
          <w:numId w:val="16"/>
        </w:numPr>
        <w:rPr>
          <w:rFonts w:eastAsia="Calibri" w:cs="Times New Roman"/>
          <w:color w:val="0000FF"/>
        </w:rPr>
      </w:pPr>
      <w:r w:rsidRPr="003951C6">
        <w:rPr>
          <w:rFonts w:eastAsia="Calibri" w:cs="Times New Roman"/>
          <w:color w:val="0000FF"/>
        </w:rPr>
        <w:t>based on the functional assessment, review, update and agree the rehabilitation goals with the patient. The family and/or carer should be involved if the patient agrees.</w:t>
      </w:r>
    </w:p>
    <w:p w:rsidR="00EF483B" w:rsidRDefault="00EF483B" w:rsidP="00D524BA">
      <w:pPr>
        <w:ind w:left="0" w:firstLine="0"/>
        <w:rPr>
          <w:rFonts w:eastAsia="Calibri" w:cs="Times New Roman"/>
          <w:color w:val="0000FF"/>
        </w:rPr>
      </w:pPr>
    </w:p>
    <w:p w:rsidR="003950DC" w:rsidRDefault="003950DC">
      <w:pPr>
        <w:rPr>
          <w:rFonts w:eastAsia="Calibri" w:cs="Times New Roman"/>
          <w:color w:val="0000FF"/>
        </w:rPr>
      </w:pPr>
      <w:r>
        <w:rPr>
          <w:rFonts w:eastAsia="Calibri" w:cs="Times New Roman"/>
          <w:color w:val="0000FF"/>
        </w:rPr>
        <w:br w:type="page"/>
      </w:r>
    </w:p>
    <w:p w:rsidR="00D524BA" w:rsidRPr="003951C6" w:rsidRDefault="00D524BA" w:rsidP="00D524BA">
      <w:pPr>
        <w:ind w:left="0" w:firstLine="0"/>
        <w:rPr>
          <w:rFonts w:eastAsia="Calibri" w:cs="Times New Roman"/>
          <w:color w:val="0000FF"/>
        </w:rPr>
      </w:pPr>
      <w:r w:rsidRPr="003951C6">
        <w:rPr>
          <w:rFonts w:eastAsia="Calibri" w:cs="Times New Roman"/>
          <w:color w:val="0000FF"/>
        </w:rPr>
        <w:lastRenderedPageBreak/>
        <w:t>1.21</w:t>
      </w:r>
      <w:r w:rsidR="00BE0EAC">
        <w:rPr>
          <w:rFonts w:eastAsia="Calibri" w:cs="Times New Roman"/>
          <w:color w:val="0000FF"/>
        </w:rPr>
        <w:t xml:space="preserve"> -</w:t>
      </w:r>
      <w:r w:rsidRPr="003951C6">
        <w:rPr>
          <w:rFonts w:eastAsia="Calibri" w:cs="Times New Roman"/>
          <w:color w:val="0000FF"/>
        </w:rPr>
        <w:t xml:space="preserve"> If continuing rehabilitation needs are identified from the functional assessment, ensure that before the patient is discharged:</w:t>
      </w:r>
    </w:p>
    <w:p w:rsidR="00D524BA" w:rsidRPr="003951C6" w:rsidRDefault="00D524BA" w:rsidP="00D524BA">
      <w:pPr>
        <w:numPr>
          <w:ilvl w:val="0"/>
          <w:numId w:val="16"/>
        </w:numPr>
        <w:rPr>
          <w:rFonts w:eastAsia="Calibri" w:cs="Times New Roman"/>
          <w:color w:val="0000FF"/>
        </w:rPr>
      </w:pPr>
      <w:r w:rsidRPr="003951C6">
        <w:rPr>
          <w:rFonts w:eastAsia="Calibri" w:cs="Times New Roman"/>
          <w:color w:val="0000FF"/>
        </w:rPr>
        <w:t>discharge arrangements, including appropriate referrals for the necessary ongoing care, are in place before completing the discharge</w:t>
      </w:r>
    </w:p>
    <w:p w:rsidR="00D524BA" w:rsidRPr="003951C6" w:rsidRDefault="00D524BA" w:rsidP="00D524BA">
      <w:pPr>
        <w:numPr>
          <w:ilvl w:val="0"/>
          <w:numId w:val="16"/>
        </w:numPr>
        <w:rPr>
          <w:rFonts w:eastAsia="Calibri" w:cs="Times New Roman"/>
          <w:color w:val="0000FF"/>
        </w:rPr>
      </w:pPr>
      <w:r w:rsidRPr="003951C6">
        <w:rPr>
          <w:rFonts w:eastAsia="Calibri" w:cs="Times New Roman"/>
          <w:color w:val="0000FF"/>
        </w:rPr>
        <w:t>all discharge documents are completed and forwarded to the appropriate post-discharge services and the patient</w:t>
      </w:r>
    </w:p>
    <w:p w:rsidR="00D524BA" w:rsidRPr="003951C6" w:rsidRDefault="00D524BA" w:rsidP="00D524BA">
      <w:pPr>
        <w:numPr>
          <w:ilvl w:val="0"/>
          <w:numId w:val="16"/>
        </w:numPr>
        <w:rPr>
          <w:rFonts w:eastAsia="Calibri" w:cs="Times New Roman"/>
          <w:color w:val="0000FF"/>
        </w:rPr>
      </w:pPr>
      <w:r w:rsidRPr="003951C6">
        <w:rPr>
          <w:rFonts w:eastAsia="Calibri" w:cs="Times New Roman"/>
          <w:color w:val="0000FF"/>
        </w:rPr>
        <w:t>the patient, and/or the family and/or carer as appropriate, is aware of the discharge arrangements and understands them.</w:t>
      </w:r>
    </w:p>
    <w:p w:rsidR="00D524BA" w:rsidRDefault="00D524BA" w:rsidP="00D524BA">
      <w:pPr>
        <w:ind w:left="0" w:firstLine="0"/>
        <w:rPr>
          <w:rFonts w:eastAsia="Calibri" w:cs="Times New Roman"/>
          <w:color w:val="0000FF"/>
        </w:rPr>
      </w:pPr>
    </w:p>
    <w:p w:rsidR="00D524BA" w:rsidRPr="003951C6" w:rsidRDefault="00D524BA" w:rsidP="00D524BA">
      <w:pPr>
        <w:ind w:left="0" w:firstLine="0"/>
        <w:rPr>
          <w:rFonts w:eastAsia="Calibri" w:cs="Times New Roman"/>
          <w:b/>
          <w:color w:val="0000FF"/>
        </w:rPr>
      </w:pPr>
      <w:r w:rsidRPr="003951C6">
        <w:rPr>
          <w:rFonts w:eastAsia="Calibri" w:cs="Times New Roman"/>
          <w:b/>
          <w:color w:val="0000FF"/>
        </w:rPr>
        <w:t>References Supporting the Recommendations</w:t>
      </w:r>
    </w:p>
    <w:p w:rsidR="00D524BA" w:rsidRPr="003951C6" w:rsidRDefault="00D524BA" w:rsidP="00D524BA">
      <w:pPr>
        <w:ind w:left="0" w:firstLine="0"/>
        <w:rPr>
          <w:rFonts w:eastAsia="Calibri" w:cs="Times New Roman"/>
          <w:color w:val="0000FF"/>
        </w:rPr>
      </w:pPr>
      <w:r w:rsidRPr="003951C6">
        <w:rPr>
          <w:rFonts w:eastAsia="Calibri" w:cs="Times New Roman"/>
          <w:color w:val="0000FF"/>
        </w:rPr>
        <w:t xml:space="preserve">References and citations that support the NICE guidelines can be found at the following location:  </w:t>
      </w:r>
      <w:hyperlink r:id="rId13" w:history="1">
        <w:r w:rsidR="00BE0EAC" w:rsidRPr="002032EB">
          <w:rPr>
            <w:rStyle w:val="Hyperlink"/>
            <w:rFonts w:eastAsia="Calibri" w:cs="Times New Roman"/>
          </w:rPr>
          <w:t>http://www.nice.org.uk/guidance/cg83/resources/cg83-critical-illness-rehabilitation-guideline2</w:t>
        </w:r>
      </w:hyperlink>
    </w:p>
    <w:p w:rsidR="00752BD9" w:rsidRDefault="00752BD9" w:rsidP="00752BD9">
      <w:pPr>
        <w:spacing w:before="240" w:after="240"/>
        <w:ind w:left="0" w:firstLine="0"/>
        <w:rPr>
          <w:rFonts w:eastAsia="Calibri" w:cs="Times New Roman"/>
          <w:b/>
          <w:color w:val="0000FF"/>
        </w:rPr>
      </w:pPr>
      <w:r w:rsidRPr="00752BD9">
        <w:rPr>
          <w:rFonts w:eastAsia="Calibri" w:cs="Times New Roman"/>
          <w:b/>
          <w:color w:val="0000FF"/>
        </w:rPr>
        <w:t xml:space="preserve">II. </w:t>
      </w:r>
      <w:bookmarkStart w:id="14" w:name="lastplace_LJB"/>
      <w:r w:rsidRPr="00752BD9">
        <w:rPr>
          <w:rFonts w:eastAsia="Calibri" w:cs="Times New Roman"/>
          <w:b/>
          <w:color w:val="0000FF"/>
        </w:rPr>
        <w:t xml:space="preserve">National </w:t>
      </w:r>
      <w:bookmarkEnd w:id="14"/>
      <w:r w:rsidRPr="00752BD9">
        <w:rPr>
          <w:rFonts w:eastAsia="Calibri" w:cs="Times New Roman"/>
          <w:b/>
          <w:color w:val="0000FF"/>
        </w:rPr>
        <w:t>Guideline Clearinghouse. Assessing cognitive functioning. In: Evidence-based geriatric nursing protocols for best practice.</w:t>
      </w:r>
    </w:p>
    <w:p w:rsidR="00776842" w:rsidRPr="00752BD9" w:rsidRDefault="00776842" w:rsidP="00752BD9">
      <w:pPr>
        <w:spacing w:before="240" w:after="240"/>
        <w:ind w:left="0" w:firstLine="0"/>
        <w:rPr>
          <w:rFonts w:eastAsia="Calibri" w:cs="Times New Roman"/>
          <w:b/>
          <w:color w:val="0000FF"/>
        </w:rPr>
      </w:pPr>
      <w:r>
        <w:rPr>
          <w:rFonts w:eastAsia="Calibri" w:cs="Times New Roman"/>
          <w:b/>
          <w:color w:val="0000FF"/>
        </w:rPr>
        <w:t xml:space="preserve">(Full citation: </w:t>
      </w:r>
      <w:r w:rsidRPr="00776842">
        <w:rPr>
          <w:rFonts w:eastAsia="Calibri" w:cs="Times New Roman"/>
          <w:color w:val="0000FF"/>
        </w:rPr>
        <w:t xml:space="preserve">Milisen, K., Braes, T., &amp; Foreman, M. D. (2012). Assessing cognitive function. In M. Boltz, E. Capezuti, T. Fulmer, &amp; D. Zwicker (Eds.), </w:t>
      </w:r>
      <w:r w:rsidRPr="00D524BA">
        <w:rPr>
          <w:rFonts w:eastAsia="Calibri" w:cs="Times New Roman"/>
          <w:i/>
          <w:color w:val="0000FF"/>
        </w:rPr>
        <w:t>Evidence-based geriatric nursing protocols for best practice</w:t>
      </w:r>
      <w:r w:rsidRPr="00776842">
        <w:rPr>
          <w:rFonts w:eastAsia="Calibri" w:cs="Times New Roman"/>
          <w:color w:val="0000FF"/>
        </w:rPr>
        <w:t xml:space="preserve"> (4th ed., pp. 122–134). New York, NY: Springer.</w:t>
      </w:r>
      <w:r>
        <w:rPr>
          <w:rFonts w:eastAsia="Calibri" w:cs="Times New Roman"/>
          <w:color w:val="0000FF"/>
        </w:rPr>
        <w:t>)</w:t>
      </w:r>
      <w:r w:rsidRPr="00752BD9">
        <w:rPr>
          <w:rFonts w:eastAsia="Calibri" w:cs="Times New Roman"/>
          <w:b/>
          <w:color w:val="0000FF"/>
        </w:rPr>
        <w:t xml:space="preserve"> </w:t>
      </w:r>
    </w:p>
    <w:p w:rsidR="00752BD9" w:rsidRPr="00752BD9" w:rsidRDefault="00752BD9" w:rsidP="00541BA0">
      <w:pPr>
        <w:ind w:left="0" w:firstLine="0"/>
        <w:rPr>
          <w:rFonts w:ascii="Calibri" w:eastAsia="Calibri" w:hAnsi="Calibri" w:cs="Times New Roman"/>
          <w:color w:val="0000FF"/>
        </w:rPr>
      </w:pPr>
      <w:r w:rsidRPr="00752BD9">
        <w:rPr>
          <w:rFonts w:ascii="Calibri" w:eastAsia="Calibri" w:hAnsi="Calibri" w:cs="Times New Roman"/>
          <w:b/>
          <w:color w:val="0000FF"/>
        </w:rPr>
        <w:t>Major Recommendations</w:t>
      </w:r>
      <w:r w:rsidR="00541BA0">
        <w:rPr>
          <w:rFonts w:ascii="Calibri" w:eastAsia="Calibri" w:hAnsi="Calibri" w:cs="Times New Roman"/>
          <w:b/>
          <w:color w:val="0000FF"/>
        </w:rPr>
        <w:t xml:space="preserve">: </w:t>
      </w:r>
      <w:r w:rsidRPr="00752BD9">
        <w:rPr>
          <w:rFonts w:ascii="Calibri" w:eastAsia="Calibri" w:hAnsi="Calibri" w:cs="Times New Roman"/>
          <w:color w:val="0000FF"/>
        </w:rPr>
        <w:t>Levels of evidence (</w:t>
      </w:r>
      <w:r w:rsidRPr="00752BD9">
        <w:rPr>
          <w:rFonts w:ascii="Calibri" w:eastAsia="Calibri" w:hAnsi="Calibri" w:cs="Times New Roman"/>
          <w:b/>
          <w:color w:val="0000FF"/>
        </w:rPr>
        <w:t>I–VI</w:t>
      </w:r>
      <w:r w:rsidRPr="00752BD9">
        <w:rPr>
          <w:rFonts w:ascii="Calibri" w:eastAsia="Calibri" w:hAnsi="Calibri" w:cs="Times New Roman"/>
          <w:color w:val="0000FF"/>
        </w:rPr>
        <w:t>) are defined at the end of the "Major Recommendations" field.</w:t>
      </w:r>
    </w:p>
    <w:p w:rsidR="00752BD9" w:rsidRPr="00752BD9" w:rsidRDefault="00752BD9" w:rsidP="00752BD9">
      <w:pPr>
        <w:spacing w:before="100" w:beforeAutospacing="1"/>
        <w:ind w:left="0" w:firstLine="0"/>
        <w:rPr>
          <w:rFonts w:ascii="Calibri" w:eastAsia="Calibri" w:hAnsi="Calibri" w:cs="Times New Roman"/>
          <w:b/>
          <w:color w:val="0000FF"/>
          <w:u w:val="single"/>
        </w:rPr>
      </w:pPr>
      <w:r w:rsidRPr="00752BD9">
        <w:rPr>
          <w:rFonts w:ascii="Calibri" w:eastAsia="Calibri" w:hAnsi="Calibri" w:cs="Times New Roman"/>
          <w:b/>
          <w:color w:val="0000FF"/>
          <w:u w:val="single"/>
        </w:rPr>
        <w:t>Assessment of Cognitive Function</w:t>
      </w:r>
    </w:p>
    <w:p w:rsidR="00752BD9" w:rsidRPr="00752BD9" w:rsidRDefault="00752BD9" w:rsidP="00752BD9">
      <w:pPr>
        <w:spacing w:before="100" w:beforeAutospacing="1"/>
        <w:ind w:left="0" w:firstLine="0"/>
        <w:rPr>
          <w:rFonts w:ascii="Calibri" w:eastAsia="Calibri" w:hAnsi="Calibri" w:cs="Times New Roman"/>
          <w:b/>
          <w:color w:val="0000FF"/>
        </w:rPr>
      </w:pPr>
      <w:r w:rsidRPr="00752BD9">
        <w:rPr>
          <w:rFonts w:ascii="Calibri" w:eastAsia="Calibri" w:hAnsi="Calibri" w:cs="Times New Roman"/>
          <w:b/>
          <w:color w:val="0000FF"/>
        </w:rPr>
        <w:t>Reasons/Purposes of Assessment</w:t>
      </w:r>
    </w:p>
    <w:p w:rsidR="00752BD9" w:rsidRPr="00752BD9" w:rsidRDefault="00752BD9" w:rsidP="00BE0EAC">
      <w:pPr>
        <w:numPr>
          <w:ilvl w:val="0"/>
          <w:numId w:val="17"/>
        </w:numPr>
        <w:rPr>
          <w:rFonts w:ascii="Calibri" w:eastAsia="Calibri" w:hAnsi="Calibri" w:cs="Times New Roman"/>
          <w:color w:val="0000FF"/>
        </w:rPr>
      </w:pPr>
      <w:r w:rsidRPr="00752BD9">
        <w:rPr>
          <w:rFonts w:ascii="Calibri" w:eastAsia="Calibri" w:hAnsi="Calibri" w:cs="Times New Roman"/>
          <w:color w:val="0000FF"/>
        </w:rPr>
        <w:t>Screening: to determine the absence or presence of impairment (Foreman et al., 2003 [</w:t>
      </w:r>
      <w:r w:rsidRPr="00752BD9">
        <w:rPr>
          <w:rFonts w:ascii="Calibri" w:eastAsia="Calibri" w:hAnsi="Calibri" w:cs="Times New Roman"/>
          <w:b/>
          <w:color w:val="0000FF"/>
        </w:rPr>
        <w:t>Level</w:t>
      </w:r>
      <w:r w:rsidR="00776842">
        <w:rPr>
          <w:rFonts w:ascii="Calibri" w:eastAsia="Calibri" w:hAnsi="Calibri" w:cs="Times New Roman"/>
          <w:b/>
          <w:color w:val="0000FF"/>
        </w:rPr>
        <w:t> </w:t>
      </w:r>
      <w:r w:rsidRPr="00752BD9">
        <w:rPr>
          <w:rFonts w:ascii="Calibri" w:eastAsia="Calibri" w:hAnsi="Calibri" w:cs="Times New Roman"/>
          <w:b/>
          <w:color w:val="0000FF"/>
        </w:rPr>
        <w:t>VI]</w:t>
      </w:r>
      <w:r w:rsidRPr="00752BD9">
        <w:rPr>
          <w:rFonts w:ascii="Calibri" w:eastAsia="Calibri" w:hAnsi="Calibri" w:cs="Times New Roman"/>
          <w:color w:val="0000FF"/>
        </w:rPr>
        <w:t xml:space="preserve">). </w:t>
      </w:r>
    </w:p>
    <w:p w:rsidR="00752BD9" w:rsidRPr="00752BD9" w:rsidRDefault="00752BD9" w:rsidP="00BE0EAC">
      <w:pPr>
        <w:numPr>
          <w:ilvl w:val="0"/>
          <w:numId w:val="17"/>
        </w:numPr>
        <w:rPr>
          <w:rFonts w:ascii="Calibri" w:eastAsia="Calibri" w:hAnsi="Calibri" w:cs="Times New Roman"/>
          <w:color w:val="0000FF"/>
        </w:rPr>
      </w:pPr>
      <w:r w:rsidRPr="00752BD9">
        <w:rPr>
          <w:rFonts w:ascii="Calibri" w:eastAsia="Calibri" w:hAnsi="Calibri" w:cs="Times New Roman"/>
          <w:color w:val="0000FF"/>
        </w:rPr>
        <w:t>Monitoring: to track cognitive status over time, especially response to treatment (Foreman et al., 2003 [</w:t>
      </w:r>
      <w:r w:rsidRPr="00752BD9">
        <w:rPr>
          <w:rFonts w:ascii="Calibri" w:eastAsia="Calibri" w:hAnsi="Calibri" w:cs="Times New Roman"/>
          <w:b/>
          <w:color w:val="0000FF"/>
        </w:rPr>
        <w:t>Level VI</w:t>
      </w:r>
      <w:r w:rsidRPr="00752BD9">
        <w:rPr>
          <w:rFonts w:ascii="Calibri" w:eastAsia="Calibri" w:hAnsi="Calibri" w:cs="Times New Roman"/>
          <w:color w:val="0000FF"/>
        </w:rPr>
        <w:t xml:space="preserve">]). </w:t>
      </w:r>
    </w:p>
    <w:p w:rsidR="00752BD9" w:rsidRPr="00752BD9" w:rsidRDefault="00752BD9" w:rsidP="00752BD9">
      <w:pPr>
        <w:spacing w:before="100" w:beforeAutospacing="1"/>
        <w:ind w:left="0" w:firstLine="0"/>
        <w:rPr>
          <w:rFonts w:ascii="Calibri" w:eastAsia="Calibri" w:hAnsi="Calibri" w:cs="Times New Roman"/>
          <w:b/>
          <w:color w:val="0000FF"/>
        </w:rPr>
      </w:pPr>
      <w:r w:rsidRPr="00752BD9">
        <w:rPr>
          <w:rFonts w:ascii="Calibri" w:eastAsia="Calibri" w:hAnsi="Calibri" w:cs="Times New Roman"/>
          <w:b/>
          <w:color w:val="0000FF"/>
        </w:rPr>
        <w:t>How to Assess Cognitive Function</w:t>
      </w:r>
    </w:p>
    <w:p w:rsidR="00752BD9" w:rsidRPr="00752BD9" w:rsidRDefault="00752BD9" w:rsidP="00541BA0">
      <w:pPr>
        <w:numPr>
          <w:ilvl w:val="0"/>
          <w:numId w:val="18"/>
        </w:numPr>
        <w:rPr>
          <w:rFonts w:ascii="Calibri" w:eastAsia="Calibri" w:hAnsi="Calibri" w:cs="Times New Roman"/>
          <w:color w:val="0000FF"/>
        </w:rPr>
      </w:pPr>
      <w:r w:rsidRPr="00752BD9">
        <w:rPr>
          <w:rFonts w:ascii="Calibri" w:eastAsia="Calibri" w:hAnsi="Calibri" w:cs="Times New Roman"/>
          <w:color w:val="0000FF"/>
        </w:rPr>
        <w:t>Mini-Mental State Examination (</w:t>
      </w:r>
      <w:r w:rsidRPr="00BD35B1">
        <w:rPr>
          <w:rFonts w:ascii="Calibri" w:eastAsia="Calibri" w:hAnsi="Calibri" w:cs="Times New Roman"/>
          <w:color w:val="0000FF"/>
        </w:rPr>
        <w:t>MMSE</w:t>
      </w:r>
      <w:r w:rsidRPr="00752BD9">
        <w:rPr>
          <w:rFonts w:ascii="Calibri" w:eastAsia="Calibri" w:hAnsi="Calibri" w:cs="Times New Roman"/>
          <w:color w:val="0000FF"/>
        </w:rPr>
        <w:t>) (Folstein, Folstein, &amp; McHugh, 1975 [</w:t>
      </w:r>
      <w:r w:rsidRPr="00752BD9">
        <w:rPr>
          <w:rFonts w:ascii="Calibri" w:eastAsia="Calibri" w:hAnsi="Calibri" w:cs="Times New Roman"/>
          <w:b/>
          <w:color w:val="0000FF"/>
        </w:rPr>
        <w:t>Level VI</w:t>
      </w:r>
      <w:r w:rsidRPr="00752BD9">
        <w:rPr>
          <w:rFonts w:ascii="Calibri" w:eastAsia="Calibri" w:hAnsi="Calibri" w:cs="Times New Roman"/>
          <w:color w:val="0000FF"/>
        </w:rPr>
        <w:t xml:space="preserve">]) can be used to screen for or monitor cognitive function; however, performance on the MMSE is adversely influenced by education, age, language, and verbal ability. The MMSE also is criticized for taking too long to administer and score. </w:t>
      </w:r>
    </w:p>
    <w:p w:rsidR="00752BD9" w:rsidRPr="00752BD9" w:rsidRDefault="00752BD9" w:rsidP="00541BA0">
      <w:pPr>
        <w:numPr>
          <w:ilvl w:val="0"/>
          <w:numId w:val="18"/>
        </w:numPr>
        <w:rPr>
          <w:rFonts w:ascii="Calibri" w:eastAsia="Calibri" w:hAnsi="Calibri" w:cs="Times New Roman"/>
          <w:color w:val="0000FF"/>
        </w:rPr>
      </w:pPr>
      <w:r w:rsidRPr="00752BD9">
        <w:rPr>
          <w:rFonts w:ascii="Calibri" w:eastAsia="Calibri" w:hAnsi="Calibri" w:cs="Times New Roman"/>
          <w:color w:val="0000FF"/>
        </w:rPr>
        <w:t>Mini-Cog (Borson et al., 2000 [</w:t>
      </w:r>
      <w:r w:rsidRPr="00752BD9">
        <w:rPr>
          <w:rFonts w:ascii="Calibri" w:eastAsia="Calibri" w:hAnsi="Calibri" w:cs="Times New Roman"/>
          <w:b/>
          <w:color w:val="0000FF"/>
        </w:rPr>
        <w:t>Level VI</w:t>
      </w:r>
      <w:r w:rsidRPr="00752BD9">
        <w:rPr>
          <w:rFonts w:ascii="Calibri" w:eastAsia="Calibri" w:hAnsi="Calibri" w:cs="Times New Roman"/>
          <w:color w:val="0000FF"/>
        </w:rPr>
        <w:t>]) or Sweet 16 (Fong et al., 2011 [</w:t>
      </w:r>
      <w:r w:rsidRPr="00752BD9">
        <w:rPr>
          <w:rFonts w:ascii="Calibri" w:eastAsia="Calibri" w:hAnsi="Calibri" w:cs="Times New Roman"/>
          <w:b/>
          <w:color w:val="0000FF"/>
        </w:rPr>
        <w:t>Level VI</w:t>
      </w:r>
      <w:r w:rsidRPr="00752BD9">
        <w:rPr>
          <w:rFonts w:ascii="Calibri" w:eastAsia="Calibri" w:hAnsi="Calibri" w:cs="Times New Roman"/>
          <w:color w:val="0000FF"/>
        </w:rPr>
        <w:t xml:space="preserve">]) can also be used to screen and monitor cognitive function; is not adversely influenced by age, language, and education; and takes about half as much time to administer and score as the MMSE. </w:t>
      </w:r>
    </w:p>
    <w:p w:rsidR="00752BD9" w:rsidRPr="00752BD9" w:rsidRDefault="00752BD9" w:rsidP="00541BA0">
      <w:pPr>
        <w:numPr>
          <w:ilvl w:val="0"/>
          <w:numId w:val="18"/>
        </w:numPr>
        <w:rPr>
          <w:rFonts w:ascii="Calibri" w:eastAsia="Calibri" w:hAnsi="Calibri" w:cs="Times New Roman"/>
          <w:color w:val="0000FF"/>
        </w:rPr>
      </w:pPr>
      <w:r w:rsidRPr="00752BD9">
        <w:rPr>
          <w:rFonts w:ascii="Calibri" w:eastAsia="Calibri" w:hAnsi="Calibri" w:cs="Times New Roman"/>
          <w:color w:val="0000FF"/>
        </w:rPr>
        <w:t>Informant Questionnaire on Cognitive Decline in the Elderly (</w:t>
      </w:r>
      <w:r w:rsidRPr="00BD35B1">
        <w:rPr>
          <w:rFonts w:ascii="Calibri" w:eastAsia="Calibri" w:hAnsi="Calibri" w:cs="Times New Roman"/>
          <w:color w:val="0000FF"/>
        </w:rPr>
        <w:t>IQCDE</w:t>
      </w:r>
      <w:r w:rsidRPr="00752BD9">
        <w:rPr>
          <w:rFonts w:ascii="Calibri" w:eastAsia="Calibri" w:hAnsi="Calibri" w:cs="Times New Roman"/>
          <w:color w:val="0000FF"/>
        </w:rPr>
        <w:t>) is useful to supplement testing with the MMSE or Mini-Cog as it is useful to determine onset, duration, and functional impact of the cognitive impairment. Information from intimate others can be obtained by using the IQCDE (Jorm, 1994 [</w:t>
      </w:r>
      <w:r w:rsidRPr="00752BD9">
        <w:rPr>
          <w:rFonts w:ascii="Calibri" w:eastAsia="Calibri" w:hAnsi="Calibri" w:cs="Times New Roman"/>
          <w:b/>
          <w:color w:val="0000FF"/>
        </w:rPr>
        <w:t>Level VI</w:t>
      </w:r>
      <w:r w:rsidRPr="00752BD9">
        <w:rPr>
          <w:rFonts w:ascii="Calibri" w:eastAsia="Calibri" w:hAnsi="Calibri" w:cs="Times New Roman"/>
          <w:color w:val="0000FF"/>
        </w:rPr>
        <w:t xml:space="preserve">]). </w:t>
      </w:r>
    </w:p>
    <w:p w:rsidR="00752BD9" w:rsidRPr="00752BD9" w:rsidRDefault="00752BD9" w:rsidP="00541BA0">
      <w:pPr>
        <w:numPr>
          <w:ilvl w:val="0"/>
          <w:numId w:val="18"/>
        </w:numPr>
        <w:spacing w:after="240"/>
        <w:rPr>
          <w:rFonts w:ascii="Calibri" w:eastAsia="Calibri" w:hAnsi="Calibri" w:cs="Times New Roman"/>
          <w:color w:val="0000FF"/>
        </w:rPr>
      </w:pPr>
      <w:r w:rsidRPr="00752BD9">
        <w:rPr>
          <w:rFonts w:ascii="Calibri" w:eastAsia="Calibri" w:hAnsi="Calibri" w:cs="Times New Roman"/>
          <w:color w:val="0000FF"/>
        </w:rPr>
        <w:t>Naturally occurring interactions: Observations and conversations during naturally occurring care interactions can be the impetus for additional screening/monitoring of cognitive function with the MMSE or Mini-Cog (Foreman et al., 2003 [</w:t>
      </w:r>
      <w:r w:rsidRPr="00752BD9">
        <w:rPr>
          <w:rFonts w:ascii="Calibri" w:eastAsia="Calibri" w:hAnsi="Calibri" w:cs="Times New Roman"/>
          <w:b/>
          <w:color w:val="0000FF"/>
        </w:rPr>
        <w:t>Level VI</w:t>
      </w:r>
      <w:r w:rsidRPr="00752BD9">
        <w:rPr>
          <w:rFonts w:ascii="Calibri" w:eastAsia="Calibri" w:hAnsi="Calibri" w:cs="Times New Roman"/>
          <w:color w:val="0000FF"/>
        </w:rPr>
        <w:t>]). Furthermore, observations should be standardized by using a formal observation instrument such as the Nurses' Observation Scale for Cognitive Abilities (Persoon, 2010 [</w:t>
      </w:r>
      <w:r w:rsidRPr="00752BD9">
        <w:rPr>
          <w:rFonts w:ascii="Calibri" w:eastAsia="Calibri" w:hAnsi="Calibri" w:cs="Times New Roman"/>
          <w:b/>
          <w:color w:val="0000FF"/>
        </w:rPr>
        <w:t>Level IV</w:t>
      </w:r>
      <w:r w:rsidRPr="00752BD9">
        <w:rPr>
          <w:rFonts w:ascii="Calibri" w:eastAsia="Calibri" w:hAnsi="Calibri" w:cs="Times New Roman"/>
          <w:color w:val="0000FF"/>
        </w:rPr>
        <w:t xml:space="preserve">]). </w:t>
      </w:r>
    </w:p>
    <w:p w:rsidR="00752BD9" w:rsidRPr="00752BD9" w:rsidRDefault="00752BD9" w:rsidP="00752BD9">
      <w:pPr>
        <w:spacing w:before="100" w:beforeAutospacing="1"/>
        <w:ind w:left="0" w:firstLine="0"/>
        <w:rPr>
          <w:rFonts w:ascii="Calibri" w:eastAsia="Calibri" w:hAnsi="Calibri" w:cs="Times New Roman"/>
          <w:b/>
          <w:color w:val="0000FF"/>
        </w:rPr>
      </w:pPr>
      <w:r w:rsidRPr="00752BD9">
        <w:rPr>
          <w:rFonts w:ascii="Calibri" w:eastAsia="Calibri" w:hAnsi="Calibri" w:cs="Times New Roman"/>
          <w:b/>
          <w:color w:val="0000FF"/>
        </w:rPr>
        <w:lastRenderedPageBreak/>
        <w:t>When to Assess Cognitive Function</w:t>
      </w:r>
    </w:p>
    <w:p w:rsidR="00752BD9" w:rsidRPr="00752BD9" w:rsidRDefault="00752BD9" w:rsidP="00541BA0">
      <w:pPr>
        <w:numPr>
          <w:ilvl w:val="0"/>
          <w:numId w:val="19"/>
        </w:numPr>
        <w:rPr>
          <w:rFonts w:ascii="Calibri" w:eastAsia="Calibri" w:hAnsi="Calibri" w:cs="Times New Roman"/>
          <w:color w:val="0000FF"/>
        </w:rPr>
      </w:pPr>
      <w:r w:rsidRPr="00752BD9">
        <w:rPr>
          <w:rFonts w:ascii="Calibri" w:eastAsia="Calibri" w:hAnsi="Calibri" w:cs="Times New Roman"/>
          <w:color w:val="0000FF"/>
        </w:rPr>
        <w:t>On admission to and discharge from an institutional care setting (British Geriatrics Society, 2005 [</w:t>
      </w:r>
      <w:r w:rsidRPr="00752BD9">
        <w:rPr>
          <w:rFonts w:ascii="Calibri" w:eastAsia="Calibri" w:hAnsi="Calibri" w:cs="Times New Roman"/>
          <w:b/>
          <w:color w:val="0000FF"/>
        </w:rPr>
        <w:t>Level I</w:t>
      </w:r>
      <w:r w:rsidRPr="00752BD9">
        <w:rPr>
          <w:rFonts w:ascii="Calibri" w:eastAsia="Calibri" w:hAnsi="Calibri" w:cs="Times New Roman"/>
          <w:color w:val="0000FF"/>
        </w:rPr>
        <w:t>]; Shekelle et al., 2001 [</w:t>
      </w:r>
      <w:r w:rsidRPr="00752BD9">
        <w:rPr>
          <w:rFonts w:ascii="Calibri" w:eastAsia="Calibri" w:hAnsi="Calibri" w:cs="Times New Roman"/>
          <w:b/>
          <w:color w:val="0000FF"/>
        </w:rPr>
        <w:t>Level I</w:t>
      </w:r>
      <w:r w:rsidRPr="00752BD9">
        <w:rPr>
          <w:rFonts w:ascii="Calibri" w:eastAsia="Calibri" w:hAnsi="Calibri" w:cs="Times New Roman"/>
          <w:color w:val="0000FF"/>
        </w:rPr>
        <w:t xml:space="preserve">]). </w:t>
      </w:r>
    </w:p>
    <w:p w:rsidR="00752BD9" w:rsidRPr="00752BD9" w:rsidRDefault="00752BD9" w:rsidP="00541BA0">
      <w:pPr>
        <w:numPr>
          <w:ilvl w:val="0"/>
          <w:numId w:val="19"/>
        </w:numPr>
        <w:rPr>
          <w:rFonts w:ascii="Calibri" w:eastAsia="Calibri" w:hAnsi="Calibri" w:cs="Times New Roman"/>
          <w:color w:val="0000FF"/>
        </w:rPr>
      </w:pPr>
      <w:r w:rsidRPr="00752BD9">
        <w:rPr>
          <w:rFonts w:ascii="Calibri" w:eastAsia="Calibri" w:hAnsi="Calibri" w:cs="Times New Roman"/>
          <w:color w:val="0000FF"/>
        </w:rPr>
        <w:t>Upon transfer from one care setting to another (Shekelle et al., 2001 [</w:t>
      </w:r>
      <w:r w:rsidRPr="00752BD9">
        <w:rPr>
          <w:rFonts w:ascii="Calibri" w:eastAsia="Calibri" w:hAnsi="Calibri" w:cs="Times New Roman"/>
          <w:b/>
          <w:color w:val="0000FF"/>
        </w:rPr>
        <w:t>Level I</w:t>
      </w:r>
      <w:r w:rsidRPr="00752BD9">
        <w:rPr>
          <w:rFonts w:ascii="Calibri" w:eastAsia="Calibri" w:hAnsi="Calibri" w:cs="Times New Roman"/>
          <w:color w:val="0000FF"/>
        </w:rPr>
        <w:t xml:space="preserve">]). </w:t>
      </w:r>
    </w:p>
    <w:p w:rsidR="00752BD9" w:rsidRPr="006C2785" w:rsidRDefault="00752BD9" w:rsidP="00541BA0">
      <w:pPr>
        <w:numPr>
          <w:ilvl w:val="0"/>
          <w:numId w:val="19"/>
        </w:numPr>
        <w:rPr>
          <w:rFonts w:ascii="Calibri" w:eastAsia="Calibri" w:hAnsi="Calibri" w:cs="Times New Roman"/>
          <w:color w:val="0000FF"/>
        </w:rPr>
      </w:pPr>
      <w:r w:rsidRPr="006C2785">
        <w:rPr>
          <w:rFonts w:ascii="Calibri" w:eastAsia="Calibri" w:hAnsi="Calibri" w:cs="Times New Roman"/>
          <w:color w:val="0000FF"/>
        </w:rPr>
        <w:t>During hospitalization, every 8 to 12 hours throughout hospitalization (http://www.mc.vanderbilt.edu/icudelirium</w:t>
      </w:r>
      <w:r w:rsidR="006C2785">
        <w:rPr>
          <w:rFonts w:ascii="Calibri" w:eastAsia="Calibri" w:hAnsi="Calibri" w:cs="Times New Roman"/>
          <w:color w:val="0000FF"/>
        </w:rPr>
        <w:t>).</w:t>
      </w:r>
      <w:r w:rsidR="00316B9D">
        <w:rPr>
          <w:rFonts w:ascii="Calibri" w:eastAsia="Calibri" w:hAnsi="Calibri" w:cs="Times New Roman"/>
          <w:color w:val="0000FF"/>
        </w:rPr>
        <w:t xml:space="preserve"> </w:t>
      </w:r>
      <w:r w:rsidRPr="006C2785">
        <w:rPr>
          <w:rFonts w:ascii="Calibri" w:eastAsia="Calibri" w:hAnsi="Calibri" w:cs="Times New Roman"/>
          <w:color w:val="0000FF"/>
        </w:rPr>
        <w:t>As follow-up to hospital care, within 6 weeks of discharge (Shekelle et al., 2001 [</w:t>
      </w:r>
      <w:r w:rsidRPr="006C2785">
        <w:rPr>
          <w:rFonts w:ascii="Calibri" w:eastAsia="Calibri" w:hAnsi="Calibri" w:cs="Times New Roman"/>
          <w:b/>
          <w:color w:val="0000FF"/>
        </w:rPr>
        <w:t>Level I</w:t>
      </w:r>
      <w:r w:rsidRPr="006C2785">
        <w:rPr>
          <w:rFonts w:ascii="Calibri" w:eastAsia="Calibri" w:hAnsi="Calibri" w:cs="Times New Roman"/>
          <w:color w:val="0000FF"/>
        </w:rPr>
        <w:t xml:space="preserve">]). </w:t>
      </w:r>
    </w:p>
    <w:p w:rsidR="00752BD9" w:rsidRPr="00752BD9" w:rsidRDefault="00752BD9" w:rsidP="00541BA0">
      <w:pPr>
        <w:numPr>
          <w:ilvl w:val="0"/>
          <w:numId w:val="19"/>
        </w:numPr>
        <w:rPr>
          <w:rFonts w:ascii="Calibri" w:eastAsia="Calibri" w:hAnsi="Calibri" w:cs="Times New Roman"/>
          <w:color w:val="0000FF"/>
        </w:rPr>
      </w:pPr>
      <w:r w:rsidRPr="00752BD9">
        <w:rPr>
          <w:rFonts w:ascii="Calibri" w:eastAsia="Calibri" w:hAnsi="Calibri" w:cs="Times New Roman"/>
          <w:color w:val="0000FF"/>
        </w:rPr>
        <w:t>Before making important health care decisions as an adjunct to determining an individual's capacity to consent (Shekelle et al., 2001 [</w:t>
      </w:r>
      <w:r w:rsidRPr="00752BD9">
        <w:rPr>
          <w:rFonts w:ascii="Calibri" w:eastAsia="Calibri" w:hAnsi="Calibri" w:cs="Times New Roman"/>
          <w:b/>
          <w:color w:val="0000FF"/>
        </w:rPr>
        <w:t>Level I</w:t>
      </w:r>
      <w:r w:rsidRPr="00752BD9">
        <w:rPr>
          <w:rFonts w:ascii="Calibri" w:eastAsia="Calibri" w:hAnsi="Calibri" w:cs="Times New Roman"/>
          <w:color w:val="0000FF"/>
        </w:rPr>
        <w:t xml:space="preserve">]). </w:t>
      </w:r>
    </w:p>
    <w:p w:rsidR="00752BD9" w:rsidRPr="00752BD9" w:rsidRDefault="00752BD9" w:rsidP="00541BA0">
      <w:pPr>
        <w:numPr>
          <w:ilvl w:val="0"/>
          <w:numId w:val="19"/>
        </w:numPr>
        <w:rPr>
          <w:rFonts w:ascii="Calibri" w:eastAsia="Calibri" w:hAnsi="Calibri" w:cs="Times New Roman"/>
          <w:color w:val="0000FF"/>
        </w:rPr>
      </w:pPr>
      <w:r w:rsidRPr="00752BD9">
        <w:rPr>
          <w:rFonts w:ascii="Calibri" w:eastAsia="Calibri" w:hAnsi="Calibri" w:cs="Times New Roman"/>
          <w:color w:val="0000FF"/>
        </w:rPr>
        <w:t>On the first visit to a new care provider (Shekelle et al., 2001 [</w:t>
      </w:r>
      <w:r w:rsidRPr="00752BD9">
        <w:rPr>
          <w:rFonts w:ascii="Calibri" w:eastAsia="Calibri" w:hAnsi="Calibri" w:cs="Times New Roman"/>
          <w:b/>
          <w:color w:val="0000FF"/>
        </w:rPr>
        <w:t>Level I</w:t>
      </w:r>
      <w:r w:rsidRPr="00752BD9">
        <w:rPr>
          <w:rFonts w:ascii="Calibri" w:eastAsia="Calibri" w:hAnsi="Calibri" w:cs="Times New Roman"/>
          <w:color w:val="0000FF"/>
        </w:rPr>
        <w:t xml:space="preserve">]). </w:t>
      </w:r>
    </w:p>
    <w:p w:rsidR="00752BD9" w:rsidRPr="00752BD9" w:rsidRDefault="00752BD9" w:rsidP="00541BA0">
      <w:pPr>
        <w:numPr>
          <w:ilvl w:val="0"/>
          <w:numId w:val="19"/>
        </w:numPr>
        <w:rPr>
          <w:rFonts w:ascii="Calibri" w:eastAsia="Calibri" w:hAnsi="Calibri" w:cs="Times New Roman"/>
          <w:color w:val="0000FF"/>
        </w:rPr>
      </w:pPr>
      <w:r w:rsidRPr="00752BD9">
        <w:rPr>
          <w:rFonts w:ascii="Calibri" w:eastAsia="Calibri" w:hAnsi="Calibri" w:cs="Times New Roman"/>
          <w:color w:val="0000FF"/>
        </w:rPr>
        <w:t>Following major changes in pharmacotherapy (Shekelle et al., 2001 [</w:t>
      </w:r>
      <w:r w:rsidRPr="00752BD9">
        <w:rPr>
          <w:rFonts w:ascii="Calibri" w:eastAsia="Calibri" w:hAnsi="Calibri" w:cs="Times New Roman"/>
          <w:b/>
          <w:color w:val="0000FF"/>
        </w:rPr>
        <w:t>Level I</w:t>
      </w:r>
      <w:r w:rsidRPr="00752BD9">
        <w:rPr>
          <w:rFonts w:ascii="Calibri" w:eastAsia="Calibri" w:hAnsi="Calibri" w:cs="Times New Roman"/>
          <w:color w:val="0000FF"/>
        </w:rPr>
        <w:t xml:space="preserve">]). </w:t>
      </w:r>
    </w:p>
    <w:p w:rsidR="00752BD9" w:rsidRPr="00752BD9" w:rsidRDefault="00752BD9" w:rsidP="00541BA0">
      <w:pPr>
        <w:numPr>
          <w:ilvl w:val="0"/>
          <w:numId w:val="19"/>
        </w:numPr>
        <w:rPr>
          <w:rFonts w:ascii="Calibri" w:eastAsia="Calibri" w:hAnsi="Calibri" w:cs="Times New Roman"/>
          <w:color w:val="0000FF"/>
        </w:rPr>
      </w:pPr>
      <w:r w:rsidRPr="00752BD9">
        <w:rPr>
          <w:rFonts w:ascii="Calibri" w:eastAsia="Calibri" w:hAnsi="Calibri" w:cs="Times New Roman"/>
          <w:color w:val="0000FF"/>
        </w:rPr>
        <w:t>With behavior that is unusual for the individual and/or inappropriate to the situation (Foreman &amp; Vermeersch, 2004 [</w:t>
      </w:r>
      <w:r w:rsidRPr="00752BD9">
        <w:rPr>
          <w:rFonts w:ascii="Calibri" w:eastAsia="Calibri" w:hAnsi="Calibri" w:cs="Times New Roman"/>
          <w:b/>
          <w:color w:val="0000FF"/>
        </w:rPr>
        <w:t>Level I</w:t>
      </w:r>
      <w:r w:rsidRPr="00752BD9">
        <w:rPr>
          <w:rFonts w:ascii="Calibri" w:eastAsia="Calibri" w:hAnsi="Calibri" w:cs="Times New Roman"/>
          <w:color w:val="0000FF"/>
        </w:rPr>
        <w:t xml:space="preserve">]). </w:t>
      </w:r>
    </w:p>
    <w:p w:rsidR="00752BD9" w:rsidRPr="00752BD9" w:rsidRDefault="00752BD9" w:rsidP="00752BD9">
      <w:pPr>
        <w:spacing w:before="100" w:beforeAutospacing="1"/>
        <w:ind w:left="0" w:firstLine="0"/>
        <w:rPr>
          <w:rFonts w:ascii="Calibri" w:eastAsia="Calibri" w:hAnsi="Calibri" w:cs="Times New Roman"/>
          <w:b/>
          <w:color w:val="0000FF"/>
        </w:rPr>
      </w:pPr>
      <w:r w:rsidRPr="00752BD9">
        <w:rPr>
          <w:rFonts w:ascii="Calibri" w:eastAsia="Calibri" w:hAnsi="Calibri" w:cs="Times New Roman"/>
          <w:b/>
          <w:color w:val="0000FF"/>
        </w:rPr>
        <w:t>Cautions for Assessing Cognitive Function</w:t>
      </w:r>
    </w:p>
    <w:p w:rsidR="00752BD9" w:rsidRPr="00752BD9" w:rsidRDefault="00752BD9" w:rsidP="00752BD9">
      <w:pPr>
        <w:spacing w:before="100" w:beforeAutospacing="1"/>
        <w:ind w:left="0" w:firstLine="0"/>
        <w:rPr>
          <w:rFonts w:ascii="Calibri" w:eastAsia="Calibri" w:hAnsi="Calibri" w:cs="Times New Roman"/>
          <w:color w:val="0000FF"/>
        </w:rPr>
      </w:pPr>
      <w:r w:rsidRPr="00752BD9">
        <w:rPr>
          <w:rFonts w:ascii="Calibri" w:eastAsia="Calibri" w:hAnsi="Calibri" w:cs="Times New Roman"/>
          <w:color w:val="0000FF"/>
        </w:rPr>
        <w:t>Physical Environment (Dellasega, 1998 [</w:t>
      </w:r>
      <w:r w:rsidRPr="00752BD9">
        <w:rPr>
          <w:rFonts w:ascii="Calibri" w:eastAsia="Calibri" w:hAnsi="Calibri" w:cs="Times New Roman"/>
          <w:b/>
          <w:color w:val="0000FF"/>
        </w:rPr>
        <w:t>Level V</w:t>
      </w:r>
      <w:r w:rsidRPr="00752BD9">
        <w:rPr>
          <w:rFonts w:ascii="Calibri" w:eastAsia="Calibri" w:hAnsi="Calibri" w:cs="Times New Roman"/>
          <w:color w:val="0000FF"/>
        </w:rPr>
        <w:t>I])</w:t>
      </w:r>
    </w:p>
    <w:p w:rsidR="00752BD9" w:rsidRPr="00752BD9" w:rsidRDefault="00752BD9" w:rsidP="00541BA0">
      <w:pPr>
        <w:numPr>
          <w:ilvl w:val="0"/>
          <w:numId w:val="20"/>
        </w:numPr>
        <w:rPr>
          <w:rFonts w:ascii="Calibri" w:eastAsia="Calibri" w:hAnsi="Calibri" w:cs="Times New Roman"/>
          <w:color w:val="0000FF"/>
        </w:rPr>
      </w:pPr>
      <w:r w:rsidRPr="00752BD9">
        <w:rPr>
          <w:rFonts w:ascii="Calibri" w:eastAsia="Calibri" w:hAnsi="Calibri" w:cs="Times New Roman"/>
          <w:color w:val="0000FF"/>
        </w:rPr>
        <w:t xml:space="preserve">Comfortable ambient temperature. </w:t>
      </w:r>
    </w:p>
    <w:p w:rsidR="00752BD9" w:rsidRPr="00752BD9" w:rsidRDefault="00752BD9" w:rsidP="00541BA0">
      <w:pPr>
        <w:numPr>
          <w:ilvl w:val="0"/>
          <w:numId w:val="20"/>
        </w:numPr>
        <w:rPr>
          <w:rFonts w:ascii="Calibri" w:eastAsia="Calibri" w:hAnsi="Calibri" w:cs="Times New Roman"/>
          <w:color w:val="0000FF"/>
        </w:rPr>
      </w:pPr>
      <w:r w:rsidRPr="00752BD9">
        <w:rPr>
          <w:rFonts w:ascii="Calibri" w:eastAsia="Calibri" w:hAnsi="Calibri" w:cs="Times New Roman"/>
          <w:color w:val="0000FF"/>
        </w:rPr>
        <w:t xml:space="preserve">Adequate lighting (i.e., not glaring). </w:t>
      </w:r>
    </w:p>
    <w:p w:rsidR="00752BD9" w:rsidRPr="00752BD9" w:rsidRDefault="00752BD9" w:rsidP="00541BA0">
      <w:pPr>
        <w:numPr>
          <w:ilvl w:val="0"/>
          <w:numId w:val="20"/>
        </w:numPr>
        <w:rPr>
          <w:rFonts w:ascii="Calibri" w:eastAsia="Calibri" w:hAnsi="Calibri" w:cs="Times New Roman"/>
          <w:color w:val="0000FF"/>
        </w:rPr>
      </w:pPr>
      <w:r w:rsidRPr="00752BD9">
        <w:rPr>
          <w:rFonts w:ascii="Calibri" w:eastAsia="Calibri" w:hAnsi="Calibri" w:cs="Times New Roman"/>
          <w:color w:val="0000FF"/>
        </w:rPr>
        <w:t xml:space="preserve">Free of distractions (e.g., should be conducted in the absence of others and other activities). </w:t>
      </w:r>
    </w:p>
    <w:p w:rsidR="00752BD9" w:rsidRPr="00752BD9" w:rsidRDefault="00752BD9" w:rsidP="00541BA0">
      <w:pPr>
        <w:numPr>
          <w:ilvl w:val="0"/>
          <w:numId w:val="20"/>
        </w:numPr>
        <w:rPr>
          <w:rFonts w:ascii="Calibri" w:eastAsia="Calibri" w:hAnsi="Calibri" w:cs="Times New Roman"/>
          <w:color w:val="0000FF"/>
        </w:rPr>
      </w:pPr>
      <w:r w:rsidRPr="00752BD9">
        <w:rPr>
          <w:rFonts w:ascii="Calibri" w:eastAsia="Calibri" w:hAnsi="Calibri" w:cs="Times New Roman"/>
          <w:color w:val="0000FF"/>
        </w:rPr>
        <w:t xml:space="preserve">Position self to maximize individual's sensory abilities. </w:t>
      </w:r>
    </w:p>
    <w:p w:rsidR="00752BD9" w:rsidRPr="00752BD9" w:rsidRDefault="00752BD9" w:rsidP="00752BD9">
      <w:pPr>
        <w:spacing w:before="100" w:beforeAutospacing="1"/>
        <w:ind w:left="0" w:firstLine="0"/>
        <w:rPr>
          <w:rFonts w:ascii="Calibri" w:eastAsia="Calibri" w:hAnsi="Calibri" w:cs="Times New Roman"/>
          <w:color w:val="0000FF"/>
        </w:rPr>
      </w:pPr>
      <w:r w:rsidRPr="00752BD9">
        <w:rPr>
          <w:rFonts w:ascii="Calibri" w:eastAsia="Calibri" w:hAnsi="Calibri" w:cs="Times New Roman"/>
          <w:color w:val="0000FF"/>
        </w:rPr>
        <w:t>Interpersonal Environment (Engberg &amp; McDowell, 1999 [</w:t>
      </w:r>
      <w:r w:rsidRPr="00752BD9">
        <w:rPr>
          <w:rFonts w:ascii="Calibri" w:eastAsia="Calibri" w:hAnsi="Calibri" w:cs="Times New Roman"/>
          <w:b/>
          <w:color w:val="0000FF"/>
        </w:rPr>
        <w:t>Level VI</w:t>
      </w:r>
      <w:r w:rsidRPr="00752BD9">
        <w:rPr>
          <w:rFonts w:ascii="Calibri" w:eastAsia="Calibri" w:hAnsi="Calibri" w:cs="Times New Roman"/>
          <w:color w:val="0000FF"/>
        </w:rPr>
        <w:t>])</w:t>
      </w:r>
    </w:p>
    <w:p w:rsidR="00752BD9" w:rsidRPr="00752BD9" w:rsidRDefault="00752BD9" w:rsidP="00541BA0">
      <w:pPr>
        <w:numPr>
          <w:ilvl w:val="0"/>
          <w:numId w:val="21"/>
        </w:numPr>
        <w:rPr>
          <w:rFonts w:ascii="Calibri" w:eastAsia="Calibri" w:hAnsi="Calibri" w:cs="Times New Roman"/>
          <w:color w:val="0000FF"/>
        </w:rPr>
      </w:pPr>
      <w:r w:rsidRPr="00752BD9">
        <w:rPr>
          <w:rFonts w:ascii="Calibri" w:eastAsia="Calibri" w:hAnsi="Calibri" w:cs="Times New Roman"/>
          <w:color w:val="0000FF"/>
        </w:rPr>
        <w:t xml:space="preserve">Prepare individual for assessment. </w:t>
      </w:r>
    </w:p>
    <w:p w:rsidR="00752BD9" w:rsidRPr="00752BD9" w:rsidRDefault="00752BD9" w:rsidP="00541BA0">
      <w:pPr>
        <w:numPr>
          <w:ilvl w:val="0"/>
          <w:numId w:val="21"/>
        </w:numPr>
        <w:rPr>
          <w:rFonts w:ascii="Calibri" w:eastAsia="Calibri" w:hAnsi="Calibri" w:cs="Times New Roman"/>
          <w:color w:val="0000FF"/>
        </w:rPr>
      </w:pPr>
      <w:r w:rsidRPr="00752BD9">
        <w:rPr>
          <w:rFonts w:ascii="Calibri" w:eastAsia="Calibri" w:hAnsi="Calibri" w:cs="Times New Roman"/>
          <w:color w:val="0000FF"/>
        </w:rPr>
        <w:t xml:space="preserve">Initiate assessment within nonthreatening conversation. </w:t>
      </w:r>
    </w:p>
    <w:p w:rsidR="00752BD9" w:rsidRPr="00752BD9" w:rsidRDefault="00752BD9" w:rsidP="00541BA0">
      <w:pPr>
        <w:numPr>
          <w:ilvl w:val="0"/>
          <w:numId w:val="21"/>
        </w:numPr>
        <w:rPr>
          <w:rFonts w:ascii="Calibri" w:eastAsia="Calibri" w:hAnsi="Calibri" w:cs="Times New Roman"/>
          <w:color w:val="0000FF"/>
        </w:rPr>
      </w:pPr>
      <w:r w:rsidRPr="00752BD9">
        <w:rPr>
          <w:rFonts w:ascii="Calibri" w:eastAsia="Calibri" w:hAnsi="Calibri" w:cs="Times New Roman"/>
          <w:color w:val="0000FF"/>
        </w:rPr>
        <w:t xml:space="preserve">Let individual set pace of assessment. </w:t>
      </w:r>
    </w:p>
    <w:p w:rsidR="00752BD9" w:rsidRPr="00752BD9" w:rsidRDefault="00752BD9" w:rsidP="00541BA0">
      <w:pPr>
        <w:numPr>
          <w:ilvl w:val="0"/>
          <w:numId w:val="21"/>
        </w:numPr>
        <w:rPr>
          <w:rFonts w:ascii="Calibri" w:eastAsia="Calibri" w:hAnsi="Calibri" w:cs="Times New Roman"/>
          <w:color w:val="0000FF"/>
        </w:rPr>
      </w:pPr>
      <w:r w:rsidRPr="00752BD9">
        <w:rPr>
          <w:rFonts w:ascii="Calibri" w:eastAsia="Calibri" w:hAnsi="Calibri" w:cs="Times New Roman"/>
          <w:color w:val="0000FF"/>
        </w:rPr>
        <w:t xml:space="preserve">Be emotionally nonthreatening. </w:t>
      </w:r>
    </w:p>
    <w:p w:rsidR="00752BD9" w:rsidRPr="00752BD9" w:rsidRDefault="00752BD9" w:rsidP="00752BD9">
      <w:pPr>
        <w:spacing w:before="100" w:beforeAutospacing="1"/>
        <w:ind w:left="0" w:firstLine="0"/>
        <w:rPr>
          <w:rFonts w:ascii="Calibri" w:eastAsia="Calibri" w:hAnsi="Calibri" w:cs="Times New Roman"/>
          <w:color w:val="0000FF"/>
        </w:rPr>
      </w:pPr>
      <w:r w:rsidRPr="00752BD9">
        <w:rPr>
          <w:rFonts w:ascii="Calibri" w:eastAsia="Calibri" w:hAnsi="Calibri" w:cs="Times New Roman"/>
          <w:color w:val="0000FF"/>
        </w:rPr>
        <w:t>Timing of Assessment (Foreman et al., 2003 [</w:t>
      </w:r>
      <w:r w:rsidRPr="00752BD9">
        <w:rPr>
          <w:rFonts w:ascii="Calibri" w:eastAsia="Calibri" w:hAnsi="Calibri" w:cs="Times New Roman"/>
          <w:b/>
          <w:color w:val="0000FF"/>
        </w:rPr>
        <w:t>Level VI</w:t>
      </w:r>
      <w:r w:rsidRPr="00752BD9">
        <w:rPr>
          <w:rFonts w:ascii="Calibri" w:eastAsia="Calibri" w:hAnsi="Calibri" w:cs="Times New Roman"/>
          <w:color w:val="0000FF"/>
        </w:rPr>
        <w:t>])</w:t>
      </w:r>
    </w:p>
    <w:p w:rsidR="00752BD9" w:rsidRPr="00752BD9" w:rsidRDefault="00752BD9" w:rsidP="00541BA0">
      <w:pPr>
        <w:numPr>
          <w:ilvl w:val="0"/>
          <w:numId w:val="22"/>
        </w:numPr>
        <w:rPr>
          <w:rFonts w:ascii="Calibri" w:eastAsia="Calibri" w:hAnsi="Calibri" w:cs="Times New Roman"/>
          <w:color w:val="0000FF"/>
        </w:rPr>
      </w:pPr>
      <w:r w:rsidRPr="00752BD9">
        <w:rPr>
          <w:rFonts w:ascii="Calibri" w:eastAsia="Calibri" w:hAnsi="Calibri" w:cs="Times New Roman"/>
          <w:color w:val="0000FF"/>
        </w:rPr>
        <w:t xml:space="preserve">Select time of assessment to reflect actual cognitive abilities of the individual. </w:t>
      </w:r>
    </w:p>
    <w:p w:rsidR="00752BD9" w:rsidRPr="00752BD9" w:rsidRDefault="00752BD9" w:rsidP="00541BA0">
      <w:pPr>
        <w:numPr>
          <w:ilvl w:val="0"/>
          <w:numId w:val="22"/>
        </w:numPr>
        <w:rPr>
          <w:rFonts w:ascii="Calibri" w:eastAsia="Calibri" w:hAnsi="Calibri" w:cs="Times New Roman"/>
          <w:color w:val="0000FF"/>
        </w:rPr>
      </w:pPr>
      <w:r w:rsidRPr="00752BD9">
        <w:rPr>
          <w:rFonts w:ascii="Calibri" w:eastAsia="Calibri" w:hAnsi="Calibri" w:cs="Times New Roman"/>
          <w:color w:val="0000FF"/>
        </w:rPr>
        <w:t xml:space="preserve">Avoid the following times: </w:t>
      </w:r>
    </w:p>
    <w:p w:rsidR="00752BD9" w:rsidRPr="00752BD9" w:rsidRDefault="00752BD9" w:rsidP="00541BA0">
      <w:pPr>
        <w:numPr>
          <w:ilvl w:val="1"/>
          <w:numId w:val="22"/>
        </w:numPr>
        <w:rPr>
          <w:rFonts w:ascii="Calibri" w:eastAsia="Calibri" w:hAnsi="Calibri" w:cs="Times New Roman"/>
          <w:color w:val="0000FF"/>
        </w:rPr>
      </w:pPr>
      <w:r w:rsidRPr="00752BD9">
        <w:rPr>
          <w:rFonts w:ascii="Calibri" w:eastAsia="Calibri" w:hAnsi="Calibri" w:cs="Times New Roman"/>
          <w:color w:val="0000FF"/>
        </w:rPr>
        <w:t xml:space="preserve">Immediately on awakening from sleep; wait at least 30 minutes </w:t>
      </w:r>
    </w:p>
    <w:p w:rsidR="00752BD9" w:rsidRPr="00752BD9" w:rsidRDefault="00752BD9" w:rsidP="00541BA0">
      <w:pPr>
        <w:numPr>
          <w:ilvl w:val="1"/>
          <w:numId w:val="22"/>
        </w:numPr>
        <w:rPr>
          <w:rFonts w:ascii="Calibri" w:eastAsia="Calibri" w:hAnsi="Calibri" w:cs="Times New Roman"/>
          <w:color w:val="0000FF"/>
        </w:rPr>
      </w:pPr>
      <w:r w:rsidRPr="00752BD9">
        <w:rPr>
          <w:rFonts w:ascii="Calibri" w:eastAsia="Calibri" w:hAnsi="Calibri" w:cs="Times New Roman"/>
          <w:color w:val="0000FF"/>
        </w:rPr>
        <w:t xml:space="preserve">Immediately before and after meals </w:t>
      </w:r>
    </w:p>
    <w:p w:rsidR="00752BD9" w:rsidRPr="00752BD9" w:rsidRDefault="00752BD9" w:rsidP="00541BA0">
      <w:pPr>
        <w:numPr>
          <w:ilvl w:val="1"/>
          <w:numId w:val="22"/>
        </w:numPr>
        <w:rPr>
          <w:rFonts w:ascii="Calibri" w:eastAsia="Calibri" w:hAnsi="Calibri" w:cs="Times New Roman"/>
          <w:color w:val="0000FF"/>
        </w:rPr>
      </w:pPr>
      <w:r w:rsidRPr="00752BD9">
        <w:rPr>
          <w:rFonts w:ascii="Calibri" w:eastAsia="Calibri" w:hAnsi="Calibri" w:cs="Times New Roman"/>
          <w:color w:val="0000FF"/>
        </w:rPr>
        <w:t xml:space="preserve">Immediately before and after medical diagnostic or therapeutic procedures </w:t>
      </w:r>
    </w:p>
    <w:p w:rsidR="00752BD9" w:rsidRPr="00752BD9" w:rsidRDefault="00752BD9" w:rsidP="00541BA0">
      <w:pPr>
        <w:numPr>
          <w:ilvl w:val="1"/>
          <w:numId w:val="22"/>
        </w:numPr>
        <w:rPr>
          <w:rFonts w:ascii="Calibri" w:eastAsia="Calibri" w:hAnsi="Calibri" w:cs="Times New Roman"/>
          <w:color w:val="0000FF"/>
        </w:rPr>
      </w:pPr>
      <w:r w:rsidRPr="00752BD9">
        <w:rPr>
          <w:rFonts w:ascii="Calibri" w:eastAsia="Calibri" w:hAnsi="Calibri" w:cs="Times New Roman"/>
          <w:color w:val="0000FF"/>
        </w:rPr>
        <w:t xml:space="preserve">In the presence of pain or discomfort </w:t>
      </w:r>
    </w:p>
    <w:p w:rsidR="00752BD9" w:rsidRPr="00752BD9" w:rsidRDefault="00752BD9" w:rsidP="00752BD9">
      <w:pPr>
        <w:spacing w:before="100" w:beforeAutospacing="1"/>
        <w:ind w:left="0" w:firstLine="0"/>
        <w:rPr>
          <w:rFonts w:ascii="Calibri" w:eastAsia="Calibri" w:hAnsi="Calibri" w:cs="Times New Roman"/>
          <w:b/>
          <w:color w:val="0000FF"/>
          <w:u w:val="single"/>
        </w:rPr>
      </w:pPr>
      <w:r w:rsidRPr="00752BD9">
        <w:rPr>
          <w:rFonts w:ascii="Calibri" w:eastAsia="Calibri" w:hAnsi="Calibri" w:cs="Times New Roman"/>
          <w:b/>
          <w:color w:val="0000FF"/>
          <w:u w:val="single"/>
        </w:rPr>
        <w:t>Follow-up Monitoring</w:t>
      </w:r>
    </w:p>
    <w:p w:rsidR="00752BD9" w:rsidRPr="00752BD9" w:rsidRDefault="00752BD9" w:rsidP="00541BA0">
      <w:pPr>
        <w:numPr>
          <w:ilvl w:val="0"/>
          <w:numId w:val="23"/>
        </w:numPr>
        <w:rPr>
          <w:rFonts w:ascii="Calibri" w:eastAsia="Calibri" w:hAnsi="Calibri" w:cs="Times New Roman"/>
          <w:color w:val="0000FF"/>
        </w:rPr>
      </w:pPr>
      <w:r w:rsidRPr="00752BD9">
        <w:rPr>
          <w:rFonts w:ascii="Calibri" w:eastAsia="Calibri" w:hAnsi="Calibri" w:cs="Times New Roman"/>
          <w:color w:val="0000FF"/>
        </w:rPr>
        <w:t xml:space="preserve">Provider competence in the assessment of cognitive function. </w:t>
      </w:r>
    </w:p>
    <w:p w:rsidR="00752BD9" w:rsidRPr="00752BD9" w:rsidRDefault="00752BD9" w:rsidP="00541BA0">
      <w:pPr>
        <w:numPr>
          <w:ilvl w:val="0"/>
          <w:numId w:val="23"/>
        </w:numPr>
        <w:rPr>
          <w:rFonts w:ascii="Calibri" w:eastAsia="Calibri" w:hAnsi="Calibri" w:cs="Times New Roman"/>
          <w:color w:val="0000FF"/>
        </w:rPr>
      </w:pPr>
      <w:r w:rsidRPr="00752BD9">
        <w:rPr>
          <w:rFonts w:ascii="Calibri" w:eastAsia="Calibri" w:hAnsi="Calibri" w:cs="Times New Roman"/>
          <w:color w:val="0000FF"/>
        </w:rPr>
        <w:t xml:space="preserve">Consistent and appropriate documentation of cognitive assessments. </w:t>
      </w:r>
    </w:p>
    <w:p w:rsidR="00752BD9" w:rsidRPr="00752BD9" w:rsidRDefault="00752BD9" w:rsidP="00541BA0">
      <w:pPr>
        <w:numPr>
          <w:ilvl w:val="0"/>
          <w:numId w:val="23"/>
        </w:numPr>
        <w:rPr>
          <w:rFonts w:ascii="Calibri" w:eastAsia="Calibri" w:hAnsi="Calibri" w:cs="Times New Roman"/>
          <w:color w:val="0000FF"/>
        </w:rPr>
      </w:pPr>
      <w:r w:rsidRPr="00752BD9">
        <w:rPr>
          <w:rFonts w:ascii="Calibri" w:eastAsia="Calibri" w:hAnsi="Calibri" w:cs="Times New Roman"/>
          <w:color w:val="0000FF"/>
        </w:rPr>
        <w:t xml:space="preserve">Consistent and appropriate care and follow-up in instances of impairment. </w:t>
      </w:r>
    </w:p>
    <w:p w:rsidR="00752BD9" w:rsidRPr="00752BD9" w:rsidRDefault="00752BD9" w:rsidP="00541BA0">
      <w:pPr>
        <w:numPr>
          <w:ilvl w:val="0"/>
          <w:numId w:val="23"/>
        </w:numPr>
        <w:rPr>
          <w:rFonts w:ascii="Calibri" w:eastAsia="Calibri" w:hAnsi="Calibri" w:cs="Times New Roman"/>
          <w:color w:val="0000FF"/>
        </w:rPr>
      </w:pPr>
      <w:r w:rsidRPr="00752BD9">
        <w:rPr>
          <w:rFonts w:ascii="Calibri" w:eastAsia="Calibri" w:hAnsi="Calibri" w:cs="Times New Roman"/>
          <w:color w:val="0000FF"/>
        </w:rPr>
        <w:t xml:space="preserve">Timely and appropriate referral for diagnostic and treatment recommendations. </w:t>
      </w:r>
    </w:p>
    <w:p w:rsidR="00752BD9" w:rsidRPr="00752BD9" w:rsidRDefault="00752BD9" w:rsidP="00752BD9">
      <w:pPr>
        <w:spacing w:before="100" w:beforeAutospacing="1"/>
        <w:ind w:left="0" w:firstLine="0"/>
        <w:rPr>
          <w:rFonts w:ascii="Calibri" w:eastAsia="Calibri" w:hAnsi="Calibri" w:cs="Times New Roman"/>
          <w:color w:val="0000FF"/>
        </w:rPr>
      </w:pPr>
      <w:r w:rsidRPr="00BD35B1">
        <w:rPr>
          <w:rFonts w:ascii="Calibri" w:eastAsia="Calibri" w:hAnsi="Calibri" w:cs="Times New Roman"/>
          <w:color w:val="0000FF"/>
        </w:rPr>
        <w:t xml:space="preserve">AGREE </w:t>
      </w:r>
      <w:r w:rsidRPr="00752BD9">
        <w:rPr>
          <w:rFonts w:ascii="Calibri" w:eastAsia="Calibri" w:hAnsi="Calibri" w:cs="Times New Roman"/>
          <w:color w:val="0000FF"/>
        </w:rPr>
        <w:t>Next Steps Consortium</w:t>
      </w:r>
      <w:r w:rsidR="005F3143">
        <w:rPr>
          <w:rFonts w:ascii="Calibri" w:eastAsia="Calibri" w:hAnsi="Calibri" w:cs="Times New Roman"/>
          <w:color w:val="0000FF"/>
        </w:rPr>
        <w:t>.</w:t>
      </w:r>
      <w:r w:rsidRPr="00752BD9">
        <w:rPr>
          <w:rFonts w:ascii="Calibri" w:eastAsia="Calibri" w:hAnsi="Calibri" w:cs="Times New Roman"/>
          <w:color w:val="0000FF"/>
        </w:rPr>
        <w:t xml:space="preserve"> (2009). </w:t>
      </w:r>
      <w:r w:rsidRPr="00D524BA">
        <w:rPr>
          <w:rFonts w:ascii="Calibri" w:eastAsia="Calibri" w:hAnsi="Calibri" w:cs="Times New Roman"/>
          <w:i/>
          <w:color w:val="0000FF"/>
        </w:rPr>
        <w:t xml:space="preserve">Appraisal of guidelines for research </w:t>
      </w:r>
      <w:r w:rsidR="005F3143" w:rsidRPr="00D524BA">
        <w:rPr>
          <w:rFonts w:ascii="Calibri" w:eastAsia="Calibri" w:hAnsi="Calibri" w:cs="Times New Roman"/>
          <w:i/>
          <w:color w:val="0000FF"/>
        </w:rPr>
        <w:t xml:space="preserve">and </w:t>
      </w:r>
      <w:r w:rsidRPr="00D524BA">
        <w:rPr>
          <w:rFonts w:ascii="Calibri" w:eastAsia="Calibri" w:hAnsi="Calibri" w:cs="Times New Roman"/>
          <w:i/>
          <w:color w:val="0000FF"/>
        </w:rPr>
        <w:t>evaluation II</w:t>
      </w:r>
      <w:r w:rsidRPr="00752BD9">
        <w:rPr>
          <w:rFonts w:ascii="Calibri" w:eastAsia="Calibri" w:hAnsi="Calibri" w:cs="Times New Roman"/>
          <w:color w:val="0000FF"/>
        </w:rPr>
        <w:t xml:space="preserve">. </w:t>
      </w:r>
      <w:r w:rsidR="005F3143">
        <w:rPr>
          <w:rFonts w:ascii="Calibri" w:eastAsia="Calibri" w:hAnsi="Calibri" w:cs="Times New Roman"/>
          <w:color w:val="0000FF"/>
        </w:rPr>
        <w:t>Available</w:t>
      </w:r>
      <w:r w:rsidR="005F3143" w:rsidRPr="00752BD9">
        <w:rPr>
          <w:rFonts w:ascii="Calibri" w:eastAsia="Calibri" w:hAnsi="Calibri" w:cs="Times New Roman"/>
          <w:color w:val="0000FF"/>
        </w:rPr>
        <w:t xml:space="preserve"> </w:t>
      </w:r>
      <w:r w:rsidRPr="00752BD9">
        <w:rPr>
          <w:rFonts w:ascii="Calibri" w:eastAsia="Calibri" w:hAnsi="Calibri" w:cs="Times New Roman"/>
          <w:color w:val="0000FF"/>
        </w:rPr>
        <w:t>from http://www.agreetrust.org/?o=1397</w:t>
      </w:r>
    </w:p>
    <w:p w:rsidR="00EC5761" w:rsidRDefault="00EC5761" w:rsidP="00AE487D">
      <w:pPr>
        <w:spacing w:before="240" w:after="240"/>
        <w:ind w:left="0" w:firstLine="0"/>
        <w:rPr>
          <w:rFonts w:eastAsia="Calibri" w:cs="Times New Roman"/>
          <w:b/>
          <w:color w:val="0000FF"/>
        </w:rPr>
      </w:pPr>
    </w:p>
    <w:p w:rsidR="00951601" w:rsidRDefault="00951601" w:rsidP="00AE487D">
      <w:pPr>
        <w:spacing w:before="240" w:after="240"/>
        <w:ind w:left="0" w:firstLine="0"/>
        <w:rPr>
          <w:rFonts w:eastAsia="Calibri" w:cs="Times New Roman"/>
          <w:b/>
          <w:color w:val="0000FF"/>
        </w:rPr>
      </w:pPr>
    </w:p>
    <w:p w:rsidR="00951601" w:rsidRDefault="00951601" w:rsidP="00AE487D">
      <w:pPr>
        <w:spacing w:before="240" w:after="240"/>
        <w:ind w:left="0" w:firstLine="0"/>
        <w:rPr>
          <w:rFonts w:eastAsia="Calibri" w:cs="Times New Roman"/>
          <w:b/>
          <w:color w:val="0000FF"/>
        </w:rPr>
      </w:pPr>
    </w:p>
    <w:p w:rsidR="00AE487D" w:rsidRPr="00AE487D" w:rsidRDefault="00AE487D" w:rsidP="00AE487D">
      <w:pPr>
        <w:spacing w:before="240" w:after="240"/>
        <w:ind w:left="0" w:firstLine="0"/>
        <w:rPr>
          <w:rFonts w:eastAsia="Calibri" w:cs="Times New Roman"/>
          <w:b/>
          <w:color w:val="0000FF"/>
        </w:rPr>
      </w:pPr>
      <w:r w:rsidRPr="00AE487D">
        <w:rPr>
          <w:rFonts w:eastAsia="Calibri" w:cs="Times New Roman"/>
          <w:b/>
          <w:color w:val="0000FF"/>
        </w:rPr>
        <w:t>III. Comprehensive assessment and management of the critically ill. In: Evidence-based geriatric nursing protocols for best practice.</w:t>
      </w:r>
    </w:p>
    <w:p w:rsidR="00AE487D" w:rsidRDefault="00AE487D" w:rsidP="00AE487D">
      <w:pPr>
        <w:spacing w:before="240" w:after="240"/>
        <w:ind w:left="0" w:firstLine="0"/>
        <w:rPr>
          <w:rFonts w:eastAsia="Calibri" w:cs="Times New Roman"/>
          <w:color w:val="0000FF"/>
        </w:rPr>
      </w:pPr>
      <w:r>
        <w:rPr>
          <w:rFonts w:eastAsia="Calibri" w:cs="Times New Roman"/>
          <w:b/>
          <w:color w:val="0000FF"/>
        </w:rPr>
        <w:t xml:space="preserve">(Full citation: </w:t>
      </w:r>
      <w:r w:rsidRPr="00AE487D">
        <w:rPr>
          <w:rFonts w:eastAsia="Calibri" w:cs="Times New Roman"/>
          <w:color w:val="0000FF"/>
        </w:rPr>
        <w:t>Balas MC, Casey CM, Happ MB. Comprehensive assessment and management of the critically ill. In Boltz M, Capezuti E, Fulmer T, Zwicker D, editor(s). Evidence-based geriatric nursing protocols for best practice. (4th ed., pp. 600-27). New York, NY: Springer.</w:t>
      </w:r>
      <w:r>
        <w:rPr>
          <w:rFonts w:eastAsia="Calibri" w:cs="Times New Roman"/>
          <w:color w:val="0000FF"/>
        </w:rPr>
        <w:t>)</w:t>
      </w:r>
    </w:p>
    <w:p w:rsidR="006267E6" w:rsidRPr="00752BD9" w:rsidRDefault="006267E6" w:rsidP="00541BA0">
      <w:pPr>
        <w:ind w:left="0" w:firstLine="0"/>
        <w:rPr>
          <w:rFonts w:ascii="Calibri" w:eastAsia="Calibri" w:hAnsi="Calibri" w:cs="Times New Roman"/>
          <w:color w:val="0000FF"/>
        </w:rPr>
      </w:pPr>
      <w:r w:rsidRPr="00752BD9">
        <w:rPr>
          <w:rFonts w:ascii="Calibri" w:eastAsia="Calibri" w:hAnsi="Calibri" w:cs="Times New Roman"/>
          <w:b/>
          <w:color w:val="0000FF"/>
        </w:rPr>
        <w:t>Major Recommendations</w:t>
      </w:r>
      <w:r w:rsidR="00541BA0">
        <w:rPr>
          <w:rFonts w:ascii="Calibri" w:eastAsia="Calibri" w:hAnsi="Calibri" w:cs="Times New Roman"/>
          <w:b/>
          <w:color w:val="0000FF"/>
        </w:rPr>
        <w:t xml:space="preserve">: </w:t>
      </w:r>
      <w:r w:rsidRPr="00752BD9">
        <w:rPr>
          <w:rFonts w:ascii="Calibri" w:eastAsia="Calibri" w:hAnsi="Calibri" w:cs="Times New Roman"/>
          <w:color w:val="0000FF"/>
        </w:rPr>
        <w:t>Levels of evidence (</w:t>
      </w:r>
      <w:r w:rsidRPr="00752BD9">
        <w:rPr>
          <w:rFonts w:ascii="Calibri" w:eastAsia="Calibri" w:hAnsi="Calibri" w:cs="Times New Roman"/>
          <w:b/>
          <w:color w:val="0000FF"/>
        </w:rPr>
        <w:t>I–VI</w:t>
      </w:r>
      <w:r w:rsidRPr="00752BD9">
        <w:rPr>
          <w:rFonts w:ascii="Calibri" w:eastAsia="Calibri" w:hAnsi="Calibri" w:cs="Times New Roman"/>
          <w:color w:val="0000FF"/>
        </w:rPr>
        <w:t>) are defined at the end of the "Major Recommendations" field.</w:t>
      </w:r>
    </w:p>
    <w:p w:rsidR="00951601" w:rsidRDefault="00951601" w:rsidP="00951601">
      <w:pPr>
        <w:spacing w:before="15" w:after="15"/>
        <w:ind w:left="0" w:firstLine="0"/>
        <w:rPr>
          <w:rFonts w:eastAsia="Calibri" w:cs="Times New Roman"/>
          <w:b/>
          <w:color w:val="0000FF"/>
        </w:rPr>
      </w:pPr>
    </w:p>
    <w:p w:rsidR="00AE487D" w:rsidRPr="00DB6562" w:rsidRDefault="00AE487D" w:rsidP="00DB6562">
      <w:pPr>
        <w:spacing w:before="15" w:after="15" w:line="384" w:lineRule="auto"/>
        <w:ind w:left="0" w:firstLine="0"/>
        <w:rPr>
          <w:rFonts w:eastAsia="Calibri" w:cs="Times New Roman"/>
          <w:b/>
          <w:color w:val="0000FF"/>
        </w:rPr>
      </w:pPr>
      <w:r w:rsidRPr="00DB6562">
        <w:rPr>
          <w:rFonts w:eastAsia="Calibri" w:cs="Times New Roman"/>
          <w:b/>
          <w:color w:val="0000FF"/>
        </w:rPr>
        <w:t>Interventions and Practices Considered</w:t>
      </w:r>
    </w:p>
    <w:p w:rsidR="00AE487D" w:rsidRPr="00DB6562" w:rsidRDefault="00AE487D" w:rsidP="00AE487D">
      <w:pPr>
        <w:spacing w:after="150" w:line="384" w:lineRule="auto"/>
        <w:rPr>
          <w:rFonts w:eastAsia="Calibri" w:cs="Times New Roman"/>
          <w:color w:val="0000FF"/>
        </w:rPr>
      </w:pPr>
      <w:r w:rsidRPr="00DB6562">
        <w:rPr>
          <w:rFonts w:eastAsia="Calibri" w:cs="Times New Roman"/>
          <w:b/>
          <w:bCs/>
          <w:color w:val="0000FF"/>
        </w:rPr>
        <w:t>Assessment/Evaluation</w:t>
      </w:r>
    </w:p>
    <w:p w:rsidR="00AE487D" w:rsidRPr="00DB6562" w:rsidRDefault="00AE487D" w:rsidP="00877DF8">
      <w:pPr>
        <w:numPr>
          <w:ilvl w:val="0"/>
          <w:numId w:val="24"/>
        </w:numPr>
        <w:spacing w:before="15" w:after="15" w:line="384" w:lineRule="auto"/>
        <w:ind w:left="675"/>
        <w:rPr>
          <w:rFonts w:eastAsia="Calibri" w:cs="Times New Roman"/>
          <w:color w:val="0000FF"/>
        </w:rPr>
      </w:pPr>
      <w:r w:rsidRPr="00DB6562">
        <w:rPr>
          <w:rFonts w:eastAsia="Calibri" w:cs="Times New Roman"/>
          <w:color w:val="0000FF"/>
        </w:rPr>
        <w:t xml:space="preserve">Comprehensive preadmission assessment: health status, cognitive and functional ability, and social support systems </w:t>
      </w:r>
    </w:p>
    <w:p w:rsidR="00AE487D" w:rsidRPr="00DB6562" w:rsidRDefault="00AE487D" w:rsidP="00DB6562">
      <w:pPr>
        <w:spacing w:before="15" w:after="15" w:line="384" w:lineRule="auto"/>
        <w:ind w:left="0" w:firstLine="0"/>
        <w:rPr>
          <w:rFonts w:eastAsia="Calibri" w:cs="Times New Roman"/>
          <w:b/>
          <w:color w:val="0000FF"/>
        </w:rPr>
      </w:pPr>
      <w:r w:rsidRPr="00DB6562">
        <w:rPr>
          <w:rFonts w:eastAsia="Calibri" w:cs="Times New Roman"/>
          <w:b/>
          <w:color w:val="0000FF"/>
        </w:rPr>
        <w:t xml:space="preserve">Major Outcomes Considered </w:t>
      </w:r>
    </w:p>
    <w:p w:rsidR="00AE487D" w:rsidRPr="00DB6562" w:rsidRDefault="00AE487D" w:rsidP="00DB6562">
      <w:pPr>
        <w:pStyle w:val="ListParagraph"/>
        <w:numPr>
          <w:ilvl w:val="0"/>
          <w:numId w:val="25"/>
        </w:numPr>
        <w:spacing w:before="15" w:after="15" w:line="384" w:lineRule="auto"/>
        <w:rPr>
          <w:rFonts w:eastAsia="Calibri" w:cs="Times New Roman"/>
          <w:color w:val="0000FF"/>
        </w:rPr>
      </w:pPr>
      <w:r w:rsidRPr="00DB6562">
        <w:rPr>
          <w:rFonts w:eastAsia="Calibri" w:cs="Times New Roman"/>
          <w:color w:val="0000FF"/>
        </w:rPr>
        <w:t>Functional Status</w:t>
      </w:r>
    </w:p>
    <w:p w:rsidR="006267E6" w:rsidRDefault="00AE487D" w:rsidP="00DB6562">
      <w:pPr>
        <w:spacing w:after="150" w:line="384" w:lineRule="auto"/>
        <w:rPr>
          <w:rFonts w:eastAsia="Calibri" w:cs="Times New Roman"/>
          <w:color w:val="0000FF"/>
          <w:u w:val="single"/>
        </w:rPr>
      </w:pPr>
      <w:r w:rsidRPr="00DB6562">
        <w:rPr>
          <w:rFonts w:eastAsia="Calibri" w:cs="Times New Roman"/>
          <w:color w:val="0000FF"/>
          <w:u w:val="single"/>
        </w:rPr>
        <w:t>Recommendations</w:t>
      </w:r>
    </w:p>
    <w:p w:rsidR="00AE487D" w:rsidRPr="00DB6562" w:rsidRDefault="00AE487D" w:rsidP="00EC5761">
      <w:pPr>
        <w:ind w:left="0" w:firstLine="0"/>
        <w:rPr>
          <w:rFonts w:eastAsia="Calibri" w:cs="Times New Roman"/>
          <w:color w:val="0000FF"/>
        </w:rPr>
      </w:pPr>
      <w:r w:rsidRPr="00DB6562">
        <w:rPr>
          <w:rFonts w:eastAsia="Calibri" w:cs="Times New Roman"/>
          <w:color w:val="0000FF"/>
        </w:rPr>
        <w:t>Multiple Organ Systems</w:t>
      </w:r>
    </w:p>
    <w:p w:rsidR="00AE487D" w:rsidRPr="00DB6562" w:rsidRDefault="00AE487D" w:rsidP="00EC5761">
      <w:pPr>
        <w:pStyle w:val="ListParagraph"/>
        <w:numPr>
          <w:ilvl w:val="0"/>
          <w:numId w:val="25"/>
        </w:numPr>
        <w:spacing w:after="240"/>
        <w:rPr>
          <w:rFonts w:eastAsia="Calibri" w:cs="Times New Roman"/>
          <w:color w:val="0000FF"/>
        </w:rPr>
      </w:pPr>
      <w:r w:rsidRPr="00DB6562">
        <w:rPr>
          <w:rFonts w:eastAsia="Calibri" w:cs="Times New Roman"/>
          <w:color w:val="0000FF"/>
        </w:rPr>
        <w:t>Encouraging early, frequent mobilization/ambulation</w:t>
      </w:r>
    </w:p>
    <w:p w:rsidR="00AE487D" w:rsidRPr="00DB6562" w:rsidRDefault="006267E6" w:rsidP="00DB6562">
      <w:pPr>
        <w:spacing w:after="150" w:line="384" w:lineRule="auto"/>
        <w:rPr>
          <w:rFonts w:eastAsia="Calibri" w:cs="Times New Roman"/>
          <w:color w:val="0000FF"/>
          <w:u w:val="single"/>
        </w:rPr>
      </w:pPr>
      <w:r w:rsidRPr="00DB6562">
        <w:rPr>
          <w:rFonts w:eastAsia="Calibri" w:cs="Times New Roman"/>
          <w:color w:val="0000FF"/>
          <w:u w:val="single"/>
        </w:rPr>
        <w:t>Benefits/Harms of Implementing this Guideline Recommendation</w:t>
      </w:r>
    </w:p>
    <w:p w:rsidR="00AE487D" w:rsidRPr="00DB6562" w:rsidRDefault="006267E6" w:rsidP="00EE761C">
      <w:pPr>
        <w:rPr>
          <w:rFonts w:eastAsia="Calibri" w:cs="Times New Roman"/>
          <w:color w:val="0000FF"/>
        </w:rPr>
      </w:pPr>
      <w:r w:rsidRPr="00DB6562">
        <w:rPr>
          <w:rFonts w:eastAsia="Calibri" w:cs="Times New Roman"/>
          <w:color w:val="0000FF"/>
        </w:rPr>
        <w:t>Potential Benefits</w:t>
      </w:r>
    </w:p>
    <w:p w:rsidR="006267E6" w:rsidRPr="00DB6562" w:rsidRDefault="006267E6" w:rsidP="00DB6562">
      <w:pPr>
        <w:pStyle w:val="ListParagraph"/>
        <w:numPr>
          <w:ilvl w:val="0"/>
          <w:numId w:val="25"/>
        </w:numPr>
        <w:spacing w:before="15" w:after="15" w:line="384" w:lineRule="auto"/>
        <w:rPr>
          <w:rFonts w:eastAsia="Calibri" w:cs="Times New Roman"/>
          <w:color w:val="0000FF"/>
        </w:rPr>
      </w:pPr>
      <w:r w:rsidRPr="00DB6562">
        <w:rPr>
          <w:rFonts w:eastAsia="Calibri" w:cs="Times New Roman"/>
          <w:color w:val="0000FF"/>
        </w:rPr>
        <w:t>Maintenance/optimization of preadmission functional ability</w:t>
      </w:r>
    </w:p>
    <w:p w:rsidR="00877DF8" w:rsidRPr="00951601" w:rsidRDefault="00877DF8" w:rsidP="00EF483B">
      <w:pPr>
        <w:ind w:left="0" w:firstLine="0"/>
        <w:rPr>
          <w:rFonts w:eastAsia="Calibri" w:cs="Times New Roman"/>
          <w:i/>
          <w:iCs/>
          <w:color w:val="0000FF"/>
        </w:rPr>
      </w:pPr>
      <w:r w:rsidRPr="00951601">
        <w:rPr>
          <w:rFonts w:eastAsia="Calibri" w:cs="Times New Roman"/>
          <w:i/>
          <w:iCs/>
          <w:color w:val="0000FF"/>
        </w:rPr>
        <w:t xml:space="preserve">Note: some sections of these clinical guidelines have been omitted because they do not apply to this </w:t>
      </w:r>
      <w:r w:rsidR="00EF483B" w:rsidRPr="00951601">
        <w:rPr>
          <w:rFonts w:eastAsia="Calibri" w:cs="Times New Roman"/>
          <w:i/>
          <w:iCs/>
          <w:color w:val="0000FF"/>
        </w:rPr>
        <w:t xml:space="preserve">quality </w:t>
      </w:r>
      <w:r w:rsidRPr="00951601">
        <w:rPr>
          <w:rFonts w:eastAsia="Calibri" w:cs="Times New Roman"/>
          <w:i/>
          <w:iCs/>
          <w:color w:val="0000FF"/>
        </w:rPr>
        <w:t>measure.</w:t>
      </w:r>
    </w:p>
    <w:p w:rsidR="00877DF8" w:rsidRDefault="00877DF8" w:rsidP="00265702">
      <w:pPr>
        <w:ind w:left="0" w:firstLine="0"/>
        <w:rPr>
          <w:b/>
          <w:color w:val="0000FF"/>
        </w:rPr>
      </w:pPr>
    </w:p>
    <w:p w:rsidR="008A45F3" w:rsidRDefault="00B058A6" w:rsidP="00265702">
      <w:pPr>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432980">
        <w:t xml:space="preserve"> </w:t>
      </w:r>
    </w:p>
    <w:p w:rsidR="00BF0B8B" w:rsidRDefault="00BF0B8B" w:rsidP="00BF0B8B">
      <w:pPr>
        <w:keepNext/>
        <w:numPr>
          <w:ilvl w:val="3"/>
          <w:numId w:val="12"/>
        </w:numPr>
        <w:spacing w:before="360" w:after="240"/>
        <w:outlineLvl w:val="2"/>
        <w:rPr>
          <w:rFonts w:eastAsia="Calibri" w:cs="Times New Roman"/>
          <w:b/>
          <w:color w:val="0000FF"/>
        </w:rPr>
      </w:pPr>
      <w:r w:rsidRPr="00752BD9">
        <w:rPr>
          <w:rFonts w:eastAsia="Calibri" w:cs="Times New Roman"/>
          <w:b/>
          <w:color w:val="0000FF"/>
        </w:rPr>
        <w:t>I. Centre for Clinical Practice at NICE (UK). Rehabilitation after critical illness</w:t>
      </w:r>
    </w:p>
    <w:p w:rsidR="00776842" w:rsidRPr="00776842" w:rsidRDefault="00776842" w:rsidP="00776842">
      <w:pPr>
        <w:keepNext/>
        <w:numPr>
          <w:ilvl w:val="3"/>
          <w:numId w:val="12"/>
        </w:numPr>
        <w:spacing w:before="360" w:after="240"/>
        <w:outlineLvl w:val="2"/>
        <w:rPr>
          <w:rFonts w:eastAsia="Calibri" w:cs="Times New Roman"/>
          <w:color w:val="0000FF"/>
        </w:rPr>
      </w:pPr>
      <w:r>
        <w:rPr>
          <w:rFonts w:eastAsia="Calibri" w:cs="Times New Roman"/>
          <w:color w:val="0000FF"/>
        </w:rPr>
        <w:t>(</w:t>
      </w:r>
      <w:r>
        <w:rPr>
          <w:rFonts w:eastAsia="Calibri" w:cs="Times New Roman"/>
          <w:b/>
          <w:color w:val="0000FF"/>
        </w:rPr>
        <w:t xml:space="preserve">Full citation: </w:t>
      </w:r>
      <w:r w:rsidRPr="00776842">
        <w:rPr>
          <w:rFonts w:eastAsia="Calibri" w:cs="Times New Roman"/>
          <w:color w:val="0000FF"/>
        </w:rPr>
        <w:t xml:space="preserve">Centre for Clinical Practice at NICE (UK). (2009). </w:t>
      </w:r>
      <w:r w:rsidRPr="00776842">
        <w:rPr>
          <w:rFonts w:eastAsia="Calibri" w:cs="Times New Roman"/>
          <w:i/>
          <w:color w:val="0000FF"/>
        </w:rPr>
        <w:t>Rehabilitation after critical illness</w:t>
      </w:r>
      <w:r w:rsidR="00FE6B6E">
        <w:rPr>
          <w:rFonts w:eastAsia="Calibri" w:cs="Times New Roman"/>
          <w:color w:val="0000FF"/>
        </w:rPr>
        <w:t xml:space="preserve"> (NICE Clinical Guidelines No. </w:t>
      </w:r>
      <w:r w:rsidRPr="00776842">
        <w:rPr>
          <w:rFonts w:eastAsia="Calibri" w:cs="Times New Roman"/>
          <w:color w:val="0000FF"/>
        </w:rPr>
        <w:t>83):91. Retrieved from http://www.nice.org.uk/guidance/CG83</w:t>
      </w:r>
      <w:r>
        <w:rPr>
          <w:rFonts w:eastAsia="Calibri" w:cs="Times New Roman"/>
          <w:color w:val="0000FF"/>
        </w:rPr>
        <w:t>)</w:t>
      </w:r>
    </w:p>
    <w:p w:rsidR="00511F62" w:rsidRPr="00EE782E" w:rsidRDefault="00511F62" w:rsidP="002E63A4">
      <w:pPr>
        <w:spacing w:before="240" w:after="240"/>
        <w:ind w:left="0" w:firstLine="0"/>
        <w:rPr>
          <w:rFonts w:eastAsia="Calibri" w:cs="Times New Roman"/>
          <w:b/>
          <w:color w:val="0000FF"/>
        </w:rPr>
      </w:pPr>
      <w:r w:rsidRPr="00EE782E">
        <w:rPr>
          <w:color w:val="0000FF"/>
        </w:rPr>
        <w:t>Overall, the evidence was of mixed quality. Three out of the seven included studies (Beauchamp et al.</w:t>
      </w:r>
      <w:r w:rsidR="005F3143" w:rsidRPr="00EE782E">
        <w:rPr>
          <w:color w:val="0000FF"/>
        </w:rPr>
        <w:t>,</w:t>
      </w:r>
      <w:r w:rsidRPr="00EE782E">
        <w:rPr>
          <w:color w:val="0000FF"/>
        </w:rPr>
        <w:t xml:space="preserve"> 2001; Collen et al.</w:t>
      </w:r>
      <w:r w:rsidR="005F3143" w:rsidRPr="00EE782E">
        <w:rPr>
          <w:color w:val="0000FF"/>
        </w:rPr>
        <w:t>,</w:t>
      </w:r>
      <w:r w:rsidRPr="00EE782E">
        <w:rPr>
          <w:color w:val="0000FF"/>
        </w:rPr>
        <w:t xml:space="preserve"> 1991; McKinley </w:t>
      </w:r>
      <w:r w:rsidR="005F3143" w:rsidRPr="00EE782E">
        <w:rPr>
          <w:color w:val="0000FF"/>
        </w:rPr>
        <w:t xml:space="preserve">&amp; </w:t>
      </w:r>
      <w:r w:rsidRPr="00EE782E">
        <w:rPr>
          <w:color w:val="0000FF"/>
        </w:rPr>
        <w:t>Madronio</w:t>
      </w:r>
      <w:r w:rsidR="005F3143" w:rsidRPr="00EE782E">
        <w:rPr>
          <w:color w:val="0000FF"/>
        </w:rPr>
        <w:t>,</w:t>
      </w:r>
      <w:r w:rsidRPr="00EE782E">
        <w:rPr>
          <w:color w:val="0000FF"/>
        </w:rPr>
        <w:t xml:space="preserve"> 2008) need cautious interpretation</w:t>
      </w:r>
      <w:r w:rsidR="00997612" w:rsidRPr="00EE782E">
        <w:rPr>
          <w:color w:val="0000FF"/>
        </w:rPr>
        <w:t xml:space="preserve"> because they</w:t>
      </w:r>
      <w:r w:rsidRPr="00EE782E">
        <w:rPr>
          <w:color w:val="0000FF"/>
        </w:rPr>
        <w:t xml:space="preserve"> were graded as low quality based on the </w:t>
      </w:r>
      <w:r w:rsidR="00997612" w:rsidRPr="00EE782E">
        <w:rPr>
          <w:color w:val="0000FF"/>
        </w:rPr>
        <w:t>Quality Assessment of Diagnostic Accuracy Studies</w:t>
      </w:r>
      <w:r w:rsidRPr="00EE782E">
        <w:rPr>
          <w:color w:val="0000FF"/>
        </w:rPr>
        <w:t xml:space="preserve"> checklist (with level of evidence ‘–’).</w:t>
      </w:r>
    </w:p>
    <w:p w:rsidR="00951601" w:rsidRDefault="00951601" w:rsidP="00BF0B8B">
      <w:pPr>
        <w:spacing w:before="240" w:after="240"/>
        <w:ind w:left="0" w:firstLine="0"/>
        <w:rPr>
          <w:rFonts w:eastAsia="Calibri" w:cs="Times New Roman"/>
          <w:b/>
          <w:color w:val="0000FF"/>
        </w:rPr>
      </w:pPr>
    </w:p>
    <w:p w:rsidR="00BF0B8B" w:rsidRDefault="00BF0B8B" w:rsidP="00BF0B8B">
      <w:pPr>
        <w:spacing w:before="240" w:after="240"/>
        <w:ind w:left="0" w:firstLine="0"/>
        <w:rPr>
          <w:rFonts w:eastAsia="Calibri" w:cs="Times New Roman"/>
          <w:b/>
          <w:color w:val="0000FF"/>
        </w:rPr>
      </w:pPr>
      <w:r w:rsidRPr="00752BD9">
        <w:rPr>
          <w:rFonts w:eastAsia="Calibri" w:cs="Times New Roman"/>
          <w:b/>
          <w:color w:val="0000FF"/>
        </w:rPr>
        <w:t>II. National Guideline Clearinghouse. Assessing cognitive functioning. In: Evidence-based geriatric nursing protocols for best practice.</w:t>
      </w:r>
    </w:p>
    <w:p w:rsidR="00365EDB" w:rsidRPr="00752BD9" w:rsidRDefault="00365EDB" w:rsidP="00365EDB">
      <w:pPr>
        <w:spacing w:before="240" w:after="240"/>
        <w:ind w:left="0" w:firstLine="0"/>
        <w:rPr>
          <w:rFonts w:eastAsia="Calibri" w:cs="Times New Roman"/>
          <w:b/>
          <w:color w:val="0000FF"/>
        </w:rPr>
      </w:pPr>
      <w:r>
        <w:rPr>
          <w:rFonts w:eastAsia="Calibri" w:cs="Times New Roman"/>
          <w:b/>
          <w:color w:val="0000FF"/>
        </w:rPr>
        <w:t xml:space="preserve">(Full citation: </w:t>
      </w:r>
      <w:r w:rsidRPr="00776842">
        <w:rPr>
          <w:rFonts w:eastAsia="Calibri" w:cs="Times New Roman"/>
          <w:color w:val="0000FF"/>
        </w:rPr>
        <w:t xml:space="preserve">Milisen, K., Braes, T., &amp; Foreman, M. D. (2012). Assessing cognitive function. In M. Boltz, E. Capezuti, T. Fulmer, &amp; D. Zwicker (Eds.), </w:t>
      </w:r>
      <w:r w:rsidRPr="007E48FE">
        <w:rPr>
          <w:rFonts w:eastAsia="Calibri" w:cs="Times New Roman"/>
          <w:i/>
          <w:color w:val="0000FF"/>
        </w:rPr>
        <w:t>Evidence-based geriatric nursing protocols for best practice</w:t>
      </w:r>
      <w:r w:rsidRPr="00776842">
        <w:rPr>
          <w:rFonts w:eastAsia="Calibri" w:cs="Times New Roman"/>
          <w:color w:val="0000FF"/>
        </w:rPr>
        <w:t xml:space="preserve"> (4th ed., pp. 122–134). New York, NY: Springer.</w:t>
      </w:r>
      <w:r>
        <w:rPr>
          <w:rFonts w:eastAsia="Calibri" w:cs="Times New Roman"/>
          <w:color w:val="0000FF"/>
        </w:rPr>
        <w:t>)</w:t>
      </w:r>
      <w:r w:rsidRPr="00752BD9">
        <w:rPr>
          <w:rFonts w:eastAsia="Calibri" w:cs="Times New Roman"/>
          <w:b/>
          <w:color w:val="0000FF"/>
        </w:rPr>
        <w:t xml:space="preserve"> </w:t>
      </w:r>
    </w:p>
    <w:p w:rsidR="006267E6" w:rsidRDefault="007370A9" w:rsidP="00DD0212">
      <w:pPr>
        <w:ind w:left="0" w:firstLine="0"/>
        <w:rPr>
          <w:rFonts w:eastAsia="Calibri" w:cs="Times New Roman"/>
          <w:color w:val="0000FF"/>
        </w:rPr>
      </w:pPr>
      <w:r w:rsidRPr="007370A9">
        <w:rPr>
          <w:rFonts w:eastAsia="Calibri" w:cs="Times New Roman"/>
          <w:color w:val="0000FF"/>
        </w:rPr>
        <w:t>See previous section,</w:t>
      </w:r>
      <w:r>
        <w:rPr>
          <w:rFonts w:eastAsia="Calibri" w:cs="Times New Roman"/>
          <w:b/>
          <w:color w:val="0000FF"/>
        </w:rPr>
        <w:t xml:space="preserve"> </w:t>
      </w:r>
      <w:r w:rsidRPr="00752BD9">
        <w:rPr>
          <w:rFonts w:eastAsia="Calibri" w:cs="Times New Roman"/>
          <w:color w:val="0000FF"/>
        </w:rPr>
        <w:t>1.1</w:t>
      </w:r>
      <w:r w:rsidR="00EF483B">
        <w:rPr>
          <w:rFonts w:eastAsia="Calibri" w:cs="Times New Roman"/>
          <w:color w:val="0000FF"/>
        </w:rPr>
        <w:t xml:space="preserve"> for the grade</w:t>
      </w:r>
      <w:r w:rsidR="00DD0212">
        <w:rPr>
          <w:rFonts w:eastAsia="Calibri" w:cs="Times New Roman"/>
          <w:color w:val="0000FF"/>
        </w:rPr>
        <w:t>. G</w:t>
      </w:r>
      <w:r w:rsidR="00EF483B">
        <w:rPr>
          <w:rFonts w:eastAsia="Calibri" w:cs="Times New Roman"/>
          <w:color w:val="0000FF"/>
        </w:rPr>
        <w:t>rade definition</w:t>
      </w:r>
      <w:r w:rsidR="0081026E">
        <w:rPr>
          <w:rFonts w:eastAsia="Calibri" w:cs="Times New Roman"/>
          <w:color w:val="0000FF"/>
        </w:rPr>
        <w:t>s</w:t>
      </w:r>
      <w:r w:rsidR="00DD0212">
        <w:rPr>
          <w:rFonts w:eastAsia="Calibri" w:cs="Times New Roman"/>
          <w:color w:val="0000FF"/>
        </w:rPr>
        <w:t xml:space="preserve"> are:</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w:t>
      </w:r>
      <w:r w:rsidRPr="00752BD9">
        <w:rPr>
          <w:rFonts w:ascii="Calibri" w:eastAsia="Calibri" w:hAnsi="Calibri" w:cs="Times New Roman"/>
          <w:color w:val="0000FF"/>
        </w:rPr>
        <w:t>: Systematic reviews (integrative/meta-analyses/clinical practice guidelines based on systematic reviews)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II</w:t>
      </w:r>
      <w:r w:rsidRPr="00752BD9">
        <w:rPr>
          <w:rFonts w:ascii="Calibri" w:eastAsia="Calibri" w:hAnsi="Calibri" w:cs="Times New Roman"/>
          <w:color w:val="0000FF"/>
        </w:rPr>
        <w:t>: Single experimental study (randomized controlled trials [</w:t>
      </w:r>
      <w:r w:rsidRPr="0049449B">
        <w:rPr>
          <w:rFonts w:ascii="Calibri" w:eastAsia="Calibri" w:hAnsi="Calibri" w:cs="Times New Roman"/>
          <w:color w:val="0000FF"/>
        </w:rPr>
        <w:t>RCTs</w:t>
      </w:r>
      <w:r w:rsidRPr="00752BD9">
        <w:rPr>
          <w:rFonts w:ascii="Calibri" w:eastAsia="Calibri" w:hAnsi="Calibri" w:cs="Times New Roman"/>
          <w:color w:val="0000FF"/>
        </w:rPr>
        <w:t>])</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III</w:t>
      </w:r>
      <w:r w:rsidRPr="00752BD9">
        <w:rPr>
          <w:rFonts w:ascii="Calibri" w:eastAsia="Calibri" w:hAnsi="Calibri" w:cs="Times New Roman"/>
          <w:color w:val="0000FF"/>
        </w:rPr>
        <w:t>: Quasi-experimental studies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IV</w:t>
      </w:r>
      <w:r w:rsidRPr="00752BD9">
        <w:rPr>
          <w:rFonts w:ascii="Calibri" w:eastAsia="Calibri" w:hAnsi="Calibri" w:cs="Times New Roman"/>
          <w:color w:val="0000FF"/>
        </w:rPr>
        <w:t>: Non-experimental studies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V</w:t>
      </w:r>
      <w:r w:rsidRPr="00752BD9">
        <w:rPr>
          <w:rFonts w:ascii="Calibri" w:eastAsia="Calibri" w:hAnsi="Calibri" w:cs="Times New Roman"/>
          <w:color w:val="0000FF"/>
        </w:rPr>
        <w:t>: Care report/program evaluation/narrative literature reviews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VI</w:t>
      </w:r>
      <w:r w:rsidRPr="00752BD9">
        <w:rPr>
          <w:rFonts w:ascii="Calibri" w:eastAsia="Calibri" w:hAnsi="Calibri" w:cs="Times New Roman"/>
          <w:color w:val="0000FF"/>
        </w:rPr>
        <w:t>: Opinions of respected authorities/consensus panels</w:t>
      </w:r>
    </w:p>
    <w:p w:rsidR="006267E6" w:rsidRPr="00AE487D" w:rsidRDefault="006267E6" w:rsidP="006267E6">
      <w:pPr>
        <w:spacing w:before="240" w:after="240"/>
        <w:ind w:left="0" w:firstLine="0"/>
        <w:rPr>
          <w:rFonts w:eastAsia="Calibri" w:cs="Times New Roman"/>
          <w:b/>
          <w:color w:val="0000FF"/>
        </w:rPr>
      </w:pPr>
      <w:r w:rsidRPr="00AE487D">
        <w:rPr>
          <w:rFonts w:eastAsia="Calibri" w:cs="Times New Roman"/>
          <w:b/>
          <w:color w:val="0000FF"/>
        </w:rPr>
        <w:t>III. Comprehensive assessment and management of the critically ill. In: Evidence-based geriatric nursing protocols for best practice.</w:t>
      </w:r>
    </w:p>
    <w:p w:rsidR="006267E6" w:rsidRDefault="006267E6" w:rsidP="006267E6">
      <w:pPr>
        <w:spacing w:before="240" w:after="240"/>
        <w:ind w:left="0" w:firstLine="0"/>
        <w:rPr>
          <w:rFonts w:eastAsia="Calibri" w:cs="Times New Roman"/>
          <w:color w:val="0000FF"/>
        </w:rPr>
      </w:pPr>
      <w:r>
        <w:rPr>
          <w:rFonts w:eastAsia="Calibri" w:cs="Times New Roman"/>
          <w:b/>
          <w:color w:val="0000FF"/>
        </w:rPr>
        <w:t xml:space="preserve">(Full citation: </w:t>
      </w:r>
      <w:r w:rsidRPr="00AE487D">
        <w:rPr>
          <w:rFonts w:eastAsia="Calibri" w:cs="Times New Roman"/>
          <w:color w:val="0000FF"/>
        </w:rPr>
        <w:t>Balas MC, Casey CM, Happ MB. Comprehensive assessment and management of the critically ill. In Boltz M, Capezuti E, Fulmer T, Zwicker D, editor(s). Evidence-based geriatric nursing protocols for best practice. (4th ed., pp. 600-27). New York, NY: Springer.</w:t>
      </w:r>
      <w:r>
        <w:rPr>
          <w:rFonts w:eastAsia="Calibri" w:cs="Times New Roman"/>
          <w:color w:val="0000FF"/>
        </w:rPr>
        <w:t>)</w:t>
      </w:r>
    </w:p>
    <w:p w:rsidR="00DD0212" w:rsidRDefault="00DD0212" w:rsidP="00DD0212">
      <w:pPr>
        <w:ind w:left="0" w:firstLine="0"/>
        <w:rPr>
          <w:rFonts w:eastAsia="Calibri" w:cs="Times New Roman"/>
          <w:color w:val="0000FF"/>
        </w:rPr>
      </w:pPr>
      <w:r w:rsidRPr="007370A9">
        <w:rPr>
          <w:rFonts w:eastAsia="Calibri" w:cs="Times New Roman"/>
          <w:color w:val="0000FF"/>
        </w:rPr>
        <w:t>See previous section,</w:t>
      </w:r>
      <w:r>
        <w:rPr>
          <w:rFonts w:eastAsia="Calibri" w:cs="Times New Roman"/>
          <w:b/>
          <w:color w:val="0000FF"/>
        </w:rPr>
        <w:t xml:space="preserve"> </w:t>
      </w:r>
      <w:r w:rsidRPr="00752BD9">
        <w:rPr>
          <w:rFonts w:eastAsia="Calibri" w:cs="Times New Roman"/>
          <w:color w:val="0000FF"/>
        </w:rPr>
        <w:t>1.1</w:t>
      </w:r>
      <w:r>
        <w:rPr>
          <w:rFonts w:eastAsia="Calibri" w:cs="Times New Roman"/>
          <w:color w:val="0000FF"/>
        </w:rPr>
        <w:t xml:space="preserve"> for the grade. Grade definition</w:t>
      </w:r>
      <w:r w:rsidR="0081026E">
        <w:rPr>
          <w:rFonts w:eastAsia="Calibri" w:cs="Times New Roman"/>
          <w:color w:val="0000FF"/>
        </w:rPr>
        <w:t>s</w:t>
      </w:r>
      <w:r>
        <w:rPr>
          <w:rFonts w:eastAsia="Calibri" w:cs="Times New Roman"/>
          <w:color w:val="0000FF"/>
        </w:rPr>
        <w:t xml:space="preserve"> are:</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w:t>
      </w:r>
      <w:r w:rsidRPr="00752BD9">
        <w:rPr>
          <w:rFonts w:ascii="Calibri" w:eastAsia="Calibri" w:hAnsi="Calibri" w:cs="Times New Roman"/>
          <w:color w:val="0000FF"/>
        </w:rPr>
        <w:t>: Systematic reviews (integrative/meta-analyses/clinical practice guidelines based on systematic reviews)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II</w:t>
      </w:r>
      <w:r w:rsidRPr="00752BD9">
        <w:rPr>
          <w:rFonts w:ascii="Calibri" w:eastAsia="Calibri" w:hAnsi="Calibri" w:cs="Times New Roman"/>
          <w:color w:val="0000FF"/>
        </w:rPr>
        <w:t>: Single experimental study (randomized controlled trials [</w:t>
      </w:r>
      <w:r w:rsidRPr="0049449B">
        <w:rPr>
          <w:rFonts w:ascii="Calibri" w:eastAsia="Calibri" w:hAnsi="Calibri" w:cs="Times New Roman"/>
          <w:color w:val="0000FF"/>
        </w:rPr>
        <w:t>RCTs</w:t>
      </w:r>
      <w:r w:rsidRPr="00752BD9">
        <w:rPr>
          <w:rFonts w:ascii="Calibri" w:eastAsia="Calibri" w:hAnsi="Calibri" w:cs="Times New Roman"/>
          <w:color w:val="0000FF"/>
        </w:rPr>
        <w:t>])</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III</w:t>
      </w:r>
      <w:r w:rsidRPr="00752BD9">
        <w:rPr>
          <w:rFonts w:ascii="Calibri" w:eastAsia="Calibri" w:hAnsi="Calibri" w:cs="Times New Roman"/>
          <w:color w:val="0000FF"/>
        </w:rPr>
        <w:t>: Quasi-experimental studies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IV</w:t>
      </w:r>
      <w:r w:rsidRPr="00752BD9">
        <w:rPr>
          <w:rFonts w:ascii="Calibri" w:eastAsia="Calibri" w:hAnsi="Calibri" w:cs="Times New Roman"/>
          <w:color w:val="0000FF"/>
        </w:rPr>
        <w:t>: Non-experimental studies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V</w:t>
      </w:r>
      <w:r w:rsidRPr="00752BD9">
        <w:rPr>
          <w:rFonts w:ascii="Calibri" w:eastAsia="Calibri" w:hAnsi="Calibri" w:cs="Times New Roman"/>
          <w:color w:val="0000FF"/>
        </w:rPr>
        <w:t>: Care report/program evaluation/narrative literature reviews</w:t>
      </w:r>
    </w:p>
    <w:p w:rsidR="00DD0212" w:rsidRPr="00752BD9" w:rsidRDefault="00DD0212" w:rsidP="00DD0212">
      <w:pPr>
        <w:ind w:left="432" w:firstLine="0"/>
        <w:rPr>
          <w:rFonts w:ascii="Calibri" w:eastAsia="Calibri" w:hAnsi="Calibri" w:cs="Times New Roman"/>
          <w:color w:val="0000FF"/>
        </w:rPr>
      </w:pPr>
      <w:r w:rsidRPr="00752BD9">
        <w:rPr>
          <w:rFonts w:ascii="Calibri" w:eastAsia="Calibri" w:hAnsi="Calibri" w:cs="Times New Roman"/>
          <w:b/>
          <w:bCs/>
          <w:color w:val="0000FF"/>
        </w:rPr>
        <w:t>Level VI</w:t>
      </w:r>
      <w:r w:rsidRPr="00752BD9">
        <w:rPr>
          <w:rFonts w:ascii="Calibri" w:eastAsia="Calibri" w:hAnsi="Calibri" w:cs="Times New Roman"/>
          <w:color w:val="0000FF"/>
        </w:rPr>
        <w:t>: Opinions of respected authorities/consensus panels</w:t>
      </w:r>
    </w:p>
    <w:p w:rsidR="00265702" w:rsidRPr="007573F0" w:rsidRDefault="00965FF6" w:rsidP="00DB6562">
      <w:pPr>
        <w:spacing w:before="240" w:after="240"/>
        <w:ind w:left="0" w:firstLine="0"/>
      </w:pPr>
      <w:r w:rsidRPr="00030F43">
        <w:rPr>
          <w:b/>
          <w:color w:val="0000FF"/>
        </w:rPr>
        <w:t>1a.4.4.</w:t>
      </w:r>
      <w:r w:rsidRPr="00265702">
        <w:rPr>
          <w:b/>
          <w:color w:val="17365D" w:themeColor="text2" w:themeShade="BF"/>
        </w:rPr>
        <w:t xml:space="preserve"> </w:t>
      </w:r>
      <w:r w:rsidR="00C54E40">
        <w:rPr>
          <w:b/>
        </w:rPr>
        <w:t>Provide all other grades and associated definitions for recommendation</w:t>
      </w:r>
      <w:r w:rsidR="00205857">
        <w:rPr>
          <w:b/>
        </w:rPr>
        <w:t>s</w:t>
      </w:r>
      <w:r w:rsidR="00C54E40">
        <w:rPr>
          <w:b/>
        </w:rPr>
        <w:t xml:space="preserve"> in the grading system.</w:t>
      </w:r>
      <w:r w:rsidR="0043298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rsidR="007370A9" w:rsidRDefault="007370A9" w:rsidP="007370A9">
      <w:pPr>
        <w:keepNext/>
        <w:numPr>
          <w:ilvl w:val="3"/>
          <w:numId w:val="12"/>
        </w:numPr>
        <w:spacing w:before="360" w:after="240"/>
        <w:outlineLvl w:val="2"/>
        <w:rPr>
          <w:rFonts w:eastAsia="Calibri" w:cs="Times New Roman"/>
          <w:b/>
          <w:color w:val="0000FF"/>
        </w:rPr>
      </w:pPr>
      <w:r w:rsidRPr="00752BD9">
        <w:rPr>
          <w:rFonts w:eastAsia="Calibri" w:cs="Times New Roman"/>
          <w:b/>
          <w:color w:val="0000FF"/>
        </w:rPr>
        <w:t>I. Centre for Clinical Practice at NICE (UK). Rehabilitation after critical illness</w:t>
      </w:r>
    </w:p>
    <w:p w:rsidR="00365EDB" w:rsidRPr="00776842" w:rsidRDefault="00365EDB" w:rsidP="00365EDB">
      <w:pPr>
        <w:keepNext/>
        <w:numPr>
          <w:ilvl w:val="3"/>
          <w:numId w:val="12"/>
        </w:numPr>
        <w:spacing w:before="360" w:after="240"/>
        <w:outlineLvl w:val="2"/>
        <w:rPr>
          <w:rFonts w:eastAsia="Calibri" w:cs="Times New Roman"/>
          <w:color w:val="0000FF"/>
        </w:rPr>
      </w:pPr>
      <w:r>
        <w:rPr>
          <w:rFonts w:eastAsia="Calibri" w:cs="Times New Roman"/>
          <w:color w:val="0000FF"/>
        </w:rPr>
        <w:t>(</w:t>
      </w:r>
      <w:r>
        <w:rPr>
          <w:rFonts w:eastAsia="Calibri" w:cs="Times New Roman"/>
          <w:b/>
          <w:color w:val="0000FF"/>
        </w:rPr>
        <w:t xml:space="preserve">Full citation: </w:t>
      </w:r>
      <w:r w:rsidRPr="00776842">
        <w:rPr>
          <w:rFonts w:eastAsia="Calibri" w:cs="Times New Roman"/>
          <w:color w:val="0000FF"/>
        </w:rPr>
        <w:t xml:space="preserve">Centre for Clinical Practice at NICE (UK). (2009). </w:t>
      </w:r>
      <w:r w:rsidRPr="00776842">
        <w:rPr>
          <w:rFonts w:eastAsia="Calibri" w:cs="Times New Roman"/>
          <w:i/>
          <w:color w:val="0000FF"/>
        </w:rPr>
        <w:t>Rehabilitation after critical illness</w:t>
      </w:r>
      <w:r w:rsidR="006703DB">
        <w:rPr>
          <w:rFonts w:eastAsia="Calibri" w:cs="Times New Roman"/>
          <w:color w:val="0000FF"/>
        </w:rPr>
        <w:t xml:space="preserve"> (NICE Clinical Guidelines No. </w:t>
      </w:r>
      <w:r w:rsidRPr="00776842">
        <w:rPr>
          <w:rFonts w:eastAsia="Calibri" w:cs="Times New Roman"/>
          <w:color w:val="0000FF"/>
        </w:rPr>
        <w:t>83):91. Retrieved from http://www.nice.org.uk/guidance/CG83</w:t>
      </w:r>
      <w:r>
        <w:rPr>
          <w:rFonts w:eastAsia="Calibri" w:cs="Times New Roman"/>
          <w:color w:val="0000FF"/>
        </w:rPr>
        <w:t>)</w:t>
      </w:r>
    </w:p>
    <w:p w:rsidR="003B54B7" w:rsidRPr="00877DF8" w:rsidRDefault="003B54B7" w:rsidP="00951601">
      <w:pPr>
        <w:autoSpaceDE w:val="0"/>
        <w:autoSpaceDN w:val="0"/>
        <w:adjustRightInd w:val="0"/>
        <w:ind w:left="0" w:firstLine="0"/>
        <w:rPr>
          <w:rFonts w:eastAsia="Calibri" w:cs="Times New Roman"/>
          <w:color w:val="0000FF"/>
        </w:rPr>
      </w:pPr>
      <w:r w:rsidRPr="00877DF8">
        <w:rPr>
          <w:rFonts w:eastAsia="Calibri" w:cs="Times New Roman"/>
          <w:color w:val="0000FF"/>
        </w:rPr>
        <w:t xml:space="preserve">NICE produced the guideline based on the best-available evidence, which was presented to a multidisciplinary group of healthcare professionals, patient representatives and carer representatives. The group used its clinical expertise and experience to draft recommendations based on this evidence. It is acknowledged that for rehabilitation after a period of critical care there is a limited evidence base. In some areas there was strong evidence but in other areas the evidence base was weaker or absent. It should be noted that there are many areas of healthcare where there is little or no research-based </w:t>
      </w:r>
      <w:r w:rsidRPr="00877DF8">
        <w:rPr>
          <w:rFonts w:eastAsia="Calibri" w:cs="Times New Roman"/>
          <w:color w:val="0000FF"/>
        </w:rPr>
        <w:lastRenderedPageBreak/>
        <w:t xml:space="preserve">evidence. Where there is no research-based evidence, standard practice is to use the consensus opinion of the group developing the guideline on what constitutes good practice as the basis for guideline recommendations. </w:t>
      </w:r>
    </w:p>
    <w:p w:rsidR="003B54B7" w:rsidRPr="00877DF8" w:rsidRDefault="003B54B7" w:rsidP="0033616C">
      <w:pPr>
        <w:spacing w:before="240" w:after="240"/>
        <w:ind w:left="0" w:firstLine="0"/>
        <w:rPr>
          <w:rFonts w:eastAsia="Calibri" w:cs="Times New Roman"/>
          <w:color w:val="0000FF"/>
        </w:rPr>
      </w:pPr>
      <w:r w:rsidRPr="00877DF8">
        <w:rPr>
          <w:rFonts w:eastAsia="Calibri" w:cs="Times New Roman"/>
          <w:color w:val="0000FF"/>
        </w:rPr>
        <w:t xml:space="preserve">For each clinical question the GDG </w:t>
      </w:r>
      <w:r w:rsidR="008D6A56" w:rsidRPr="00877DF8">
        <w:rPr>
          <w:rFonts w:eastAsia="Calibri" w:cs="Times New Roman"/>
          <w:color w:val="0000FF"/>
        </w:rPr>
        <w:t xml:space="preserve">[Guideline Development Group] </w:t>
      </w:r>
      <w:r w:rsidRPr="00877DF8">
        <w:rPr>
          <w:rFonts w:eastAsia="Calibri" w:cs="Times New Roman"/>
          <w:color w:val="0000FF"/>
        </w:rPr>
        <w:t>was presented with a summary of the clinical evidence and, where appropriate, the economic evidence from the studies that were reviewed and appraised. For areas where there was no evidence, the GDG agreed recommendations through informal consensus based on GDG members’ experience in the field and their experience in other, related fields such as neurorehabilitation, cardiac rehabilitation and stroke rehabilitation. The committee identified one study (Collen et al.</w:t>
      </w:r>
      <w:r w:rsidR="005F3143" w:rsidRPr="00877DF8">
        <w:rPr>
          <w:rFonts w:eastAsia="Calibri" w:cs="Times New Roman"/>
          <w:color w:val="0000FF"/>
        </w:rPr>
        <w:t>,</w:t>
      </w:r>
      <w:r w:rsidRPr="00877DF8">
        <w:rPr>
          <w:rFonts w:eastAsia="Calibri" w:cs="Times New Roman"/>
          <w:color w:val="0000FF"/>
        </w:rPr>
        <w:t xml:space="preserve"> 1991) on the clinical/test utility of an assessment tool for physical morbidity. No studies were identified on screening physical morbidity. The committee identified six studies (Beauchamp et al.</w:t>
      </w:r>
      <w:r w:rsidR="005F3143" w:rsidRPr="00877DF8">
        <w:rPr>
          <w:rFonts w:eastAsia="Calibri" w:cs="Times New Roman"/>
          <w:color w:val="0000FF"/>
        </w:rPr>
        <w:t>,</w:t>
      </w:r>
      <w:r w:rsidRPr="00877DF8">
        <w:rPr>
          <w:rFonts w:eastAsia="Calibri" w:cs="Times New Roman"/>
          <w:color w:val="0000FF"/>
        </w:rPr>
        <w:t xml:space="preserve"> 2001; McKinley </w:t>
      </w:r>
      <w:r w:rsidR="005F3143" w:rsidRPr="00877DF8">
        <w:rPr>
          <w:rFonts w:eastAsia="Calibri" w:cs="Times New Roman"/>
          <w:color w:val="0000FF"/>
        </w:rPr>
        <w:t xml:space="preserve">&amp; </w:t>
      </w:r>
      <w:r w:rsidRPr="00877DF8">
        <w:rPr>
          <w:rFonts w:eastAsia="Calibri" w:cs="Times New Roman"/>
          <w:color w:val="0000FF"/>
        </w:rPr>
        <w:t>Madronio</w:t>
      </w:r>
      <w:r w:rsidR="005F3143" w:rsidRPr="00877DF8">
        <w:rPr>
          <w:rFonts w:eastAsia="Calibri" w:cs="Times New Roman"/>
          <w:color w:val="0000FF"/>
        </w:rPr>
        <w:t>,</w:t>
      </w:r>
      <w:r w:rsidRPr="00877DF8">
        <w:rPr>
          <w:rFonts w:eastAsia="Calibri" w:cs="Times New Roman"/>
          <w:color w:val="0000FF"/>
        </w:rPr>
        <w:t xml:space="preserve"> 2008; Stoll et al.</w:t>
      </w:r>
      <w:r w:rsidR="005F3143" w:rsidRPr="00877DF8">
        <w:rPr>
          <w:rFonts w:eastAsia="Calibri" w:cs="Times New Roman"/>
          <w:color w:val="0000FF"/>
        </w:rPr>
        <w:t>,</w:t>
      </w:r>
      <w:r w:rsidRPr="00877DF8">
        <w:rPr>
          <w:rFonts w:eastAsia="Calibri" w:cs="Times New Roman"/>
          <w:color w:val="0000FF"/>
        </w:rPr>
        <w:t xml:space="preserve"> 1999; Sukantarat et al.</w:t>
      </w:r>
      <w:r w:rsidR="005F3143" w:rsidRPr="00877DF8">
        <w:rPr>
          <w:rFonts w:eastAsia="Calibri" w:cs="Times New Roman"/>
          <w:color w:val="0000FF"/>
        </w:rPr>
        <w:t>,</w:t>
      </w:r>
      <w:r w:rsidRPr="00877DF8">
        <w:rPr>
          <w:rFonts w:eastAsia="Calibri" w:cs="Times New Roman"/>
          <w:color w:val="0000FF"/>
        </w:rPr>
        <w:t xml:space="preserve"> 2007; Twigg et al.</w:t>
      </w:r>
      <w:r w:rsidR="005F3143" w:rsidRPr="00877DF8">
        <w:rPr>
          <w:rFonts w:eastAsia="Calibri" w:cs="Times New Roman"/>
          <w:color w:val="0000FF"/>
        </w:rPr>
        <w:t>,</w:t>
      </w:r>
      <w:r w:rsidRPr="00877DF8">
        <w:rPr>
          <w:rFonts w:eastAsia="Calibri" w:cs="Times New Roman"/>
          <w:color w:val="0000FF"/>
        </w:rPr>
        <w:t xml:space="preserve"> 2008; Vedana et al.</w:t>
      </w:r>
      <w:r w:rsidR="005F3143" w:rsidRPr="00877DF8">
        <w:rPr>
          <w:rFonts w:eastAsia="Calibri" w:cs="Times New Roman"/>
          <w:color w:val="0000FF"/>
        </w:rPr>
        <w:t>,</w:t>
      </w:r>
      <w:r w:rsidRPr="00877DF8">
        <w:rPr>
          <w:rFonts w:eastAsia="Calibri" w:cs="Times New Roman"/>
          <w:color w:val="0000FF"/>
        </w:rPr>
        <w:t xml:space="preserve"> 2002) on the clinical/test utility of screening tools for non-physical morbidity and one study on assessing cognitive dysfunction (Beauchamp et al.</w:t>
      </w:r>
      <w:r w:rsidR="005F3143" w:rsidRPr="00877DF8">
        <w:rPr>
          <w:rFonts w:eastAsia="Calibri" w:cs="Times New Roman"/>
          <w:color w:val="0000FF"/>
        </w:rPr>
        <w:t>,</w:t>
      </w:r>
      <w:r w:rsidRPr="00877DF8">
        <w:rPr>
          <w:rFonts w:eastAsia="Calibri" w:cs="Times New Roman"/>
          <w:color w:val="0000FF"/>
        </w:rPr>
        <w:t xml:space="preserve"> 2001). No studies were identified for screening or assessing swallowing and communication problems.</w:t>
      </w:r>
    </w:p>
    <w:p w:rsidR="007370A9" w:rsidRDefault="007370A9" w:rsidP="00657F7F">
      <w:pPr>
        <w:spacing w:before="240" w:after="240"/>
        <w:ind w:left="0" w:firstLine="0"/>
        <w:rPr>
          <w:rFonts w:eastAsia="Calibri" w:cs="Times New Roman"/>
          <w:b/>
          <w:color w:val="0000FF"/>
        </w:rPr>
      </w:pPr>
      <w:r w:rsidRPr="00657F7F">
        <w:rPr>
          <w:rFonts w:eastAsia="Calibri" w:cs="Times New Roman"/>
          <w:b/>
          <w:color w:val="0000FF"/>
        </w:rPr>
        <w:t>II. National Guideline Clearinghouse. Assessing cognitive functioning. In: Evidence-based geriatric nursing protocols for best practice.</w:t>
      </w:r>
    </w:p>
    <w:p w:rsidR="00365EDB" w:rsidRPr="00752BD9" w:rsidRDefault="00365EDB" w:rsidP="00365EDB">
      <w:pPr>
        <w:spacing w:before="240" w:after="240"/>
        <w:ind w:left="0" w:firstLine="0"/>
        <w:rPr>
          <w:rFonts w:eastAsia="Calibri" w:cs="Times New Roman"/>
          <w:b/>
          <w:color w:val="0000FF"/>
        </w:rPr>
      </w:pPr>
      <w:r>
        <w:rPr>
          <w:rFonts w:eastAsia="Calibri" w:cs="Times New Roman"/>
          <w:b/>
          <w:color w:val="0000FF"/>
        </w:rPr>
        <w:t xml:space="preserve">(Full citation: </w:t>
      </w:r>
      <w:r w:rsidRPr="00776842">
        <w:rPr>
          <w:rFonts w:eastAsia="Calibri" w:cs="Times New Roman"/>
          <w:color w:val="0000FF"/>
        </w:rPr>
        <w:t xml:space="preserve">Milisen, K., Braes, T., &amp; Foreman, M. D. (2012). Assessing cognitive function. In M. Boltz, E. Capezuti, T. Fulmer, &amp; D. Zwicker (Eds.), </w:t>
      </w:r>
      <w:r w:rsidRPr="007E48FE">
        <w:rPr>
          <w:rFonts w:eastAsia="Calibri" w:cs="Times New Roman"/>
          <w:i/>
          <w:color w:val="0000FF"/>
        </w:rPr>
        <w:t>Evidence-based geriatric nursing protocols for best practice</w:t>
      </w:r>
      <w:r w:rsidRPr="00776842">
        <w:rPr>
          <w:rFonts w:eastAsia="Calibri" w:cs="Times New Roman"/>
          <w:color w:val="0000FF"/>
        </w:rPr>
        <w:t xml:space="preserve"> (4th ed., pp. 122–134). New York, NY: Springer.</w:t>
      </w:r>
      <w:r>
        <w:rPr>
          <w:rFonts w:eastAsia="Calibri" w:cs="Times New Roman"/>
          <w:color w:val="0000FF"/>
        </w:rPr>
        <w:t>)</w:t>
      </w:r>
      <w:r w:rsidRPr="00752BD9">
        <w:rPr>
          <w:rFonts w:eastAsia="Calibri" w:cs="Times New Roman"/>
          <w:b/>
          <w:color w:val="0000FF"/>
        </w:rPr>
        <w:t xml:space="preserve"> </w:t>
      </w:r>
    </w:p>
    <w:p w:rsidR="00752BD9" w:rsidRPr="00752BD9" w:rsidRDefault="00752BD9"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w:t>
      </w:r>
      <w:r w:rsidRPr="00752BD9">
        <w:rPr>
          <w:rFonts w:ascii="Calibri" w:eastAsia="Calibri" w:hAnsi="Calibri" w:cs="Times New Roman"/>
          <w:color w:val="0000FF"/>
        </w:rPr>
        <w:t>: Systematic reviews (integrative/meta-analyses/clinical practice guidelines based on systematic reviews)</w:t>
      </w:r>
    </w:p>
    <w:p w:rsidR="00752BD9" w:rsidRPr="00752BD9" w:rsidRDefault="00752BD9"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II</w:t>
      </w:r>
      <w:r w:rsidRPr="00752BD9">
        <w:rPr>
          <w:rFonts w:ascii="Calibri" w:eastAsia="Calibri" w:hAnsi="Calibri" w:cs="Times New Roman"/>
          <w:color w:val="0000FF"/>
        </w:rPr>
        <w:t>: Single experimental study (randomized controlled trials [</w:t>
      </w:r>
      <w:r w:rsidRPr="0049449B">
        <w:rPr>
          <w:rFonts w:ascii="Calibri" w:eastAsia="Calibri" w:hAnsi="Calibri" w:cs="Times New Roman"/>
          <w:color w:val="0000FF"/>
        </w:rPr>
        <w:t>RCTs</w:t>
      </w:r>
      <w:r w:rsidRPr="00752BD9">
        <w:rPr>
          <w:rFonts w:ascii="Calibri" w:eastAsia="Calibri" w:hAnsi="Calibri" w:cs="Times New Roman"/>
          <w:color w:val="0000FF"/>
        </w:rPr>
        <w:t>])</w:t>
      </w:r>
    </w:p>
    <w:p w:rsidR="00752BD9" w:rsidRPr="00752BD9" w:rsidRDefault="00752BD9"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III</w:t>
      </w:r>
      <w:r w:rsidRPr="00752BD9">
        <w:rPr>
          <w:rFonts w:ascii="Calibri" w:eastAsia="Calibri" w:hAnsi="Calibri" w:cs="Times New Roman"/>
          <w:color w:val="0000FF"/>
        </w:rPr>
        <w:t>: Quasi-experimental studies</w:t>
      </w:r>
    </w:p>
    <w:p w:rsidR="00752BD9" w:rsidRPr="00752BD9" w:rsidRDefault="00752BD9"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IV</w:t>
      </w:r>
      <w:r w:rsidRPr="00752BD9">
        <w:rPr>
          <w:rFonts w:ascii="Calibri" w:eastAsia="Calibri" w:hAnsi="Calibri" w:cs="Times New Roman"/>
          <w:color w:val="0000FF"/>
        </w:rPr>
        <w:t>: Non-experimental studies</w:t>
      </w:r>
    </w:p>
    <w:p w:rsidR="00752BD9" w:rsidRPr="00752BD9" w:rsidRDefault="00752BD9"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V</w:t>
      </w:r>
      <w:r w:rsidRPr="00752BD9">
        <w:rPr>
          <w:rFonts w:ascii="Calibri" w:eastAsia="Calibri" w:hAnsi="Calibri" w:cs="Times New Roman"/>
          <w:color w:val="0000FF"/>
        </w:rPr>
        <w:t>: Care report/program evaluation/narrative literature reviews</w:t>
      </w:r>
    </w:p>
    <w:p w:rsidR="00752BD9" w:rsidRPr="00752BD9" w:rsidRDefault="00752BD9"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VI</w:t>
      </w:r>
      <w:r w:rsidRPr="00752BD9">
        <w:rPr>
          <w:rFonts w:ascii="Calibri" w:eastAsia="Calibri" w:hAnsi="Calibri" w:cs="Times New Roman"/>
          <w:color w:val="0000FF"/>
        </w:rPr>
        <w:t>: Opinions of respected authorities/consensus panels</w:t>
      </w:r>
    </w:p>
    <w:p w:rsidR="006267E6" w:rsidRPr="00AE487D" w:rsidRDefault="006267E6" w:rsidP="006267E6">
      <w:pPr>
        <w:spacing w:before="240" w:after="240"/>
        <w:ind w:left="0" w:firstLine="0"/>
        <w:rPr>
          <w:rFonts w:eastAsia="Calibri" w:cs="Times New Roman"/>
          <w:b/>
          <w:color w:val="0000FF"/>
        </w:rPr>
      </w:pPr>
      <w:r w:rsidRPr="00AE487D">
        <w:rPr>
          <w:rFonts w:eastAsia="Calibri" w:cs="Times New Roman"/>
          <w:b/>
          <w:color w:val="0000FF"/>
        </w:rPr>
        <w:t>III. Comprehensive assessment and management of the critically ill. In: Evidence-based geriatric nursing protocols for best practice.</w:t>
      </w:r>
    </w:p>
    <w:p w:rsidR="006267E6" w:rsidRDefault="006267E6" w:rsidP="006267E6">
      <w:pPr>
        <w:spacing w:before="240" w:after="240"/>
        <w:ind w:left="0" w:firstLine="0"/>
        <w:rPr>
          <w:rFonts w:eastAsia="Calibri" w:cs="Times New Roman"/>
          <w:color w:val="0000FF"/>
        </w:rPr>
      </w:pPr>
      <w:r>
        <w:rPr>
          <w:rFonts w:eastAsia="Calibri" w:cs="Times New Roman"/>
          <w:b/>
          <w:color w:val="0000FF"/>
        </w:rPr>
        <w:t xml:space="preserve">(Full citation: </w:t>
      </w:r>
      <w:r w:rsidRPr="00AE487D">
        <w:rPr>
          <w:rFonts w:eastAsia="Calibri" w:cs="Times New Roman"/>
          <w:color w:val="0000FF"/>
        </w:rPr>
        <w:t>Balas MC, Casey CM, Happ MB. Comprehensive assessment and management of the critically ill. In Boltz M, Capezuti E, Fulmer T, Zwicker D, editor(s). Evidence-based geriatric nursing protocols for best practice. (4th ed., pp. 600-27). New York, NY: Springer.</w:t>
      </w:r>
      <w:r>
        <w:rPr>
          <w:rFonts w:eastAsia="Calibri" w:cs="Times New Roman"/>
          <w:color w:val="0000FF"/>
        </w:rPr>
        <w:t>)</w:t>
      </w:r>
    </w:p>
    <w:p w:rsidR="006267E6" w:rsidRPr="00752BD9" w:rsidRDefault="006267E6"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w:t>
      </w:r>
      <w:r w:rsidRPr="00752BD9">
        <w:rPr>
          <w:rFonts w:ascii="Calibri" w:eastAsia="Calibri" w:hAnsi="Calibri" w:cs="Times New Roman"/>
          <w:color w:val="0000FF"/>
        </w:rPr>
        <w:t>: Systematic reviews (integrative/meta-analyses/clinical practice guidelines based on systematic reviews)</w:t>
      </w:r>
    </w:p>
    <w:p w:rsidR="006267E6" w:rsidRPr="00752BD9" w:rsidRDefault="006267E6"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II</w:t>
      </w:r>
      <w:r w:rsidRPr="00752BD9">
        <w:rPr>
          <w:rFonts w:ascii="Calibri" w:eastAsia="Calibri" w:hAnsi="Calibri" w:cs="Times New Roman"/>
          <w:color w:val="0000FF"/>
        </w:rPr>
        <w:t>: Single experimental study (randomized controlled trials [</w:t>
      </w:r>
      <w:r w:rsidRPr="0049449B">
        <w:rPr>
          <w:rFonts w:ascii="Calibri" w:eastAsia="Calibri" w:hAnsi="Calibri" w:cs="Times New Roman"/>
          <w:color w:val="0000FF"/>
        </w:rPr>
        <w:t>RCTs</w:t>
      </w:r>
      <w:r w:rsidRPr="00752BD9">
        <w:rPr>
          <w:rFonts w:ascii="Calibri" w:eastAsia="Calibri" w:hAnsi="Calibri" w:cs="Times New Roman"/>
          <w:color w:val="0000FF"/>
        </w:rPr>
        <w:t>])</w:t>
      </w:r>
    </w:p>
    <w:p w:rsidR="006267E6" w:rsidRPr="00752BD9" w:rsidRDefault="006267E6"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III</w:t>
      </w:r>
      <w:r w:rsidRPr="00752BD9">
        <w:rPr>
          <w:rFonts w:ascii="Calibri" w:eastAsia="Calibri" w:hAnsi="Calibri" w:cs="Times New Roman"/>
          <w:color w:val="0000FF"/>
        </w:rPr>
        <w:t>: Quasi-experimental studies</w:t>
      </w:r>
    </w:p>
    <w:p w:rsidR="006267E6" w:rsidRPr="00752BD9" w:rsidRDefault="006267E6"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IV</w:t>
      </w:r>
      <w:r w:rsidRPr="00752BD9">
        <w:rPr>
          <w:rFonts w:ascii="Calibri" w:eastAsia="Calibri" w:hAnsi="Calibri" w:cs="Times New Roman"/>
          <w:color w:val="0000FF"/>
        </w:rPr>
        <w:t>: Non-experimental studies</w:t>
      </w:r>
    </w:p>
    <w:p w:rsidR="006267E6" w:rsidRPr="00752BD9" w:rsidRDefault="006267E6"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V</w:t>
      </w:r>
      <w:r w:rsidRPr="00752BD9">
        <w:rPr>
          <w:rFonts w:ascii="Calibri" w:eastAsia="Calibri" w:hAnsi="Calibri" w:cs="Times New Roman"/>
          <w:color w:val="0000FF"/>
        </w:rPr>
        <w:t>: Care report/program evaluation/narrative literature reviews</w:t>
      </w:r>
    </w:p>
    <w:p w:rsidR="006267E6" w:rsidRDefault="006267E6" w:rsidP="00541BA0">
      <w:pPr>
        <w:ind w:left="432" w:firstLine="0"/>
        <w:rPr>
          <w:rFonts w:ascii="Calibri" w:eastAsia="Calibri" w:hAnsi="Calibri" w:cs="Times New Roman"/>
          <w:color w:val="0000FF"/>
        </w:rPr>
      </w:pPr>
      <w:r w:rsidRPr="00752BD9">
        <w:rPr>
          <w:rFonts w:ascii="Calibri" w:eastAsia="Calibri" w:hAnsi="Calibri" w:cs="Times New Roman"/>
          <w:b/>
          <w:bCs/>
          <w:color w:val="0000FF"/>
        </w:rPr>
        <w:t>Level VI</w:t>
      </w:r>
      <w:r w:rsidRPr="00752BD9">
        <w:rPr>
          <w:rFonts w:ascii="Calibri" w:eastAsia="Calibri" w:hAnsi="Calibri" w:cs="Times New Roman"/>
          <w:color w:val="0000FF"/>
        </w:rPr>
        <w:t>: Opinions of respected authorities/consensus panels</w:t>
      </w:r>
    </w:p>
    <w:p w:rsidR="00541BA0" w:rsidRPr="00752BD9" w:rsidRDefault="00541BA0" w:rsidP="00541BA0">
      <w:pPr>
        <w:ind w:left="432" w:firstLine="0"/>
        <w:rPr>
          <w:rFonts w:ascii="Calibri" w:eastAsia="Calibri" w:hAnsi="Calibri" w:cs="Times New Roman"/>
          <w:color w:val="0000FF"/>
        </w:rPr>
      </w:pPr>
    </w:p>
    <w:p w:rsidR="00DD0212" w:rsidRDefault="00DD0212">
      <w:pPr>
        <w:rPr>
          <w:b/>
          <w:color w:val="0000FF"/>
        </w:rPr>
      </w:pPr>
      <w:r>
        <w:rPr>
          <w:b/>
          <w:color w:val="0000FF"/>
        </w:rPr>
        <w:br w:type="page"/>
      </w:r>
    </w:p>
    <w:p w:rsidR="00A12762" w:rsidRPr="00030F43" w:rsidRDefault="00776F6D" w:rsidP="002E2177">
      <w:pPr>
        <w:ind w:left="432" w:hanging="432"/>
        <w:rPr>
          <w:b/>
          <w:color w:val="0000FF"/>
        </w:rPr>
      </w:pPr>
      <w:r>
        <w:rPr>
          <w:b/>
          <w:color w:val="0000FF"/>
        </w:rPr>
        <w:lastRenderedPageBreak/>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rsidR="007370A9" w:rsidRDefault="007370A9" w:rsidP="007370A9">
      <w:pPr>
        <w:keepNext/>
        <w:numPr>
          <w:ilvl w:val="3"/>
          <w:numId w:val="12"/>
        </w:numPr>
        <w:spacing w:before="360" w:after="240"/>
        <w:outlineLvl w:val="2"/>
        <w:rPr>
          <w:rFonts w:eastAsia="Calibri" w:cs="Times New Roman"/>
          <w:b/>
          <w:color w:val="0000FF"/>
        </w:rPr>
      </w:pPr>
      <w:r w:rsidRPr="00752BD9">
        <w:rPr>
          <w:rFonts w:eastAsia="Calibri" w:cs="Times New Roman"/>
          <w:b/>
          <w:color w:val="0000FF"/>
        </w:rPr>
        <w:t>I. Centre for Clinical Practice at NICE (UK). Rehabilitation after critical illness</w:t>
      </w:r>
    </w:p>
    <w:p w:rsidR="00365EDB" w:rsidRPr="00776842" w:rsidRDefault="00365EDB" w:rsidP="00365EDB">
      <w:pPr>
        <w:keepNext/>
        <w:numPr>
          <w:ilvl w:val="3"/>
          <w:numId w:val="12"/>
        </w:numPr>
        <w:spacing w:before="360" w:after="240"/>
        <w:outlineLvl w:val="2"/>
        <w:rPr>
          <w:rFonts w:eastAsia="Calibri" w:cs="Times New Roman"/>
          <w:color w:val="0000FF"/>
        </w:rPr>
      </w:pPr>
      <w:r>
        <w:rPr>
          <w:rFonts w:eastAsia="Calibri" w:cs="Times New Roman"/>
          <w:color w:val="0000FF"/>
        </w:rPr>
        <w:t>(</w:t>
      </w:r>
      <w:r>
        <w:rPr>
          <w:rFonts w:eastAsia="Calibri" w:cs="Times New Roman"/>
          <w:b/>
          <w:color w:val="0000FF"/>
        </w:rPr>
        <w:t xml:space="preserve">Full citation: </w:t>
      </w:r>
      <w:r w:rsidRPr="00776842">
        <w:rPr>
          <w:rFonts w:eastAsia="Calibri" w:cs="Times New Roman"/>
          <w:color w:val="0000FF"/>
        </w:rPr>
        <w:t xml:space="preserve">Centre for Clinical Practice at NICE (UK). (2009). </w:t>
      </w:r>
      <w:r w:rsidRPr="00776842">
        <w:rPr>
          <w:rFonts w:eastAsia="Calibri" w:cs="Times New Roman"/>
          <w:i/>
          <w:color w:val="0000FF"/>
        </w:rPr>
        <w:t>Rehabilitation after critical illness</w:t>
      </w:r>
      <w:r w:rsidR="006703DB">
        <w:rPr>
          <w:rFonts w:eastAsia="Calibri" w:cs="Times New Roman"/>
          <w:color w:val="0000FF"/>
        </w:rPr>
        <w:t xml:space="preserve"> (NICE Clinical Guidelines No. </w:t>
      </w:r>
      <w:r w:rsidRPr="00776842">
        <w:rPr>
          <w:rFonts w:eastAsia="Calibri" w:cs="Times New Roman"/>
          <w:color w:val="0000FF"/>
        </w:rPr>
        <w:t>83):91. Retrieved from http://www.nice.org.uk/guidance/CG83</w:t>
      </w:r>
      <w:r>
        <w:rPr>
          <w:rFonts w:eastAsia="Calibri" w:cs="Times New Roman"/>
          <w:color w:val="0000FF"/>
        </w:rPr>
        <w:t>)</w:t>
      </w:r>
    </w:p>
    <w:p w:rsidR="007370A9" w:rsidRDefault="007370A9" w:rsidP="007370A9">
      <w:pPr>
        <w:keepNext/>
        <w:keepLines/>
        <w:spacing w:before="200"/>
        <w:ind w:left="0" w:firstLine="0"/>
        <w:outlineLvl w:val="5"/>
        <w:rPr>
          <w:rFonts w:eastAsia="Calibri" w:cs="Times New Roman"/>
          <w:color w:val="0000FF"/>
        </w:rPr>
      </w:pPr>
      <w:r w:rsidRPr="00752BD9">
        <w:rPr>
          <w:rFonts w:eastAsia="Calibri" w:cs="Times New Roman"/>
          <w:color w:val="0000FF"/>
        </w:rPr>
        <w:t>References and citations that support the NICE guidelines can be found at the following location:</w:t>
      </w:r>
      <w:r w:rsidR="00432980">
        <w:rPr>
          <w:rFonts w:eastAsia="Calibri" w:cs="Times New Roman"/>
          <w:color w:val="0000FF"/>
        </w:rPr>
        <w:t xml:space="preserve"> </w:t>
      </w:r>
      <w:r w:rsidRPr="00752BD9">
        <w:rPr>
          <w:rFonts w:eastAsia="Calibri" w:cs="Times New Roman"/>
          <w:color w:val="0000FF"/>
        </w:rPr>
        <w:t>http://www.nice.org.uk/guidance/cg83/resources/cg83-critical-illness-rehabilitation-guideline2</w:t>
      </w:r>
    </w:p>
    <w:p w:rsidR="007370A9" w:rsidRPr="00752BD9" w:rsidRDefault="007370A9" w:rsidP="007370A9">
      <w:pPr>
        <w:spacing w:before="240" w:after="240"/>
        <w:ind w:left="0" w:firstLine="0"/>
        <w:rPr>
          <w:rFonts w:eastAsia="Calibri" w:cs="Times New Roman"/>
          <w:b/>
          <w:color w:val="0000FF"/>
        </w:rPr>
      </w:pPr>
      <w:r w:rsidRPr="00752BD9">
        <w:rPr>
          <w:rFonts w:eastAsia="Calibri" w:cs="Times New Roman"/>
          <w:b/>
          <w:color w:val="0000FF"/>
        </w:rPr>
        <w:t>II. National Guideline Clearinghouse. Assessing cognitive functioning. In: Evidence-based geriatric nursing protocols for best practice.</w:t>
      </w:r>
    </w:p>
    <w:p w:rsidR="00365EDB" w:rsidRPr="00752BD9" w:rsidRDefault="00365EDB" w:rsidP="00365EDB">
      <w:pPr>
        <w:spacing w:before="240" w:after="240"/>
        <w:ind w:left="0" w:firstLine="0"/>
        <w:rPr>
          <w:rFonts w:eastAsia="Calibri" w:cs="Times New Roman"/>
          <w:b/>
          <w:color w:val="0000FF"/>
        </w:rPr>
      </w:pPr>
      <w:r>
        <w:rPr>
          <w:rFonts w:eastAsia="Calibri" w:cs="Times New Roman"/>
          <w:b/>
          <w:color w:val="0000FF"/>
        </w:rPr>
        <w:t xml:space="preserve">(Full citation: </w:t>
      </w:r>
      <w:r w:rsidRPr="00776842">
        <w:rPr>
          <w:rFonts w:eastAsia="Calibri" w:cs="Times New Roman"/>
          <w:color w:val="0000FF"/>
        </w:rPr>
        <w:t xml:space="preserve">Milisen, K., Braes, T., &amp; Foreman, M. D. (2012). Assessing cognitive function. In M. Boltz, E. Capezuti, T. Fulmer, &amp; D. Zwicker (Eds.), </w:t>
      </w:r>
      <w:r w:rsidRPr="007E48FE">
        <w:rPr>
          <w:rFonts w:eastAsia="Calibri" w:cs="Times New Roman"/>
          <w:i/>
          <w:color w:val="0000FF"/>
        </w:rPr>
        <w:t>Evidence-based geriatric nursing protocols for best practice</w:t>
      </w:r>
      <w:r w:rsidRPr="00776842">
        <w:rPr>
          <w:rFonts w:eastAsia="Calibri" w:cs="Times New Roman"/>
          <w:color w:val="0000FF"/>
        </w:rPr>
        <w:t xml:space="preserve"> (4th ed., pp. 122–134). New York, NY: Springer.</w:t>
      </w:r>
      <w:r>
        <w:rPr>
          <w:rFonts w:eastAsia="Calibri" w:cs="Times New Roman"/>
          <w:color w:val="0000FF"/>
        </w:rPr>
        <w:t>)</w:t>
      </w:r>
      <w:r w:rsidRPr="00752BD9">
        <w:rPr>
          <w:rFonts w:eastAsia="Calibri" w:cs="Times New Roman"/>
          <w:b/>
          <w:color w:val="0000FF"/>
        </w:rPr>
        <w:t xml:space="preserve"> </w:t>
      </w:r>
    </w:p>
    <w:p w:rsidR="007370A9" w:rsidRDefault="007370A9" w:rsidP="007370A9">
      <w:pPr>
        <w:spacing w:before="240" w:after="240"/>
        <w:ind w:left="0" w:firstLine="0"/>
        <w:rPr>
          <w:rFonts w:ascii="Calibri" w:eastAsia="Calibri" w:hAnsi="Calibri" w:cs="Times New Roman"/>
          <w:color w:val="0000FF"/>
        </w:rPr>
      </w:pPr>
      <w:r w:rsidRPr="00752BD9">
        <w:rPr>
          <w:rFonts w:ascii="Calibri" w:eastAsia="Calibri" w:hAnsi="Calibri" w:cs="Times New Roman"/>
          <w:color w:val="0000FF"/>
        </w:rPr>
        <w:t>AGREE Next Steps Consortium (2009). Appraisal of guidelines for research &amp; evaluation II. Retrieved from ht</w:t>
      </w:r>
      <w:r w:rsidR="008369A8">
        <w:rPr>
          <w:rFonts w:ascii="Calibri" w:eastAsia="Calibri" w:hAnsi="Calibri" w:cs="Times New Roman"/>
          <w:color w:val="0000FF"/>
        </w:rPr>
        <w:t>tp://www.agreetrust.org/?o=1397</w:t>
      </w:r>
      <w:r w:rsidRPr="00752BD9">
        <w:rPr>
          <w:rFonts w:ascii="Calibri" w:eastAsia="Calibri" w:hAnsi="Calibri" w:cs="Times New Roman"/>
          <w:color w:val="0000FF"/>
        </w:rPr>
        <w:t>.</w:t>
      </w:r>
    </w:p>
    <w:p w:rsidR="007370A9" w:rsidRDefault="007370A9" w:rsidP="007370A9">
      <w:pPr>
        <w:spacing w:before="240" w:after="240"/>
        <w:ind w:left="0" w:firstLine="0"/>
        <w:rPr>
          <w:rFonts w:ascii="Calibri" w:eastAsia="Calibri" w:hAnsi="Calibri" w:cs="Times New Roman"/>
          <w:color w:val="0000FF"/>
        </w:rPr>
      </w:pPr>
      <w:r w:rsidRPr="00752BD9">
        <w:rPr>
          <w:rFonts w:ascii="Calibri" w:eastAsia="Calibri" w:hAnsi="Calibri" w:cs="Times New Roman"/>
          <w:color w:val="0000FF"/>
        </w:rPr>
        <w:t>Adapted from: Melnyck, B. M. &amp; Fineout-Overholt, E. (2005). Evidence-based p</w:t>
      </w:r>
      <w:r>
        <w:rPr>
          <w:rFonts w:ascii="Calibri" w:eastAsia="Calibri" w:hAnsi="Calibri" w:cs="Times New Roman"/>
          <w:color w:val="0000FF"/>
        </w:rPr>
        <w:t xml:space="preserve">ractice in nursing &amp; </w:t>
      </w:r>
      <w:r w:rsidRPr="00752BD9">
        <w:rPr>
          <w:rFonts w:ascii="Calibri" w:eastAsia="Calibri" w:hAnsi="Calibri" w:cs="Times New Roman"/>
          <w:color w:val="0000FF"/>
        </w:rPr>
        <w:t>health care: A guide to best practice. Philadelphia, PA: Lippincott Williams &amp; Wilkins and Stetler, C.B., Morsi, D., Rucki, S., Broughton, S., Corrigan, B., Fitzgerald, J., et al. (1998). Utilization-focused integrative reviews in a nursing service. Applied Nursing Research, 11(4)</w:t>
      </w:r>
      <w:r w:rsidR="00437A7D">
        <w:rPr>
          <w:rFonts w:ascii="Calibri" w:eastAsia="Calibri" w:hAnsi="Calibri" w:cs="Times New Roman"/>
          <w:color w:val="0000FF"/>
        </w:rPr>
        <w:t>.</w:t>
      </w:r>
    </w:p>
    <w:p w:rsidR="006267E6" w:rsidRPr="00AE487D" w:rsidRDefault="006267E6" w:rsidP="006267E6">
      <w:pPr>
        <w:spacing w:before="240" w:after="240"/>
        <w:ind w:left="0" w:firstLine="0"/>
        <w:rPr>
          <w:rFonts w:eastAsia="Calibri" w:cs="Times New Roman"/>
          <w:b/>
          <w:color w:val="0000FF"/>
        </w:rPr>
      </w:pPr>
      <w:r w:rsidRPr="00AE487D">
        <w:rPr>
          <w:rFonts w:eastAsia="Calibri" w:cs="Times New Roman"/>
          <w:b/>
          <w:color w:val="0000FF"/>
        </w:rPr>
        <w:t>III. Comprehensive assessment and management of the critically ill. In: Evidence-based geriatric nursing protocols for best practice.</w:t>
      </w:r>
    </w:p>
    <w:p w:rsidR="006267E6" w:rsidRDefault="006267E6" w:rsidP="006267E6">
      <w:pPr>
        <w:spacing w:before="240" w:after="240"/>
        <w:ind w:left="0" w:firstLine="0"/>
        <w:rPr>
          <w:rFonts w:eastAsia="Calibri" w:cs="Times New Roman"/>
          <w:color w:val="0000FF"/>
        </w:rPr>
      </w:pPr>
      <w:r>
        <w:rPr>
          <w:rFonts w:eastAsia="Calibri" w:cs="Times New Roman"/>
          <w:b/>
          <w:color w:val="0000FF"/>
        </w:rPr>
        <w:t xml:space="preserve">(Full citation: </w:t>
      </w:r>
      <w:r w:rsidRPr="00AE487D">
        <w:rPr>
          <w:rFonts w:eastAsia="Calibri" w:cs="Times New Roman"/>
          <w:color w:val="0000FF"/>
        </w:rPr>
        <w:t>Balas MC, Casey CM, Happ MB. Comprehensive assessment and management of the critically ill. In Boltz M, Capezuti E, Fulmer T, Zwicker D, editor(s). Evidence-based geriatric nursing protocols for best practice. (4th ed., pp. 600-27). New York, NY: Springer.</w:t>
      </w:r>
      <w:r>
        <w:rPr>
          <w:rFonts w:eastAsia="Calibri" w:cs="Times New Roman"/>
          <w:color w:val="0000FF"/>
        </w:rPr>
        <w:t>)</w:t>
      </w:r>
    </w:p>
    <w:p w:rsidR="006267E6" w:rsidRDefault="006267E6" w:rsidP="006267E6">
      <w:pPr>
        <w:spacing w:before="240" w:after="240"/>
        <w:ind w:left="0" w:firstLine="0"/>
        <w:rPr>
          <w:rFonts w:ascii="Calibri" w:eastAsia="Calibri" w:hAnsi="Calibri" w:cs="Times New Roman"/>
          <w:color w:val="0000FF"/>
        </w:rPr>
      </w:pPr>
      <w:r w:rsidRPr="00752BD9">
        <w:rPr>
          <w:rFonts w:ascii="Calibri" w:eastAsia="Calibri" w:hAnsi="Calibri" w:cs="Times New Roman"/>
          <w:color w:val="0000FF"/>
        </w:rPr>
        <w:t>AGREE Next Steps Consortium (2009). Appraisal of guidelines for research &amp; evaluation II. Retrieved from http://www.agreetrust.org/?o=1397.</w:t>
      </w:r>
    </w:p>
    <w:p w:rsidR="006267E6" w:rsidRDefault="006267E6" w:rsidP="006267E6">
      <w:pPr>
        <w:spacing w:before="240" w:after="240"/>
        <w:ind w:left="0" w:firstLine="0"/>
        <w:rPr>
          <w:rFonts w:ascii="Calibri" w:eastAsia="Calibri" w:hAnsi="Calibri" w:cs="Times New Roman"/>
          <w:color w:val="0000FF"/>
        </w:rPr>
      </w:pPr>
      <w:r w:rsidRPr="00752BD9">
        <w:rPr>
          <w:rFonts w:ascii="Calibri" w:eastAsia="Calibri" w:hAnsi="Calibri" w:cs="Times New Roman"/>
          <w:color w:val="0000FF"/>
        </w:rPr>
        <w:t>Adapted from: Melnyck, B. M. &amp; Fineout-Overholt, E. (2005). Evidence-based p</w:t>
      </w:r>
      <w:r>
        <w:rPr>
          <w:rFonts w:ascii="Calibri" w:eastAsia="Calibri" w:hAnsi="Calibri" w:cs="Times New Roman"/>
          <w:color w:val="0000FF"/>
        </w:rPr>
        <w:t xml:space="preserve">ractice in nursing &amp; </w:t>
      </w:r>
      <w:r w:rsidRPr="00752BD9">
        <w:rPr>
          <w:rFonts w:ascii="Calibri" w:eastAsia="Calibri" w:hAnsi="Calibri" w:cs="Times New Roman"/>
          <w:color w:val="0000FF"/>
        </w:rPr>
        <w:t>health care: A guide to best practice. Philadelphia, PA: Lippincott Williams &amp; Wilkins and Stetler, C.B., Morsi, D., Rucki, S., Broughton, S., Corrigan, B., Fitzgerald, J., et al. (1998). Utilization-focused integrative reviews in a nursing service. Applied Nursing Research, 11(4)</w:t>
      </w:r>
      <w:r w:rsidR="00437A7D">
        <w:rPr>
          <w:rFonts w:ascii="Calibri" w:eastAsia="Calibri" w:hAnsi="Calibri" w:cs="Times New Roman"/>
          <w:color w:val="0000FF"/>
        </w:rPr>
        <w:t>.</w:t>
      </w:r>
    </w:p>
    <w:p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rsidR="00FC32D3" w:rsidRDefault="00C543B3" w:rsidP="00FC32D3">
      <w:pPr>
        <w:ind w:left="720" w:hanging="432"/>
        <w:rPr>
          <w:b/>
        </w:rPr>
      </w:pPr>
      <w:sdt>
        <w:sdtPr>
          <w:rPr>
            <w:bCs/>
            <w:color w:val="0000FF"/>
          </w:rPr>
          <w:id w:val="-308635222"/>
          <w14:checkbox>
            <w14:checked w14:val="0"/>
            <w14:checkedState w14:val="2612" w14:font="MS Gothic"/>
            <w14:uncheckedState w14:val="2610" w14:font="MS Gothic"/>
          </w14:checkbox>
        </w:sdtPr>
        <w:sdtEndPr/>
        <w:sdtContent>
          <w:r w:rsidR="00F77B0E">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94689F">
        <w:rPr>
          <w:rFonts w:cstheme="minorHAnsi"/>
          <w:b/>
          <w:highlight w:val="green"/>
        </w:rPr>
        <w:t>→</w:t>
      </w:r>
      <w:r w:rsidR="00FC32D3" w:rsidRPr="0094689F">
        <w:rPr>
          <w:b/>
          <w:highlight w:val="green"/>
        </w:rPr>
        <w:t xml:space="preserve"> </w:t>
      </w:r>
      <w:r w:rsidR="00FC32D3" w:rsidRPr="0094689F">
        <w:rPr>
          <w:b/>
          <w:i/>
          <w:highlight w:val="green"/>
        </w:rPr>
        <w:t xml:space="preserve">complete section </w:t>
      </w:r>
      <w:r w:rsidR="00FC32D3" w:rsidRPr="00E371B1">
        <w:rPr>
          <w:b/>
          <w:i/>
          <w:highlight w:val="green"/>
        </w:rPr>
        <w:t>1a.7</w:t>
      </w:r>
    </w:p>
    <w:p w:rsidR="00736AEC" w:rsidRDefault="00C543B3" w:rsidP="0098657F">
      <w:pPr>
        <w:ind w:left="1008" w:hanging="720"/>
      </w:pPr>
      <w:sdt>
        <w:sdtPr>
          <w:rPr>
            <w:bCs/>
            <w:color w:val="0000FF"/>
          </w:rPr>
          <w:id w:val="1740979027"/>
          <w14:checkbox>
            <w14:checked w14:val="1"/>
            <w14:checkedState w14:val="2612" w14:font="MS Gothic"/>
            <w14:uncheckedState w14:val="2610" w14:font="MS Gothic"/>
          </w14:checkbox>
        </w:sdtPr>
        <w:sdtEndPr/>
        <w:sdtContent>
          <w:r w:rsidR="00F77B0E">
            <w:rPr>
              <w:rFonts w:ascii="MS Gothic" w:eastAsia="MS Gothic" w:hAnsi="MS Gothic" w:hint="eastAsia"/>
              <w:bCs/>
              <w:color w:val="0000FF"/>
            </w:rPr>
            <w:t>☒</w:t>
          </w:r>
        </w:sdtContent>
      </w:sdt>
      <w:r w:rsidR="00736AEC">
        <w:rPr>
          <w:b/>
        </w:rPr>
        <w:t xml:space="preserve"> </w:t>
      </w:r>
      <w:r w:rsidR="00736AEC" w:rsidRPr="00736AEC">
        <w:t>No</w:t>
      </w:r>
      <w:r w:rsidR="00432980">
        <w:t xml:space="preserve"> </w:t>
      </w:r>
      <w:r w:rsidR="007C1887" w:rsidRPr="00701CC3">
        <w:rPr>
          <w:rFonts w:cstheme="minorHAnsi"/>
          <w:b/>
          <w:highlight w:val="green"/>
        </w:rPr>
        <w:t>→</w:t>
      </w:r>
      <w:r w:rsidR="0087564A" w:rsidRPr="00701CC3">
        <w:rPr>
          <w:rFonts w:cstheme="minorHAnsi"/>
          <w:b/>
          <w:highlight w:val="green"/>
        </w:rPr>
        <w:t xml:space="preserve"> </w:t>
      </w:r>
      <w:r w:rsidR="0087564A" w:rsidRPr="00701CC3">
        <w:rPr>
          <w:rStyle w:val="Hyperlink"/>
          <w:b/>
          <w:i/>
          <w:color w:val="auto"/>
          <w:highlight w:val="green"/>
          <w:u w:val="none"/>
        </w:rPr>
        <w:t>report on another systematic review</w:t>
      </w:r>
      <w:r w:rsidR="00701CC3">
        <w:rPr>
          <w:rStyle w:val="Hyperlink"/>
          <w:b/>
          <w:i/>
          <w:color w:val="auto"/>
          <w:highlight w:val="green"/>
          <w:u w:val="none"/>
        </w:rPr>
        <w:t xml:space="preserve"> of the evidence</w:t>
      </w:r>
      <w:r w:rsidR="0087564A" w:rsidRPr="00701CC3">
        <w:rPr>
          <w:rStyle w:val="Hyperlink"/>
          <w:b/>
          <w:i/>
          <w:color w:val="auto"/>
          <w:highlight w:val="green"/>
          <w:u w:val="none"/>
        </w:rPr>
        <w:t xml:space="preserve"> in</w:t>
      </w:r>
      <w:r w:rsidR="0098657F">
        <w:rPr>
          <w:rStyle w:val="Hyperlink"/>
          <w:b/>
          <w:i/>
          <w:color w:val="auto"/>
          <w:highlight w:val="green"/>
          <w:u w:val="none"/>
        </w:rPr>
        <w:t xml:space="preserve"> sections</w:t>
      </w:r>
      <w:r w:rsidR="0087564A" w:rsidRPr="00701CC3">
        <w:rPr>
          <w:rStyle w:val="Hyperlink"/>
          <w:b/>
          <w:i/>
          <w:color w:val="auto"/>
          <w:highlight w:val="green"/>
          <w:u w:val="none"/>
        </w:rPr>
        <w:t xml:space="preserve"> </w:t>
      </w:r>
      <w:r w:rsidR="0087564A" w:rsidRPr="00E371B1">
        <w:rPr>
          <w:b/>
          <w:i/>
          <w:highlight w:val="green"/>
        </w:rPr>
        <w:t>1a.6</w:t>
      </w:r>
      <w:r w:rsidR="0087564A" w:rsidRPr="00701CC3">
        <w:rPr>
          <w:rStyle w:val="Hyperlink"/>
          <w:b/>
          <w:i/>
          <w:color w:val="auto"/>
          <w:highlight w:val="green"/>
          <w:u w:val="none"/>
        </w:rPr>
        <w:t xml:space="preserve"> and </w:t>
      </w:r>
      <w:r w:rsidR="0087564A" w:rsidRPr="00E371B1">
        <w:rPr>
          <w:b/>
          <w:i/>
          <w:highlight w:val="green"/>
        </w:rPr>
        <w:t>1a.7</w:t>
      </w:r>
      <w:r w:rsidR="00701CC3">
        <w:rPr>
          <w:rStyle w:val="Hyperlink"/>
          <w:b/>
          <w:i/>
          <w:color w:val="auto"/>
          <w:highlight w:val="green"/>
          <w:u w:val="none"/>
        </w:rPr>
        <w:t>;</w:t>
      </w:r>
      <w:r w:rsidR="0087564A" w:rsidRPr="00063601">
        <w:rPr>
          <w:rStyle w:val="Hyperlink"/>
          <w:b/>
          <w:i/>
          <w:color w:val="auto"/>
          <w:highlight w:val="green"/>
          <w:u w:val="none"/>
        </w:rPr>
        <w:t xml:space="preserve"> </w:t>
      </w:r>
      <w:r w:rsidR="00B74629" w:rsidRPr="00063601">
        <w:rPr>
          <w:rStyle w:val="Hyperlink"/>
          <w:b/>
          <w:i/>
          <w:color w:val="auto"/>
          <w:highlight w:val="green"/>
          <w:u w:val="none"/>
        </w:rPr>
        <w:t xml:space="preserve">if </w:t>
      </w:r>
      <w:r w:rsidR="00063601">
        <w:rPr>
          <w:rStyle w:val="Hyperlink"/>
          <w:b/>
          <w:i/>
          <w:color w:val="auto"/>
          <w:highlight w:val="green"/>
          <w:u w:val="none"/>
        </w:rPr>
        <w:t xml:space="preserve">another review </w:t>
      </w:r>
      <w:r w:rsidR="00B74629" w:rsidRPr="00063601">
        <w:rPr>
          <w:rStyle w:val="Hyperlink"/>
          <w:b/>
          <w:i/>
          <w:color w:val="auto"/>
          <w:highlight w:val="green"/>
          <w:u w:val="none"/>
        </w:rPr>
        <w:t xml:space="preserve">does not exist, </w:t>
      </w:r>
      <w:r w:rsidR="00923295" w:rsidRPr="00701CC3">
        <w:rPr>
          <w:rFonts w:cstheme="minorHAnsi"/>
          <w:b/>
          <w:i/>
          <w:highlight w:val="green"/>
        </w:rPr>
        <w:t xml:space="preserve">provide what is known </w:t>
      </w:r>
      <w:r w:rsidR="00701CC3">
        <w:rPr>
          <w:rFonts w:cstheme="minorHAnsi"/>
          <w:b/>
          <w:i/>
          <w:highlight w:val="green"/>
        </w:rPr>
        <w:t xml:space="preserve">from the guideline review of evidence </w:t>
      </w:r>
      <w:r w:rsidR="00923295" w:rsidRPr="00701CC3">
        <w:rPr>
          <w:rFonts w:cstheme="minorHAnsi"/>
          <w:b/>
          <w:i/>
          <w:highlight w:val="green"/>
        </w:rPr>
        <w:t xml:space="preserve">in </w:t>
      </w:r>
      <w:r w:rsidR="009477D6" w:rsidRPr="00E371B1">
        <w:rPr>
          <w:b/>
          <w:i/>
          <w:highlight w:val="green"/>
        </w:rPr>
        <w:t>1a.7</w:t>
      </w:r>
    </w:p>
    <w:p w:rsidR="00736AEC" w:rsidRPr="003B1CC5" w:rsidRDefault="00736AEC" w:rsidP="00736AEC">
      <w:pPr>
        <w:rPr>
          <w:b/>
        </w:rPr>
      </w:pPr>
    </w:p>
    <w:p w:rsidR="00DD0212" w:rsidRDefault="00DD0212">
      <w:pPr>
        <w:rPr>
          <w:b/>
          <w:iCs/>
          <w:caps/>
        </w:rPr>
      </w:pPr>
      <w:r>
        <w:rPr>
          <w:b/>
          <w:iCs/>
          <w:caps/>
        </w:rPr>
        <w:br w:type="page"/>
      </w:r>
    </w:p>
    <w:p w:rsidR="00EE5AF6" w:rsidRDefault="00925F11" w:rsidP="00307FA5">
      <w:pPr>
        <w:ind w:left="0" w:firstLine="0"/>
        <w:rPr>
          <w:color w:val="0000FF"/>
        </w:rPr>
      </w:pPr>
      <w:r w:rsidRPr="003B1CC5">
        <w:rPr>
          <w:b/>
          <w:iCs/>
          <w:caps/>
        </w:rPr>
        <w:lastRenderedPageBreak/>
        <w:t>_________________________</w:t>
      </w:r>
    </w:p>
    <w:p w:rsidR="00EE5AF6" w:rsidRDefault="00EE5AF6" w:rsidP="00307FA5">
      <w:pPr>
        <w:ind w:left="0" w:firstLine="0"/>
        <w:rPr>
          <w:color w:val="0000FF"/>
        </w:rPr>
      </w:pPr>
      <w:bookmarkStart w:id="15" w:name="Section1a5"/>
      <w:bookmarkEnd w:id="15"/>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w:t>
      </w:r>
      <w:r w:rsidR="00432980">
        <w:t xml:space="preserve"> </w:t>
      </w:r>
    </w:p>
    <w:p w:rsidR="00307FA5" w:rsidRPr="009D6C0A" w:rsidRDefault="00D069F8" w:rsidP="00307FA5">
      <w:pPr>
        <w:ind w:left="0" w:firstLine="0"/>
        <w:rPr>
          <w:rFonts w:ascii="Calibri" w:eastAsia="Calibri" w:hAnsi="Calibri" w:cs="Times New Roman"/>
          <w:color w:val="0000FF"/>
        </w:rPr>
      </w:pPr>
      <w:r w:rsidRPr="009D6C0A">
        <w:rPr>
          <w:rFonts w:ascii="Calibri" w:eastAsia="Calibri" w:hAnsi="Calibri" w:cs="Times New Roman"/>
          <w:color w:val="0000FF"/>
        </w:rPr>
        <w:t>Not applicable</w:t>
      </w:r>
    </w:p>
    <w:p w:rsidR="00D069F8" w:rsidRPr="002A3C05" w:rsidRDefault="00D069F8" w:rsidP="00307FA5">
      <w:pPr>
        <w:ind w:left="0" w:firstLine="0"/>
        <w:rPr>
          <w:sz w:val="20"/>
        </w:rPr>
      </w:pPr>
    </w:p>
    <w:p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rsidR="00307FA5" w:rsidRPr="00D43C02" w:rsidRDefault="00D069F8" w:rsidP="00307FA5">
      <w:pPr>
        <w:ind w:left="0" w:firstLine="0"/>
        <w:rPr>
          <w:rFonts w:ascii="Calibri" w:eastAsia="Calibri" w:hAnsi="Calibri" w:cs="Times New Roman"/>
          <w:color w:val="0000FF"/>
        </w:rPr>
      </w:pPr>
      <w:r w:rsidRPr="00D43C02">
        <w:rPr>
          <w:rFonts w:ascii="Calibri" w:eastAsia="Calibri" w:hAnsi="Calibri" w:cs="Times New Roman"/>
          <w:color w:val="0000FF"/>
        </w:rPr>
        <w:t>Not applicable</w:t>
      </w:r>
    </w:p>
    <w:p w:rsidR="00D069F8" w:rsidRPr="00DA7FA2" w:rsidRDefault="00D069F8" w:rsidP="00307FA5">
      <w:pPr>
        <w:ind w:left="0" w:firstLine="0"/>
      </w:pPr>
    </w:p>
    <w:p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rsidR="00D7206B" w:rsidRPr="00D43C02" w:rsidRDefault="00D069F8" w:rsidP="002A3C05">
      <w:pPr>
        <w:rPr>
          <w:rFonts w:ascii="Calibri" w:eastAsia="Calibri" w:hAnsi="Calibri" w:cs="Times New Roman"/>
          <w:color w:val="0000FF"/>
        </w:rPr>
      </w:pPr>
      <w:r w:rsidRPr="00D43C02">
        <w:rPr>
          <w:rFonts w:ascii="Calibri" w:eastAsia="Calibri" w:hAnsi="Calibri" w:cs="Times New Roman"/>
          <w:color w:val="0000FF"/>
        </w:rPr>
        <w:t>Not applicable</w:t>
      </w:r>
    </w:p>
    <w:p w:rsidR="00D069F8" w:rsidRDefault="00D069F8" w:rsidP="002A3C05"/>
    <w:p w:rsidR="00307FA5" w:rsidRPr="00095EC9" w:rsidRDefault="008A45F3" w:rsidP="00307FA5">
      <w:pPr>
        <w:ind w:left="0" w:firstLine="0"/>
      </w:pPr>
      <w:r w:rsidRPr="00030F43">
        <w:rPr>
          <w:b/>
          <w:color w:val="0000FF"/>
        </w:rPr>
        <w:t>1a.5.4.</w:t>
      </w:r>
      <w:r>
        <w:rPr>
          <w:b/>
          <w:color w:val="0000FF"/>
        </w:rPr>
        <w:t xml:space="preserve"> </w:t>
      </w:r>
      <w:r w:rsidR="00C54E40">
        <w:rPr>
          <w:b/>
        </w:rPr>
        <w:t>Provide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rsidR="00307FA5" w:rsidRPr="00D43C02" w:rsidRDefault="00D069F8" w:rsidP="00307FA5">
      <w:pPr>
        <w:ind w:left="0" w:firstLine="0"/>
        <w:rPr>
          <w:rFonts w:ascii="Calibri" w:eastAsia="Calibri" w:hAnsi="Calibri" w:cs="Times New Roman"/>
          <w:color w:val="0000FF"/>
        </w:rPr>
      </w:pPr>
      <w:r w:rsidRPr="00D43C02">
        <w:rPr>
          <w:rFonts w:ascii="Calibri" w:eastAsia="Calibri" w:hAnsi="Calibri" w:cs="Times New Roman"/>
          <w:color w:val="0000FF"/>
        </w:rPr>
        <w:t>Not applicable</w:t>
      </w:r>
    </w:p>
    <w:p w:rsidR="00D069F8" w:rsidRDefault="00D069F8" w:rsidP="00307FA5">
      <w:pPr>
        <w:ind w:left="0" w:firstLine="0"/>
        <w:rPr>
          <w:b/>
          <w:color w:val="0000FF"/>
        </w:rPr>
      </w:pPr>
    </w:p>
    <w:p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rsidR="00EE761C" w:rsidRPr="00D43C02" w:rsidRDefault="00EE761C" w:rsidP="00EE761C">
      <w:pPr>
        <w:ind w:left="0" w:firstLine="0"/>
        <w:rPr>
          <w:rFonts w:ascii="Calibri" w:eastAsia="Calibri" w:hAnsi="Calibri" w:cs="Times New Roman"/>
          <w:color w:val="0000FF"/>
        </w:rPr>
      </w:pPr>
      <w:r w:rsidRPr="00D43C02">
        <w:rPr>
          <w:rFonts w:ascii="Calibri" w:eastAsia="Calibri" w:hAnsi="Calibri" w:cs="Times New Roman"/>
          <w:color w:val="0000FF"/>
        </w:rPr>
        <w:t>Not applicable</w:t>
      </w:r>
    </w:p>
    <w:p w:rsidR="00EE5AF6" w:rsidRDefault="00925F11" w:rsidP="002E2177">
      <w:pPr>
        <w:ind w:left="432" w:hanging="432"/>
        <w:rPr>
          <w:b/>
          <w:color w:val="0000FF"/>
        </w:rPr>
      </w:pPr>
      <w:r w:rsidRPr="003B1CC5">
        <w:rPr>
          <w:b/>
          <w:iCs/>
          <w:caps/>
        </w:rPr>
        <w:t>_________________________</w:t>
      </w:r>
    </w:p>
    <w:p w:rsidR="00EE5AF6" w:rsidRPr="00DF278A" w:rsidRDefault="00EE5AF6" w:rsidP="002E2177">
      <w:pPr>
        <w:ind w:left="432" w:hanging="432"/>
      </w:pPr>
      <w:bookmarkStart w:id="16" w:name="Section1a6"/>
      <w:bookmarkEnd w:id="16"/>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rsidR="00EE5AF6" w:rsidRPr="009D6C0A" w:rsidRDefault="00D069F8" w:rsidP="00EE5AF6">
      <w:pPr>
        <w:ind w:left="0" w:firstLine="0"/>
      </w:pPr>
      <w:r w:rsidRPr="009D6C0A">
        <w:rPr>
          <w:rFonts w:ascii="Calibri" w:eastAsia="Calibri" w:hAnsi="Calibri" w:cs="Times New Roman"/>
          <w:color w:val="0000FF"/>
        </w:rPr>
        <w:t>Not applicable</w:t>
      </w:r>
    </w:p>
    <w:p w:rsidR="00EE5AF6" w:rsidRPr="002A3C05" w:rsidRDefault="00EE5AF6" w:rsidP="00EE5AF6">
      <w:pPr>
        <w:ind w:left="0" w:firstLine="0"/>
        <w:rPr>
          <w:sz w:val="20"/>
        </w:rPr>
      </w:pPr>
    </w:p>
    <w:p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rsidR="005D0FDB" w:rsidRPr="009D6C0A" w:rsidRDefault="00D069F8" w:rsidP="00EE5AF6">
      <w:pPr>
        <w:ind w:left="0" w:firstLine="0"/>
        <w:rPr>
          <w:rFonts w:ascii="Calibri" w:eastAsia="Calibri" w:hAnsi="Calibri" w:cs="Times New Roman"/>
          <w:color w:val="0000FF"/>
        </w:rPr>
      </w:pPr>
      <w:r w:rsidRPr="009D6C0A">
        <w:rPr>
          <w:rFonts w:ascii="Calibri" w:eastAsia="Calibri" w:hAnsi="Calibri" w:cs="Times New Roman"/>
          <w:color w:val="0000FF"/>
        </w:rPr>
        <w:t>Not applicable</w:t>
      </w:r>
    </w:p>
    <w:p w:rsidR="00C84623" w:rsidRPr="003B1CC5" w:rsidRDefault="00925F11" w:rsidP="00EE5AF6">
      <w:pPr>
        <w:ind w:left="0" w:firstLine="0"/>
        <w:rPr>
          <w:b/>
          <w:color w:val="0000FF"/>
        </w:rPr>
      </w:pPr>
      <w:r w:rsidRPr="003B1CC5">
        <w:rPr>
          <w:b/>
          <w:iCs/>
          <w:caps/>
        </w:rPr>
        <w:t>______________________</w:t>
      </w:r>
    </w:p>
    <w:p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B15083" w:rsidRDefault="00EE5AF6" w:rsidP="002A3C05">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r>
        <w:rPr>
          <w:b/>
        </w:rPr>
        <w:t>What was the specific structure, treatment, intervention, service, or intermediate outcome addressed in the evidence review?</w:t>
      </w:r>
      <w:r w:rsidRPr="00DA7FA2">
        <w:t xml:space="preserve"> </w:t>
      </w:r>
    </w:p>
    <w:p w:rsidR="00F77B0E" w:rsidRPr="00D43C02" w:rsidRDefault="00F77B0E" w:rsidP="00F77B0E">
      <w:pPr>
        <w:ind w:left="0" w:firstLine="0"/>
        <w:rPr>
          <w:rFonts w:ascii="Calibri" w:eastAsia="Calibri" w:hAnsi="Calibri" w:cs="Times New Roman"/>
          <w:color w:val="0000FF"/>
        </w:rPr>
      </w:pPr>
      <w:r w:rsidRPr="00D43C02">
        <w:rPr>
          <w:rFonts w:ascii="Calibri" w:eastAsia="Calibri" w:hAnsi="Calibri" w:cs="Times New Roman"/>
          <w:color w:val="0000FF"/>
        </w:rPr>
        <w:t>Not applicable</w:t>
      </w:r>
    </w:p>
    <w:p w:rsidR="00D069F8" w:rsidRPr="00DA7FA2" w:rsidRDefault="00D069F8" w:rsidP="00EE5AF6">
      <w:pPr>
        <w:ind w:left="0" w:firstLine="0"/>
      </w:pPr>
    </w:p>
    <w:p w:rsidR="00095EC9" w:rsidRDefault="00EE5AF6" w:rsidP="008139D0">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rsidR="00D069F8" w:rsidRPr="00D43C02" w:rsidRDefault="00D069F8" w:rsidP="008139D0">
      <w:pPr>
        <w:ind w:left="0" w:firstLine="0"/>
        <w:rPr>
          <w:rFonts w:ascii="Calibri" w:eastAsia="Calibri" w:hAnsi="Calibri" w:cs="Times New Roman"/>
          <w:color w:val="0000FF"/>
        </w:rPr>
      </w:pPr>
      <w:r w:rsidRPr="00D43C02">
        <w:rPr>
          <w:rFonts w:ascii="Calibri" w:eastAsia="Calibri" w:hAnsi="Calibri" w:cs="Times New Roman"/>
          <w:color w:val="0000FF"/>
        </w:rPr>
        <w:t>Not applicable</w:t>
      </w:r>
    </w:p>
    <w:p w:rsidR="00D069F8" w:rsidRDefault="00D069F8" w:rsidP="008139D0">
      <w:pPr>
        <w:ind w:left="0" w:firstLine="0"/>
        <w:rPr>
          <w:b/>
          <w:noProof/>
          <w:color w:val="0000FF"/>
        </w:rPr>
      </w:pPr>
    </w:p>
    <w:p w:rsidR="00EA79C9" w:rsidRPr="00352B52" w:rsidRDefault="00095EC9" w:rsidP="008139D0">
      <w:pPr>
        <w:ind w:left="0" w:firstLine="0"/>
        <w:rPr>
          <w:color w:val="0000FF"/>
        </w:rPr>
      </w:pPr>
      <w:r w:rsidRPr="00CB06C9">
        <w:rPr>
          <w:b/>
          <w:noProof/>
          <w:color w:val="0000FF"/>
        </w:rPr>
        <w:t>1a.7.</w:t>
      </w:r>
      <w:r>
        <w:rPr>
          <w:b/>
          <w:noProof/>
          <w:color w:val="0000FF"/>
        </w:rPr>
        <w:t>3</w:t>
      </w:r>
      <w:r w:rsidRPr="00CB06C9">
        <w:rPr>
          <w:b/>
          <w:noProof/>
          <w:color w:val="0000FF"/>
        </w:rPr>
        <w:t>.</w:t>
      </w:r>
      <w:r>
        <w:rPr>
          <w:b/>
          <w:noProof/>
          <w:color w:val="0000FF"/>
        </w:rPr>
        <w:t xml:space="preserve"> </w:t>
      </w:r>
      <w:r w:rsidR="00EA79C9">
        <w:rPr>
          <w:b/>
        </w:rPr>
        <w:t xml:space="preserve">Provide all </w:t>
      </w:r>
      <w:r w:rsidR="00205857">
        <w:rPr>
          <w:b/>
        </w:rPr>
        <w:t xml:space="preserve">other </w:t>
      </w:r>
      <w:r w:rsidR="00EA79C9">
        <w:rPr>
          <w:b/>
        </w:rPr>
        <w:t xml:space="preserve">grades and associated definitions for strength of the evidence in the </w:t>
      </w:r>
      <w:r w:rsidR="00C54E40">
        <w:rPr>
          <w:b/>
        </w:rPr>
        <w:t>grading system.</w:t>
      </w:r>
      <w:r w:rsidR="00432980">
        <w:rPr>
          <w:b/>
        </w:rPr>
        <w:t xml:space="preserve"> </w:t>
      </w:r>
    </w:p>
    <w:p w:rsidR="00A12762" w:rsidRPr="009D6C0A" w:rsidRDefault="00D069F8" w:rsidP="002E2177">
      <w:pPr>
        <w:ind w:left="0" w:firstLine="0"/>
        <w:rPr>
          <w:rFonts w:ascii="Calibri" w:eastAsia="Calibri" w:hAnsi="Calibri" w:cs="Times New Roman"/>
          <w:color w:val="0000FF"/>
        </w:rPr>
      </w:pPr>
      <w:r w:rsidRPr="009D6C0A">
        <w:rPr>
          <w:rFonts w:ascii="Calibri" w:eastAsia="Calibri" w:hAnsi="Calibri" w:cs="Times New Roman"/>
          <w:color w:val="0000FF"/>
        </w:rPr>
        <w:t>Not applicable</w:t>
      </w:r>
    </w:p>
    <w:p w:rsidR="00D069F8" w:rsidRPr="009B5BEA" w:rsidRDefault="00D069F8" w:rsidP="002E2177">
      <w:pPr>
        <w:ind w:left="0" w:firstLine="0"/>
        <w:rPr>
          <w:noProof/>
        </w:rPr>
      </w:pPr>
    </w:p>
    <w:p w:rsidR="00496AF8" w:rsidRPr="00E51798" w:rsidRDefault="00496AF8" w:rsidP="009D6C0A">
      <w:pPr>
        <w:ind w:left="432" w:hanging="432"/>
      </w:pPr>
      <w:bookmarkStart w:id="17" w:name="Section1a7"/>
      <w:bookmarkEnd w:id="17"/>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w:t>
      </w:r>
      <w:r w:rsidR="00432980">
        <w:rPr>
          <w:b/>
          <w:noProof/>
        </w:rPr>
        <w:t xml:space="preserve"> </w:t>
      </w:r>
      <w:r w:rsidRPr="00C5180E">
        <w:rPr>
          <w:b/>
        </w:rPr>
        <w:t>Date range</w:t>
      </w:r>
      <w:r w:rsidRPr="001B772D">
        <w:t>:</w:t>
      </w:r>
      <w:r w:rsidRPr="00E51798">
        <w:t xml:space="preserve"> </w:t>
      </w:r>
    </w:p>
    <w:p w:rsidR="00D524BA" w:rsidRPr="00A91C0B" w:rsidRDefault="00D524BA" w:rsidP="00D524BA">
      <w:pPr>
        <w:ind w:left="0" w:firstLine="0"/>
        <w:rPr>
          <w:noProof/>
        </w:rPr>
      </w:pPr>
      <w:r w:rsidRPr="00391F09">
        <w:rPr>
          <w:rFonts w:ascii="Calibri" w:eastAsia="Calibri" w:hAnsi="Calibri" w:cs="Times New Roman"/>
          <w:color w:val="0000FF"/>
        </w:rPr>
        <w:t xml:space="preserve">Not </w:t>
      </w:r>
      <w:r>
        <w:rPr>
          <w:rFonts w:ascii="Calibri" w:eastAsia="Calibri" w:hAnsi="Calibri" w:cs="Times New Roman"/>
          <w:color w:val="0000FF"/>
        </w:rPr>
        <w:t>a</w:t>
      </w:r>
      <w:r w:rsidRPr="00391F09">
        <w:rPr>
          <w:rFonts w:ascii="Calibri" w:eastAsia="Calibri" w:hAnsi="Calibri" w:cs="Times New Roman"/>
          <w:color w:val="0000FF"/>
        </w:rPr>
        <w:t>pplicable</w:t>
      </w:r>
    </w:p>
    <w:p w:rsidR="00D524BA" w:rsidRDefault="00D524BA" w:rsidP="00D43C02">
      <w:pPr>
        <w:ind w:left="0" w:firstLine="0"/>
        <w:rPr>
          <w:b/>
          <w:noProof/>
        </w:rPr>
      </w:pPr>
    </w:p>
    <w:p w:rsidR="003950DC" w:rsidRDefault="003950DC">
      <w:pPr>
        <w:rPr>
          <w:b/>
          <w:noProof/>
        </w:rPr>
      </w:pPr>
      <w:r>
        <w:rPr>
          <w:b/>
          <w:noProof/>
        </w:rPr>
        <w:br w:type="page"/>
      </w:r>
    </w:p>
    <w:p w:rsidR="00496AF8" w:rsidRPr="003956E0" w:rsidRDefault="00C5180E" w:rsidP="00D43C02">
      <w:pPr>
        <w:ind w:left="0" w:firstLine="0"/>
        <w:rPr>
          <w:b/>
        </w:rPr>
      </w:pPr>
      <w:r w:rsidRPr="003956E0">
        <w:rPr>
          <w:b/>
          <w:noProof/>
        </w:rPr>
        <w:lastRenderedPageBreak/>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A3689A" w:rsidRDefault="001B772D" w:rsidP="00D069F8">
      <w:pPr>
        <w:ind w:left="432" w:hanging="432"/>
        <w:rPr>
          <w:rFonts w:cs="Arial"/>
          <w:color w:val="0070C0"/>
        </w:rPr>
      </w:pPr>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F77B0E" w:rsidRPr="00F77B0E">
        <w:rPr>
          <w:rFonts w:cs="Arial"/>
          <w:color w:val="0070C0"/>
        </w:rPr>
        <w:t xml:space="preserve"> </w:t>
      </w:r>
    </w:p>
    <w:p w:rsidR="00A3689A" w:rsidRDefault="00D43C02" w:rsidP="00D069F8">
      <w:pPr>
        <w:ind w:left="432" w:hanging="432"/>
        <w:rPr>
          <w:rFonts w:ascii="Calibri" w:eastAsia="Calibri" w:hAnsi="Calibri" w:cs="Times New Roman"/>
          <w:color w:val="0000FF"/>
        </w:rPr>
      </w:pPr>
      <w:r w:rsidRPr="00365EDB">
        <w:rPr>
          <w:rFonts w:ascii="Calibri" w:eastAsia="Calibri" w:hAnsi="Calibri" w:cs="Times New Roman"/>
          <w:color w:val="0000FF"/>
        </w:rPr>
        <w:t>Not applicable</w:t>
      </w:r>
    </w:p>
    <w:p w:rsidR="00A3689A" w:rsidRDefault="00A3689A" w:rsidP="00D069F8">
      <w:pPr>
        <w:ind w:left="432" w:hanging="432"/>
        <w:rPr>
          <w:b/>
          <w:color w:val="0000FF"/>
        </w:rPr>
      </w:pPr>
    </w:p>
    <w:p w:rsidR="00975497" w:rsidRPr="00D069F8" w:rsidRDefault="001B772D" w:rsidP="00D069F8">
      <w:pPr>
        <w:ind w:left="432" w:hanging="432"/>
        <w:rPr>
          <w:noProof/>
        </w:rPr>
      </w:pPr>
      <w:r w:rsidRPr="00D069F8">
        <w:rPr>
          <w:b/>
          <w:color w:val="0000FF"/>
        </w:rPr>
        <w:t>1</w:t>
      </w:r>
      <w:r w:rsidR="00837121" w:rsidRPr="00D069F8">
        <w:rPr>
          <w:b/>
          <w:color w:val="0000FF"/>
        </w:rPr>
        <w:t>a</w:t>
      </w:r>
      <w:r w:rsidRPr="00D069F8">
        <w:rPr>
          <w:b/>
          <w:color w:val="0000FF"/>
        </w:rPr>
        <w:t>.</w:t>
      </w:r>
      <w:r w:rsidR="00EE5AF6" w:rsidRPr="00D069F8">
        <w:rPr>
          <w:b/>
          <w:color w:val="0000FF"/>
        </w:rPr>
        <w:t>7.</w:t>
      </w:r>
      <w:r w:rsidR="00095EC9" w:rsidRPr="00D069F8">
        <w:rPr>
          <w:b/>
          <w:color w:val="0000FF"/>
        </w:rPr>
        <w:t>6</w:t>
      </w:r>
      <w:r w:rsidRPr="00D069F8">
        <w:rPr>
          <w:b/>
          <w:color w:val="0000FF"/>
        </w:rPr>
        <w:t>.</w:t>
      </w:r>
      <w:r w:rsidRPr="001B772D">
        <w:t xml:space="preserve"> </w:t>
      </w:r>
      <w:r w:rsidR="00496AF8" w:rsidRPr="00D069F8">
        <w:rPr>
          <w:b/>
        </w:rPr>
        <w:t xml:space="preserve">What is the overall quality of evidence </w:t>
      </w:r>
      <w:r w:rsidR="00496AF8" w:rsidRPr="00D069F8">
        <w:rPr>
          <w:b/>
          <w:u w:val="single"/>
        </w:rPr>
        <w:t>across studies</w:t>
      </w:r>
      <w:r w:rsidR="00496AF8" w:rsidRPr="00D069F8">
        <w:rPr>
          <w:b/>
        </w:rPr>
        <w:t xml:space="preserve"> in the body of evidence</w:t>
      </w:r>
      <w:r w:rsidR="00496AF8" w:rsidRPr="001B772D">
        <w:t>? (</w:t>
      </w:r>
      <w:r w:rsidR="006709EB" w:rsidRPr="00D069F8">
        <w:rPr>
          <w:i/>
        </w:rPr>
        <w:t xml:space="preserve">discuss the </w:t>
      </w:r>
      <w:r w:rsidR="00496AF8" w:rsidRPr="00D069F8">
        <w:rPr>
          <w:i/>
        </w:rPr>
        <w:t xml:space="preserve">certainty or confidence in the estimates of effect </w:t>
      </w:r>
      <w:r w:rsidR="0039609A" w:rsidRPr="00D069F8">
        <w:rPr>
          <w:i/>
        </w:rPr>
        <w:t xml:space="preserve">particularly in relation </w:t>
      </w:r>
      <w:r w:rsidR="00496AF8" w:rsidRPr="00D069F8">
        <w:rPr>
          <w:i/>
        </w:rPr>
        <w:t>to study factor</w:t>
      </w:r>
      <w:r w:rsidR="000160E6" w:rsidRPr="00D069F8">
        <w:rPr>
          <w:i/>
        </w:rPr>
        <w:t xml:space="preserve">s such as design flaws, </w:t>
      </w:r>
      <w:r w:rsidR="00E57BE2" w:rsidRPr="00D069F8">
        <w:rPr>
          <w:i/>
        </w:rPr>
        <w:t xml:space="preserve">imprecision due to </w:t>
      </w:r>
      <w:r w:rsidR="000160E6" w:rsidRPr="00D069F8">
        <w:rPr>
          <w:i/>
        </w:rPr>
        <w:t xml:space="preserve">small numbers, indirectness </w:t>
      </w:r>
      <w:r w:rsidR="00E57BE2" w:rsidRPr="00D069F8">
        <w:rPr>
          <w:i/>
        </w:rPr>
        <w:t xml:space="preserve">of studies </w:t>
      </w:r>
      <w:r w:rsidR="000160E6" w:rsidRPr="00D069F8">
        <w:rPr>
          <w:i/>
        </w:rPr>
        <w:t>to the measure focus or target population</w:t>
      </w:r>
      <w:r w:rsidR="00496AF8" w:rsidRPr="00D069F8">
        <w:rPr>
          <w:iCs/>
        </w:rPr>
        <w:t>)</w:t>
      </w:r>
      <w:r w:rsidR="00432980">
        <w:rPr>
          <w:iCs/>
        </w:rPr>
        <w:t xml:space="preserve"> </w:t>
      </w:r>
    </w:p>
    <w:p w:rsidR="00496AF8" w:rsidRPr="00D43C02" w:rsidRDefault="00D069F8" w:rsidP="002A3C05">
      <w:pPr>
        <w:ind w:left="432" w:hanging="432"/>
        <w:rPr>
          <w:iCs/>
        </w:rPr>
      </w:pPr>
      <w:r w:rsidRPr="00D43C02">
        <w:rPr>
          <w:rFonts w:ascii="Calibri" w:eastAsia="Calibri" w:hAnsi="Calibri" w:cs="Times New Roman"/>
          <w:color w:val="0000FF"/>
        </w:rPr>
        <w:t>Not applicable</w:t>
      </w:r>
    </w:p>
    <w:p w:rsidR="00496AF8" w:rsidRDefault="00496AF8" w:rsidP="002E2177">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975497" w:rsidRDefault="001B772D" w:rsidP="0097549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r w:rsidR="00496AF8" w:rsidRPr="00C5180E">
        <w:rPr>
          <w:b/>
        </w:rPr>
        <w:t xml:space="preserve">What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432980">
        <w:t xml:space="preserve"> </w:t>
      </w:r>
    </w:p>
    <w:p w:rsidR="00496AF8" w:rsidRPr="00D43C02" w:rsidRDefault="00D069F8" w:rsidP="002E2177">
      <w:pPr>
        <w:ind w:left="0" w:firstLine="0"/>
      </w:pPr>
      <w:r w:rsidRPr="00D43C02">
        <w:rPr>
          <w:rFonts w:ascii="Calibri" w:eastAsia="Calibri" w:hAnsi="Calibri" w:cs="Times New Roman"/>
          <w:color w:val="0000FF"/>
        </w:rPr>
        <w:t>Not applicable</w:t>
      </w:r>
    </w:p>
    <w:p w:rsidR="009B5BEA" w:rsidRPr="004F0883" w:rsidRDefault="009B5BEA" w:rsidP="002E2177">
      <w:pPr>
        <w:ind w:left="0" w:firstLine="0"/>
      </w:pPr>
    </w:p>
    <w:p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r w:rsidR="00496AF8" w:rsidRPr="00C5180E">
        <w:rPr>
          <w:b/>
        </w:rPr>
        <w:t>What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rsidR="00496AF8" w:rsidRPr="00D43C02" w:rsidRDefault="00D069F8" w:rsidP="002E2177">
      <w:pPr>
        <w:ind w:left="0" w:firstLine="0"/>
        <w:rPr>
          <w:rFonts w:ascii="Calibri" w:eastAsia="Calibri" w:hAnsi="Calibri" w:cs="Times New Roman"/>
          <w:color w:val="0000FF"/>
        </w:rPr>
      </w:pPr>
      <w:r w:rsidRPr="00D43C02">
        <w:rPr>
          <w:rFonts w:ascii="Calibri" w:eastAsia="Calibri" w:hAnsi="Calibri" w:cs="Times New Roman"/>
          <w:color w:val="0000FF"/>
        </w:rPr>
        <w:t>Not applicable</w:t>
      </w:r>
    </w:p>
    <w:p w:rsidR="00D069F8" w:rsidRPr="00A91C0B" w:rsidRDefault="00D069F8"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Default="001B772D" w:rsidP="002E2177">
      <w:pPr>
        <w:ind w:left="432" w:hanging="432"/>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432980">
        <w:rPr>
          <w:noProof/>
        </w:rPr>
        <w:t xml:space="preserve"> </w:t>
      </w:r>
    </w:p>
    <w:p w:rsidR="0094689F" w:rsidRPr="00D43C02" w:rsidRDefault="00D069F8" w:rsidP="002E2177">
      <w:pPr>
        <w:ind w:left="0" w:firstLine="0"/>
        <w:rPr>
          <w:b/>
          <w:color w:val="0070C0"/>
        </w:rPr>
      </w:pPr>
      <w:r w:rsidRPr="00D43C02">
        <w:rPr>
          <w:rFonts w:ascii="Calibri" w:eastAsia="Calibri" w:hAnsi="Calibri" w:cs="Times New Roman"/>
          <w:color w:val="0000FF"/>
        </w:rPr>
        <w:t>Not applicable</w:t>
      </w:r>
    </w:p>
    <w:p w:rsidR="0094689F" w:rsidRPr="003B1CC5" w:rsidRDefault="00925F11" w:rsidP="002E2177">
      <w:pPr>
        <w:ind w:left="0" w:firstLine="0"/>
        <w:rPr>
          <w:b/>
          <w:color w:val="0070C0"/>
        </w:rPr>
      </w:pPr>
      <w:bookmarkStart w:id="18" w:name="Section1a8"/>
      <w:bookmarkEnd w:id="18"/>
      <w:r w:rsidRPr="003B1CC5">
        <w:rPr>
          <w:b/>
          <w:iCs/>
          <w:caps/>
        </w:rPr>
        <w:t>_________________________</w:t>
      </w:r>
    </w:p>
    <w:p w:rsidR="00837121" w:rsidRPr="00837121" w:rsidRDefault="00837121" w:rsidP="002E2177">
      <w:pPr>
        <w:ind w:left="0" w:firstLine="0"/>
        <w:rPr>
          <w:b/>
        </w:rPr>
      </w:pPr>
      <w:r w:rsidRPr="0015535B">
        <w:rPr>
          <w:b/>
          <w:color w:val="0000FF"/>
        </w:rPr>
        <w:t xml:space="preserve">1a.8 </w:t>
      </w:r>
      <w:r w:rsidRPr="00837121">
        <w:rPr>
          <w:b/>
        </w:rPr>
        <w:t>OTHER SOURCE OF EVIDENCE</w:t>
      </w:r>
    </w:p>
    <w:p w:rsidR="00837121"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rsidR="003B54B7" w:rsidRPr="00CB06C9" w:rsidRDefault="003B54B7" w:rsidP="002E2177">
      <w:pPr>
        <w:ind w:left="0" w:firstLine="0"/>
        <w:rPr>
          <w:i/>
        </w:rPr>
      </w:pPr>
    </w:p>
    <w:p w:rsidR="00437A7D" w:rsidRDefault="00654956" w:rsidP="00654956">
      <w:pPr>
        <w:ind w:left="0" w:firstLine="0"/>
        <w:rPr>
          <w:rFonts w:ascii="Calibri" w:eastAsia="Calibri" w:hAnsi="Calibri" w:cs="Times New Roman"/>
          <w:color w:val="0000FF"/>
        </w:rPr>
      </w:pPr>
      <w:r>
        <w:rPr>
          <w:rFonts w:ascii="Calibri" w:eastAsia="Calibri" w:hAnsi="Calibri" w:cs="Times New Roman"/>
          <w:color w:val="0000FF"/>
        </w:rPr>
        <w:t>Functional l</w:t>
      </w:r>
      <w:r w:rsidR="00D069F8" w:rsidRPr="00D069F8">
        <w:rPr>
          <w:rFonts w:ascii="Calibri" w:eastAsia="Calibri" w:hAnsi="Calibri" w:cs="Times New Roman"/>
          <w:color w:val="0000FF"/>
        </w:rPr>
        <w:t xml:space="preserve">imitations </w:t>
      </w:r>
      <w:r>
        <w:rPr>
          <w:rFonts w:ascii="Calibri" w:eastAsia="Calibri" w:hAnsi="Calibri" w:cs="Times New Roman"/>
          <w:color w:val="0000FF"/>
        </w:rPr>
        <w:t xml:space="preserve">following </w:t>
      </w:r>
      <w:r w:rsidR="00D069F8" w:rsidRPr="00D069F8">
        <w:rPr>
          <w:rFonts w:ascii="Calibri" w:eastAsia="Calibri" w:hAnsi="Calibri" w:cs="Times New Roman"/>
          <w:color w:val="0000FF"/>
        </w:rPr>
        <w:t>critical illness are becoming increa</w:t>
      </w:r>
      <w:r w:rsidR="00D069F8">
        <w:rPr>
          <w:rFonts w:ascii="Calibri" w:eastAsia="Calibri" w:hAnsi="Calibri" w:cs="Times New Roman"/>
          <w:color w:val="0000FF"/>
        </w:rPr>
        <w:t xml:space="preserve">singly prevalent as a result of </w:t>
      </w:r>
      <w:r w:rsidR="00D069F8" w:rsidRPr="00D069F8">
        <w:rPr>
          <w:rFonts w:ascii="Calibri" w:eastAsia="Calibri" w:hAnsi="Calibri" w:cs="Times New Roman"/>
          <w:color w:val="0000FF"/>
        </w:rPr>
        <w:t xml:space="preserve">improving critical care medicine and survival rates (Adler </w:t>
      </w:r>
      <w:r w:rsidR="005F3143">
        <w:rPr>
          <w:rFonts w:ascii="Calibri" w:eastAsia="Calibri" w:hAnsi="Calibri" w:cs="Times New Roman"/>
          <w:color w:val="0000FF"/>
        </w:rPr>
        <w:t>&amp;</w:t>
      </w:r>
      <w:r w:rsidR="005F3143" w:rsidRPr="00D069F8">
        <w:rPr>
          <w:rFonts w:ascii="Calibri" w:eastAsia="Calibri" w:hAnsi="Calibri" w:cs="Times New Roman"/>
          <w:color w:val="0000FF"/>
        </w:rPr>
        <w:t xml:space="preserve"> </w:t>
      </w:r>
      <w:r w:rsidR="00D069F8" w:rsidRPr="00D069F8">
        <w:rPr>
          <w:rFonts w:ascii="Calibri" w:eastAsia="Calibri" w:hAnsi="Calibri" w:cs="Times New Roman"/>
          <w:color w:val="0000FF"/>
        </w:rPr>
        <w:t>Malone, 2012)</w:t>
      </w:r>
      <w:r w:rsidR="00D069F8" w:rsidRPr="00D069F8">
        <w:rPr>
          <w:rFonts w:ascii="Calibri" w:eastAsia="Calibri" w:hAnsi="Calibri" w:cs="Times New Roman"/>
          <w:sz w:val="24"/>
        </w:rPr>
        <w:t>.</w:t>
      </w:r>
      <w:r w:rsidR="00016D71">
        <w:rPr>
          <w:rFonts w:ascii="Calibri" w:eastAsia="Calibri" w:hAnsi="Calibri" w:cs="Times New Roman"/>
          <w:sz w:val="24"/>
        </w:rPr>
        <w:t xml:space="preserve"> </w:t>
      </w:r>
      <w:r w:rsidR="00D069F8" w:rsidRPr="00D069F8">
        <w:rPr>
          <w:rFonts w:ascii="Calibri" w:eastAsia="Calibri" w:hAnsi="Calibri" w:cs="Times New Roman"/>
          <w:color w:val="0000FF"/>
        </w:rPr>
        <w:t xml:space="preserve">Short- and long-term adverse consequences among critically and chronically ill patients </w:t>
      </w:r>
      <w:r w:rsidR="00D069F8" w:rsidRPr="00DD0212">
        <w:rPr>
          <w:rFonts w:ascii="Calibri" w:eastAsia="Calibri" w:hAnsi="Calibri" w:cs="Times New Roman"/>
          <w:color w:val="0000FF"/>
        </w:rPr>
        <w:t>in LTCH and</w:t>
      </w:r>
      <w:r w:rsidR="00D069F8" w:rsidRPr="00D069F8">
        <w:rPr>
          <w:rFonts w:ascii="Calibri" w:eastAsia="Calibri" w:hAnsi="Calibri" w:cs="Times New Roman"/>
          <w:color w:val="0000FF"/>
        </w:rPr>
        <w:t xml:space="preserve"> </w:t>
      </w:r>
      <w:r w:rsidR="00F34F17">
        <w:rPr>
          <w:rFonts w:ascii="Calibri" w:eastAsia="Calibri" w:hAnsi="Calibri" w:cs="Times New Roman"/>
          <w:color w:val="0000FF"/>
        </w:rPr>
        <w:t>i</w:t>
      </w:r>
      <w:r w:rsidR="00D069F8" w:rsidRPr="00D069F8">
        <w:rPr>
          <w:rFonts w:ascii="Calibri" w:eastAsia="Calibri" w:hAnsi="Calibri" w:cs="Times New Roman"/>
          <w:color w:val="0000FF"/>
        </w:rPr>
        <w:t xml:space="preserve">ntensive </w:t>
      </w:r>
      <w:r w:rsidR="00F34F17">
        <w:rPr>
          <w:rFonts w:ascii="Calibri" w:eastAsia="Calibri" w:hAnsi="Calibri" w:cs="Times New Roman"/>
          <w:color w:val="0000FF"/>
        </w:rPr>
        <w:t>c</w:t>
      </w:r>
      <w:r w:rsidR="00D069F8" w:rsidRPr="00D069F8">
        <w:rPr>
          <w:rFonts w:ascii="Calibri" w:eastAsia="Calibri" w:hAnsi="Calibri" w:cs="Times New Roman"/>
          <w:color w:val="0000FF"/>
        </w:rPr>
        <w:t xml:space="preserve">are </w:t>
      </w:r>
      <w:r w:rsidR="00F34F17">
        <w:rPr>
          <w:rFonts w:ascii="Calibri" w:eastAsia="Calibri" w:hAnsi="Calibri" w:cs="Times New Roman"/>
          <w:color w:val="0000FF"/>
        </w:rPr>
        <w:t>u</w:t>
      </w:r>
      <w:r w:rsidR="00D069F8" w:rsidRPr="00D069F8">
        <w:rPr>
          <w:rFonts w:ascii="Calibri" w:eastAsia="Calibri" w:hAnsi="Calibri" w:cs="Times New Roman"/>
          <w:color w:val="0000FF"/>
        </w:rPr>
        <w:t>nit</w:t>
      </w:r>
      <w:r w:rsidR="0033616C">
        <w:rPr>
          <w:rFonts w:ascii="Calibri" w:eastAsia="Calibri" w:hAnsi="Calibri" w:cs="Times New Roman"/>
          <w:color w:val="0000FF"/>
        </w:rPr>
        <w:t>s</w:t>
      </w:r>
      <w:r w:rsidR="00D069F8" w:rsidRPr="00D069F8">
        <w:rPr>
          <w:rFonts w:ascii="Calibri" w:eastAsia="Calibri" w:hAnsi="Calibri" w:cs="Times New Roman"/>
          <w:color w:val="0000FF"/>
        </w:rPr>
        <w:t xml:space="preserve">  include severe weakness</w:t>
      </w:r>
      <w:r w:rsidR="00D069F8" w:rsidRPr="00D069F8">
        <w:rPr>
          <w:rFonts w:ascii="Times New Roman" w:eastAsia="Times New Roman" w:hAnsi="Times New Roman" w:cs="Times New Roman"/>
          <w:sz w:val="24"/>
          <w:szCs w:val="20"/>
          <w:vertAlign w:val="superscript"/>
        </w:rPr>
        <w:t xml:space="preserve"> </w:t>
      </w:r>
      <w:r w:rsidR="00D069F8" w:rsidRPr="00D069F8">
        <w:rPr>
          <w:rFonts w:ascii="Calibri" w:eastAsia="Calibri" w:hAnsi="Calibri" w:cs="Times New Roman"/>
          <w:color w:val="0000FF"/>
        </w:rPr>
        <w:t xml:space="preserve">(Adler </w:t>
      </w:r>
      <w:r w:rsidR="005F3143">
        <w:rPr>
          <w:rFonts w:ascii="Calibri" w:eastAsia="Calibri" w:hAnsi="Calibri" w:cs="Times New Roman"/>
          <w:color w:val="0000FF"/>
        </w:rPr>
        <w:t>&amp;</w:t>
      </w:r>
      <w:r w:rsidR="005F3143" w:rsidRPr="00D069F8">
        <w:rPr>
          <w:rFonts w:ascii="Calibri" w:eastAsia="Calibri" w:hAnsi="Calibri" w:cs="Times New Roman"/>
          <w:color w:val="0000FF"/>
        </w:rPr>
        <w:t xml:space="preserve"> </w:t>
      </w:r>
      <w:r w:rsidR="00D069F8" w:rsidRPr="00D069F8">
        <w:rPr>
          <w:rFonts w:ascii="Calibri" w:eastAsia="Calibri" w:hAnsi="Calibri" w:cs="Times New Roman"/>
          <w:color w:val="0000FF"/>
        </w:rPr>
        <w:t xml:space="preserve">Malone, 2012; Centre for Clinical Practice at NICE </w:t>
      </w:r>
      <w:r w:rsidR="00365EDB">
        <w:rPr>
          <w:rFonts w:ascii="Calibri" w:eastAsia="Calibri" w:hAnsi="Calibri" w:cs="Times New Roman"/>
          <w:color w:val="0000FF"/>
        </w:rPr>
        <w:t>[</w:t>
      </w:r>
      <w:r w:rsidR="00D069F8" w:rsidRPr="00D069F8">
        <w:rPr>
          <w:rFonts w:ascii="Calibri" w:eastAsia="Calibri" w:hAnsi="Calibri" w:cs="Times New Roman"/>
          <w:color w:val="0000FF"/>
        </w:rPr>
        <w:t>UK</w:t>
      </w:r>
      <w:r w:rsidR="00365EDB">
        <w:rPr>
          <w:rFonts w:ascii="Calibri" w:eastAsia="Calibri" w:hAnsi="Calibri" w:cs="Times New Roman"/>
          <w:color w:val="0000FF"/>
        </w:rPr>
        <w:t>]</w:t>
      </w:r>
      <w:r w:rsidR="00D069F8" w:rsidRPr="00D069F8">
        <w:rPr>
          <w:rFonts w:ascii="Calibri" w:eastAsia="Calibri" w:hAnsi="Calibri" w:cs="Times New Roman"/>
          <w:color w:val="0000FF"/>
        </w:rPr>
        <w:t>, 2009; Dang, 2013; Skinner, Berney, Warrillow</w:t>
      </w:r>
      <w:r w:rsidR="00365EDB">
        <w:rPr>
          <w:rFonts w:ascii="Calibri" w:eastAsia="Calibri" w:hAnsi="Calibri" w:cs="Times New Roman"/>
          <w:color w:val="0000FF"/>
        </w:rPr>
        <w:t>, &amp;</w:t>
      </w:r>
      <w:r w:rsidR="00D069F8" w:rsidRPr="00D069F8">
        <w:rPr>
          <w:rFonts w:ascii="Calibri" w:eastAsia="Calibri" w:hAnsi="Calibri" w:cs="Times New Roman"/>
          <w:color w:val="0000FF"/>
        </w:rPr>
        <w:t xml:space="preserve"> Denehy, 2009)</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muscle atrophy</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(Zanni et al., 2010)</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connective-tissue shortening (Zanni et al., 2010)</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loss of bone mass</w:t>
      </w:r>
      <w:r w:rsidR="00D069F8" w:rsidRPr="00D069F8">
        <w:rPr>
          <w:rFonts w:ascii="Times New Roman" w:eastAsia="Times New Roman" w:hAnsi="Times New Roman" w:cs="Garamond-Book"/>
          <w:sz w:val="24"/>
          <w:szCs w:val="20"/>
        </w:rPr>
        <w:t xml:space="preserve"> </w:t>
      </w:r>
      <w:r w:rsidR="00D069F8" w:rsidRPr="00D069F8">
        <w:rPr>
          <w:rFonts w:ascii="Calibri" w:eastAsia="Calibri" w:hAnsi="Calibri" w:cs="Times New Roman"/>
          <w:color w:val="0000FF"/>
        </w:rPr>
        <w:t>(Dang, 2013)</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increased risk for blood clots</w:t>
      </w:r>
      <w:r w:rsidR="00D069F8" w:rsidRPr="00D069F8">
        <w:rPr>
          <w:rFonts w:ascii="Times New Roman" w:eastAsia="Times New Roman" w:hAnsi="Times New Roman" w:cs="Garamond-Book"/>
          <w:sz w:val="24"/>
          <w:szCs w:val="20"/>
        </w:rPr>
        <w:t xml:space="preserve"> </w:t>
      </w:r>
      <w:r w:rsidR="00D069F8" w:rsidRPr="00D069F8">
        <w:rPr>
          <w:rFonts w:ascii="Calibri" w:eastAsia="Calibri" w:hAnsi="Calibri" w:cs="Times New Roman"/>
          <w:color w:val="0000FF"/>
        </w:rPr>
        <w:t>(Dang, 2013)</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increased risk for</w:t>
      </w:r>
      <w:r w:rsidR="00432980">
        <w:rPr>
          <w:rFonts w:ascii="Calibri" w:eastAsia="Calibri" w:hAnsi="Calibri" w:cs="Times New Roman"/>
          <w:color w:val="0000FF"/>
        </w:rPr>
        <w:t xml:space="preserve"> </w:t>
      </w:r>
      <w:r w:rsidR="00D069F8" w:rsidRPr="00D069F8">
        <w:rPr>
          <w:rFonts w:ascii="Calibri" w:eastAsia="Calibri" w:hAnsi="Calibri" w:cs="Times New Roman"/>
          <w:color w:val="0000FF"/>
        </w:rPr>
        <w:t>pressure ulcers</w:t>
      </w:r>
      <w:r w:rsidR="00D069F8" w:rsidRPr="00D069F8">
        <w:rPr>
          <w:rFonts w:ascii="Times New Roman" w:eastAsia="Times New Roman" w:hAnsi="Times New Roman" w:cs="Garamond-Book"/>
          <w:sz w:val="24"/>
          <w:szCs w:val="20"/>
        </w:rPr>
        <w:t xml:space="preserve"> </w:t>
      </w:r>
      <w:r w:rsidR="00D069F8" w:rsidRPr="00D069F8">
        <w:rPr>
          <w:rFonts w:ascii="Calibri" w:eastAsia="Calibri" w:hAnsi="Calibri" w:cs="Times New Roman"/>
          <w:color w:val="0000FF"/>
        </w:rPr>
        <w:t>(Dang, 2013)</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deconditioning</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 xml:space="preserve">(Schweickert </w:t>
      </w:r>
      <w:r w:rsidR="00E371B1">
        <w:rPr>
          <w:rFonts w:ascii="Calibri" w:eastAsia="Calibri" w:hAnsi="Calibri" w:cs="Times New Roman"/>
          <w:color w:val="0000FF"/>
        </w:rPr>
        <w:t>&amp;</w:t>
      </w:r>
      <w:r w:rsidR="00E371B1" w:rsidRPr="00D069F8">
        <w:rPr>
          <w:rFonts w:ascii="Calibri" w:eastAsia="Calibri" w:hAnsi="Calibri" w:cs="Times New Roman"/>
          <w:color w:val="0000FF"/>
        </w:rPr>
        <w:t xml:space="preserve"> </w:t>
      </w:r>
      <w:r w:rsidR="00D069F8" w:rsidRPr="00D069F8">
        <w:rPr>
          <w:rFonts w:ascii="Calibri" w:eastAsia="Calibri" w:hAnsi="Calibri" w:cs="Times New Roman"/>
          <w:color w:val="0000FF"/>
        </w:rPr>
        <w:t>Kress, 2011; Zanni et al., 2010)</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deficits in self-care and ambulation</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 xml:space="preserve">(Adler </w:t>
      </w:r>
      <w:r w:rsidR="00E371B1">
        <w:rPr>
          <w:rFonts w:ascii="Calibri" w:eastAsia="Calibri" w:hAnsi="Calibri" w:cs="Times New Roman"/>
          <w:color w:val="0000FF"/>
        </w:rPr>
        <w:t>&amp;</w:t>
      </w:r>
      <w:r w:rsidR="00E371B1" w:rsidRPr="00D069F8">
        <w:rPr>
          <w:rFonts w:ascii="Calibri" w:eastAsia="Calibri" w:hAnsi="Calibri" w:cs="Times New Roman"/>
          <w:color w:val="0000FF"/>
        </w:rPr>
        <w:t xml:space="preserve"> </w:t>
      </w:r>
      <w:r w:rsidR="00D069F8" w:rsidRPr="00D069F8">
        <w:rPr>
          <w:rFonts w:ascii="Calibri" w:eastAsia="Calibri" w:hAnsi="Calibri" w:cs="Times New Roman"/>
          <w:color w:val="0000FF"/>
        </w:rPr>
        <w:t>Malone, 2012)</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functional impairment</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(Skinner et al., 2009)</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fatigue</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 xml:space="preserve">(Centre for Clinical Practice at NICE </w:t>
      </w:r>
      <w:r w:rsidR="00E371B1">
        <w:rPr>
          <w:rFonts w:ascii="Calibri" w:eastAsia="Calibri" w:hAnsi="Calibri" w:cs="Times New Roman"/>
          <w:color w:val="0000FF"/>
        </w:rPr>
        <w:t>[</w:t>
      </w:r>
      <w:r w:rsidR="00D069F8" w:rsidRPr="00D069F8">
        <w:rPr>
          <w:rFonts w:ascii="Calibri" w:eastAsia="Calibri" w:hAnsi="Calibri" w:cs="Times New Roman"/>
          <w:color w:val="0000FF"/>
        </w:rPr>
        <w:t>UK</w:t>
      </w:r>
      <w:r w:rsidR="00E371B1">
        <w:rPr>
          <w:rFonts w:ascii="Calibri" w:eastAsia="Calibri" w:hAnsi="Calibri" w:cs="Times New Roman"/>
          <w:color w:val="0000FF"/>
        </w:rPr>
        <w:t>]</w:t>
      </w:r>
      <w:r w:rsidR="00D069F8" w:rsidRPr="00D069F8">
        <w:rPr>
          <w:rFonts w:ascii="Calibri" w:eastAsia="Calibri" w:hAnsi="Calibri" w:cs="Times New Roman"/>
          <w:color w:val="0000FF"/>
        </w:rPr>
        <w:t>, 2009)</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and cognitive impairment</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including profound and persistent deficits in memory, attention/concentration, and executive function</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 xml:space="preserve">(Brummel et al., 2012; Centre for Clinical Practice at NICE </w:t>
      </w:r>
      <w:r w:rsidR="001B789C">
        <w:rPr>
          <w:rFonts w:ascii="Calibri" w:eastAsia="Calibri" w:hAnsi="Calibri" w:cs="Times New Roman"/>
          <w:color w:val="0000FF"/>
        </w:rPr>
        <w:t>[</w:t>
      </w:r>
      <w:r w:rsidR="00D069F8" w:rsidRPr="00D069F8">
        <w:rPr>
          <w:rFonts w:ascii="Calibri" w:eastAsia="Calibri" w:hAnsi="Calibri" w:cs="Times New Roman"/>
          <w:color w:val="0000FF"/>
        </w:rPr>
        <w:t>UK</w:t>
      </w:r>
      <w:r w:rsidR="001B789C">
        <w:rPr>
          <w:rFonts w:ascii="Calibri" w:eastAsia="Calibri" w:hAnsi="Calibri" w:cs="Times New Roman"/>
          <w:color w:val="0000FF"/>
        </w:rPr>
        <w:t>]</w:t>
      </w:r>
      <w:r w:rsidR="00D069F8" w:rsidRPr="00D069F8">
        <w:rPr>
          <w:rFonts w:ascii="Calibri" w:eastAsia="Calibri" w:hAnsi="Calibri" w:cs="Times New Roman"/>
          <w:color w:val="0000FF"/>
        </w:rPr>
        <w:t>, 2009; Wilcox</w:t>
      </w:r>
      <w:r w:rsidR="008133C7">
        <w:rPr>
          <w:rFonts w:ascii="Calibri" w:eastAsia="Calibri" w:hAnsi="Calibri" w:cs="Times New Roman"/>
          <w:color w:val="0000FF"/>
        </w:rPr>
        <w:t xml:space="preserve">, </w:t>
      </w:r>
      <w:r w:rsidR="008133C7" w:rsidRPr="008133C7">
        <w:rPr>
          <w:rFonts w:ascii="Calibri" w:eastAsia="Calibri" w:hAnsi="Calibri" w:cs="Times New Roman"/>
          <w:color w:val="0000FF"/>
        </w:rPr>
        <w:t>Brummel, Archer, Ely, Jackson,</w:t>
      </w:r>
      <w:r w:rsidR="008133C7">
        <w:rPr>
          <w:rFonts w:ascii="Calibri" w:eastAsia="Calibri" w:hAnsi="Calibri" w:cs="Times New Roman"/>
          <w:color w:val="0000FF"/>
        </w:rPr>
        <w:t xml:space="preserve"> </w:t>
      </w:r>
      <w:r w:rsidR="008133C7" w:rsidRPr="008133C7">
        <w:rPr>
          <w:rFonts w:ascii="Calibri" w:eastAsia="Calibri" w:hAnsi="Calibri" w:cs="Times New Roman"/>
          <w:color w:val="0000FF"/>
        </w:rPr>
        <w:t>&amp; Hopkins</w:t>
      </w:r>
      <w:r w:rsidR="00D069F8" w:rsidRPr="00D069F8">
        <w:rPr>
          <w:rFonts w:ascii="Calibri" w:eastAsia="Calibri" w:hAnsi="Calibri" w:cs="Times New Roman"/>
          <w:color w:val="0000FF"/>
        </w:rPr>
        <w:t>, 2013)</w:t>
      </w:r>
      <w:r w:rsidR="00432980">
        <w:rPr>
          <w:rFonts w:ascii="Calibri" w:eastAsia="Calibri" w:hAnsi="Calibri" w:cs="Times New Roman"/>
          <w:color w:val="0000FF"/>
        </w:rPr>
        <w:t xml:space="preserve"> </w:t>
      </w:r>
      <w:r w:rsidR="00D069F8" w:rsidRPr="00D069F8">
        <w:rPr>
          <w:rFonts w:ascii="Calibri" w:eastAsia="Calibri" w:hAnsi="Calibri" w:cs="Times New Roman"/>
          <w:color w:val="0000FF"/>
        </w:rPr>
        <w:t xml:space="preserve">and the inability to return to work </w:t>
      </w:r>
      <w:r>
        <w:rPr>
          <w:rFonts w:ascii="Calibri" w:eastAsia="Calibri" w:hAnsi="Calibri" w:cs="Times New Roman"/>
          <w:color w:val="0000FF"/>
        </w:rPr>
        <w:t>one</w:t>
      </w:r>
      <w:r w:rsidR="00D069F8" w:rsidRPr="00D069F8">
        <w:rPr>
          <w:rFonts w:ascii="Calibri" w:eastAsia="Calibri" w:hAnsi="Calibri" w:cs="Times New Roman"/>
          <w:color w:val="0000FF"/>
        </w:rPr>
        <w:t xml:space="preserve"> year after hospital discharge</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(Dang, 2013; Engel, Needham, Morris</w:t>
      </w:r>
      <w:r w:rsidR="001B789C">
        <w:rPr>
          <w:rFonts w:ascii="Calibri" w:eastAsia="Calibri" w:hAnsi="Calibri" w:cs="Times New Roman"/>
          <w:color w:val="0000FF"/>
        </w:rPr>
        <w:t>,</w:t>
      </w:r>
      <w:r w:rsidR="00D069F8" w:rsidRPr="00D069F8">
        <w:rPr>
          <w:rFonts w:ascii="Calibri" w:eastAsia="Calibri" w:hAnsi="Calibri" w:cs="Times New Roman"/>
          <w:color w:val="0000FF"/>
        </w:rPr>
        <w:t xml:space="preserve"> </w:t>
      </w:r>
      <w:r w:rsidR="00E371B1">
        <w:rPr>
          <w:rFonts w:ascii="Calibri" w:eastAsia="Calibri" w:hAnsi="Calibri" w:cs="Times New Roman"/>
          <w:color w:val="0000FF"/>
        </w:rPr>
        <w:t>&amp;</w:t>
      </w:r>
      <w:r w:rsidR="00E371B1" w:rsidRPr="00D069F8">
        <w:rPr>
          <w:rFonts w:ascii="Calibri" w:eastAsia="Calibri" w:hAnsi="Calibri" w:cs="Times New Roman"/>
          <w:color w:val="0000FF"/>
        </w:rPr>
        <w:t xml:space="preserve"> </w:t>
      </w:r>
      <w:r w:rsidR="00D069F8" w:rsidRPr="00D069F8">
        <w:rPr>
          <w:rFonts w:ascii="Calibri" w:eastAsia="Calibri" w:hAnsi="Calibri" w:cs="Times New Roman"/>
          <w:color w:val="0000FF"/>
        </w:rPr>
        <w:t>Gropper, 2013)</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Cognitive impairment in survivors of critical illness has been associated with anxiety and depression, inability to return to work, and the inability of older persons to return home</w:t>
      </w:r>
      <w:r w:rsidR="00D069F8" w:rsidRPr="00D069F8">
        <w:rPr>
          <w:rFonts w:ascii="Times New Roman" w:eastAsia="Times New Roman" w:hAnsi="Times New Roman" w:cs="Times New Roman"/>
          <w:sz w:val="24"/>
          <w:szCs w:val="20"/>
        </w:rPr>
        <w:t xml:space="preserve"> </w:t>
      </w:r>
      <w:r w:rsidR="00D069F8" w:rsidRPr="00D069F8">
        <w:rPr>
          <w:rFonts w:ascii="Calibri" w:eastAsia="Calibri" w:hAnsi="Calibri" w:cs="Times New Roman"/>
          <w:color w:val="0000FF"/>
        </w:rPr>
        <w:t>(Wilcox et al., 2013)</w:t>
      </w:r>
      <w:r w:rsidR="00E371B1">
        <w:rPr>
          <w:rFonts w:ascii="Calibri" w:eastAsia="Calibri" w:hAnsi="Calibri" w:cs="Times New Roman"/>
          <w:color w:val="0000FF"/>
        </w:rPr>
        <w:t>.</w:t>
      </w:r>
      <w:r w:rsidR="00D069F8" w:rsidRPr="00D069F8">
        <w:rPr>
          <w:rFonts w:ascii="Calibri" w:eastAsia="Calibri" w:hAnsi="Calibri" w:cs="Times New Roman"/>
          <w:color w:val="0000FF"/>
        </w:rPr>
        <w:t xml:space="preserve"> </w:t>
      </w:r>
    </w:p>
    <w:p w:rsidR="00437A7D" w:rsidRDefault="00437A7D" w:rsidP="00654956">
      <w:pPr>
        <w:ind w:left="0" w:firstLine="0"/>
        <w:rPr>
          <w:rFonts w:ascii="Calibri" w:eastAsia="Calibri" w:hAnsi="Calibri" w:cs="Times New Roman"/>
          <w:color w:val="0000FF"/>
        </w:rPr>
      </w:pPr>
    </w:p>
    <w:p w:rsidR="00D069F8" w:rsidRPr="00D069F8" w:rsidRDefault="00D069F8" w:rsidP="00654956">
      <w:pPr>
        <w:ind w:left="0" w:firstLine="0"/>
        <w:rPr>
          <w:rFonts w:ascii="Calibri" w:eastAsia="Calibri" w:hAnsi="Calibri" w:cs="Times New Roman"/>
          <w:color w:val="0000FF"/>
        </w:rPr>
      </w:pPr>
      <w:r w:rsidRPr="00D069F8">
        <w:rPr>
          <w:rFonts w:ascii="Calibri" w:eastAsia="Calibri" w:hAnsi="Calibri" w:cs="Times New Roman"/>
          <w:color w:val="0000FF"/>
        </w:rPr>
        <w:t xml:space="preserve">In recent years, to mitigate these adverse consequences, traditional practices of bed rest and immobility have been challenged and early mobility and rehabilitation have been increasingly recognized as </w:t>
      </w:r>
      <w:r w:rsidRPr="00D069F8">
        <w:rPr>
          <w:rFonts w:ascii="Calibri" w:eastAsia="Calibri" w:hAnsi="Calibri" w:cs="Times New Roman"/>
          <w:color w:val="0000FF"/>
        </w:rPr>
        <w:lastRenderedPageBreak/>
        <w:t>important to improve patients’ long-term functional outcomes</w:t>
      </w:r>
      <w:r w:rsidRPr="00D069F8">
        <w:rPr>
          <w:rFonts w:ascii="Times New Roman" w:eastAsia="Times New Roman" w:hAnsi="Times New Roman" w:cs="Times New Roman"/>
          <w:sz w:val="24"/>
          <w:szCs w:val="20"/>
        </w:rPr>
        <w:t xml:space="preserve"> </w:t>
      </w:r>
      <w:r w:rsidRPr="00D069F8">
        <w:rPr>
          <w:rFonts w:ascii="Calibri" w:eastAsia="Calibri" w:hAnsi="Calibri" w:cs="Times New Roman"/>
          <w:color w:val="0000FF"/>
        </w:rPr>
        <w:t>(Dang, 2013; Drolet et al., 2013; Li, Peng, Zhu, Zhang</w:t>
      </w:r>
      <w:r w:rsidR="00E371B1">
        <w:rPr>
          <w:rFonts w:ascii="Calibri" w:eastAsia="Calibri" w:hAnsi="Calibri" w:cs="Times New Roman"/>
          <w:color w:val="0000FF"/>
        </w:rPr>
        <w:t>, &amp;</w:t>
      </w:r>
      <w:r w:rsidRPr="00D069F8">
        <w:rPr>
          <w:rFonts w:ascii="Calibri" w:eastAsia="Calibri" w:hAnsi="Calibri" w:cs="Times New Roman"/>
          <w:color w:val="0000FF"/>
        </w:rPr>
        <w:t xml:space="preserve"> Xi, 2013</w:t>
      </w:r>
      <w:r w:rsidR="00E371B1">
        <w:rPr>
          <w:rFonts w:ascii="Calibri" w:eastAsia="Calibri" w:hAnsi="Calibri" w:cs="Times New Roman"/>
          <w:color w:val="0000FF"/>
        </w:rPr>
        <w:t>,</w:t>
      </w:r>
      <w:r w:rsidRPr="00D069F8">
        <w:rPr>
          <w:rFonts w:ascii="Calibri" w:eastAsia="Calibri" w:hAnsi="Calibri" w:cs="Times New Roman"/>
          <w:color w:val="0000FF"/>
        </w:rPr>
        <w:t>) with recovery of function being described as both desirable and possible</w:t>
      </w:r>
      <w:r w:rsidRPr="00D069F8">
        <w:rPr>
          <w:rFonts w:ascii="Times New Roman" w:eastAsia="Times New Roman" w:hAnsi="Times New Roman" w:cs="Times New Roman"/>
          <w:sz w:val="24"/>
          <w:szCs w:val="20"/>
        </w:rPr>
        <w:t xml:space="preserve"> </w:t>
      </w:r>
      <w:r w:rsidRPr="00D069F8">
        <w:rPr>
          <w:rFonts w:ascii="Calibri" w:eastAsia="Calibri" w:hAnsi="Calibri" w:cs="Times New Roman"/>
          <w:color w:val="0000FF"/>
        </w:rPr>
        <w:t>(Rochester, 2009)</w:t>
      </w:r>
      <w:r w:rsidR="00E371B1">
        <w:rPr>
          <w:rFonts w:ascii="Calibri" w:eastAsia="Calibri" w:hAnsi="Calibri" w:cs="Times New Roman"/>
          <w:color w:val="0000FF"/>
        </w:rPr>
        <w:t>.</w:t>
      </w:r>
      <w:r w:rsidRPr="00D069F8">
        <w:rPr>
          <w:rFonts w:ascii="Calibri" w:eastAsia="Calibri" w:hAnsi="Calibri" w:cs="Times New Roman"/>
          <w:color w:val="0000FF"/>
        </w:rPr>
        <w:t xml:space="preserve"> The lack of early mobility initiation in </w:t>
      </w:r>
      <w:r w:rsidR="0033616C">
        <w:rPr>
          <w:rFonts w:ascii="Calibri" w:eastAsia="Calibri" w:hAnsi="Calibri" w:cs="Times New Roman"/>
          <w:color w:val="0000FF"/>
        </w:rPr>
        <w:t>intensive care units</w:t>
      </w:r>
      <w:r w:rsidRPr="00D069F8">
        <w:rPr>
          <w:rFonts w:ascii="Calibri" w:eastAsia="Calibri" w:hAnsi="Calibri" w:cs="Times New Roman"/>
          <w:color w:val="0000FF"/>
        </w:rPr>
        <w:t xml:space="preserve"> has also been described as a strong predictor of adverse patient outcomes</w:t>
      </w:r>
      <w:r w:rsidRPr="00D069F8">
        <w:rPr>
          <w:rFonts w:ascii="Times New Roman" w:eastAsia="Times New Roman" w:hAnsi="Times New Roman" w:cs="Garamond-Book"/>
          <w:sz w:val="24"/>
          <w:szCs w:val="20"/>
        </w:rPr>
        <w:t xml:space="preserve"> </w:t>
      </w:r>
      <w:r w:rsidRPr="00D069F8">
        <w:rPr>
          <w:rFonts w:ascii="Calibri" w:eastAsia="Calibri" w:hAnsi="Calibri" w:cs="Times New Roman"/>
          <w:color w:val="0000FF"/>
        </w:rPr>
        <w:t>(Dang, 2013)</w:t>
      </w:r>
      <w:r w:rsidR="00E371B1">
        <w:rPr>
          <w:rFonts w:ascii="Calibri" w:eastAsia="Calibri" w:hAnsi="Calibri" w:cs="Times New Roman"/>
          <w:color w:val="0000FF"/>
        </w:rPr>
        <w:t>.</w:t>
      </w:r>
      <w:r w:rsidRPr="00D069F8" w:rsidDel="00035F0B">
        <w:rPr>
          <w:rFonts w:ascii="Calibri" w:eastAsia="Calibri" w:hAnsi="Calibri" w:cs="Times New Roman"/>
          <w:sz w:val="24"/>
        </w:rPr>
        <w:t xml:space="preserve"> </w:t>
      </w:r>
    </w:p>
    <w:p w:rsidR="00D069F8" w:rsidRPr="00D069F8" w:rsidRDefault="00D069F8" w:rsidP="00DA3B23">
      <w:pPr>
        <w:spacing w:before="240" w:after="240"/>
        <w:ind w:left="0" w:firstLine="0"/>
        <w:rPr>
          <w:rFonts w:ascii="Calibri" w:eastAsia="Calibri" w:hAnsi="Calibri" w:cs="Times New Roman"/>
          <w:color w:val="0000FF"/>
        </w:rPr>
      </w:pPr>
      <w:r w:rsidRPr="00D069F8">
        <w:rPr>
          <w:rFonts w:ascii="Calibri" w:eastAsia="Calibri" w:hAnsi="Calibri" w:cs="Times New Roman"/>
          <w:color w:val="0000FF"/>
        </w:rPr>
        <w:t>The importance of standardized functional assessment in LTCH settings is supported by the high prevalence of therapy services provided in this setting</w:t>
      </w:r>
      <w:r w:rsidR="00DA3B23">
        <w:rPr>
          <w:rFonts w:ascii="Calibri" w:eastAsia="Calibri" w:hAnsi="Calibri" w:cs="Times New Roman"/>
          <w:color w:val="0000FF"/>
        </w:rPr>
        <w:t xml:space="preserve">, as well as </w:t>
      </w:r>
      <w:r w:rsidRPr="00D069F8">
        <w:rPr>
          <w:rFonts w:ascii="Calibri" w:eastAsia="Calibri" w:hAnsi="Calibri" w:cs="Times New Roman"/>
          <w:color w:val="0000FF"/>
        </w:rPr>
        <w:t>the need for care coordination for patients returning home and receiving follow-up care in the community a</w:t>
      </w:r>
      <w:r w:rsidR="00DA3B23">
        <w:rPr>
          <w:rFonts w:ascii="Calibri" w:eastAsia="Calibri" w:hAnsi="Calibri" w:cs="Times New Roman"/>
          <w:color w:val="0000FF"/>
        </w:rPr>
        <w:t>nd</w:t>
      </w:r>
      <w:r w:rsidRPr="00D069F8">
        <w:rPr>
          <w:rFonts w:ascii="Calibri" w:eastAsia="Calibri" w:hAnsi="Calibri" w:cs="Times New Roman"/>
          <w:color w:val="0000FF"/>
        </w:rPr>
        <w:t xml:space="preserve"> patients receiving additional institutional healthcare services after discharge from an LTCH. A study (Scheinhorn et al., 2007)</w:t>
      </w:r>
      <w:r w:rsidRPr="00D069F8">
        <w:rPr>
          <w:rFonts w:ascii="Calibri" w:eastAsia="Calibri" w:hAnsi="Calibri" w:cs="Times New Roman"/>
          <w:color w:val="0000FF"/>
          <w:vertAlign w:val="superscript"/>
        </w:rPr>
        <w:t xml:space="preserve"> </w:t>
      </w:r>
      <w:r w:rsidRPr="00D069F8">
        <w:rPr>
          <w:rFonts w:ascii="Calibri" w:eastAsia="Calibri" w:hAnsi="Calibri" w:cs="Times New Roman"/>
          <w:color w:val="0000FF"/>
        </w:rPr>
        <w:t>of 1,419 ventilator-dependent patients from 23 LTCHs reported that physical, occupational, and speech therapy were the most commonly provided services among a comprehensive list of 34 procedures, services, and treatments provided during the LTCH stay. The high frequency of physical (84.8%), occupational (81.5%), and speech (79.7%) therapy reflects use of the rehabilitative model of care adopted by many post-</w:t>
      </w:r>
      <w:r w:rsidR="0033616C">
        <w:rPr>
          <w:rFonts w:ascii="Calibri" w:eastAsia="Calibri" w:hAnsi="Calibri" w:cs="Times New Roman"/>
          <w:color w:val="0000FF"/>
        </w:rPr>
        <w:t>intensive care unit</w:t>
      </w:r>
      <w:r w:rsidR="0033616C" w:rsidRPr="00D069F8">
        <w:rPr>
          <w:rFonts w:ascii="Calibri" w:eastAsia="Calibri" w:hAnsi="Calibri" w:cs="Times New Roman"/>
          <w:color w:val="0000FF"/>
        </w:rPr>
        <w:t xml:space="preserve"> </w:t>
      </w:r>
      <w:r w:rsidR="00DA3B23">
        <w:rPr>
          <w:rFonts w:ascii="Calibri" w:eastAsia="Calibri" w:hAnsi="Calibri" w:cs="Times New Roman"/>
          <w:color w:val="0000FF"/>
        </w:rPr>
        <w:t xml:space="preserve">ventilator </w:t>
      </w:r>
      <w:r w:rsidRPr="00D069F8">
        <w:rPr>
          <w:rFonts w:ascii="Calibri" w:eastAsia="Calibri" w:hAnsi="Calibri" w:cs="Times New Roman"/>
          <w:color w:val="0000FF"/>
        </w:rPr>
        <w:t xml:space="preserve">weaning programs, which is important in restoration of function. This high utilization of therapy services supports the need for standardized functional assessment at admission in order to document functional status, identify the need for therapy, set functional status goals, and assist with discharge planning and care coordination. </w:t>
      </w:r>
    </w:p>
    <w:p w:rsidR="00135057" w:rsidRDefault="00D069F8" w:rsidP="00DA3B23">
      <w:pPr>
        <w:ind w:left="0" w:firstLine="0"/>
        <w:rPr>
          <w:rFonts w:ascii="Calibri" w:eastAsia="Calibri" w:hAnsi="Calibri" w:cs="Times New Roman"/>
          <w:color w:val="0000FF"/>
        </w:rPr>
      </w:pPr>
      <w:r w:rsidRPr="00D069F8">
        <w:rPr>
          <w:rFonts w:ascii="Calibri" w:eastAsia="Calibri" w:hAnsi="Calibri" w:cs="Times New Roman"/>
          <w:color w:val="0000FF"/>
        </w:rPr>
        <w:t>Whether an LTCH patient is discharged home or to another care setting for continuing healthcare,</w:t>
      </w:r>
      <w:r w:rsidR="00DA3B23">
        <w:rPr>
          <w:rFonts w:ascii="Calibri" w:eastAsia="Calibri" w:hAnsi="Calibri" w:cs="Times New Roman"/>
          <w:color w:val="0000FF"/>
        </w:rPr>
        <w:t xml:space="preserve"> </w:t>
      </w:r>
      <w:r w:rsidRPr="00D069F8">
        <w:rPr>
          <w:rFonts w:ascii="Calibri" w:eastAsia="Calibri" w:hAnsi="Calibri" w:cs="Times New Roman"/>
          <w:color w:val="0000FF"/>
        </w:rPr>
        <w:t xml:space="preserve">functional status is an important aspect of a person’s health status to document at the time of transition. The study (Scheinhorn et al., 2007) of 23 LTCHs also reported that 28.8% of patients were discharged directly home or to assisted living, further supporting the importance of functional assessment and early rehabilitation to facilitate discharge planning and home discharge when possible. In another study of 101 LTCH patients, discharge functional status scores significantly discriminated across five different discharge destinations, including home, </w:t>
      </w:r>
      <w:r w:rsidR="004D798B">
        <w:rPr>
          <w:rFonts w:ascii="Calibri" w:eastAsia="Calibri" w:hAnsi="Calibri" w:cs="Times New Roman"/>
          <w:color w:val="0000FF"/>
        </w:rPr>
        <w:t>i</w:t>
      </w:r>
      <w:r w:rsidR="00997612">
        <w:rPr>
          <w:rFonts w:ascii="Calibri" w:eastAsia="Calibri" w:hAnsi="Calibri" w:cs="Times New Roman"/>
          <w:color w:val="0000FF"/>
        </w:rPr>
        <w:t xml:space="preserve">npatient </w:t>
      </w:r>
      <w:r w:rsidR="004D798B">
        <w:rPr>
          <w:rFonts w:ascii="Calibri" w:eastAsia="Calibri" w:hAnsi="Calibri" w:cs="Times New Roman"/>
          <w:color w:val="0000FF"/>
        </w:rPr>
        <w:t>r</w:t>
      </w:r>
      <w:r w:rsidR="00997612">
        <w:rPr>
          <w:rFonts w:ascii="Calibri" w:eastAsia="Calibri" w:hAnsi="Calibri" w:cs="Times New Roman"/>
          <w:color w:val="0000FF"/>
        </w:rPr>
        <w:t xml:space="preserve">ehabilitation </w:t>
      </w:r>
      <w:r w:rsidR="004D798B">
        <w:rPr>
          <w:rFonts w:ascii="Calibri" w:eastAsia="Calibri" w:hAnsi="Calibri" w:cs="Times New Roman"/>
          <w:color w:val="0000FF"/>
        </w:rPr>
        <w:t>f</w:t>
      </w:r>
      <w:r w:rsidR="00997612">
        <w:rPr>
          <w:rFonts w:ascii="Calibri" w:eastAsia="Calibri" w:hAnsi="Calibri" w:cs="Times New Roman"/>
          <w:color w:val="0000FF"/>
        </w:rPr>
        <w:t>acility</w:t>
      </w:r>
      <w:r w:rsidRPr="00D069F8">
        <w:rPr>
          <w:rFonts w:ascii="Calibri" w:eastAsia="Calibri" w:hAnsi="Calibri" w:cs="Times New Roman"/>
          <w:color w:val="0000FF"/>
        </w:rPr>
        <w:t xml:space="preserve">, </w:t>
      </w:r>
      <w:r w:rsidR="004D798B">
        <w:rPr>
          <w:rFonts w:ascii="Calibri" w:eastAsia="Calibri" w:hAnsi="Calibri" w:cs="Times New Roman"/>
          <w:color w:val="0000FF"/>
        </w:rPr>
        <w:t>s</w:t>
      </w:r>
      <w:r w:rsidR="00997612">
        <w:rPr>
          <w:rFonts w:ascii="Calibri" w:eastAsia="Calibri" w:hAnsi="Calibri" w:cs="Times New Roman"/>
          <w:color w:val="0000FF"/>
        </w:rPr>
        <w:t xml:space="preserve">killed </w:t>
      </w:r>
      <w:r w:rsidR="004D798B">
        <w:rPr>
          <w:rFonts w:ascii="Calibri" w:eastAsia="Calibri" w:hAnsi="Calibri" w:cs="Times New Roman"/>
          <w:color w:val="0000FF"/>
        </w:rPr>
        <w:t>n</w:t>
      </w:r>
      <w:r w:rsidR="00997612">
        <w:rPr>
          <w:rFonts w:ascii="Calibri" w:eastAsia="Calibri" w:hAnsi="Calibri" w:cs="Times New Roman"/>
          <w:color w:val="0000FF"/>
        </w:rPr>
        <w:t xml:space="preserve">ursing </w:t>
      </w:r>
      <w:r w:rsidR="004D798B">
        <w:rPr>
          <w:rFonts w:ascii="Calibri" w:eastAsia="Calibri" w:hAnsi="Calibri" w:cs="Times New Roman"/>
          <w:color w:val="0000FF"/>
        </w:rPr>
        <w:t>f</w:t>
      </w:r>
      <w:r w:rsidR="00997612">
        <w:rPr>
          <w:rFonts w:ascii="Calibri" w:eastAsia="Calibri" w:hAnsi="Calibri" w:cs="Times New Roman"/>
          <w:color w:val="0000FF"/>
        </w:rPr>
        <w:t>acility</w:t>
      </w:r>
      <w:r w:rsidRPr="00D069F8">
        <w:rPr>
          <w:rFonts w:ascii="Calibri" w:eastAsia="Calibri" w:hAnsi="Calibri" w:cs="Times New Roman"/>
          <w:color w:val="0000FF"/>
        </w:rPr>
        <w:t xml:space="preserve">, </w:t>
      </w:r>
      <w:r w:rsidR="00311CEA">
        <w:rPr>
          <w:rFonts w:ascii="Calibri" w:eastAsia="Calibri" w:hAnsi="Calibri" w:cs="Times New Roman"/>
          <w:color w:val="0000FF"/>
        </w:rPr>
        <w:t>long-term care</w:t>
      </w:r>
      <w:r w:rsidRPr="00D069F8">
        <w:rPr>
          <w:rFonts w:ascii="Calibri" w:eastAsia="Calibri" w:hAnsi="Calibri" w:cs="Times New Roman"/>
          <w:color w:val="0000FF"/>
        </w:rPr>
        <w:t>/hospice/expired, and short-stay acute-care hospital transfer (Thrush, Rozek</w:t>
      </w:r>
      <w:r w:rsidR="00E371B1">
        <w:rPr>
          <w:rFonts w:ascii="Calibri" w:eastAsia="Calibri" w:hAnsi="Calibri" w:cs="Times New Roman"/>
          <w:color w:val="0000FF"/>
        </w:rPr>
        <w:t>, &amp;</w:t>
      </w:r>
      <w:r w:rsidRPr="00D069F8">
        <w:rPr>
          <w:rFonts w:ascii="Calibri" w:eastAsia="Calibri" w:hAnsi="Calibri" w:cs="Times New Roman"/>
          <w:color w:val="0000FF"/>
        </w:rPr>
        <w:t xml:space="preserve"> Dekerlegand, 2012)</w:t>
      </w:r>
      <w:r w:rsidR="00E371B1">
        <w:rPr>
          <w:rFonts w:ascii="Calibri" w:eastAsia="Calibri" w:hAnsi="Calibri" w:cs="Times New Roman"/>
          <w:color w:val="0000FF"/>
        </w:rPr>
        <w:t>,</w:t>
      </w:r>
      <w:r w:rsidRPr="00D069F8">
        <w:rPr>
          <w:rFonts w:ascii="Calibri" w:eastAsia="Calibri" w:hAnsi="Calibri" w:cs="Times New Roman"/>
          <w:color w:val="0000FF"/>
        </w:rPr>
        <w:t xml:space="preserve"> highlighting the association of functional status with dischar</w:t>
      </w:r>
      <w:r>
        <w:rPr>
          <w:rFonts w:ascii="Calibri" w:eastAsia="Calibri" w:hAnsi="Calibri" w:cs="Times New Roman"/>
          <w:color w:val="0000FF"/>
        </w:rPr>
        <w:t>ge setting.</w:t>
      </w:r>
    </w:p>
    <w:p w:rsidR="00D069F8" w:rsidRDefault="00D069F8" w:rsidP="00D069F8">
      <w:pPr>
        <w:ind w:left="0" w:firstLine="0"/>
      </w:pPr>
    </w:p>
    <w:p w:rsidR="00837121" w:rsidRDefault="00837121" w:rsidP="002E2177">
      <w:pPr>
        <w:ind w:left="0" w:firstLine="0"/>
      </w:pPr>
      <w:r w:rsidRPr="0015535B">
        <w:rPr>
          <w:b/>
          <w:color w:val="0000FF"/>
        </w:rPr>
        <w:t>1a.8.1</w:t>
      </w:r>
      <w:r w:rsidRPr="006C7F30">
        <w:rPr>
          <w:color w:val="0070C0"/>
        </w:rPr>
        <w:t xml:space="preserve"> </w:t>
      </w:r>
      <w:r w:rsidRPr="006C7F30">
        <w:rPr>
          <w:b/>
        </w:rPr>
        <w:t>What process was used to identify the evidence?</w:t>
      </w:r>
    </w:p>
    <w:p w:rsidR="00D069F8" w:rsidRPr="00D069F8" w:rsidRDefault="00D069F8" w:rsidP="00286D34">
      <w:pPr>
        <w:spacing w:before="240" w:after="240"/>
        <w:ind w:left="0" w:firstLine="0"/>
        <w:rPr>
          <w:rFonts w:ascii="Calibri" w:eastAsia="Calibri" w:hAnsi="Calibri" w:cstheme="minorHAnsi"/>
          <w:bCs/>
          <w:color w:val="0000FF"/>
        </w:rPr>
      </w:pPr>
      <w:r w:rsidRPr="00D069F8">
        <w:rPr>
          <w:rFonts w:ascii="Calibri" w:eastAsia="Calibri" w:hAnsi="Calibri" w:cs="Times New Roman"/>
          <w:color w:val="0000FF"/>
        </w:rPr>
        <w:t xml:space="preserve">We identified evidence from literature searches using PubMed </w:t>
      </w:r>
      <w:r w:rsidR="004D798B">
        <w:rPr>
          <w:rFonts w:ascii="Calibri" w:eastAsia="Calibri" w:hAnsi="Calibri" w:cs="Times New Roman"/>
          <w:color w:val="0000FF"/>
        </w:rPr>
        <w:t xml:space="preserve">and the Cumulative Index of Nursing and Allied Health Literature (CINAHL) </w:t>
      </w:r>
      <w:r w:rsidRPr="00D069F8">
        <w:rPr>
          <w:rFonts w:ascii="Calibri" w:eastAsia="Calibri" w:hAnsi="Calibri" w:cs="Times New Roman"/>
          <w:color w:val="0000FF"/>
        </w:rPr>
        <w:t xml:space="preserve">and in reviews of references cited in </w:t>
      </w:r>
      <w:r w:rsidR="00286D34" w:rsidRPr="00D069F8">
        <w:rPr>
          <w:rFonts w:ascii="Calibri" w:eastAsia="Calibri" w:hAnsi="Calibri" w:cs="Times New Roman"/>
          <w:color w:val="0000FF"/>
        </w:rPr>
        <w:t>the relevant</w:t>
      </w:r>
      <w:r w:rsidRPr="00D069F8">
        <w:rPr>
          <w:rFonts w:ascii="Calibri" w:eastAsia="Calibri" w:hAnsi="Calibri" w:cs="Times New Roman"/>
          <w:color w:val="0000FF"/>
        </w:rPr>
        <w:t xml:space="preserve"> identified studies.</w:t>
      </w:r>
      <w:r w:rsidR="00432980">
        <w:rPr>
          <w:rFonts w:ascii="Calibri" w:eastAsia="Calibri" w:hAnsi="Calibri" w:cs="Times New Roman"/>
          <w:color w:val="0000FF"/>
        </w:rPr>
        <w:t xml:space="preserve"> </w:t>
      </w:r>
    </w:p>
    <w:p w:rsidR="00837121"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rsidR="006C142C" w:rsidRPr="00752BD9" w:rsidRDefault="00D069F8" w:rsidP="005C6D90">
      <w:pPr>
        <w:spacing w:before="240" w:after="120"/>
        <w:rPr>
          <w:rFonts w:eastAsia="Calibri" w:cs="Times New Roman"/>
          <w:color w:val="0000FF"/>
        </w:rPr>
      </w:pPr>
      <w:r w:rsidRPr="00D069F8">
        <w:rPr>
          <w:rFonts w:ascii="Calibri" w:eastAsia="Calibri" w:hAnsi="Calibri" w:cs="Times New Roman"/>
          <w:color w:val="0000FF"/>
        </w:rPr>
        <w:t xml:space="preserve">1. </w:t>
      </w:r>
      <w:r w:rsidR="005C6D90">
        <w:rPr>
          <w:rFonts w:ascii="Calibri" w:eastAsia="Calibri" w:hAnsi="Calibri" w:cs="Times New Roman"/>
          <w:color w:val="0000FF"/>
        </w:rPr>
        <w:tab/>
      </w:r>
      <w:r w:rsidR="006C142C" w:rsidRPr="00752BD9">
        <w:rPr>
          <w:rFonts w:eastAsia="Calibri" w:cs="Times New Roman"/>
          <w:color w:val="0000FF"/>
        </w:rPr>
        <w:t xml:space="preserve">Adler, J., &amp; Malone, D. (2012). Early mobilization in the intensive care unit: </w:t>
      </w:r>
      <w:r w:rsidR="006C142C">
        <w:rPr>
          <w:rFonts w:eastAsia="Calibri" w:cs="Times New Roman"/>
          <w:color w:val="0000FF"/>
        </w:rPr>
        <w:t>A</w:t>
      </w:r>
      <w:r w:rsidR="006C142C" w:rsidRPr="00752BD9">
        <w:rPr>
          <w:rFonts w:eastAsia="Calibri" w:cs="Times New Roman"/>
          <w:color w:val="0000FF"/>
        </w:rPr>
        <w:t xml:space="preserve"> systematic review. </w:t>
      </w:r>
      <w:r w:rsidR="006C142C" w:rsidRPr="00752BD9">
        <w:rPr>
          <w:rFonts w:eastAsia="Calibri" w:cs="Times New Roman"/>
          <w:i/>
          <w:color w:val="0000FF"/>
        </w:rPr>
        <w:t>Cardiopulm</w:t>
      </w:r>
      <w:r w:rsidR="006C142C">
        <w:rPr>
          <w:rFonts w:eastAsia="Calibri" w:cs="Times New Roman"/>
          <w:i/>
          <w:color w:val="0000FF"/>
        </w:rPr>
        <w:t>onary</w:t>
      </w:r>
      <w:r w:rsidR="006C142C" w:rsidRPr="00752BD9">
        <w:rPr>
          <w:rFonts w:eastAsia="Calibri" w:cs="Times New Roman"/>
          <w:i/>
          <w:color w:val="0000FF"/>
        </w:rPr>
        <w:t xml:space="preserve"> Phys</w:t>
      </w:r>
      <w:r w:rsidR="006C142C">
        <w:rPr>
          <w:rFonts w:eastAsia="Calibri" w:cs="Times New Roman"/>
          <w:i/>
          <w:color w:val="0000FF"/>
        </w:rPr>
        <w:t>ical</w:t>
      </w:r>
      <w:r w:rsidR="006C142C" w:rsidRPr="00752BD9">
        <w:rPr>
          <w:rFonts w:eastAsia="Calibri" w:cs="Times New Roman"/>
          <w:i/>
          <w:color w:val="0000FF"/>
        </w:rPr>
        <w:t xml:space="preserve"> Ther</w:t>
      </w:r>
      <w:r w:rsidR="006C142C">
        <w:rPr>
          <w:rFonts w:eastAsia="Calibri" w:cs="Times New Roman"/>
          <w:i/>
          <w:color w:val="0000FF"/>
        </w:rPr>
        <w:t>apy</w:t>
      </w:r>
      <w:r w:rsidR="006C142C" w:rsidRPr="00752BD9">
        <w:rPr>
          <w:rFonts w:eastAsia="Calibri" w:cs="Times New Roman"/>
          <w:i/>
          <w:color w:val="0000FF"/>
        </w:rPr>
        <w:t xml:space="preserve"> J</w:t>
      </w:r>
      <w:r w:rsidR="006C142C">
        <w:rPr>
          <w:rFonts w:eastAsia="Calibri" w:cs="Times New Roman"/>
          <w:i/>
          <w:color w:val="0000FF"/>
        </w:rPr>
        <w:t>ournal</w:t>
      </w:r>
      <w:r w:rsidR="006C142C" w:rsidRPr="00752BD9">
        <w:rPr>
          <w:rFonts w:eastAsia="Calibri" w:cs="Times New Roman"/>
          <w:i/>
          <w:color w:val="0000FF"/>
        </w:rPr>
        <w:t>, 23</w:t>
      </w:r>
      <w:r w:rsidR="006C142C" w:rsidRPr="00752BD9">
        <w:rPr>
          <w:rFonts w:eastAsia="Calibri" w:cs="Times New Roman"/>
          <w:color w:val="0000FF"/>
        </w:rPr>
        <w:t>(1), 5</w:t>
      </w:r>
      <w:r w:rsidR="006C142C">
        <w:rPr>
          <w:rFonts w:eastAsia="Calibri" w:cs="Times New Roman"/>
          <w:color w:val="0000FF"/>
        </w:rPr>
        <w:t>–</w:t>
      </w:r>
      <w:r w:rsidR="006C142C" w:rsidRPr="00752BD9">
        <w:rPr>
          <w:rFonts w:eastAsia="Calibri" w:cs="Times New Roman"/>
          <w:color w:val="0000FF"/>
        </w:rPr>
        <w:t xml:space="preserve">13. </w:t>
      </w:r>
    </w:p>
    <w:p w:rsidR="00D069F8" w:rsidRPr="00D069F8" w:rsidRDefault="00D069F8" w:rsidP="005C6D9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A search of the scientific literature revealed a limited number of studies that examined the mobilization of critically ill patients in the intensive care unit. However, literature that does exist supports early mobilization and physical therapy as a safe and effective intervention that can have a significant impact on functional outcomes.</w:t>
      </w:r>
    </w:p>
    <w:p w:rsidR="00437A7D" w:rsidRDefault="00437A7D">
      <w:pPr>
        <w:rPr>
          <w:rFonts w:ascii="Calibri" w:eastAsia="Calibri" w:hAnsi="Calibri" w:cs="Times New Roman"/>
          <w:color w:val="0000FF"/>
        </w:rPr>
      </w:pPr>
      <w:r>
        <w:rPr>
          <w:rFonts w:ascii="Calibri" w:eastAsia="Calibri" w:hAnsi="Calibri" w:cs="Times New Roman"/>
          <w:color w:val="0000FF"/>
        </w:rPr>
        <w:br w:type="page"/>
      </w:r>
    </w:p>
    <w:p w:rsidR="006C142C" w:rsidRPr="00D069F8" w:rsidRDefault="00D069F8" w:rsidP="005C6D90">
      <w:pPr>
        <w:spacing w:before="240" w:after="240"/>
        <w:rPr>
          <w:rFonts w:ascii="Calibri" w:eastAsia="Calibri" w:hAnsi="Calibri" w:cs="Times New Roman"/>
          <w:color w:val="0000FF"/>
        </w:rPr>
      </w:pPr>
      <w:r w:rsidRPr="00D069F8">
        <w:rPr>
          <w:rFonts w:ascii="Calibri" w:eastAsia="Calibri" w:hAnsi="Calibri" w:cs="Times New Roman"/>
          <w:color w:val="0000FF"/>
        </w:rPr>
        <w:lastRenderedPageBreak/>
        <w:t xml:space="preserve">2. </w:t>
      </w:r>
      <w:r w:rsidR="005C6D90">
        <w:rPr>
          <w:rFonts w:ascii="Calibri" w:eastAsia="Calibri" w:hAnsi="Calibri" w:cs="Times New Roman"/>
          <w:color w:val="0000FF"/>
        </w:rPr>
        <w:tab/>
      </w:r>
      <w:r w:rsidRPr="00D069F8">
        <w:rPr>
          <w:rFonts w:ascii="Calibri" w:eastAsia="Calibri" w:hAnsi="Calibri" w:cs="Times New Roman"/>
          <w:color w:val="0000FF"/>
        </w:rPr>
        <w:t>Brummel, N. E., Jackson</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J. C.</w:t>
      </w:r>
      <w:r w:rsidRPr="00D069F8">
        <w:rPr>
          <w:rFonts w:ascii="Calibri" w:eastAsia="Calibri" w:hAnsi="Calibri" w:cs="Times New Roman"/>
          <w:color w:val="0000FF"/>
        </w:rPr>
        <w:t>, Girard</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T. D.</w:t>
      </w:r>
      <w:r w:rsidRPr="00D069F8">
        <w:rPr>
          <w:rFonts w:ascii="Calibri" w:eastAsia="Calibri" w:hAnsi="Calibri" w:cs="Times New Roman"/>
          <w:color w:val="0000FF"/>
        </w:rPr>
        <w:t>, Pandharipande</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P. P.</w:t>
      </w:r>
      <w:r w:rsidRPr="00D069F8">
        <w:rPr>
          <w:rFonts w:ascii="Calibri" w:eastAsia="Calibri" w:hAnsi="Calibri" w:cs="Times New Roman"/>
          <w:color w:val="0000FF"/>
        </w:rPr>
        <w:t>, Schiro</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E.</w:t>
      </w:r>
      <w:r w:rsidRPr="00D069F8">
        <w:rPr>
          <w:rFonts w:ascii="Calibri" w:eastAsia="Calibri" w:hAnsi="Calibri" w:cs="Times New Roman"/>
          <w:color w:val="0000FF"/>
        </w:rPr>
        <w:t>, Work</w:t>
      </w:r>
      <w:r w:rsidR="006C142C">
        <w:rPr>
          <w:rFonts w:ascii="Calibri" w:eastAsia="Calibri" w:hAnsi="Calibri" w:cs="Times New Roman"/>
          <w:color w:val="0000FF"/>
        </w:rPr>
        <w:t>, B.</w:t>
      </w:r>
      <w:r w:rsidRPr="00D069F8">
        <w:rPr>
          <w:rFonts w:ascii="Calibri" w:eastAsia="Calibri" w:hAnsi="Calibri" w:cs="Times New Roman"/>
          <w:color w:val="0000FF"/>
        </w:rPr>
        <w:t xml:space="preserve">, </w:t>
      </w:r>
      <w:r w:rsidR="006C142C">
        <w:rPr>
          <w:rFonts w:ascii="Calibri" w:eastAsia="Calibri" w:hAnsi="Calibri" w:cs="Times New Roman"/>
          <w:color w:val="0000FF"/>
        </w:rPr>
        <w:t>Ely, E. W.</w:t>
      </w:r>
      <w:r w:rsidRPr="00D069F8">
        <w:rPr>
          <w:rFonts w:ascii="Calibri" w:eastAsia="Calibri" w:hAnsi="Calibri" w:cs="Times New Roman"/>
          <w:color w:val="0000FF"/>
        </w:rPr>
        <w:t xml:space="preserve"> </w:t>
      </w:r>
      <w:r w:rsidR="006C142C">
        <w:rPr>
          <w:rFonts w:ascii="Calibri" w:eastAsia="Calibri" w:hAnsi="Calibri" w:cs="Times New Roman"/>
          <w:color w:val="0000FF"/>
        </w:rPr>
        <w:t xml:space="preserve">(2012). </w:t>
      </w:r>
      <w:r w:rsidRPr="00D069F8">
        <w:rPr>
          <w:rFonts w:ascii="Calibri" w:eastAsia="Calibri" w:hAnsi="Calibri" w:cs="Times New Roman"/>
          <w:color w:val="0000FF"/>
        </w:rPr>
        <w:t xml:space="preserve">A </w:t>
      </w:r>
      <w:r w:rsidR="006C142C" w:rsidRPr="00D069F8">
        <w:rPr>
          <w:rFonts w:ascii="Calibri" w:eastAsia="Calibri" w:hAnsi="Calibri" w:cs="Times New Roman"/>
          <w:color w:val="0000FF"/>
        </w:rPr>
        <w:t xml:space="preserve">combined early cognitive and physical rehabilitation program for people who are critically ill: </w:t>
      </w:r>
      <w:r w:rsidRPr="00D069F8">
        <w:rPr>
          <w:rFonts w:ascii="Calibri" w:eastAsia="Calibri" w:hAnsi="Calibri" w:cs="Times New Roman"/>
          <w:color w:val="0000FF"/>
        </w:rPr>
        <w:t>The Activity and Cognitive Therapy in the Intensive Care Unit (</w:t>
      </w:r>
      <w:r w:rsidR="006C142C">
        <w:rPr>
          <w:rFonts w:ascii="Calibri" w:eastAsia="Calibri" w:hAnsi="Calibri" w:cs="Times New Roman"/>
          <w:color w:val="0000FF"/>
        </w:rPr>
        <w:t>ACT-ICU</w:t>
      </w:r>
      <w:r w:rsidRPr="00D069F8">
        <w:rPr>
          <w:rFonts w:ascii="Calibri" w:eastAsia="Calibri" w:hAnsi="Calibri" w:cs="Times New Roman"/>
          <w:color w:val="0000FF"/>
        </w:rPr>
        <w:t xml:space="preserve">) Trial. </w:t>
      </w:r>
      <w:r w:rsidRPr="00D069F8">
        <w:rPr>
          <w:rFonts w:ascii="Calibri" w:eastAsia="Calibri" w:hAnsi="Calibri" w:cs="Times New Roman"/>
          <w:i/>
          <w:iCs/>
          <w:color w:val="0000FF"/>
        </w:rPr>
        <w:t>Phys</w:t>
      </w:r>
      <w:r w:rsidR="006C142C">
        <w:rPr>
          <w:rFonts w:ascii="Calibri" w:eastAsia="Calibri" w:hAnsi="Calibri" w:cs="Times New Roman"/>
          <w:i/>
          <w:iCs/>
          <w:color w:val="0000FF"/>
        </w:rPr>
        <w:t>ical</w:t>
      </w:r>
      <w:r w:rsidRPr="00D069F8">
        <w:rPr>
          <w:rFonts w:ascii="Calibri" w:eastAsia="Calibri" w:hAnsi="Calibri" w:cs="Times New Roman"/>
          <w:i/>
          <w:iCs/>
          <w:color w:val="0000FF"/>
        </w:rPr>
        <w:t xml:space="preserve"> Ther</w:t>
      </w:r>
      <w:r w:rsidR="006C142C">
        <w:rPr>
          <w:rFonts w:ascii="Calibri" w:eastAsia="Calibri" w:hAnsi="Calibri" w:cs="Times New Roman"/>
          <w:i/>
          <w:iCs/>
          <w:color w:val="0000FF"/>
        </w:rPr>
        <w:t>apy,</w:t>
      </w:r>
      <w:r w:rsidRPr="006C142C">
        <w:rPr>
          <w:rFonts w:ascii="Calibri" w:eastAsia="Calibri" w:hAnsi="Calibri" w:cs="Times New Roman"/>
          <w:i/>
          <w:iCs/>
          <w:color w:val="0000FF"/>
        </w:rPr>
        <w:t xml:space="preserve"> </w:t>
      </w:r>
      <w:r w:rsidRPr="00036B89">
        <w:rPr>
          <w:rFonts w:ascii="Calibri" w:eastAsia="Calibri" w:hAnsi="Calibri" w:cs="Times New Roman"/>
          <w:i/>
          <w:color w:val="0000FF"/>
        </w:rPr>
        <w:t>92</w:t>
      </w:r>
      <w:r w:rsidR="006C142C" w:rsidRPr="00036B89">
        <w:rPr>
          <w:rFonts w:ascii="Calibri" w:eastAsia="Calibri" w:hAnsi="Calibri" w:cs="Times New Roman"/>
          <w:i/>
          <w:color w:val="0000FF"/>
        </w:rPr>
        <w:t>,</w:t>
      </w:r>
      <w:r w:rsidRPr="00036B89">
        <w:rPr>
          <w:rFonts w:ascii="Calibri" w:eastAsia="Calibri" w:hAnsi="Calibri" w:cs="Times New Roman"/>
          <w:i/>
          <w:color w:val="0000FF"/>
        </w:rPr>
        <w:t xml:space="preserve"> </w:t>
      </w:r>
      <w:r w:rsidRPr="00D069F8">
        <w:rPr>
          <w:rFonts w:ascii="Calibri" w:eastAsia="Calibri" w:hAnsi="Calibri" w:cs="Times New Roman"/>
          <w:color w:val="0000FF"/>
        </w:rPr>
        <w:t>1580</w:t>
      </w:r>
      <w:r w:rsidR="006C142C">
        <w:rPr>
          <w:rFonts w:ascii="Calibri" w:eastAsia="Calibri" w:hAnsi="Calibri" w:cs="Times New Roman"/>
          <w:color w:val="0000FF"/>
        </w:rPr>
        <w:t>–15</w:t>
      </w:r>
      <w:r w:rsidRPr="00D069F8">
        <w:rPr>
          <w:rFonts w:ascii="Calibri" w:eastAsia="Calibri" w:hAnsi="Calibri" w:cs="Times New Roman"/>
          <w:color w:val="0000FF"/>
        </w:rPr>
        <w:t>92.</w:t>
      </w:r>
    </w:p>
    <w:p w:rsidR="00286D34" w:rsidRDefault="00286D34" w:rsidP="005C6D90">
      <w:pPr>
        <w:ind w:firstLine="0"/>
        <w:rPr>
          <w:color w:val="0000FF" w:themeColor="hyperlink"/>
        </w:rPr>
      </w:pPr>
      <w:r w:rsidRPr="00A07465">
        <w:rPr>
          <w:color w:val="0000FF" w:themeColor="hyperlink"/>
        </w:rPr>
        <w:t>The purpose of this</w:t>
      </w:r>
      <w:r>
        <w:rPr>
          <w:color w:val="0000FF" w:themeColor="hyperlink"/>
        </w:rPr>
        <w:t xml:space="preserve"> article was to describe a</w:t>
      </w:r>
      <w:r w:rsidRPr="00A07465">
        <w:rPr>
          <w:color w:val="0000FF" w:themeColor="hyperlink"/>
        </w:rPr>
        <w:t xml:space="preserve"> </w:t>
      </w:r>
      <w:r>
        <w:rPr>
          <w:color w:val="0000FF" w:themeColor="hyperlink"/>
        </w:rPr>
        <w:t>randomized control trial with the purpose to</w:t>
      </w:r>
      <w:r w:rsidRPr="00A07465">
        <w:rPr>
          <w:color w:val="0000FF" w:themeColor="hyperlink"/>
        </w:rPr>
        <w:t xml:space="preserve"> determine the</w:t>
      </w:r>
      <w:r w:rsidR="002E63A4">
        <w:rPr>
          <w:color w:val="0000FF" w:themeColor="hyperlink"/>
        </w:rPr>
        <w:t xml:space="preserve"> </w:t>
      </w:r>
      <w:r w:rsidRPr="00A07465">
        <w:rPr>
          <w:color w:val="0000FF" w:themeColor="hyperlink"/>
        </w:rPr>
        <w:t>feasibility of early and sustained cognitive rehabilitation paired with physical rehabilitation in patients who are critically ill with respiratory failure or shock</w:t>
      </w:r>
      <w:r w:rsidR="0092293A">
        <w:rPr>
          <w:color w:val="0000FF" w:themeColor="hyperlink"/>
        </w:rPr>
        <w:t xml:space="preserve">. </w:t>
      </w:r>
      <w:r w:rsidRPr="00A07465">
        <w:rPr>
          <w:color w:val="0000FF" w:themeColor="hyperlink"/>
        </w:rPr>
        <w:t xml:space="preserve">Patients </w:t>
      </w:r>
      <w:r>
        <w:rPr>
          <w:color w:val="0000FF" w:themeColor="hyperlink"/>
        </w:rPr>
        <w:t>were</w:t>
      </w:r>
      <w:r w:rsidRPr="00A07465">
        <w:rPr>
          <w:color w:val="0000FF" w:themeColor="hyperlink"/>
        </w:rPr>
        <w:t xml:space="preserve"> randomized to groups receiving usual care, physical rehabilitation, or cognitive rehabilitation plus physical rehabilitation. </w:t>
      </w:r>
      <w:r>
        <w:rPr>
          <w:color w:val="0000FF" w:themeColor="hyperlink"/>
        </w:rPr>
        <w:t>The authors concluded i</w:t>
      </w:r>
      <w:r w:rsidRPr="00A07465">
        <w:rPr>
          <w:color w:val="0000FF" w:themeColor="hyperlink"/>
        </w:rPr>
        <w:t>f feasible, these interventions will lay the groundwork for a larger, multicenter trial to determine their efficacy.</w:t>
      </w:r>
    </w:p>
    <w:p w:rsidR="00D069F8" w:rsidRPr="00D069F8" w:rsidRDefault="001B789C" w:rsidP="005C6D90">
      <w:pPr>
        <w:spacing w:before="240" w:after="240"/>
        <w:rPr>
          <w:rFonts w:ascii="Calibri" w:eastAsia="Calibri" w:hAnsi="Calibri" w:cs="Times New Roman"/>
          <w:color w:val="0000FF"/>
        </w:rPr>
      </w:pPr>
      <w:r>
        <w:rPr>
          <w:rFonts w:ascii="Calibri" w:eastAsia="Calibri" w:hAnsi="Calibri" w:cs="Times New Roman"/>
          <w:color w:val="0000FF"/>
        </w:rPr>
        <w:t>4</w:t>
      </w:r>
      <w:r w:rsidR="00D069F8" w:rsidRPr="00D069F8">
        <w:rPr>
          <w:rFonts w:ascii="Calibri" w:eastAsia="Calibri" w:hAnsi="Calibri" w:cs="Times New Roman"/>
          <w:color w:val="0000FF"/>
        </w:rPr>
        <w:t xml:space="preserve">. </w:t>
      </w:r>
      <w:r w:rsidR="005C6D90">
        <w:rPr>
          <w:rFonts w:ascii="Calibri" w:eastAsia="Calibri" w:hAnsi="Calibri" w:cs="Times New Roman"/>
          <w:color w:val="0000FF"/>
        </w:rPr>
        <w:tab/>
      </w:r>
      <w:r w:rsidR="00D069F8" w:rsidRPr="00D069F8">
        <w:rPr>
          <w:rFonts w:ascii="Calibri" w:eastAsia="Calibri" w:hAnsi="Calibri" w:cs="Times New Roman"/>
          <w:color w:val="0000FF"/>
        </w:rPr>
        <w:t xml:space="preserve">Dang, S. L. </w:t>
      </w:r>
      <w:r w:rsidR="006C142C">
        <w:rPr>
          <w:rFonts w:ascii="Calibri" w:eastAsia="Calibri" w:hAnsi="Calibri" w:cs="Times New Roman"/>
          <w:color w:val="0000FF"/>
        </w:rPr>
        <w:t xml:space="preserve">(2013). </w:t>
      </w:r>
      <w:r w:rsidR="00D069F8" w:rsidRPr="00D069F8">
        <w:rPr>
          <w:rFonts w:ascii="Calibri" w:eastAsia="Calibri" w:hAnsi="Calibri" w:cs="Times New Roman"/>
          <w:color w:val="0000FF"/>
        </w:rPr>
        <w:t>A</w:t>
      </w:r>
      <w:r w:rsidR="003B54B7">
        <w:rPr>
          <w:rFonts w:ascii="Calibri" w:eastAsia="Calibri" w:hAnsi="Calibri" w:cs="Times New Roman"/>
          <w:color w:val="0000FF"/>
        </w:rPr>
        <w:t>BCDE</w:t>
      </w:r>
      <w:r w:rsidR="00D069F8" w:rsidRPr="00D069F8">
        <w:rPr>
          <w:rFonts w:ascii="Calibri" w:eastAsia="Calibri" w:hAnsi="Calibri" w:cs="Times New Roman"/>
          <w:color w:val="0000FF"/>
        </w:rPr>
        <w:t>s of I</w:t>
      </w:r>
      <w:r w:rsidR="003B54B7">
        <w:rPr>
          <w:rFonts w:ascii="Calibri" w:eastAsia="Calibri" w:hAnsi="Calibri" w:cs="Times New Roman"/>
          <w:color w:val="0000FF"/>
        </w:rPr>
        <w:t>CU</w:t>
      </w:r>
      <w:r w:rsidR="00D069F8" w:rsidRPr="00D069F8">
        <w:rPr>
          <w:rFonts w:ascii="Calibri" w:eastAsia="Calibri" w:hAnsi="Calibri" w:cs="Times New Roman"/>
          <w:color w:val="0000FF"/>
        </w:rPr>
        <w:t xml:space="preserve">: Early </w:t>
      </w:r>
      <w:r w:rsidR="006C142C" w:rsidRPr="00D069F8">
        <w:rPr>
          <w:rFonts w:ascii="Calibri" w:eastAsia="Calibri" w:hAnsi="Calibri" w:cs="Times New Roman"/>
          <w:color w:val="0000FF"/>
        </w:rPr>
        <w:t>mobility</w:t>
      </w:r>
      <w:r w:rsidR="00D069F8" w:rsidRPr="00D069F8">
        <w:rPr>
          <w:rFonts w:ascii="Calibri" w:eastAsia="Calibri" w:hAnsi="Calibri" w:cs="Times New Roman"/>
          <w:color w:val="0000FF"/>
        </w:rPr>
        <w:t xml:space="preserve">. </w:t>
      </w:r>
      <w:r w:rsidR="00D069F8" w:rsidRPr="00D069F8">
        <w:rPr>
          <w:rFonts w:ascii="Calibri" w:eastAsia="Calibri" w:hAnsi="Calibri" w:cs="Times New Roman"/>
          <w:i/>
          <w:iCs/>
          <w:color w:val="0000FF"/>
        </w:rPr>
        <w:t>Crit</w:t>
      </w:r>
      <w:r w:rsidR="006C142C">
        <w:rPr>
          <w:rFonts w:ascii="Calibri" w:eastAsia="Calibri" w:hAnsi="Calibri" w:cs="Times New Roman"/>
          <w:i/>
          <w:iCs/>
          <w:color w:val="0000FF"/>
        </w:rPr>
        <w:t>ical</w:t>
      </w:r>
      <w:r w:rsidR="00D069F8" w:rsidRPr="00D069F8">
        <w:rPr>
          <w:rFonts w:ascii="Calibri" w:eastAsia="Calibri" w:hAnsi="Calibri" w:cs="Times New Roman"/>
          <w:i/>
          <w:iCs/>
          <w:color w:val="0000FF"/>
        </w:rPr>
        <w:t xml:space="preserve"> Care Nurs</w:t>
      </w:r>
      <w:r w:rsidR="006C142C">
        <w:rPr>
          <w:rFonts w:ascii="Calibri" w:eastAsia="Calibri" w:hAnsi="Calibri" w:cs="Times New Roman"/>
          <w:i/>
          <w:iCs/>
          <w:color w:val="0000FF"/>
        </w:rPr>
        <w:t>ing</w:t>
      </w:r>
      <w:r w:rsidR="00D069F8" w:rsidRPr="00D069F8">
        <w:rPr>
          <w:rFonts w:ascii="Calibri" w:eastAsia="Calibri" w:hAnsi="Calibri" w:cs="Times New Roman"/>
          <w:i/>
          <w:iCs/>
          <w:color w:val="0000FF"/>
        </w:rPr>
        <w:t xml:space="preserve"> Q</w:t>
      </w:r>
      <w:r w:rsidR="006C142C">
        <w:rPr>
          <w:rFonts w:ascii="Calibri" w:eastAsia="Calibri" w:hAnsi="Calibri" w:cs="Times New Roman"/>
          <w:i/>
          <w:iCs/>
          <w:color w:val="0000FF"/>
        </w:rPr>
        <w:t>uarterly</w:t>
      </w:r>
      <w:r w:rsidR="00D069F8" w:rsidRPr="00D069F8">
        <w:rPr>
          <w:rFonts w:ascii="Calibri" w:eastAsia="Calibri" w:hAnsi="Calibri" w:cs="Times New Roman"/>
          <w:i/>
          <w:iCs/>
          <w:color w:val="0000FF"/>
        </w:rPr>
        <w:t xml:space="preserve"> </w:t>
      </w:r>
      <w:r w:rsidR="00D069F8" w:rsidRPr="00D069F8">
        <w:rPr>
          <w:rFonts w:ascii="Calibri" w:eastAsia="Calibri" w:hAnsi="Calibri" w:cs="Times New Roman"/>
          <w:color w:val="0000FF"/>
        </w:rPr>
        <w:t>36, 163</w:t>
      </w:r>
      <w:r w:rsidR="006C142C">
        <w:rPr>
          <w:rFonts w:ascii="Calibri" w:eastAsia="Calibri" w:hAnsi="Calibri" w:cs="Times New Roman"/>
          <w:color w:val="0000FF"/>
        </w:rPr>
        <w:t>–16</w:t>
      </w:r>
      <w:r w:rsidR="00D069F8" w:rsidRPr="00D069F8">
        <w:rPr>
          <w:rFonts w:ascii="Calibri" w:eastAsia="Calibri" w:hAnsi="Calibri" w:cs="Times New Roman"/>
          <w:color w:val="0000FF"/>
        </w:rPr>
        <w:t>8.</w:t>
      </w:r>
    </w:p>
    <w:p w:rsidR="00286D34" w:rsidRDefault="00286D34" w:rsidP="005C6D90">
      <w:pPr>
        <w:ind w:firstLine="0"/>
        <w:rPr>
          <w:color w:val="0000FF"/>
        </w:rPr>
      </w:pPr>
      <w:r w:rsidRPr="003D5DD2">
        <w:rPr>
          <w:color w:val="0000FF"/>
        </w:rPr>
        <w:t>Th</w:t>
      </w:r>
      <w:r>
        <w:rPr>
          <w:color w:val="0000FF"/>
        </w:rPr>
        <w:t xml:space="preserve">is </w:t>
      </w:r>
      <w:r w:rsidR="00362E0D">
        <w:rPr>
          <w:color w:val="0000FF"/>
        </w:rPr>
        <w:t>article</w:t>
      </w:r>
      <w:r>
        <w:rPr>
          <w:color w:val="0000FF"/>
        </w:rPr>
        <w:t xml:space="preserve"> describes the nature and importance of early mobility programs in intensive care units and the impact they can have on positive patient functional outcomes. The author calls for further research to establish and institute policies and protocols on early mobility to direct patient care</w:t>
      </w:r>
      <w:r w:rsidR="00362E0D">
        <w:rPr>
          <w:color w:val="0000FF"/>
        </w:rPr>
        <w:t>.</w:t>
      </w:r>
    </w:p>
    <w:p w:rsidR="006C142C" w:rsidRPr="00752BD9" w:rsidRDefault="001B789C" w:rsidP="005C6D90">
      <w:pPr>
        <w:spacing w:before="240" w:after="120"/>
        <w:rPr>
          <w:rFonts w:eastAsia="Calibri" w:cs="Times New Roman"/>
          <w:color w:val="0000FF"/>
        </w:rPr>
      </w:pPr>
      <w:r>
        <w:rPr>
          <w:rFonts w:ascii="Calibri" w:eastAsia="Calibri" w:hAnsi="Calibri" w:cs="Times New Roman"/>
          <w:color w:val="0000FF"/>
        </w:rPr>
        <w:t>5</w:t>
      </w:r>
      <w:r w:rsidR="00D069F8" w:rsidRPr="00D069F8">
        <w:rPr>
          <w:rFonts w:ascii="Calibri" w:eastAsia="Calibri" w:hAnsi="Calibri" w:cs="Times New Roman"/>
          <w:color w:val="0000FF"/>
        </w:rPr>
        <w:t xml:space="preserve">. </w:t>
      </w:r>
      <w:r w:rsidR="005C6D90">
        <w:rPr>
          <w:rFonts w:ascii="Calibri" w:eastAsia="Calibri" w:hAnsi="Calibri" w:cs="Times New Roman"/>
          <w:color w:val="0000FF"/>
        </w:rPr>
        <w:tab/>
      </w:r>
      <w:r w:rsidR="006C142C" w:rsidRPr="00752BD9">
        <w:rPr>
          <w:rFonts w:eastAsia="Calibri" w:cs="Times New Roman"/>
          <w:color w:val="0000FF"/>
        </w:rPr>
        <w:t xml:space="preserve">Drolet, A., DeJuilio, P., Harkless, S., Henricks, S., Kamin, E., Leddy, E. A., </w:t>
      </w:r>
      <w:r w:rsidR="006C142C">
        <w:rPr>
          <w:rFonts w:eastAsia="Calibri" w:cs="Times New Roman"/>
          <w:color w:val="0000FF"/>
        </w:rPr>
        <w:t xml:space="preserve">&amp; </w:t>
      </w:r>
      <w:r w:rsidR="006C142C" w:rsidRPr="00752BD9">
        <w:rPr>
          <w:rFonts w:eastAsia="Calibri" w:cs="Times New Roman"/>
          <w:color w:val="0000FF"/>
        </w:rPr>
        <w:t>Williams, S. (2013). Move to</w:t>
      </w:r>
      <w:r w:rsidR="00DA3B23">
        <w:rPr>
          <w:rFonts w:eastAsia="Calibri" w:cs="Times New Roman"/>
          <w:color w:val="0000FF"/>
        </w:rPr>
        <w:t xml:space="preserve"> </w:t>
      </w:r>
      <w:r w:rsidR="006C142C" w:rsidRPr="00752BD9">
        <w:rPr>
          <w:rFonts w:eastAsia="Calibri" w:cs="Times New Roman"/>
          <w:color w:val="0000FF"/>
        </w:rPr>
        <w:t xml:space="preserve">improve: </w:t>
      </w:r>
      <w:r w:rsidR="006C142C">
        <w:rPr>
          <w:rFonts w:eastAsia="Calibri" w:cs="Times New Roman"/>
          <w:color w:val="0000FF"/>
        </w:rPr>
        <w:t>T</w:t>
      </w:r>
      <w:r w:rsidR="006C142C" w:rsidRPr="00752BD9">
        <w:rPr>
          <w:rFonts w:eastAsia="Calibri" w:cs="Times New Roman"/>
          <w:color w:val="0000FF"/>
        </w:rPr>
        <w:t xml:space="preserve">he feasibility of using an early mobility protocol to increase ambulation in the intensive and intermediate care settings. </w:t>
      </w:r>
      <w:r w:rsidR="006C142C" w:rsidRPr="00752BD9">
        <w:rPr>
          <w:rFonts w:eastAsia="Calibri" w:cs="Times New Roman"/>
          <w:i/>
          <w:color w:val="0000FF"/>
        </w:rPr>
        <w:t>Phys</w:t>
      </w:r>
      <w:r w:rsidR="006C142C">
        <w:rPr>
          <w:rFonts w:eastAsia="Calibri" w:cs="Times New Roman"/>
          <w:i/>
          <w:color w:val="0000FF"/>
        </w:rPr>
        <w:t>ical</w:t>
      </w:r>
      <w:r w:rsidR="006C142C" w:rsidRPr="00752BD9">
        <w:rPr>
          <w:rFonts w:eastAsia="Calibri" w:cs="Times New Roman"/>
          <w:i/>
          <w:color w:val="0000FF"/>
        </w:rPr>
        <w:t xml:space="preserve"> Ther</w:t>
      </w:r>
      <w:r w:rsidR="006C142C">
        <w:rPr>
          <w:rFonts w:eastAsia="Calibri" w:cs="Times New Roman"/>
          <w:i/>
          <w:color w:val="0000FF"/>
        </w:rPr>
        <w:t>apy</w:t>
      </w:r>
      <w:r w:rsidR="006C142C" w:rsidRPr="00752BD9">
        <w:rPr>
          <w:rFonts w:eastAsia="Calibri" w:cs="Times New Roman"/>
          <w:i/>
          <w:color w:val="0000FF"/>
        </w:rPr>
        <w:t>, 93</w:t>
      </w:r>
      <w:r w:rsidR="006C142C" w:rsidRPr="00036B89">
        <w:rPr>
          <w:rFonts w:eastAsia="Calibri" w:cs="Times New Roman"/>
          <w:i/>
          <w:color w:val="0000FF"/>
        </w:rPr>
        <w:t>,</w:t>
      </w:r>
      <w:r w:rsidR="006C142C" w:rsidRPr="00752BD9">
        <w:rPr>
          <w:rFonts w:eastAsia="Calibri" w:cs="Times New Roman"/>
          <w:color w:val="0000FF"/>
        </w:rPr>
        <w:t xml:space="preserve"> 197</w:t>
      </w:r>
      <w:r w:rsidR="006C142C">
        <w:rPr>
          <w:rFonts w:eastAsia="Calibri" w:cs="Times New Roman"/>
          <w:color w:val="0000FF"/>
        </w:rPr>
        <w:t>–</w:t>
      </w:r>
      <w:r w:rsidR="006C142C" w:rsidRPr="00752BD9">
        <w:rPr>
          <w:rFonts w:eastAsia="Calibri" w:cs="Times New Roman"/>
          <w:color w:val="0000FF"/>
        </w:rPr>
        <w:t>207.</w:t>
      </w:r>
    </w:p>
    <w:p w:rsidR="00D069F8" w:rsidRPr="00D069F8" w:rsidRDefault="00D069F8" w:rsidP="008A3E4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 xml:space="preserve">Prolonged bed rest in hospitalized patients leads to deconditioning, impaired mobility, and the potential for longer hospital stays. The initial experience with a nurse-driven mobility protocol suggests that the rate of patient ambulation in an adult </w:t>
      </w:r>
      <w:r w:rsidR="008A3E40">
        <w:rPr>
          <w:rFonts w:ascii="Calibri" w:eastAsia="Calibri" w:hAnsi="Calibri" w:cs="Times New Roman"/>
          <w:color w:val="0000FF"/>
        </w:rPr>
        <w:t>intensive care unit</w:t>
      </w:r>
      <w:r w:rsidRPr="00D069F8">
        <w:rPr>
          <w:rFonts w:ascii="Calibri" w:eastAsia="Calibri" w:hAnsi="Calibri" w:cs="Times New Roman"/>
          <w:color w:val="0000FF"/>
        </w:rPr>
        <w:t xml:space="preserve"> and </w:t>
      </w:r>
      <w:r w:rsidR="008A3E40">
        <w:rPr>
          <w:rFonts w:ascii="Calibri" w:eastAsia="Calibri" w:hAnsi="Calibri" w:cs="Times New Roman"/>
          <w:color w:val="0000FF"/>
        </w:rPr>
        <w:t xml:space="preserve">intensive medical care unit </w:t>
      </w:r>
      <w:r w:rsidRPr="00D069F8">
        <w:rPr>
          <w:rFonts w:ascii="Calibri" w:eastAsia="Calibri" w:hAnsi="Calibri" w:cs="Times New Roman"/>
          <w:color w:val="0000FF"/>
        </w:rPr>
        <w:t>during the first 72 hours of a hospital stay can be increased.</w:t>
      </w:r>
    </w:p>
    <w:p w:rsidR="00D069F8" w:rsidRPr="00D069F8" w:rsidRDefault="001B789C" w:rsidP="005C6D90">
      <w:pPr>
        <w:spacing w:before="240" w:after="240"/>
        <w:rPr>
          <w:rFonts w:ascii="Calibri" w:eastAsia="Calibri" w:hAnsi="Calibri" w:cs="Times New Roman"/>
          <w:color w:val="0000FF"/>
        </w:rPr>
      </w:pPr>
      <w:r>
        <w:rPr>
          <w:rFonts w:ascii="Calibri" w:eastAsia="Calibri" w:hAnsi="Calibri" w:cs="Times New Roman"/>
          <w:color w:val="0000FF"/>
        </w:rPr>
        <w:t>6</w:t>
      </w:r>
      <w:r w:rsidR="00D069F8" w:rsidRPr="00D069F8">
        <w:rPr>
          <w:rFonts w:ascii="Calibri" w:eastAsia="Calibri" w:hAnsi="Calibri" w:cs="Times New Roman"/>
          <w:color w:val="0000FF"/>
        </w:rPr>
        <w:t xml:space="preserve">. </w:t>
      </w:r>
      <w:r w:rsidR="005C6D90">
        <w:rPr>
          <w:rFonts w:ascii="Calibri" w:eastAsia="Calibri" w:hAnsi="Calibri" w:cs="Times New Roman"/>
          <w:color w:val="0000FF"/>
        </w:rPr>
        <w:tab/>
      </w:r>
      <w:r w:rsidR="00D069F8" w:rsidRPr="00D069F8">
        <w:rPr>
          <w:rFonts w:ascii="Calibri" w:eastAsia="Calibri" w:hAnsi="Calibri" w:cs="Times New Roman"/>
          <w:color w:val="0000FF"/>
        </w:rPr>
        <w:t>Engel, H. J., Needham</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D. M.</w:t>
      </w:r>
      <w:r w:rsidR="00D069F8" w:rsidRPr="00D069F8">
        <w:rPr>
          <w:rFonts w:ascii="Calibri" w:eastAsia="Calibri" w:hAnsi="Calibri" w:cs="Times New Roman"/>
          <w:color w:val="0000FF"/>
        </w:rPr>
        <w:t>, Morris</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P. E.</w:t>
      </w:r>
      <w:r w:rsidR="00D069F8" w:rsidRPr="00D069F8">
        <w:rPr>
          <w:rFonts w:ascii="Calibri" w:eastAsia="Calibri" w:hAnsi="Calibri" w:cs="Times New Roman"/>
          <w:color w:val="0000FF"/>
        </w:rPr>
        <w:t xml:space="preserve">, </w:t>
      </w:r>
      <w:r w:rsidR="006C142C">
        <w:rPr>
          <w:rFonts w:ascii="Calibri" w:eastAsia="Calibri" w:hAnsi="Calibri" w:cs="Times New Roman"/>
          <w:color w:val="0000FF"/>
        </w:rPr>
        <w:t>&amp;</w:t>
      </w:r>
      <w:r w:rsidR="006C142C" w:rsidRPr="00D069F8">
        <w:rPr>
          <w:rFonts w:ascii="Calibri" w:eastAsia="Calibri" w:hAnsi="Calibri" w:cs="Times New Roman"/>
          <w:color w:val="0000FF"/>
        </w:rPr>
        <w:t xml:space="preserve"> </w:t>
      </w:r>
      <w:r w:rsidR="00D069F8" w:rsidRPr="00D069F8">
        <w:rPr>
          <w:rFonts w:ascii="Calibri" w:eastAsia="Calibri" w:hAnsi="Calibri" w:cs="Times New Roman"/>
          <w:color w:val="0000FF"/>
        </w:rPr>
        <w:t>Gropper</w:t>
      </w:r>
      <w:r w:rsidR="006C142C">
        <w:rPr>
          <w:rFonts w:ascii="Calibri" w:eastAsia="Calibri" w:hAnsi="Calibri" w:cs="Times New Roman"/>
          <w:color w:val="0000FF"/>
        </w:rPr>
        <w:t xml:space="preserve">, </w:t>
      </w:r>
      <w:r w:rsidR="006C142C" w:rsidRPr="00D069F8">
        <w:rPr>
          <w:rFonts w:ascii="Calibri" w:eastAsia="Calibri" w:hAnsi="Calibri" w:cs="Times New Roman"/>
          <w:color w:val="0000FF"/>
        </w:rPr>
        <w:t>M. A</w:t>
      </w:r>
      <w:r w:rsidR="00D069F8"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(2013). </w:t>
      </w:r>
      <w:r w:rsidR="00D069F8" w:rsidRPr="00D069F8">
        <w:rPr>
          <w:rFonts w:ascii="Calibri" w:eastAsia="Calibri" w:hAnsi="Calibri" w:cs="Times New Roman"/>
          <w:color w:val="0000FF"/>
        </w:rPr>
        <w:t>I</w:t>
      </w:r>
      <w:r w:rsidR="005E42EA">
        <w:rPr>
          <w:rFonts w:ascii="Calibri" w:eastAsia="Calibri" w:hAnsi="Calibri" w:cs="Times New Roman"/>
          <w:color w:val="0000FF"/>
        </w:rPr>
        <w:t>CU</w:t>
      </w:r>
      <w:r w:rsidR="00D069F8" w:rsidRPr="00D069F8">
        <w:rPr>
          <w:rFonts w:ascii="Calibri" w:eastAsia="Calibri" w:hAnsi="Calibri" w:cs="Times New Roman"/>
          <w:color w:val="0000FF"/>
        </w:rPr>
        <w:t xml:space="preserve"> </w:t>
      </w:r>
      <w:r w:rsidR="006C142C" w:rsidRPr="00D069F8">
        <w:rPr>
          <w:rFonts w:ascii="Calibri" w:eastAsia="Calibri" w:hAnsi="Calibri" w:cs="Times New Roman"/>
          <w:color w:val="0000FF"/>
        </w:rPr>
        <w:t>early mobilization</w:t>
      </w:r>
      <w:r w:rsidR="00D069F8" w:rsidRPr="00D069F8">
        <w:rPr>
          <w:rFonts w:ascii="Calibri" w:eastAsia="Calibri" w:hAnsi="Calibri" w:cs="Times New Roman"/>
          <w:color w:val="0000FF"/>
        </w:rPr>
        <w:t xml:space="preserve">: From </w:t>
      </w:r>
      <w:r w:rsidR="006C142C" w:rsidRPr="00D069F8">
        <w:rPr>
          <w:rFonts w:ascii="Calibri" w:eastAsia="Calibri" w:hAnsi="Calibri" w:cs="Times New Roman"/>
          <w:color w:val="0000FF"/>
        </w:rPr>
        <w:t>recommendation to implementation at three medical centers</w:t>
      </w:r>
      <w:r w:rsidR="00D069F8" w:rsidRPr="00D069F8">
        <w:rPr>
          <w:rFonts w:ascii="Calibri" w:eastAsia="Calibri" w:hAnsi="Calibri" w:cs="Times New Roman"/>
          <w:color w:val="0000FF"/>
        </w:rPr>
        <w:t xml:space="preserve">. </w:t>
      </w:r>
      <w:r w:rsidR="00D069F8" w:rsidRPr="00D069F8">
        <w:rPr>
          <w:rFonts w:ascii="Calibri" w:eastAsia="Calibri" w:hAnsi="Calibri" w:cs="Times New Roman"/>
          <w:i/>
          <w:iCs/>
          <w:color w:val="0000FF"/>
        </w:rPr>
        <w:t>Crit</w:t>
      </w:r>
      <w:r w:rsidR="006C142C">
        <w:rPr>
          <w:rFonts w:ascii="Calibri" w:eastAsia="Calibri" w:hAnsi="Calibri" w:cs="Times New Roman"/>
          <w:i/>
          <w:iCs/>
          <w:color w:val="0000FF"/>
        </w:rPr>
        <w:t>ical</w:t>
      </w:r>
      <w:r w:rsidR="00D069F8" w:rsidRPr="00D069F8">
        <w:rPr>
          <w:rFonts w:ascii="Calibri" w:eastAsia="Calibri" w:hAnsi="Calibri" w:cs="Times New Roman"/>
          <w:i/>
          <w:iCs/>
          <w:color w:val="0000FF"/>
        </w:rPr>
        <w:t xml:space="preserve"> Care Med</w:t>
      </w:r>
      <w:r w:rsidR="006C142C">
        <w:rPr>
          <w:rFonts w:ascii="Calibri" w:eastAsia="Calibri" w:hAnsi="Calibri" w:cs="Times New Roman"/>
          <w:i/>
          <w:iCs/>
          <w:color w:val="0000FF"/>
        </w:rPr>
        <w:t>icine,</w:t>
      </w:r>
      <w:r w:rsidR="00D069F8" w:rsidRPr="00D069F8">
        <w:rPr>
          <w:rFonts w:ascii="Calibri" w:eastAsia="Calibri" w:hAnsi="Calibri" w:cs="Times New Roman"/>
          <w:i/>
          <w:iCs/>
          <w:color w:val="0000FF"/>
        </w:rPr>
        <w:t xml:space="preserve"> </w:t>
      </w:r>
      <w:r w:rsidR="00D069F8" w:rsidRPr="00D069F8">
        <w:rPr>
          <w:rFonts w:ascii="Calibri" w:eastAsia="Calibri" w:hAnsi="Calibri" w:cs="Times New Roman"/>
          <w:color w:val="0000FF"/>
        </w:rPr>
        <w:t>41</w:t>
      </w:r>
      <w:r w:rsidR="00423F6D">
        <w:rPr>
          <w:rFonts w:ascii="Calibri" w:eastAsia="Calibri" w:hAnsi="Calibri" w:cs="Times New Roman"/>
          <w:color w:val="0000FF"/>
        </w:rPr>
        <w:t>(</w:t>
      </w:r>
      <w:r w:rsidR="00D069F8" w:rsidRPr="00D069F8">
        <w:rPr>
          <w:rFonts w:ascii="Calibri" w:eastAsia="Calibri" w:hAnsi="Calibri" w:cs="Times New Roman"/>
          <w:color w:val="0000FF"/>
        </w:rPr>
        <w:t>Suppl</w:t>
      </w:r>
      <w:r w:rsidR="00423F6D">
        <w:rPr>
          <w:rFonts w:ascii="Calibri" w:eastAsia="Calibri" w:hAnsi="Calibri" w:cs="Times New Roman"/>
          <w:color w:val="0000FF"/>
        </w:rPr>
        <w:t>.</w:t>
      </w:r>
      <w:r w:rsidR="00D069F8" w:rsidRPr="00D069F8">
        <w:rPr>
          <w:rFonts w:ascii="Calibri" w:eastAsia="Calibri" w:hAnsi="Calibri" w:cs="Times New Roman"/>
          <w:color w:val="0000FF"/>
        </w:rPr>
        <w:t xml:space="preserve"> </w:t>
      </w:r>
      <w:r w:rsidR="00423F6D">
        <w:rPr>
          <w:rFonts w:ascii="Calibri" w:eastAsia="Calibri" w:hAnsi="Calibri" w:cs="Times New Roman"/>
          <w:color w:val="0000FF"/>
        </w:rPr>
        <w:t>9</w:t>
      </w:r>
      <w:r w:rsidR="00D069F8" w:rsidRPr="00D069F8">
        <w:rPr>
          <w:rFonts w:ascii="Calibri" w:eastAsia="Calibri" w:hAnsi="Calibri" w:cs="Times New Roman"/>
          <w:color w:val="0000FF"/>
        </w:rPr>
        <w:t>)</w:t>
      </w:r>
      <w:r w:rsidR="00423F6D">
        <w:rPr>
          <w:rFonts w:ascii="Calibri" w:eastAsia="Calibri" w:hAnsi="Calibri" w:cs="Times New Roman"/>
          <w:color w:val="0000FF"/>
        </w:rPr>
        <w:t>,</w:t>
      </w:r>
      <w:r w:rsidR="00D069F8" w:rsidRPr="00D069F8">
        <w:rPr>
          <w:rFonts w:ascii="Calibri" w:eastAsia="Calibri" w:hAnsi="Calibri" w:cs="Times New Roman"/>
          <w:color w:val="0000FF"/>
        </w:rPr>
        <w:t xml:space="preserve"> S69</w:t>
      </w:r>
      <w:r w:rsidR="00423F6D">
        <w:rPr>
          <w:rFonts w:ascii="Calibri" w:eastAsia="Calibri" w:hAnsi="Calibri" w:cs="Times New Roman"/>
          <w:color w:val="0000FF"/>
        </w:rPr>
        <w:t>–S</w:t>
      </w:r>
      <w:r w:rsidR="00D069F8" w:rsidRPr="00D069F8">
        <w:rPr>
          <w:rFonts w:ascii="Calibri" w:eastAsia="Calibri" w:hAnsi="Calibri" w:cs="Times New Roman"/>
          <w:color w:val="0000FF"/>
        </w:rPr>
        <w:t>80.</w:t>
      </w:r>
    </w:p>
    <w:p w:rsidR="00D069F8" w:rsidRPr="00D069F8" w:rsidRDefault="004D798B" w:rsidP="008A3E40">
      <w:pPr>
        <w:spacing w:before="240" w:after="240"/>
        <w:ind w:firstLine="0"/>
        <w:rPr>
          <w:rFonts w:ascii="Calibri" w:eastAsia="Calibri" w:hAnsi="Calibri" w:cs="Times New Roman"/>
          <w:color w:val="0000FF"/>
        </w:rPr>
      </w:pPr>
      <w:r>
        <w:rPr>
          <w:rFonts w:ascii="Calibri" w:eastAsia="Calibri" w:hAnsi="Calibri" w:cs="Times New Roman"/>
          <w:color w:val="0000FF"/>
        </w:rPr>
        <w:t>The goal of this study was t</w:t>
      </w:r>
      <w:r w:rsidR="00D069F8" w:rsidRPr="00D069F8">
        <w:rPr>
          <w:rFonts w:ascii="Calibri" w:eastAsia="Calibri" w:hAnsi="Calibri" w:cs="Times New Roman"/>
          <w:color w:val="0000FF"/>
        </w:rPr>
        <w:t xml:space="preserve">o compare and contrast the process used to implement an early mobility program in </w:t>
      </w:r>
      <w:r w:rsidR="008A3E40">
        <w:rPr>
          <w:rFonts w:ascii="Calibri" w:eastAsia="Calibri" w:hAnsi="Calibri" w:cs="Times New Roman"/>
          <w:color w:val="0000FF"/>
        </w:rPr>
        <w:t>intensive care units</w:t>
      </w:r>
      <w:r w:rsidR="00D069F8" w:rsidRPr="00D069F8">
        <w:rPr>
          <w:rFonts w:ascii="Calibri" w:eastAsia="Calibri" w:hAnsi="Calibri" w:cs="Times New Roman"/>
          <w:color w:val="0000FF"/>
        </w:rPr>
        <w:t xml:space="preserve"> at three different medical centers and to assess their impact on clinical outcomes in critically ill patients.</w:t>
      </w:r>
      <w:r w:rsidR="003B54B7">
        <w:rPr>
          <w:rFonts w:ascii="Calibri" w:eastAsia="Calibri" w:hAnsi="Calibri" w:cs="Times New Roman"/>
          <w:color w:val="0000FF"/>
        </w:rPr>
        <w:t xml:space="preserve"> </w:t>
      </w:r>
      <w:r w:rsidR="00D069F8" w:rsidRPr="00D069F8">
        <w:rPr>
          <w:rFonts w:ascii="Calibri" w:eastAsia="Calibri" w:hAnsi="Calibri" w:cs="Times New Roman"/>
          <w:color w:val="0000FF"/>
        </w:rPr>
        <w:t xml:space="preserve">Instituting a planned, structured </w:t>
      </w:r>
      <w:r w:rsidR="008A3E40">
        <w:rPr>
          <w:rFonts w:ascii="Calibri" w:eastAsia="Calibri" w:hAnsi="Calibri" w:cs="Times New Roman"/>
          <w:color w:val="0000FF"/>
        </w:rPr>
        <w:t>intensive care unit</w:t>
      </w:r>
      <w:r w:rsidR="00D069F8" w:rsidRPr="00D069F8">
        <w:rPr>
          <w:rFonts w:ascii="Calibri" w:eastAsia="Calibri" w:hAnsi="Calibri" w:cs="Times New Roman"/>
          <w:color w:val="0000FF"/>
        </w:rPr>
        <w:t xml:space="preserve"> early mobility quality improvement project can result in improved outcomes and reduced costs for </w:t>
      </w:r>
      <w:r w:rsidR="008A3E40">
        <w:rPr>
          <w:rFonts w:ascii="Calibri" w:eastAsia="Calibri" w:hAnsi="Calibri" w:cs="Times New Roman"/>
          <w:color w:val="0000FF"/>
        </w:rPr>
        <w:t>intensive care unit</w:t>
      </w:r>
      <w:r w:rsidR="00D069F8" w:rsidRPr="00D069F8">
        <w:rPr>
          <w:rFonts w:ascii="Calibri" w:eastAsia="Calibri" w:hAnsi="Calibri" w:cs="Times New Roman"/>
          <w:color w:val="0000FF"/>
        </w:rPr>
        <w:t xml:space="preserve"> patients across healthcare systems.</w:t>
      </w:r>
    </w:p>
    <w:p w:rsidR="00D069F8" w:rsidRPr="00D069F8" w:rsidRDefault="001B789C" w:rsidP="005C6D90">
      <w:pPr>
        <w:spacing w:before="240" w:after="240"/>
        <w:rPr>
          <w:rFonts w:ascii="Calibri" w:eastAsia="Calibri" w:hAnsi="Calibri" w:cs="Times New Roman"/>
          <w:color w:val="0000FF"/>
        </w:rPr>
      </w:pPr>
      <w:r>
        <w:rPr>
          <w:rFonts w:ascii="Calibri" w:eastAsia="Calibri" w:hAnsi="Calibri" w:cs="Times New Roman"/>
          <w:color w:val="0000FF"/>
        </w:rPr>
        <w:t>7</w:t>
      </w:r>
      <w:r w:rsidR="00D069F8" w:rsidRPr="00D069F8">
        <w:rPr>
          <w:rFonts w:ascii="Calibri" w:eastAsia="Calibri" w:hAnsi="Calibri" w:cs="Times New Roman"/>
          <w:color w:val="0000FF"/>
        </w:rPr>
        <w:t xml:space="preserve">. </w:t>
      </w:r>
      <w:r w:rsidR="005C6D90">
        <w:rPr>
          <w:rFonts w:ascii="Calibri" w:eastAsia="Calibri" w:hAnsi="Calibri" w:cs="Times New Roman"/>
          <w:color w:val="0000FF"/>
        </w:rPr>
        <w:tab/>
      </w:r>
      <w:r w:rsidR="00D069F8" w:rsidRPr="00D069F8">
        <w:rPr>
          <w:rFonts w:ascii="Calibri" w:eastAsia="Calibri" w:hAnsi="Calibri" w:cs="Times New Roman"/>
          <w:color w:val="0000FF"/>
        </w:rPr>
        <w:t>Li, Z., Peng</w:t>
      </w:r>
      <w:r w:rsidR="00423F6D">
        <w:rPr>
          <w:rFonts w:ascii="Calibri" w:eastAsia="Calibri" w:hAnsi="Calibri" w:cs="Times New Roman"/>
          <w:color w:val="0000FF"/>
        </w:rPr>
        <w:t>, X.</w:t>
      </w:r>
      <w:r w:rsidR="00D069F8" w:rsidRPr="00D069F8">
        <w:rPr>
          <w:rFonts w:ascii="Calibri" w:eastAsia="Calibri" w:hAnsi="Calibri" w:cs="Times New Roman"/>
          <w:color w:val="0000FF"/>
        </w:rPr>
        <w:t>, Zhu</w:t>
      </w:r>
      <w:r w:rsidR="00423F6D">
        <w:rPr>
          <w:rFonts w:ascii="Calibri" w:eastAsia="Calibri" w:hAnsi="Calibri" w:cs="Times New Roman"/>
          <w:color w:val="0000FF"/>
        </w:rPr>
        <w:t>, B.</w:t>
      </w:r>
      <w:r w:rsidR="00D069F8" w:rsidRPr="00D069F8">
        <w:rPr>
          <w:rFonts w:ascii="Calibri" w:eastAsia="Calibri" w:hAnsi="Calibri" w:cs="Times New Roman"/>
          <w:color w:val="0000FF"/>
        </w:rPr>
        <w:t>, Zhang</w:t>
      </w:r>
      <w:r w:rsidR="00423F6D">
        <w:rPr>
          <w:rFonts w:ascii="Calibri" w:eastAsia="Calibri" w:hAnsi="Calibri" w:cs="Times New Roman"/>
          <w:color w:val="0000FF"/>
        </w:rPr>
        <w:t>, Y.</w:t>
      </w:r>
      <w:r w:rsidR="00D069F8"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&amp; </w:t>
      </w:r>
      <w:r w:rsidR="00D069F8" w:rsidRPr="00D069F8">
        <w:rPr>
          <w:rFonts w:ascii="Calibri" w:eastAsia="Calibri" w:hAnsi="Calibri" w:cs="Times New Roman"/>
          <w:color w:val="0000FF"/>
        </w:rPr>
        <w:t>Xi</w:t>
      </w:r>
      <w:r w:rsidR="00423F6D">
        <w:rPr>
          <w:rFonts w:ascii="Calibri" w:eastAsia="Calibri" w:hAnsi="Calibri" w:cs="Times New Roman"/>
          <w:color w:val="0000FF"/>
        </w:rPr>
        <w:t>, X</w:t>
      </w:r>
      <w:r w:rsidR="00D069F8"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(2013). </w:t>
      </w:r>
      <w:r w:rsidR="00D069F8" w:rsidRPr="00D069F8">
        <w:rPr>
          <w:rFonts w:ascii="Calibri" w:eastAsia="Calibri" w:hAnsi="Calibri" w:cs="Times New Roman"/>
          <w:color w:val="0000FF"/>
        </w:rPr>
        <w:t xml:space="preserve">Active </w:t>
      </w:r>
      <w:r w:rsidR="00423F6D" w:rsidRPr="00D069F8">
        <w:rPr>
          <w:rFonts w:ascii="Calibri" w:eastAsia="Calibri" w:hAnsi="Calibri" w:cs="Times New Roman"/>
          <w:color w:val="0000FF"/>
        </w:rPr>
        <w:t>mobilization for mechanically ventilated patients</w:t>
      </w:r>
      <w:r w:rsidR="00D069F8" w:rsidRPr="00D069F8">
        <w:rPr>
          <w:rFonts w:ascii="Calibri" w:eastAsia="Calibri" w:hAnsi="Calibri" w:cs="Times New Roman"/>
          <w:color w:val="0000FF"/>
        </w:rPr>
        <w:t xml:space="preserve">: A </w:t>
      </w:r>
      <w:r w:rsidR="00423F6D" w:rsidRPr="00D069F8">
        <w:rPr>
          <w:rFonts w:ascii="Calibri" w:eastAsia="Calibri" w:hAnsi="Calibri" w:cs="Times New Roman"/>
          <w:color w:val="0000FF"/>
        </w:rPr>
        <w:t>systematic review</w:t>
      </w:r>
      <w:r w:rsidR="00D069F8" w:rsidRPr="00D069F8">
        <w:rPr>
          <w:rFonts w:ascii="Calibri" w:eastAsia="Calibri" w:hAnsi="Calibri" w:cs="Times New Roman"/>
          <w:color w:val="0000FF"/>
        </w:rPr>
        <w:t xml:space="preserve">. </w:t>
      </w:r>
      <w:r w:rsidR="00D069F8" w:rsidRPr="00D069F8">
        <w:rPr>
          <w:rFonts w:ascii="Calibri" w:eastAsia="Calibri" w:hAnsi="Calibri" w:cs="Times New Roman"/>
          <w:i/>
          <w:iCs/>
          <w:color w:val="0000FF"/>
        </w:rPr>
        <w:t>Arch</w:t>
      </w:r>
      <w:r w:rsidR="00423F6D">
        <w:rPr>
          <w:rFonts w:ascii="Calibri" w:eastAsia="Calibri" w:hAnsi="Calibri" w:cs="Times New Roman"/>
          <w:i/>
          <w:iCs/>
          <w:color w:val="0000FF"/>
        </w:rPr>
        <w:t>ives of</w:t>
      </w:r>
      <w:r w:rsidR="00D069F8" w:rsidRPr="00D069F8">
        <w:rPr>
          <w:rFonts w:ascii="Calibri" w:eastAsia="Calibri" w:hAnsi="Calibri" w:cs="Times New Roman"/>
          <w:i/>
          <w:iCs/>
          <w:color w:val="0000FF"/>
        </w:rPr>
        <w:t xml:space="preserve"> Phys</w:t>
      </w:r>
      <w:r w:rsidR="00423F6D">
        <w:rPr>
          <w:rFonts w:ascii="Calibri" w:eastAsia="Calibri" w:hAnsi="Calibri" w:cs="Times New Roman"/>
          <w:i/>
          <w:iCs/>
          <w:color w:val="0000FF"/>
        </w:rPr>
        <w:t>ical</w:t>
      </w:r>
      <w:r w:rsidR="00D069F8" w:rsidRPr="00D069F8">
        <w:rPr>
          <w:rFonts w:ascii="Calibri" w:eastAsia="Calibri" w:hAnsi="Calibri" w:cs="Times New Roman"/>
          <w:i/>
          <w:iCs/>
          <w:color w:val="0000FF"/>
        </w:rPr>
        <w:t xml:space="preserve"> Med</w:t>
      </w:r>
      <w:r w:rsidR="00423F6D">
        <w:rPr>
          <w:rFonts w:ascii="Calibri" w:eastAsia="Calibri" w:hAnsi="Calibri" w:cs="Times New Roman"/>
          <w:i/>
          <w:iCs/>
          <w:color w:val="0000FF"/>
        </w:rPr>
        <w:t>icine and</w:t>
      </w:r>
      <w:r w:rsidR="00D069F8" w:rsidRPr="00D069F8">
        <w:rPr>
          <w:rFonts w:ascii="Calibri" w:eastAsia="Calibri" w:hAnsi="Calibri" w:cs="Times New Roman"/>
          <w:i/>
          <w:iCs/>
          <w:color w:val="0000FF"/>
        </w:rPr>
        <w:t xml:space="preserve"> Rehabil</w:t>
      </w:r>
      <w:r w:rsidR="00423F6D">
        <w:rPr>
          <w:rFonts w:ascii="Calibri" w:eastAsia="Calibri" w:hAnsi="Calibri" w:cs="Times New Roman"/>
          <w:i/>
          <w:iCs/>
          <w:color w:val="0000FF"/>
        </w:rPr>
        <w:t>itation,</w:t>
      </w:r>
      <w:r w:rsidR="00D069F8" w:rsidRPr="00D069F8">
        <w:rPr>
          <w:rFonts w:ascii="Calibri" w:eastAsia="Calibri" w:hAnsi="Calibri" w:cs="Times New Roman"/>
          <w:i/>
          <w:iCs/>
          <w:color w:val="0000FF"/>
        </w:rPr>
        <w:t xml:space="preserve"> </w:t>
      </w:r>
      <w:r w:rsidR="00D069F8" w:rsidRPr="00036B89">
        <w:rPr>
          <w:rFonts w:ascii="Calibri" w:eastAsia="Calibri" w:hAnsi="Calibri" w:cs="Times New Roman"/>
          <w:i/>
          <w:color w:val="0000FF"/>
        </w:rPr>
        <w:t xml:space="preserve">94, </w:t>
      </w:r>
      <w:r w:rsidR="00D069F8" w:rsidRPr="00D069F8">
        <w:rPr>
          <w:rFonts w:ascii="Calibri" w:eastAsia="Calibri" w:hAnsi="Calibri" w:cs="Times New Roman"/>
          <w:color w:val="0000FF"/>
        </w:rPr>
        <w:t>551</w:t>
      </w:r>
      <w:r w:rsidR="00423F6D">
        <w:rPr>
          <w:rFonts w:ascii="Calibri" w:eastAsia="Calibri" w:hAnsi="Calibri" w:cs="Times New Roman"/>
          <w:color w:val="0000FF"/>
        </w:rPr>
        <w:t>–5</w:t>
      </w:r>
      <w:r w:rsidR="00D069F8" w:rsidRPr="00D069F8">
        <w:rPr>
          <w:rFonts w:ascii="Calibri" w:eastAsia="Calibri" w:hAnsi="Calibri" w:cs="Times New Roman"/>
          <w:color w:val="0000FF"/>
        </w:rPr>
        <w:t>61.</w:t>
      </w:r>
    </w:p>
    <w:p w:rsidR="00D069F8" w:rsidRPr="00D069F8" w:rsidRDefault="004D798B" w:rsidP="008A3E40">
      <w:pPr>
        <w:spacing w:before="240" w:after="240"/>
        <w:ind w:firstLine="0"/>
        <w:rPr>
          <w:rFonts w:ascii="Calibri" w:eastAsia="Calibri" w:hAnsi="Calibri" w:cs="Times New Roman"/>
          <w:color w:val="0000FF"/>
        </w:rPr>
      </w:pPr>
      <w:r>
        <w:rPr>
          <w:rFonts w:ascii="Calibri" w:eastAsia="Calibri" w:hAnsi="Calibri" w:cs="Times New Roman"/>
          <w:color w:val="0000FF"/>
        </w:rPr>
        <w:t>The goal of this study is to</w:t>
      </w:r>
      <w:r w:rsidR="00D069F8" w:rsidRPr="00D069F8">
        <w:rPr>
          <w:rFonts w:ascii="Calibri" w:eastAsia="Calibri" w:hAnsi="Calibri" w:cs="Times New Roman"/>
          <w:color w:val="0000FF"/>
        </w:rPr>
        <w:t xml:space="preserve"> investigate the effectiveness and safety of active mobilization on improving physical function</w:t>
      </w:r>
      <w:r w:rsidR="005E42EA">
        <w:rPr>
          <w:rFonts w:ascii="Calibri" w:eastAsia="Calibri" w:hAnsi="Calibri" w:cs="Times New Roman"/>
          <w:color w:val="0000FF"/>
        </w:rPr>
        <w:t>.</w:t>
      </w:r>
      <w:r w:rsidR="00D069F8" w:rsidRPr="00D069F8">
        <w:rPr>
          <w:rFonts w:ascii="Calibri" w:eastAsia="Calibri" w:hAnsi="Calibri" w:cs="Times New Roman"/>
          <w:color w:val="0000FF"/>
        </w:rPr>
        <w:t xml:space="preserve"> Active mobilization appears to have a positive effect on physical function and hospital outcomes in mechanical ventilation patients. Early active mobilization protocols may be initiated safely in the </w:t>
      </w:r>
      <w:r w:rsidR="008A3E40">
        <w:rPr>
          <w:rFonts w:ascii="Calibri" w:eastAsia="Calibri" w:hAnsi="Calibri" w:cs="Times New Roman"/>
          <w:color w:val="0000FF"/>
        </w:rPr>
        <w:t>intensive care unit</w:t>
      </w:r>
      <w:r w:rsidR="00D069F8" w:rsidRPr="00D069F8">
        <w:rPr>
          <w:rFonts w:ascii="Calibri" w:eastAsia="Calibri" w:hAnsi="Calibri" w:cs="Times New Roman"/>
          <w:color w:val="0000FF"/>
        </w:rPr>
        <w:t xml:space="preserve"> setting and continued in post-</w:t>
      </w:r>
      <w:r w:rsidR="008A3E40">
        <w:rPr>
          <w:rFonts w:ascii="Calibri" w:eastAsia="Calibri" w:hAnsi="Calibri" w:cs="Times New Roman"/>
          <w:color w:val="0000FF"/>
        </w:rPr>
        <w:t xml:space="preserve">intensive care unit </w:t>
      </w:r>
      <w:r w:rsidR="00D069F8" w:rsidRPr="00D069F8">
        <w:rPr>
          <w:rFonts w:ascii="Calibri" w:eastAsia="Calibri" w:hAnsi="Calibri" w:cs="Times New Roman"/>
          <w:color w:val="0000FF"/>
        </w:rPr>
        <w:t>settings. However, the current available studies have great heterogeneity and limited methodologic quality. Further research is needed to provide more robust evidence to support the effectiveness and safety of active mobilization.</w:t>
      </w:r>
    </w:p>
    <w:p w:rsidR="00D069F8" w:rsidRPr="00D069F8" w:rsidRDefault="001B789C" w:rsidP="005C6D90">
      <w:pPr>
        <w:spacing w:before="240" w:after="240"/>
        <w:rPr>
          <w:rFonts w:ascii="Calibri" w:eastAsia="Calibri" w:hAnsi="Calibri" w:cs="Times New Roman"/>
          <w:color w:val="0000FF"/>
        </w:rPr>
      </w:pPr>
      <w:r>
        <w:rPr>
          <w:rFonts w:ascii="Calibri" w:eastAsia="Calibri" w:hAnsi="Calibri" w:cs="Times New Roman"/>
          <w:color w:val="0000FF"/>
        </w:rPr>
        <w:lastRenderedPageBreak/>
        <w:t>8</w:t>
      </w:r>
      <w:r w:rsidR="00D069F8" w:rsidRPr="00D069F8">
        <w:rPr>
          <w:rFonts w:ascii="Calibri" w:eastAsia="Calibri" w:hAnsi="Calibri" w:cs="Times New Roman"/>
          <w:color w:val="0000FF"/>
        </w:rPr>
        <w:t xml:space="preserve">. </w:t>
      </w:r>
      <w:r w:rsidR="005C6D90">
        <w:rPr>
          <w:rFonts w:ascii="Calibri" w:eastAsia="Calibri" w:hAnsi="Calibri" w:cs="Times New Roman"/>
          <w:color w:val="0000FF"/>
        </w:rPr>
        <w:tab/>
      </w:r>
      <w:r w:rsidR="00D069F8" w:rsidRPr="00D069F8">
        <w:rPr>
          <w:rFonts w:ascii="Calibri" w:eastAsia="Calibri" w:hAnsi="Calibri" w:cs="Times New Roman"/>
          <w:color w:val="0000FF"/>
        </w:rPr>
        <w:t xml:space="preserve">Rochester, C. L. </w:t>
      </w:r>
      <w:r w:rsidR="00423F6D">
        <w:rPr>
          <w:rFonts w:ascii="Calibri" w:eastAsia="Calibri" w:hAnsi="Calibri" w:cs="Times New Roman"/>
          <w:color w:val="0000FF"/>
        </w:rPr>
        <w:t xml:space="preserve">(2009). </w:t>
      </w:r>
      <w:r w:rsidR="00D069F8" w:rsidRPr="00D069F8">
        <w:rPr>
          <w:rFonts w:ascii="Calibri" w:eastAsia="Calibri" w:hAnsi="Calibri" w:cs="Times New Roman"/>
          <w:color w:val="0000FF"/>
        </w:rPr>
        <w:t xml:space="preserve">Rehabilitation in the </w:t>
      </w:r>
      <w:r w:rsidR="00423F6D" w:rsidRPr="00D069F8">
        <w:rPr>
          <w:rFonts w:ascii="Calibri" w:eastAsia="Calibri" w:hAnsi="Calibri" w:cs="Times New Roman"/>
          <w:color w:val="0000FF"/>
        </w:rPr>
        <w:t>intensive care unit.</w:t>
      </w:r>
      <w:r w:rsidR="00D069F8" w:rsidRPr="00D069F8">
        <w:rPr>
          <w:rFonts w:ascii="Calibri" w:eastAsia="Calibri" w:hAnsi="Calibri" w:cs="Times New Roman"/>
          <w:color w:val="0000FF"/>
        </w:rPr>
        <w:t xml:space="preserve"> </w:t>
      </w:r>
      <w:r w:rsidR="00D069F8" w:rsidRPr="00D069F8">
        <w:rPr>
          <w:rFonts w:ascii="Calibri" w:eastAsia="Calibri" w:hAnsi="Calibri" w:cs="Times New Roman"/>
          <w:i/>
          <w:iCs/>
          <w:color w:val="0000FF"/>
        </w:rPr>
        <w:t>Semin</w:t>
      </w:r>
      <w:r w:rsidR="00423F6D">
        <w:rPr>
          <w:rFonts w:ascii="Calibri" w:eastAsia="Calibri" w:hAnsi="Calibri" w:cs="Times New Roman"/>
          <w:i/>
          <w:iCs/>
          <w:color w:val="0000FF"/>
        </w:rPr>
        <w:t>ars in</w:t>
      </w:r>
      <w:r w:rsidR="00D069F8" w:rsidRPr="00D069F8">
        <w:rPr>
          <w:rFonts w:ascii="Calibri" w:eastAsia="Calibri" w:hAnsi="Calibri" w:cs="Times New Roman"/>
          <w:i/>
          <w:iCs/>
          <w:color w:val="0000FF"/>
        </w:rPr>
        <w:t xml:space="preserve"> Respir</w:t>
      </w:r>
      <w:r w:rsidR="00423F6D">
        <w:rPr>
          <w:rFonts w:ascii="Calibri" w:eastAsia="Calibri" w:hAnsi="Calibri" w:cs="Times New Roman"/>
          <w:i/>
          <w:iCs/>
          <w:color w:val="0000FF"/>
        </w:rPr>
        <w:t>atory and</w:t>
      </w:r>
      <w:r w:rsidR="00D069F8" w:rsidRPr="00D069F8">
        <w:rPr>
          <w:rFonts w:ascii="Calibri" w:eastAsia="Calibri" w:hAnsi="Calibri" w:cs="Times New Roman"/>
          <w:i/>
          <w:iCs/>
          <w:color w:val="0000FF"/>
        </w:rPr>
        <w:t xml:space="preserve"> Crit</w:t>
      </w:r>
      <w:r w:rsidR="00423F6D">
        <w:rPr>
          <w:rFonts w:ascii="Calibri" w:eastAsia="Calibri" w:hAnsi="Calibri" w:cs="Times New Roman"/>
          <w:i/>
          <w:iCs/>
          <w:color w:val="0000FF"/>
        </w:rPr>
        <w:t>ical</w:t>
      </w:r>
      <w:r w:rsidR="00D069F8" w:rsidRPr="00D069F8">
        <w:rPr>
          <w:rFonts w:ascii="Calibri" w:eastAsia="Calibri" w:hAnsi="Calibri" w:cs="Times New Roman"/>
          <w:i/>
          <w:iCs/>
          <w:color w:val="0000FF"/>
        </w:rPr>
        <w:t xml:space="preserve"> Care Med</w:t>
      </w:r>
      <w:r w:rsidR="00423F6D">
        <w:rPr>
          <w:rFonts w:ascii="Calibri" w:eastAsia="Calibri" w:hAnsi="Calibri" w:cs="Times New Roman"/>
          <w:i/>
          <w:iCs/>
          <w:color w:val="0000FF"/>
        </w:rPr>
        <w:t>icine,</w:t>
      </w:r>
      <w:r w:rsidR="00D069F8" w:rsidRPr="00D069F8">
        <w:rPr>
          <w:rFonts w:ascii="Calibri" w:eastAsia="Calibri" w:hAnsi="Calibri" w:cs="Times New Roman"/>
          <w:i/>
          <w:iCs/>
          <w:color w:val="0000FF"/>
        </w:rPr>
        <w:t xml:space="preserve"> </w:t>
      </w:r>
      <w:r w:rsidR="00D069F8" w:rsidRPr="00036B89">
        <w:rPr>
          <w:rFonts w:ascii="Calibri" w:eastAsia="Calibri" w:hAnsi="Calibri" w:cs="Times New Roman"/>
          <w:i/>
          <w:color w:val="0000FF"/>
        </w:rPr>
        <w:t xml:space="preserve">30, </w:t>
      </w:r>
      <w:r w:rsidR="00D069F8" w:rsidRPr="00D069F8">
        <w:rPr>
          <w:rFonts w:ascii="Calibri" w:eastAsia="Calibri" w:hAnsi="Calibri" w:cs="Times New Roman"/>
          <w:color w:val="0000FF"/>
        </w:rPr>
        <w:t>656</w:t>
      </w:r>
      <w:r w:rsidR="00423F6D">
        <w:rPr>
          <w:rFonts w:ascii="Calibri" w:eastAsia="Calibri" w:hAnsi="Calibri" w:cs="Times New Roman"/>
          <w:color w:val="0000FF"/>
        </w:rPr>
        <w:t>–6</w:t>
      </w:r>
      <w:r w:rsidR="00D069F8" w:rsidRPr="00D069F8">
        <w:rPr>
          <w:rFonts w:ascii="Calibri" w:eastAsia="Calibri" w:hAnsi="Calibri" w:cs="Times New Roman"/>
          <w:color w:val="0000FF"/>
        </w:rPr>
        <w:t>69.</w:t>
      </w:r>
    </w:p>
    <w:p w:rsidR="00D069F8" w:rsidRPr="00D069F8" w:rsidRDefault="00D069F8" w:rsidP="008A3E4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 xml:space="preserve">Critical illness has many devastating sequelae, including profound neuromuscular weakness and psychological and cognitive disturbances that frequently result in long-term functional impairments. Studies conducted to date suggest that such </w:t>
      </w:r>
      <w:r w:rsidR="008A3E40">
        <w:rPr>
          <w:rFonts w:ascii="Calibri" w:eastAsia="Calibri" w:hAnsi="Calibri" w:cs="Times New Roman"/>
          <w:color w:val="0000FF"/>
        </w:rPr>
        <w:t>intensive care unit</w:t>
      </w:r>
      <w:r w:rsidRPr="00D069F8">
        <w:rPr>
          <w:rFonts w:ascii="Calibri" w:eastAsia="Calibri" w:hAnsi="Calibri" w:cs="Times New Roman"/>
          <w:color w:val="0000FF"/>
        </w:rPr>
        <w:t>-based rehabilitation is feasible, safe, and effective for carefully selected patients. Further research is needed to identify the optimal patient candidates and procedures and for providing rehabilitation in the ICU.</w:t>
      </w:r>
    </w:p>
    <w:p w:rsidR="00D069F8" w:rsidRPr="00D069F8" w:rsidRDefault="001B789C" w:rsidP="005C6D90">
      <w:pPr>
        <w:spacing w:before="240" w:after="240"/>
        <w:rPr>
          <w:rFonts w:ascii="Calibri" w:eastAsia="Calibri" w:hAnsi="Calibri" w:cs="Times New Roman"/>
          <w:color w:val="0000FF"/>
        </w:rPr>
      </w:pPr>
      <w:r>
        <w:rPr>
          <w:rFonts w:ascii="Calibri" w:eastAsia="Calibri" w:hAnsi="Calibri" w:cs="Times New Roman"/>
          <w:color w:val="0000FF"/>
        </w:rPr>
        <w:t>9</w:t>
      </w:r>
      <w:r w:rsidR="00D069F8" w:rsidRPr="00D069F8">
        <w:rPr>
          <w:rFonts w:ascii="Calibri" w:eastAsia="Calibri" w:hAnsi="Calibri" w:cs="Times New Roman"/>
          <w:color w:val="0000FF"/>
        </w:rPr>
        <w:t xml:space="preserve">. </w:t>
      </w:r>
      <w:r w:rsidR="005C6D90">
        <w:rPr>
          <w:rFonts w:ascii="Calibri" w:eastAsia="Calibri" w:hAnsi="Calibri" w:cs="Times New Roman"/>
          <w:color w:val="0000FF"/>
        </w:rPr>
        <w:tab/>
      </w:r>
      <w:r w:rsidR="00D069F8" w:rsidRPr="00D069F8">
        <w:rPr>
          <w:rFonts w:ascii="Calibri" w:eastAsia="Calibri" w:hAnsi="Calibri" w:cs="Times New Roman"/>
          <w:color w:val="0000FF"/>
        </w:rPr>
        <w:t>Scheinhorn, D. J., Hassenpflug</w:t>
      </w:r>
      <w:r w:rsidR="00423F6D">
        <w:rPr>
          <w:rFonts w:ascii="Calibri" w:eastAsia="Calibri" w:hAnsi="Calibri" w:cs="Times New Roman"/>
          <w:color w:val="0000FF"/>
        </w:rPr>
        <w:t xml:space="preserve">, </w:t>
      </w:r>
      <w:r w:rsidR="00423F6D" w:rsidRPr="00D069F8">
        <w:rPr>
          <w:rFonts w:ascii="Calibri" w:eastAsia="Calibri" w:hAnsi="Calibri" w:cs="Times New Roman"/>
          <w:color w:val="0000FF"/>
        </w:rPr>
        <w:t>M. S.</w:t>
      </w:r>
      <w:r w:rsidR="00D069F8" w:rsidRPr="00D069F8">
        <w:rPr>
          <w:rFonts w:ascii="Calibri" w:eastAsia="Calibri" w:hAnsi="Calibri" w:cs="Times New Roman"/>
          <w:color w:val="0000FF"/>
        </w:rPr>
        <w:t>, Votto</w:t>
      </w:r>
      <w:r w:rsidR="00423F6D">
        <w:rPr>
          <w:rFonts w:ascii="Calibri" w:eastAsia="Calibri" w:hAnsi="Calibri" w:cs="Times New Roman"/>
          <w:color w:val="0000FF"/>
        </w:rPr>
        <w:t xml:space="preserve">, </w:t>
      </w:r>
      <w:r w:rsidR="00423F6D" w:rsidRPr="00D069F8">
        <w:rPr>
          <w:rFonts w:ascii="Calibri" w:eastAsia="Calibri" w:hAnsi="Calibri" w:cs="Times New Roman"/>
          <w:color w:val="0000FF"/>
        </w:rPr>
        <w:t>J. J.</w:t>
      </w:r>
      <w:r w:rsidR="00D069F8" w:rsidRPr="00D069F8">
        <w:rPr>
          <w:rFonts w:ascii="Calibri" w:eastAsia="Calibri" w:hAnsi="Calibri" w:cs="Times New Roman"/>
          <w:color w:val="0000FF"/>
        </w:rPr>
        <w:t>, Chao</w:t>
      </w:r>
      <w:r w:rsidR="00423F6D">
        <w:rPr>
          <w:rFonts w:ascii="Calibri" w:eastAsia="Calibri" w:hAnsi="Calibri" w:cs="Times New Roman"/>
          <w:color w:val="0000FF"/>
        </w:rPr>
        <w:t xml:space="preserve">, </w:t>
      </w:r>
      <w:r w:rsidR="00423F6D" w:rsidRPr="00D069F8">
        <w:rPr>
          <w:rFonts w:ascii="Calibri" w:eastAsia="Calibri" w:hAnsi="Calibri" w:cs="Times New Roman"/>
          <w:color w:val="0000FF"/>
        </w:rPr>
        <w:t>D. C.</w:t>
      </w:r>
      <w:r w:rsidR="00D069F8" w:rsidRPr="00D069F8">
        <w:rPr>
          <w:rFonts w:ascii="Calibri" w:eastAsia="Calibri" w:hAnsi="Calibri" w:cs="Times New Roman"/>
          <w:color w:val="0000FF"/>
        </w:rPr>
        <w:t>, Epstein</w:t>
      </w:r>
      <w:r w:rsidR="00423F6D">
        <w:rPr>
          <w:rFonts w:ascii="Calibri" w:eastAsia="Calibri" w:hAnsi="Calibri" w:cs="Times New Roman"/>
          <w:color w:val="0000FF"/>
        </w:rPr>
        <w:t xml:space="preserve">, </w:t>
      </w:r>
      <w:r w:rsidR="00423F6D" w:rsidRPr="00D069F8">
        <w:rPr>
          <w:rFonts w:ascii="Calibri" w:eastAsia="Calibri" w:hAnsi="Calibri" w:cs="Times New Roman"/>
          <w:color w:val="0000FF"/>
        </w:rPr>
        <w:t>S. K.</w:t>
      </w:r>
      <w:r w:rsidR="00D069F8" w:rsidRPr="00D069F8">
        <w:rPr>
          <w:rFonts w:ascii="Calibri" w:eastAsia="Calibri" w:hAnsi="Calibri" w:cs="Times New Roman"/>
          <w:color w:val="0000FF"/>
        </w:rPr>
        <w:t>, Doig</w:t>
      </w:r>
      <w:r w:rsidR="00423F6D">
        <w:rPr>
          <w:rFonts w:ascii="Calibri" w:eastAsia="Calibri" w:hAnsi="Calibri" w:cs="Times New Roman"/>
          <w:color w:val="0000FF"/>
        </w:rPr>
        <w:t xml:space="preserve">, </w:t>
      </w:r>
      <w:r w:rsidR="00423F6D" w:rsidRPr="00D069F8">
        <w:rPr>
          <w:rFonts w:ascii="Calibri" w:eastAsia="Calibri" w:hAnsi="Calibri" w:cs="Times New Roman"/>
          <w:color w:val="0000FF"/>
        </w:rPr>
        <w:t>G. S.</w:t>
      </w:r>
      <w:r w:rsidR="00D069F8" w:rsidRPr="00D069F8">
        <w:rPr>
          <w:rFonts w:ascii="Calibri" w:eastAsia="Calibri" w:hAnsi="Calibri" w:cs="Times New Roman"/>
          <w:color w:val="0000FF"/>
        </w:rPr>
        <w:t>, Petrak</w:t>
      </w:r>
      <w:r w:rsidR="00423F6D">
        <w:rPr>
          <w:rFonts w:ascii="Calibri" w:eastAsia="Calibri" w:hAnsi="Calibri" w:cs="Times New Roman"/>
          <w:color w:val="0000FF"/>
        </w:rPr>
        <w:t xml:space="preserve">, </w:t>
      </w:r>
      <w:r w:rsidR="00423F6D" w:rsidRPr="00D069F8">
        <w:rPr>
          <w:rFonts w:ascii="Calibri" w:eastAsia="Calibri" w:hAnsi="Calibri" w:cs="Times New Roman"/>
          <w:color w:val="0000FF"/>
        </w:rPr>
        <w:t>R. A</w:t>
      </w:r>
      <w:r w:rsidR="00D069F8"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(2007). </w:t>
      </w:r>
      <w:r w:rsidR="00D069F8" w:rsidRPr="00D069F8">
        <w:rPr>
          <w:rFonts w:ascii="Calibri" w:eastAsia="Calibri" w:hAnsi="Calibri" w:cs="Times New Roman"/>
          <w:color w:val="0000FF"/>
        </w:rPr>
        <w:t>Post-</w:t>
      </w:r>
      <w:r w:rsidR="00432980">
        <w:rPr>
          <w:rFonts w:ascii="Calibri" w:eastAsia="Calibri" w:hAnsi="Calibri" w:cs="Times New Roman"/>
          <w:color w:val="0000FF"/>
        </w:rPr>
        <w:t>ICU</w:t>
      </w:r>
      <w:r w:rsidR="00432980" w:rsidRPr="00D069F8">
        <w:rPr>
          <w:rFonts w:ascii="Calibri" w:eastAsia="Calibri" w:hAnsi="Calibri" w:cs="Times New Roman"/>
          <w:color w:val="0000FF"/>
        </w:rPr>
        <w:t xml:space="preserve"> </w:t>
      </w:r>
      <w:r w:rsidR="00423F6D" w:rsidRPr="00D069F8">
        <w:rPr>
          <w:rFonts w:ascii="Calibri" w:eastAsia="Calibri" w:hAnsi="Calibri" w:cs="Times New Roman"/>
          <w:color w:val="0000FF"/>
        </w:rPr>
        <w:t>mechanical ventilation at 23 long-term care hospitals</w:t>
      </w:r>
      <w:r w:rsidR="00D069F8" w:rsidRPr="00D069F8">
        <w:rPr>
          <w:rFonts w:ascii="Calibri" w:eastAsia="Calibri" w:hAnsi="Calibri" w:cs="Times New Roman"/>
          <w:color w:val="0000FF"/>
        </w:rPr>
        <w:t xml:space="preserve">: A </w:t>
      </w:r>
      <w:r w:rsidR="00423F6D" w:rsidRPr="00D069F8">
        <w:rPr>
          <w:rFonts w:ascii="Calibri" w:eastAsia="Calibri" w:hAnsi="Calibri" w:cs="Times New Roman"/>
          <w:color w:val="0000FF"/>
        </w:rPr>
        <w:t>multicenter outcomes study</w:t>
      </w:r>
      <w:r w:rsidR="00D069F8" w:rsidRPr="00D069F8">
        <w:rPr>
          <w:rFonts w:ascii="Calibri" w:eastAsia="Calibri" w:hAnsi="Calibri" w:cs="Times New Roman"/>
          <w:color w:val="0000FF"/>
        </w:rPr>
        <w:t xml:space="preserve">. </w:t>
      </w:r>
      <w:r w:rsidR="00D069F8" w:rsidRPr="00D069F8">
        <w:rPr>
          <w:rFonts w:ascii="Calibri" w:eastAsia="Calibri" w:hAnsi="Calibri" w:cs="Times New Roman"/>
          <w:i/>
          <w:iCs/>
          <w:color w:val="0000FF"/>
        </w:rPr>
        <w:t>Chest</w:t>
      </w:r>
      <w:r w:rsidR="00423F6D">
        <w:rPr>
          <w:rFonts w:ascii="Calibri" w:eastAsia="Calibri" w:hAnsi="Calibri" w:cs="Times New Roman"/>
          <w:i/>
          <w:iCs/>
          <w:color w:val="0000FF"/>
        </w:rPr>
        <w:t>,</w:t>
      </w:r>
      <w:r w:rsidR="00D069F8" w:rsidRPr="00D069F8">
        <w:rPr>
          <w:rFonts w:ascii="Calibri" w:eastAsia="Calibri" w:hAnsi="Calibri" w:cs="Times New Roman"/>
          <w:i/>
          <w:iCs/>
          <w:color w:val="0000FF"/>
        </w:rPr>
        <w:t xml:space="preserve"> </w:t>
      </w:r>
      <w:r w:rsidR="00D069F8" w:rsidRPr="00036B89">
        <w:rPr>
          <w:rFonts w:ascii="Calibri" w:eastAsia="Calibri" w:hAnsi="Calibri" w:cs="Times New Roman"/>
          <w:i/>
          <w:color w:val="0000FF"/>
        </w:rPr>
        <w:t>131,</w:t>
      </w:r>
      <w:r w:rsidR="00D069F8" w:rsidRPr="00D069F8">
        <w:rPr>
          <w:rFonts w:ascii="Calibri" w:eastAsia="Calibri" w:hAnsi="Calibri" w:cs="Times New Roman"/>
          <w:color w:val="0000FF"/>
        </w:rPr>
        <w:t xml:space="preserve"> 85</w:t>
      </w:r>
      <w:r w:rsidR="00423F6D">
        <w:rPr>
          <w:rFonts w:ascii="Calibri" w:eastAsia="Calibri" w:hAnsi="Calibri" w:cs="Times New Roman"/>
          <w:color w:val="0000FF"/>
        </w:rPr>
        <w:t>–</w:t>
      </w:r>
      <w:r w:rsidR="00D069F8" w:rsidRPr="00D069F8">
        <w:rPr>
          <w:rFonts w:ascii="Calibri" w:eastAsia="Calibri" w:hAnsi="Calibri" w:cs="Times New Roman"/>
          <w:color w:val="0000FF"/>
        </w:rPr>
        <w:t>93.</w:t>
      </w:r>
    </w:p>
    <w:p w:rsidR="00D069F8" w:rsidRPr="00D069F8" w:rsidRDefault="00D069F8" w:rsidP="008A3E4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This multicenter study was undertaken to characterize the population of ventilator</w:t>
      </w:r>
      <w:r w:rsidR="004D798B">
        <w:rPr>
          <w:rFonts w:ascii="Calibri" w:eastAsia="Calibri" w:hAnsi="Calibri" w:cs="Times New Roman"/>
          <w:color w:val="0000FF"/>
        </w:rPr>
        <w:t>-</w:t>
      </w:r>
      <w:r w:rsidRPr="00D069F8">
        <w:rPr>
          <w:rFonts w:ascii="Calibri" w:eastAsia="Calibri" w:hAnsi="Calibri" w:cs="Times New Roman"/>
          <w:color w:val="0000FF"/>
        </w:rPr>
        <w:t xml:space="preserve">dependent patients admitted to long-term care hospitals with weaning programs, and to report treatments, complications, weaning outcome, discharge disposition, and survival in these patients. Patients admitted to LTCHs for weaning attempts were elderly, with acute-on-chronic diseases, and continued to require considerable medical interventions and treatments. The frequency and type of complications were not surprising following prolonged and aggressive </w:t>
      </w:r>
      <w:r w:rsidR="008A3E40">
        <w:rPr>
          <w:rFonts w:ascii="Calibri" w:eastAsia="Calibri" w:hAnsi="Calibri" w:cs="Times New Roman"/>
          <w:color w:val="0000FF"/>
        </w:rPr>
        <w:t>intensive care unit</w:t>
      </w:r>
      <w:r w:rsidRPr="00D069F8">
        <w:rPr>
          <w:rFonts w:ascii="Calibri" w:eastAsia="Calibri" w:hAnsi="Calibri" w:cs="Times New Roman"/>
          <w:color w:val="0000FF"/>
        </w:rPr>
        <w:t xml:space="preserve"> interventions. In the continuum of critical care medicine, more than half of ventilator-dependent survivors of catastrophic illness transferred from the </w:t>
      </w:r>
      <w:r w:rsidR="008A3E40">
        <w:rPr>
          <w:rFonts w:ascii="Calibri" w:eastAsia="Calibri" w:hAnsi="Calibri" w:cs="Times New Roman"/>
          <w:color w:val="0000FF"/>
        </w:rPr>
        <w:t>intensive care unit</w:t>
      </w:r>
      <w:r w:rsidRPr="00D069F8">
        <w:rPr>
          <w:rFonts w:ascii="Calibri" w:eastAsia="Calibri" w:hAnsi="Calibri" w:cs="Times New Roman"/>
          <w:color w:val="0000FF"/>
        </w:rPr>
        <w:t xml:space="preserve"> were successfully weaned from prolonged mechanical ventilation in the setting of an LTCH.</w:t>
      </w:r>
    </w:p>
    <w:p w:rsidR="00D069F8" w:rsidRPr="00D069F8" w:rsidRDefault="001B789C" w:rsidP="005C6D90">
      <w:pPr>
        <w:spacing w:before="240" w:after="240"/>
        <w:rPr>
          <w:rFonts w:ascii="Calibri" w:eastAsia="Calibri" w:hAnsi="Calibri" w:cs="Times New Roman"/>
          <w:color w:val="0000FF"/>
        </w:rPr>
      </w:pPr>
      <w:r>
        <w:rPr>
          <w:rFonts w:ascii="Calibri" w:eastAsia="Calibri" w:hAnsi="Calibri" w:cs="Times New Roman"/>
          <w:color w:val="0000FF"/>
        </w:rPr>
        <w:t>10</w:t>
      </w:r>
      <w:r w:rsidR="00D069F8" w:rsidRPr="00D069F8">
        <w:rPr>
          <w:rFonts w:ascii="Calibri" w:eastAsia="Calibri" w:hAnsi="Calibri" w:cs="Times New Roman"/>
          <w:color w:val="0000FF"/>
        </w:rPr>
        <w:t xml:space="preserve">. Schweickert, W. D., </w:t>
      </w:r>
      <w:r w:rsidR="00423F6D">
        <w:rPr>
          <w:rFonts w:ascii="Calibri" w:eastAsia="Calibri" w:hAnsi="Calibri" w:cs="Times New Roman"/>
          <w:color w:val="0000FF"/>
        </w:rPr>
        <w:t xml:space="preserve">&amp; </w:t>
      </w:r>
      <w:r w:rsidR="00D069F8" w:rsidRPr="00D069F8">
        <w:rPr>
          <w:rFonts w:ascii="Calibri" w:eastAsia="Calibri" w:hAnsi="Calibri" w:cs="Times New Roman"/>
          <w:color w:val="0000FF"/>
        </w:rPr>
        <w:t>Kress</w:t>
      </w:r>
      <w:r w:rsidR="00423F6D">
        <w:rPr>
          <w:rFonts w:ascii="Calibri" w:eastAsia="Calibri" w:hAnsi="Calibri" w:cs="Times New Roman"/>
          <w:color w:val="0000FF"/>
        </w:rPr>
        <w:t>, J. P</w:t>
      </w:r>
      <w:r w:rsidR="00D069F8"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(2011). </w:t>
      </w:r>
      <w:r w:rsidR="00D069F8" w:rsidRPr="00D069F8">
        <w:rPr>
          <w:rFonts w:ascii="Calibri" w:eastAsia="Calibri" w:hAnsi="Calibri" w:cs="Times New Roman"/>
          <w:color w:val="0000FF"/>
        </w:rPr>
        <w:t xml:space="preserve">Implementing </w:t>
      </w:r>
      <w:r w:rsidR="00423F6D" w:rsidRPr="00D069F8">
        <w:rPr>
          <w:rFonts w:ascii="Calibri" w:eastAsia="Calibri" w:hAnsi="Calibri" w:cs="Times New Roman"/>
          <w:color w:val="0000FF"/>
        </w:rPr>
        <w:t>early mobilization interventions in mechanically ventilated patients in</w:t>
      </w:r>
      <w:r w:rsidR="00D069F8" w:rsidRPr="00D069F8">
        <w:rPr>
          <w:rFonts w:ascii="Calibri" w:eastAsia="Calibri" w:hAnsi="Calibri" w:cs="Times New Roman"/>
          <w:color w:val="0000FF"/>
        </w:rPr>
        <w:t xml:space="preserve"> the </w:t>
      </w:r>
      <w:r w:rsidR="00432980">
        <w:rPr>
          <w:rFonts w:ascii="Calibri" w:eastAsia="Calibri" w:hAnsi="Calibri" w:cs="Times New Roman"/>
          <w:color w:val="0000FF"/>
        </w:rPr>
        <w:t>ICU</w:t>
      </w:r>
      <w:r w:rsidR="00D069F8" w:rsidRPr="00D069F8">
        <w:rPr>
          <w:rFonts w:ascii="Calibri" w:eastAsia="Calibri" w:hAnsi="Calibri" w:cs="Times New Roman"/>
          <w:color w:val="0000FF"/>
        </w:rPr>
        <w:t xml:space="preserve">. </w:t>
      </w:r>
      <w:r w:rsidR="00D069F8" w:rsidRPr="00D069F8">
        <w:rPr>
          <w:rFonts w:ascii="Calibri" w:eastAsia="Calibri" w:hAnsi="Calibri" w:cs="Times New Roman"/>
          <w:i/>
          <w:iCs/>
          <w:color w:val="0000FF"/>
        </w:rPr>
        <w:t>Chest</w:t>
      </w:r>
      <w:r w:rsidR="00423F6D">
        <w:rPr>
          <w:rFonts w:ascii="Calibri" w:eastAsia="Calibri" w:hAnsi="Calibri" w:cs="Times New Roman"/>
          <w:i/>
          <w:iCs/>
          <w:color w:val="0000FF"/>
        </w:rPr>
        <w:t>,</w:t>
      </w:r>
      <w:r w:rsidR="00D069F8" w:rsidRPr="00D069F8">
        <w:rPr>
          <w:rFonts w:ascii="Calibri" w:eastAsia="Calibri" w:hAnsi="Calibri" w:cs="Times New Roman"/>
          <w:i/>
          <w:iCs/>
          <w:color w:val="0000FF"/>
        </w:rPr>
        <w:t xml:space="preserve"> </w:t>
      </w:r>
      <w:r w:rsidR="00D069F8" w:rsidRPr="00036B89">
        <w:rPr>
          <w:rFonts w:ascii="Calibri" w:eastAsia="Calibri" w:hAnsi="Calibri" w:cs="Times New Roman"/>
          <w:i/>
          <w:color w:val="0000FF"/>
        </w:rPr>
        <w:t>140,</w:t>
      </w:r>
      <w:r w:rsidR="00D069F8" w:rsidRPr="00D069F8">
        <w:rPr>
          <w:rFonts w:ascii="Calibri" w:eastAsia="Calibri" w:hAnsi="Calibri" w:cs="Times New Roman"/>
          <w:color w:val="0000FF"/>
        </w:rPr>
        <w:t xml:space="preserve"> 1612</w:t>
      </w:r>
      <w:r w:rsidR="00423F6D">
        <w:rPr>
          <w:rFonts w:ascii="Calibri" w:eastAsia="Calibri" w:hAnsi="Calibri" w:cs="Times New Roman"/>
          <w:color w:val="0000FF"/>
        </w:rPr>
        <w:t>–161</w:t>
      </w:r>
      <w:r w:rsidR="00D069F8" w:rsidRPr="00D069F8">
        <w:rPr>
          <w:rFonts w:ascii="Calibri" w:eastAsia="Calibri" w:hAnsi="Calibri" w:cs="Times New Roman"/>
          <w:color w:val="0000FF"/>
        </w:rPr>
        <w:t>7.</w:t>
      </w:r>
    </w:p>
    <w:p w:rsidR="00D069F8" w:rsidRPr="00D069F8" w:rsidRDefault="00D069F8" w:rsidP="008A3E4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 xml:space="preserve">Deconditioning and weakness have become common problems in survivors of critical illness requiring mechanical ventilation. Recent literature has challenged the patient care model of prolonged bed rest. Instead, the feasibility, safety, and benefits of early mobilization of mechanically ventilated </w:t>
      </w:r>
      <w:r w:rsidR="008A3E40">
        <w:rPr>
          <w:rFonts w:ascii="Calibri" w:eastAsia="Calibri" w:hAnsi="Calibri" w:cs="Times New Roman"/>
          <w:color w:val="0000FF"/>
        </w:rPr>
        <w:t>intensive care unit</w:t>
      </w:r>
      <w:r w:rsidRPr="00D069F8">
        <w:rPr>
          <w:rFonts w:ascii="Calibri" w:eastAsia="Calibri" w:hAnsi="Calibri" w:cs="Times New Roman"/>
          <w:color w:val="0000FF"/>
        </w:rPr>
        <w:t xml:space="preserve"> patients have been reported. The benefits of early mobilization include reductions in </w:t>
      </w:r>
      <w:r w:rsidR="008A3E40">
        <w:rPr>
          <w:rFonts w:ascii="Calibri" w:eastAsia="Calibri" w:hAnsi="Calibri" w:cs="Times New Roman"/>
          <w:color w:val="0000FF"/>
        </w:rPr>
        <w:t xml:space="preserve">intensive care unit </w:t>
      </w:r>
      <w:r w:rsidR="00DB3B5D">
        <w:rPr>
          <w:rFonts w:ascii="Calibri" w:eastAsia="Calibri" w:hAnsi="Calibri" w:cs="Times New Roman"/>
          <w:color w:val="0000FF"/>
        </w:rPr>
        <w:t xml:space="preserve">and hospital </w:t>
      </w:r>
      <w:r w:rsidRPr="00D069F8">
        <w:rPr>
          <w:rFonts w:ascii="Calibri" w:eastAsia="Calibri" w:hAnsi="Calibri" w:cs="Times New Roman"/>
          <w:color w:val="0000FF"/>
        </w:rPr>
        <w:t xml:space="preserve">length of stay </w:t>
      </w:r>
      <w:r w:rsidR="00DB3B5D">
        <w:rPr>
          <w:rFonts w:ascii="Calibri" w:eastAsia="Calibri" w:hAnsi="Calibri" w:cs="Times New Roman"/>
          <w:color w:val="0000FF"/>
        </w:rPr>
        <w:t xml:space="preserve">and </w:t>
      </w:r>
      <w:r w:rsidRPr="00D069F8">
        <w:rPr>
          <w:rFonts w:ascii="Calibri" w:eastAsia="Calibri" w:hAnsi="Calibri" w:cs="Times New Roman"/>
          <w:color w:val="0000FF"/>
        </w:rPr>
        <w:t>improvements in strength and functional status. Such benefits can be accomplished with a</w:t>
      </w:r>
      <w:r w:rsidR="00DB3B5D">
        <w:rPr>
          <w:rFonts w:ascii="Calibri" w:eastAsia="Calibri" w:hAnsi="Calibri" w:cs="Times New Roman"/>
          <w:color w:val="0000FF"/>
        </w:rPr>
        <w:t>n</w:t>
      </w:r>
      <w:r w:rsidRPr="00D069F8">
        <w:rPr>
          <w:rFonts w:ascii="Calibri" w:eastAsia="Calibri" w:hAnsi="Calibri" w:cs="Times New Roman"/>
          <w:color w:val="0000FF"/>
        </w:rPr>
        <w:t xml:space="preserve"> acceptable patient safety profile. The importance of interactions between mind and body are highlighted by these studies, with improvements in patient awareness and reductions in </w:t>
      </w:r>
      <w:r w:rsidR="008A3E40">
        <w:rPr>
          <w:rFonts w:ascii="Calibri" w:eastAsia="Calibri" w:hAnsi="Calibri" w:cs="Times New Roman"/>
          <w:color w:val="0000FF"/>
        </w:rPr>
        <w:t>intensive care unit</w:t>
      </w:r>
      <w:r w:rsidRPr="00D069F8">
        <w:rPr>
          <w:rFonts w:ascii="Calibri" w:eastAsia="Calibri" w:hAnsi="Calibri" w:cs="Times New Roman"/>
          <w:color w:val="0000FF"/>
        </w:rPr>
        <w:t xml:space="preserve"> delirium. </w:t>
      </w:r>
    </w:p>
    <w:p w:rsidR="00D069F8" w:rsidRPr="00D069F8" w:rsidRDefault="00D069F8" w:rsidP="005C6D90">
      <w:pPr>
        <w:spacing w:before="240" w:after="240"/>
        <w:rPr>
          <w:rFonts w:ascii="Calibri" w:eastAsia="Calibri" w:hAnsi="Calibri" w:cs="Times New Roman"/>
          <w:color w:val="0000FF"/>
        </w:rPr>
      </w:pPr>
      <w:r w:rsidRPr="00D069F8">
        <w:rPr>
          <w:rFonts w:ascii="Calibri" w:eastAsia="Calibri" w:hAnsi="Calibri" w:cs="Times New Roman"/>
          <w:color w:val="0000FF"/>
        </w:rPr>
        <w:t>1</w:t>
      </w:r>
      <w:r w:rsidR="001B789C">
        <w:rPr>
          <w:rFonts w:ascii="Calibri" w:eastAsia="Calibri" w:hAnsi="Calibri" w:cs="Times New Roman"/>
          <w:color w:val="0000FF"/>
        </w:rPr>
        <w:t>1</w:t>
      </w:r>
      <w:r w:rsidRPr="00D069F8">
        <w:rPr>
          <w:rFonts w:ascii="Calibri" w:eastAsia="Calibri" w:hAnsi="Calibri" w:cs="Times New Roman"/>
          <w:color w:val="0000FF"/>
        </w:rPr>
        <w:t>. Skinner, E. H., Berney</w:t>
      </w:r>
      <w:r w:rsidR="00423F6D">
        <w:rPr>
          <w:rFonts w:ascii="Calibri" w:eastAsia="Calibri" w:hAnsi="Calibri" w:cs="Times New Roman"/>
          <w:color w:val="0000FF"/>
        </w:rPr>
        <w:t>, S.</w:t>
      </w:r>
      <w:r w:rsidRPr="00D069F8">
        <w:rPr>
          <w:rFonts w:ascii="Calibri" w:eastAsia="Calibri" w:hAnsi="Calibri" w:cs="Times New Roman"/>
          <w:color w:val="0000FF"/>
        </w:rPr>
        <w:t>, Warrillow</w:t>
      </w:r>
      <w:r w:rsidR="00423F6D">
        <w:rPr>
          <w:rFonts w:ascii="Calibri" w:eastAsia="Calibri" w:hAnsi="Calibri" w:cs="Times New Roman"/>
          <w:color w:val="0000FF"/>
        </w:rPr>
        <w:t>, S.</w:t>
      </w:r>
      <w:r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&amp; </w:t>
      </w:r>
      <w:r w:rsidRPr="00D069F8">
        <w:rPr>
          <w:rFonts w:ascii="Calibri" w:eastAsia="Calibri" w:hAnsi="Calibri" w:cs="Times New Roman"/>
          <w:color w:val="0000FF"/>
        </w:rPr>
        <w:t>Denehy</w:t>
      </w:r>
      <w:r w:rsidR="00423F6D">
        <w:rPr>
          <w:rFonts w:ascii="Calibri" w:eastAsia="Calibri" w:hAnsi="Calibri" w:cs="Times New Roman"/>
          <w:color w:val="0000FF"/>
        </w:rPr>
        <w:t>, L</w:t>
      </w:r>
      <w:r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(2009). </w:t>
      </w:r>
      <w:r w:rsidRPr="00D069F8">
        <w:rPr>
          <w:rFonts w:ascii="Calibri" w:eastAsia="Calibri" w:hAnsi="Calibri" w:cs="Times New Roman"/>
          <w:color w:val="0000FF"/>
        </w:rPr>
        <w:t xml:space="preserve">Development of a </w:t>
      </w:r>
      <w:r w:rsidR="00423F6D" w:rsidRPr="00D069F8">
        <w:rPr>
          <w:rFonts w:ascii="Calibri" w:eastAsia="Calibri" w:hAnsi="Calibri" w:cs="Times New Roman"/>
          <w:color w:val="0000FF"/>
        </w:rPr>
        <w:t>physical function outcome measure</w:t>
      </w:r>
      <w:r w:rsidRPr="00D069F8">
        <w:rPr>
          <w:rFonts w:ascii="Calibri" w:eastAsia="Calibri" w:hAnsi="Calibri" w:cs="Times New Roman"/>
          <w:color w:val="0000FF"/>
        </w:rPr>
        <w:t xml:space="preserve"> (Pfit) and a </w:t>
      </w:r>
      <w:r w:rsidR="00423F6D" w:rsidRPr="00D069F8">
        <w:rPr>
          <w:rFonts w:ascii="Calibri" w:eastAsia="Calibri" w:hAnsi="Calibri" w:cs="Times New Roman"/>
          <w:color w:val="0000FF"/>
        </w:rPr>
        <w:t>pilot exercise training protocol for use in intensive care</w:t>
      </w:r>
      <w:r w:rsidRPr="00D069F8">
        <w:rPr>
          <w:rFonts w:ascii="Calibri" w:eastAsia="Calibri" w:hAnsi="Calibri" w:cs="Times New Roman"/>
          <w:color w:val="0000FF"/>
        </w:rPr>
        <w:t xml:space="preserve">. </w:t>
      </w:r>
      <w:r w:rsidRPr="00D069F8">
        <w:rPr>
          <w:rFonts w:ascii="Calibri" w:eastAsia="Calibri" w:hAnsi="Calibri" w:cs="Times New Roman"/>
          <w:i/>
          <w:iCs/>
          <w:color w:val="0000FF"/>
        </w:rPr>
        <w:t>Crit</w:t>
      </w:r>
      <w:r w:rsidR="00423F6D">
        <w:rPr>
          <w:rFonts w:ascii="Calibri" w:eastAsia="Calibri" w:hAnsi="Calibri" w:cs="Times New Roman"/>
          <w:i/>
          <w:iCs/>
          <w:color w:val="0000FF"/>
        </w:rPr>
        <w:t>ical</w:t>
      </w:r>
      <w:r w:rsidRPr="00D069F8">
        <w:rPr>
          <w:rFonts w:ascii="Calibri" w:eastAsia="Calibri" w:hAnsi="Calibri" w:cs="Times New Roman"/>
          <w:i/>
          <w:iCs/>
          <w:color w:val="0000FF"/>
        </w:rPr>
        <w:t xml:space="preserve"> Care </w:t>
      </w:r>
      <w:r w:rsidR="00423F6D">
        <w:rPr>
          <w:rFonts w:ascii="Calibri" w:eastAsia="Calibri" w:hAnsi="Calibri" w:cs="Times New Roman"/>
          <w:i/>
          <w:iCs/>
          <w:color w:val="0000FF"/>
        </w:rPr>
        <w:t xml:space="preserve">and </w:t>
      </w:r>
      <w:r w:rsidRPr="00D069F8">
        <w:rPr>
          <w:rFonts w:ascii="Calibri" w:eastAsia="Calibri" w:hAnsi="Calibri" w:cs="Times New Roman"/>
          <w:i/>
          <w:iCs/>
          <w:color w:val="0000FF"/>
        </w:rPr>
        <w:t>Resusc</w:t>
      </w:r>
      <w:r w:rsidR="00423F6D">
        <w:rPr>
          <w:rFonts w:ascii="Calibri" w:eastAsia="Calibri" w:hAnsi="Calibri" w:cs="Times New Roman"/>
          <w:i/>
          <w:iCs/>
          <w:color w:val="0000FF"/>
        </w:rPr>
        <w:t>itation,</w:t>
      </w:r>
      <w:r w:rsidRPr="00423F6D">
        <w:rPr>
          <w:rFonts w:ascii="Calibri" w:eastAsia="Calibri" w:hAnsi="Calibri" w:cs="Times New Roman"/>
          <w:i/>
          <w:iCs/>
          <w:color w:val="0000FF"/>
        </w:rPr>
        <w:t xml:space="preserve"> </w:t>
      </w:r>
      <w:r w:rsidRPr="00036B89">
        <w:rPr>
          <w:rFonts w:ascii="Calibri" w:eastAsia="Calibri" w:hAnsi="Calibri" w:cs="Times New Roman"/>
          <w:i/>
          <w:color w:val="0000FF"/>
        </w:rPr>
        <w:t>11,</w:t>
      </w:r>
      <w:r w:rsidRPr="00D069F8">
        <w:rPr>
          <w:rFonts w:ascii="Calibri" w:eastAsia="Calibri" w:hAnsi="Calibri" w:cs="Times New Roman"/>
          <w:color w:val="0000FF"/>
        </w:rPr>
        <w:t xml:space="preserve"> 110</w:t>
      </w:r>
      <w:r w:rsidR="00423F6D">
        <w:rPr>
          <w:rFonts w:ascii="Calibri" w:eastAsia="Calibri" w:hAnsi="Calibri" w:cs="Times New Roman"/>
          <w:color w:val="0000FF"/>
        </w:rPr>
        <w:t>–11</w:t>
      </w:r>
      <w:r w:rsidRPr="00D069F8">
        <w:rPr>
          <w:rFonts w:ascii="Calibri" w:eastAsia="Calibri" w:hAnsi="Calibri" w:cs="Times New Roman"/>
          <w:color w:val="0000FF"/>
        </w:rPr>
        <w:t>5.</w:t>
      </w:r>
    </w:p>
    <w:p w:rsidR="00D069F8" w:rsidRPr="00D069F8" w:rsidRDefault="004D798B" w:rsidP="008A3E40">
      <w:pPr>
        <w:spacing w:before="240" w:after="240"/>
        <w:ind w:firstLine="0"/>
        <w:rPr>
          <w:rFonts w:ascii="Calibri" w:eastAsia="Calibri" w:hAnsi="Calibri" w:cs="Times New Roman"/>
          <w:color w:val="0000FF"/>
        </w:rPr>
      </w:pPr>
      <w:r>
        <w:rPr>
          <w:rFonts w:ascii="Calibri" w:eastAsia="Calibri" w:hAnsi="Calibri" w:cs="Times New Roman"/>
          <w:color w:val="0000FF"/>
        </w:rPr>
        <w:t>The purpose of this study was t</w:t>
      </w:r>
      <w:r w:rsidR="00D069F8" w:rsidRPr="00D069F8">
        <w:rPr>
          <w:rFonts w:ascii="Calibri" w:eastAsia="Calibri" w:hAnsi="Calibri" w:cs="Times New Roman"/>
          <w:color w:val="0000FF"/>
        </w:rPr>
        <w:t xml:space="preserve">o develop an outcome measure as a basis for prescribing and evaluating rehabilitation in the critically ill, and to measure its reliability and responsiveness to change. The study also aimed to assess the feasibility and safety of a pilot exercise training protocol in an intensive care unit. The </w:t>
      </w:r>
      <w:r w:rsidR="00D069F8" w:rsidRPr="00BD35B1">
        <w:rPr>
          <w:rFonts w:ascii="Calibri" w:eastAsia="Calibri" w:hAnsi="Calibri" w:cs="Times New Roman"/>
          <w:color w:val="0000FF"/>
        </w:rPr>
        <w:t xml:space="preserve">PFIT </w:t>
      </w:r>
      <w:r w:rsidR="00D069F8" w:rsidRPr="00D069F8">
        <w:rPr>
          <w:rFonts w:ascii="Calibri" w:eastAsia="Calibri" w:hAnsi="Calibri" w:cs="Times New Roman"/>
          <w:color w:val="0000FF"/>
        </w:rPr>
        <w:t xml:space="preserve">is a reliable and responsive measure, and the pilot training protocol was safe and feasible. As exercise may attenuate weakness and functional impairment, the PFIT can be used to prescribe and evaluate exercise and mobilisation. </w:t>
      </w:r>
    </w:p>
    <w:p w:rsidR="008A3E40" w:rsidRDefault="008A3E40">
      <w:pPr>
        <w:rPr>
          <w:rFonts w:ascii="Calibri" w:eastAsia="Calibri" w:hAnsi="Calibri" w:cs="Times New Roman"/>
          <w:color w:val="0000FF"/>
        </w:rPr>
      </w:pPr>
      <w:r>
        <w:rPr>
          <w:rFonts w:ascii="Calibri" w:eastAsia="Calibri" w:hAnsi="Calibri" w:cs="Times New Roman"/>
          <w:color w:val="0000FF"/>
        </w:rPr>
        <w:br w:type="page"/>
      </w:r>
    </w:p>
    <w:p w:rsidR="00D069F8" w:rsidRPr="00D069F8" w:rsidRDefault="00D069F8" w:rsidP="008A3E40">
      <w:pPr>
        <w:spacing w:before="240" w:after="240"/>
        <w:rPr>
          <w:rFonts w:ascii="Calibri" w:eastAsia="Calibri" w:hAnsi="Calibri" w:cs="Times New Roman"/>
          <w:color w:val="0000FF"/>
        </w:rPr>
      </w:pPr>
      <w:r w:rsidRPr="00D069F8">
        <w:rPr>
          <w:rFonts w:ascii="Calibri" w:eastAsia="Calibri" w:hAnsi="Calibri" w:cs="Times New Roman"/>
          <w:color w:val="0000FF"/>
        </w:rPr>
        <w:lastRenderedPageBreak/>
        <w:t>1</w:t>
      </w:r>
      <w:r w:rsidR="001B789C">
        <w:rPr>
          <w:rFonts w:ascii="Calibri" w:eastAsia="Calibri" w:hAnsi="Calibri" w:cs="Times New Roman"/>
          <w:color w:val="0000FF"/>
        </w:rPr>
        <w:t>2</w:t>
      </w:r>
      <w:r w:rsidRPr="00D069F8">
        <w:rPr>
          <w:rFonts w:ascii="Calibri" w:eastAsia="Calibri" w:hAnsi="Calibri" w:cs="Times New Roman"/>
          <w:color w:val="0000FF"/>
        </w:rPr>
        <w:t>. Thrush, A., Rozek</w:t>
      </w:r>
      <w:r w:rsidR="00423F6D">
        <w:rPr>
          <w:rFonts w:ascii="Calibri" w:eastAsia="Calibri" w:hAnsi="Calibri" w:cs="Times New Roman"/>
          <w:color w:val="0000FF"/>
        </w:rPr>
        <w:t>, M.</w:t>
      </w:r>
      <w:r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&amp; </w:t>
      </w:r>
      <w:r w:rsidRPr="00D069F8">
        <w:rPr>
          <w:rFonts w:ascii="Calibri" w:eastAsia="Calibri" w:hAnsi="Calibri" w:cs="Times New Roman"/>
          <w:color w:val="0000FF"/>
        </w:rPr>
        <w:t>Dekerlegand</w:t>
      </w:r>
      <w:r w:rsidR="00423F6D">
        <w:rPr>
          <w:rFonts w:ascii="Calibri" w:eastAsia="Calibri" w:hAnsi="Calibri" w:cs="Times New Roman"/>
          <w:color w:val="0000FF"/>
        </w:rPr>
        <w:t>, J. L</w:t>
      </w:r>
      <w:r w:rsidRPr="00D069F8">
        <w:rPr>
          <w:rFonts w:ascii="Calibri" w:eastAsia="Calibri" w:hAnsi="Calibri" w:cs="Times New Roman"/>
          <w:color w:val="0000FF"/>
        </w:rPr>
        <w:t xml:space="preserve">. </w:t>
      </w:r>
      <w:r w:rsidR="00423F6D">
        <w:rPr>
          <w:rFonts w:ascii="Calibri" w:eastAsia="Calibri" w:hAnsi="Calibri" w:cs="Times New Roman"/>
          <w:color w:val="0000FF"/>
        </w:rPr>
        <w:t xml:space="preserve">(2012). </w:t>
      </w:r>
      <w:r w:rsidRPr="00D069F8">
        <w:rPr>
          <w:rFonts w:ascii="Calibri" w:eastAsia="Calibri" w:hAnsi="Calibri" w:cs="Times New Roman"/>
          <w:color w:val="0000FF"/>
        </w:rPr>
        <w:t xml:space="preserve">The </w:t>
      </w:r>
      <w:r w:rsidR="00423F6D" w:rsidRPr="00D069F8">
        <w:rPr>
          <w:rFonts w:ascii="Calibri" w:eastAsia="Calibri" w:hAnsi="Calibri" w:cs="Times New Roman"/>
          <w:color w:val="0000FF"/>
        </w:rPr>
        <w:t xml:space="preserve">clinical utility of the </w:t>
      </w:r>
      <w:r w:rsidR="005D00CC" w:rsidRPr="00D069F8">
        <w:rPr>
          <w:rFonts w:ascii="Calibri" w:eastAsia="Calibri" w:hAnsi="Calibri" w:cs="Times New Roman"/>
          <w:color w:val="0000FF"/>
        </w:rPr>
        <w:t>Functional Status Score for the Intensive Care Unit</w:t>
      </w:r>
      <w:r w:rsidRPr="00D069F8">
        <w:rPr>
          <w:rFonts w:ascii="Calibri" w:eastAsia="Calibri" w:hAnsi="Calibri" w:cs="Times New Roman"/>
          <w:color w:val="0000FF"/>
        </w:rPr>
        <w:t xml:space="preserve"> (</w:t>
      </w:r>
      <w:r w:rsidR="005D00CC" w:rsidRPr="00D069F8">
        <w:rPr>
          <w:rFonts w:ascii="Calibri" w:eastAsia="Calibri" w:hAnsi="Calibri" w:cs="Times New Roman"/>
          <w:color w:val="0000FF"/>
        </w:rPr>
        <w:t>FSS-ICU</w:t>
      </w:r>
      <w:r w:rsidRPr="00D069F8">
        <w:rPr>
          <w:rFonts w:ascii="Calibri" w:eastAsia="Calibri" w:hAnsi="Calibri" w:cs="Times New Roman"/>
          <w:color w:val="0000FF"/>
        </w:rPr>
        <w:t>) at a</w:t>
      </w:r>
      <w:r w:rsidR="00423F6D" w:rsidRPr="00D069F8">
        <w:rPr>
          <w:rFonts w:ascii="Calibri" w:eastAsia="Calibri" w:hAnsi="Calibri" w:cs="Times New Roman"/>
          <w:color w:val="0000FF"/>
        </w:rPr>
        <w:t xml:space="preserve"> long-term acute care hospital</w:t>
      </w:r>
      <w:r w:rsidRPr="00D069F8">
        <w:rPr>
          <w:rFonts w:ascii="Calibri" w:eastAsia="Calibri" w:hAnsi="Calibri" w:cs="Times New Roman"/>
          <w:color w:val="0000FF"/>
        </w:rPr>
        <w:t xml:space="preserve">: A </w:t>
      </w:r>
      <w:r w:rsidR="00423F6D" w:rsidRPr="00D069F8">
        <w:rPr>
          <w:rFonts w:ascii="Calibri" w:eastAsia="Calibri" w:hAnsi="Calibri" w:cs="Times New Roman"/>
          <w:color w:val="0000FF"/>
        </w:rPr>
        <w:t>prospective cohort study</w:t>
      </w:r>
      <w:r w:rsidRPr="00D069F8">
        <w:rPr>
          <w:rFonts w:ascii="Calibri" w:eastAsia="Calibri" w:hAnsi="Calibri" w:cs="Times New Roman"/>
          <w:color w:val="0000FF"/>
        </w:rPr>
        <w:t>.</w:t>
      </w:r>
      <w:r w:rsidR="008A3E40">
        <w:rPr>
          <w:rFonts w:ascii="Calibri" w:eastAsia="Calibri" w:hAnsi="Calibri" w:cs="Times New Roman"/>
          <w:color w:val="0000FF"/>
        </w:rPr>
        <w:t xml:space="preserve"> </w:t>
      </w:r>
      <w:r w:rsidRPr="00D069F8">
        <w:rPr>
          <w:rFonts w:ascii="Calibri" w:eastAsia="Calibri" w:hAnsi="Calibri" w:cs="Times New Roman"/>
          <w:i/>
          <w:iCs/>
          <w:color w:val="0000FF"/>
        </w:rPr>
        <w:t>Phys</w:t>
      </w:r>
      <w:r w:rsidR="005D00CC">
        <w:rPr>
          <w:rFonts w:ascii="Calibri" w:eastAsia="Calibri" w:hAnsi="Calibri" w:cs="Times New Roman"/>
          <w:i/>
          <w:iCs/>
          <w:color w:val="0000FF"/>
        </w:rPr>
        <w:t>ical</w:t>
      </w:r>
      <w:r w:rsidRPr="00D069F8">
        <w:rPr>
          <w:rFonts w:ascii="Calibri" w:eastAsia="Calibri" w:hAnsi="Calibri" w:cs="Times New Roman"/>
          <w:i/>
          <w:iCs/>
          <w:color w:val="0000FF"/>
        </w:rPr>
        <w:t xml:space="preserve"> Ther</w:t>
      </w:r>
      <w:r w:rsidR="005D00CC">
        <w:rPr>
          <w:rFonts w:ascii="Calibri" w:eastAsia="Calibri" w:hAnsi="Calibri" w:cs="Times New Roman"/>
          <w:i/>
          <w:iCs/>
          <w:color w:val="0000FF"/>
        </w:rPr>
        <w:t>apy,</w:t>
      </w:r>
      <w:r w:rsidRPr="00D069F8">
        <w:rPr>
          <w:rFonts w:ascii="Calibri" w:eastAsia="Calibri" w:hAnsi="Calibri" w:cs="Times New Roman"/>
          <w:i/>
          <w:iCs/>
          <w:color w:val="0000FF"/>
        </w:rPr>
        <w:t xml:space="preserve"> </w:t>
      </w:r>
      <w:r w:rsidRPr="00036B89">
        <w:rPr>
          <w:rFonts w:ascii="Calibri" w:eastAsia="Calibri" w:hAnsi="Calibri" w:cs="Times New Roman"/>
          <w:i/>
          <w:color w:val="0000FF"/>
        </w:rPr>
        <w:t>92,</w:t>
      </w:r>
      <w:r w:rsidRPr="00D069F8">
        <w:rPr>
          <w:rFonts w:ascii="Calibri" w:eastAsia="Calibri" w:hAnsi="Calibri" w:cs="Times New Roman"/>
          <w:color w:val="0000FF"/>
        </w:rPr>
        <w:t xml:space="preserve"> 1536</w:t>
      </w:r>
      <w:r w:rsidR="005D00CC">
        <w:rPr>
          <w:rFonts w:ascii="Calibri" w:eastAsia="Calibri" w:hAnsi="Calibri" w:cs="Times New Roman"/>
          <w:color w:val="0000FF"/>
        </w:rPr>
        <w:t>–15</w:t>
      </w:r>
      <w:r w:rsidRPr="00D069F8">
        <w:rPr>
          <w:rFonts w:ascii="Calibri" w:eastAsia="Calibri" w:hAnsi="Calibri" w:cs="Times New Roman"/>
          <w:color w:val="0000FF"/>
        </w:rPr>
        <w:t>45.</w:t>
      </w:r>
    </w:p>
    <w:p w:rsidR="00D069F8" w:rsidRPr="00D069F8" w:rsidRDefault="00D069F8" w:rsidP="008A3E4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The purposes of this study were: (1) to measure the clinical utility of the Functional Status Score for the Intensive Care Unit (FSS-ICU) in an LTCH setting and (2) to explore the association between FSS-ICU score and discharge setting. Patients receiving therapy at an LTCH demonstrate significant improvements from admission to discharge using the FSS-ICU. This tool discriminates among discharge settings and successfully documents functional improvements of patients in an LTCH.</w:t>
      </w:r>
    </w:p>
    <w:p w:rsidR="00D069F8" w:rsidRPr="00D069F8" w:rsidRDefault="00D069F8" w:rsidP="005C6D90">
      <w:pPr>
        <w:tabs>
          <w:tab w:val="left" w:pos="360"/>
        </w:tabs>
        <w:spacing w:before="240" w:after="240"/>
        <w:rPr>
          <w:rFonts w:ascii="Calibri" w:eastAsia="Calibri" w:hAnsi="Calibri" w:cs="Times New Roman"/>
          <w:color w:val="0000FF"/>
        </w:rPr>
      </w:pPr>
      <w:r w:rsidRPr="00D069F8">
        <w:rPr>
          <w:rFonts w:ascii="Calibri" w:eastAsia="Calibri" w:hAnsi="Calibri" w:cs="Times New Roman"/>
          <w:color w:val="0000FF"/>
        </w:rPr>
        <w:t>1</w:t>
      </w:r>
      <w:r w:rsidR="001B789C">
        <w:rPr>
          <w:rFonts w:ascii="Calibri" w:eastAsia="Calibri" w:hAnsi="Calibri" w:cs="Times New Roman"/>
          <w:color w:val="0000FF"/>
        </w:rPr>
        <w:t>3</w:t>
      </w:r>
      <w:r w:rsidRPr="00D069F8">
        <w:rPr>
          <w:rFonts w:ascii="Calibri" w:eastAsia="Calibri" w:hAnsi="Calibri" w:cs="Times New Roman"/>
          <w:color w:val="0000FF"/>
        </w:rPr>
        <w:t>. Wilcox, M. E., Brummel</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N. E.</w:t>
      </w:r>
      <w:r w:rsidRPr="00D069F8">
        <w:rPr>
          <w:rFonts w:ascii="Calibri" w:eastAsia="Calibri" w:hAnsi="Calibri" w:cs="Times New Roman"/>
          <w:color w:val="0000FF"/>
        </w:rPr>
        <w:t>, Archer</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K.</w:t>
      </w:r>
      <w:r w:rsidRPr="00D069F8">
        <w:rPr>
          <w:rFonts w:ascii="Calibri" w:eastAsia="Calibri" w:hAnsi="Calibri" w:cs="Times New Roman"/>
          <w:color w:val="0000FF"/>
        </w:rPr>
        <w:t>, Ely</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E. W.</w:t>
      </w:r>
      <w:r w:rsidRPr="00D069F8">
        <w:rPr>
          <w:rFonts w:ascii="Calibri" w:eastAsia="Calibri" w:hAnsi="Calibri" w:cs="Times New Roman"/>
          <w:color w:val="0000FF"/>
        </w:rPr>
        <w:t>, Jackson</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J. C.</w:t>
      </w:r>
      <w:r w:rsidRPr="00D069F8">
        <w:rPr>
          <w:rFonts w:ascii="Calibri" w:eastAsia="Calibri" w:hAnsi="Calibri" w:cs="Times New Roman"/>
          <w:color w:val="0000FF"/>
        </w:rPr>
        <w:t xml:space="preserve">, </w:t>
      </w:r>
      <w:r w:rsidR="005D00CC">
        <w:rPr>
          <w:rFonts w:ascii="Calibri" w:eastAsia="Calibri" w:hAnsi="Calibri" w:cs="Times New Roman"/>
          <w:color w:val="0000FF"/>
        </w:rPr>
        <w:t xml:space="preserve">&amp; </w:t>
      </w:r>
      <w:r w:rsidRPr="00D069F8">
        <w:rPr>
          <w:rFonts w:ascii="Calibri" w:eastAsia="Calibri" w:hAnsi="Calibri" w:cs="Times New Roman"/>
          <w:color w:val="0000FF"/>
        </w:rPr>
        <w:t>Hopkins</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R. O.</w:t>
      </w:r>
      <w:r w:rsidR="005D00CC">
        <w:rPr>
          <w:rFonts w:ascii="Calibri" w:eastAsia="Calibri" w:hAnsi="Calibri" w:cs="Times New Roman"/>
          <w:color w:val="0000FF"/>
        </w:rPr>
        <w:t xml:space="preserve"> (2013)</w:t>
      </w:r>
      <w:r w:rsidRPr="00D069F8">
        <w:rPr>
          <w:rFonts w:ascii="Calibri" w:eastAsia="Calibri" w:hAnsi="Calibri" w:cs="Times New Roman"/>
          <w:color w:val="0000FF"/>
        </w:rPr>
        <w:t xml:space="preserve">. Cognitive </w:t>
      </w:r>
      <w:r w:rsidR="005D00CC" w:rsidRPr="00D069F8">
        <w:rPr>
          <w:rFonts w:ascii="Calibri" w:eastAsia="Calibri" w:hAnsi="Calibri" w:cs="Times New Roman"/>
          <w:color w:val="0000FF"/>
        </w:rPr>
        <w:t>dysfunction in ICU patients: Risk factors, predictors, and rehabilitation interventions</w:t>
      </w:r>
      <w:r w:rsidRPr="00D069F8">
        <w:rPr>
          <w:rFonts w:ascii="Calibri" w:eastAsia="Calibri" w:hAnsi="Calibri" w:cs="Times New Roman"/>
          <w:color w:val="0000FF"/>
        </w:rPr>
        <w:t xml:space="preserve">. </w:t>
      </w:r>
      <w:r w:rsidRPr="00D069F8">
        <w:rPr>
          <w:rFonts w:ascii="Calibri" w:eastAsia="Calibri" w:hAnsi="Calibri" w:cs="Times New Roman"/>
          <w:i/>
          <w:iCs/>
          <w:color w:val="0000FF"/>
        </w:rPr>
        <w:t>Crit</w:t>
      </w:r>
      <w:r w:rsidR="005D00CC">
        <w:rPr>
          <w:rFonts w:ascii="Calibri" w:eastAsia="Calibri" w:hAnsi="Calibri" w:cs="Times New Roman"/>
          <w:i/>
          <w:iCs/>
          <w:color w:val="0000FF"/>
        </w:rPr>
        <w:t>ical</w:t>
      </w:r>
      <w:r w:rsidRPr="00D069F8">
        <w:rPr>
          <w:rFonts w:ascii="Calibri" w:eastAsia="Calibri" w:hAnsi="Calibri" w:cs="Times New Roman"/>
          <w:i/>
          <w:iCs/>
          <w:color w:val="0000FF"/>
        </w:rPr>
        <w:t xml:space="preserve"> Care Med</w:t>
      </w:r>
      <w:r w:rsidR="005D00CC">
        <w:rPr>
          <w:rFonts w:ascii="Calibri" w:eastAsia="Calibri" w:hAnsi="Calibri" w:cs="Times New Roman"/>
          <w:i/>
          <w:iCs/>
          <w:color w:val="0000FF"/>
        </w:rPr>
        <w:t>icine,</w:t>
      </w:r>
      <w:r w:rsidRPr="005D00CC">
        <w:rPr>
          <w:rFonts w:ascii="Calibri" w:eastAsia="Calibri" w:hAnsi="Calibri" w:cs="Times New Roman"/>
          <w:i/>
          <w:iCs/>
          <w:color w:val="0000FF"/>
        </w:rPr>
        <w:t xml:space="preserve"> </w:t>
      </w:r>
      <w:r w:rsidRPr="00036B89">
        <w:rPr>
          <w:rFonts w:ascii="Calibri" w:eastAsia="Calibri" w:hAnsi="Calibri" w:cs="Times New Roman"/>
          <w:i/>
          <w:color w:val="0000FF"/>
        </w:rPr>
        <w:t>41</w:t>
      </w:r>
      <w:r w:rsidR="005D00CC">
        <w:rPr>
          <w:rFonts w:ascii="Calibri" w:eastAsia="Calibri" w:hAnsi="Calibri" w:cs="Times New Roman"/>
          <w:color w:val="0000FF"/>
        </w:rPr>
        <w:t>(</w:t>
      </w:r>
      <w:r w:rsidRPr="00D069F8">
        <w:rPr>
          <w:rFonts w:ascii="Calibri" w:eastAsia="Calibri" w:hAnsi="Calibri" w:cs="Times New Roman"/>
          <w:color w:val="0000FF"/>
        </w:rPr>
        <w:t>Suppl</w:t>
      </w:r>
      <w:r w:rsidR="005D00CC">
        <w:rPr>
          <w:rFonts w:ascii="Calibri" w:eastAsia="Calibri" w:hAnsi="Calibri" w:cs="Times New Roman"/>
          <w:color w:val="0000FF"/>
        </w:rPr>
        <w:t>.</w:t>
      </w:r>
      <w:r w:rsidRPr="00D069F8">
        <w:rPr>
          <w:rFonts w:ascii="Calibri" w:eastAsia="Calibri" w:hAnsi="Calibri" w:cs="Times New Roman"/>
          <w:color w:val="0000FF"/>
        </w:rPr>
        <w:t xml:space="preserve"> </w:t>
      </w:r>
      <w:r w:rsidR="005D00CC">
        <w:rPr>
          <w:rFonts w:ascii="Calibri" w:eastAsia="Calibri" w:hAnsi="Calibri" w:cs="Times New Roman"/>
          <w:color w:val="0000FF"/>
        </w:rPr>
        <w:t>9), S81–S98</w:t>
      </w:r>
      <w:r w:rsidRPr="00D069F8">
        <w:rPr>
          <w:rFonts w:ascii="Calibri" w:eastAsia="Calibri" w:hAnsi="Calibri" w:cs="Times New Roman"/>
          <w:color w:val="0000FF"/>
        </w:rPr>
        <w:t>.</w:t>
      </w:r>
    </w:p>
    <w:p w:rsidR="00D069F8" w:rsidRPr="00D069F8" w:rsidRDefault="008A6135" w:rsidP="008A3E40">
      <w:pPr>
        <w:spacing w:before="240" w:after="240"/>
        <w:ind w:firstLine="0"/>
        <w:rPr>
          <w:rFonts w:ascii="Calibri" w:eastAsia="Calibri" w:hAnsi="Calibri" w:cs="Times New Roman"/>
          <w:color w:val="0000FF"/>
        </w:rPr>
      </w:pPr>
      <w:r>
        <w:rPr>
          <w:rFonts w:ascii="Calibri" w:eastAsia="Calibri" w:hAnsi="Calibri" w:cs="Times New Roman"/>
          <w:color w:val="0000FF"/>
        </w:rPr>
        <w:t>This</w:t>
      </w:r>
      <w:r w:rsidR="00D069F8" w:rsidRPr="00D069F8">
        <w:rPr>
          <w:rFonts w:ascii="Calibri" w:eastAsia="Calibri" w:hAnsi="Calibri" w:cs="Times New Roman"/>
          <w:color w:val="0000FF"/>
        </w:rPr>
        <w:t xml:space="preserve"> narrative review summarize</w:t>
      </w:r>
      <w:r>
        <w:rPr>
          <w:rFonts w:ascii="Calibri" w:eastAsia="Calibri" w:hAnsi="Calibri" w:cs="Times New Roman"/>
          <w:color w:val="0000FF"/>
        </w:rPr>
        <w:t>s</w:t>
      </w:r>
      <w:r w:rsidR="00D069F8" w:rsidRPr="00D069F8">
        <w:rPr>
          <w:rFonts w:ascii="Calibri" w:eastAsia="Calibri" w:hAnsi="Calibri" w:cs="Times New Roman"/>
          <w:color w:val="0000FF"/>
        </w:rPr>
        <w:t xml:space="preserve"> the existing literature on the prevalence, mechanisms, risk factors, and prediction of cognitive impairment after surviving critical illness. Opportunities exist to incorporate physical and cognitive rehabilitation strategies across a spectrum of environments (in the </w:t>
      </w:r>
      <w:r w:rsidR="008A3E40">
        <w:rPr>
          <w:rFonts w:ascii="Calibri" w:eastAsia="Calibri" w:hAnsi="Calibri" w:cs="Times New Roman"/>
          <w:color w:val="0000FF"/>
        </w:rPr>
        <w:t>intensive care unit</w:t>
      </w:r>
      <w:r w:rsidR="00D069F8" w:rsidRPr="00D069F8">
        <w:rPr>
          <w:rFonts w:ascii="Calibri" w:eastAsia="Calibri" w:hAnsi="Calibri" w:cs="Times New Roman"/>
          <w:color w:val="0000FF"/>
        </w:rPr>
        <w:t>, on the hospital ward, and at home, posthospital discharge).</w:t>
      </w:r>
    </w:p>
    <w:p w:rsidR="00D069F8" w:rsidRPr="00D069F8" w:rsidRDefault="00D069F8" w:rsidP="005C6D90">
      <w:pPr>
        <w:spacing w:before="240" w:after="240"/>
        <w:rPr>
          <w:rFonts w:ascii="Calibri" w:eastAsia="Calibri" w:hAnsi="Calibri" w:cs="Times New Roman"/>
          <w:color w:val="0000FF"/>
        </w:rPr>
      </w:pPr>
      <w:r w:rsidRPr="00D069F8">
        <w:rPr>
          <w:rFonts w:ascii="Calibri" w:eastAsia="Calibri" w:hAnsi="Calibri" w:cs="Times New Roman"/>
          <w:color w:val="0000FF"/>
        </w:rPr>
        <w:t>1</w:t>
      </w:r>
      <w:r w:rsidR="001B789C">
        <w:rPr>
          <w:rFonts w:ascii="Calibri" w:eastAsia="Calibri" w:hAnsi="Calibri" w:cs="Times New Roman"/>
          <w:color w:val="0000FF"/>
        </w:rPr>
        <w:t>4</w:t>
      </w:r>
      <w:r w:rsidRPr="00D069F8">
        <w:rPr>
          <w:rFonts w:ascii="Calibri" w:eastAsia="Calibri" w:hAnsi="Calibri" w:cs="Times New Roman"/>
          <w:color w:val="0000FF"/>
        </w:rPr>
        <w:t>. Zanni, J. M., Korupolu</w:t>
      </w:r>
      <w:r w:rsidR="005D00CC">
        <w:rPr>
          <w:rFonts w:ascii="Calibri" w:eastAsia="Calibri" w:hAnsi="Calibri" w:cs="Times New Roman"/>
          <w:color w:val="0000FF"/>
        </w:rPr>
        <w:t>, R.</w:t>
      </w:r>
      <w:r w:rsidRPr="00D069F8">
        <w:rPr>
          <w:rFonts w:ascii="Calibri" w:eastAsia="Calibri" w:hAnsi="Calibri" w:cs="Times New Roman"/>
          <w:color w:val="0000FF"/>
        </w:rPr>
        <w:t>, Fan</w:t>
      </w:r>
      <w:r w:rsidR="005D00CC">
        <w:rPr>
          <w:rFonts w:ascii="Calibri" w:eastAsia="Calibri" w:hAnsi="Calibri" w:cs="Times New Roman"/>
          <w:color w:val="0000FF"/>
        </w:rPr>
        <w:t>, E.</w:t>
      </w:r>
      <w:r w:rsidRPr="00D069F8">
        <w:rPr>
          <w:rFonts w:ascii="Calibri" w:eastAsia="Calibri" w:hAnsi="Calibri" w:cs="Times New Roman"/>
          <w:color w:val="0000FF"/>
        </w:rPr>
        <w:t>, Pradhan</w:t>
      </w:r>
      <w:r w:rsidR="005D00CC">
        <w:rPr>
          <w:rFonts w:ascii="Calibri" w:eastAsia="Calibri" w:hAnsi="Calibri" w:cs="Times New Roman"/>
          <w:color w:val="0000FF"/>
        </w:rPr>
        <w:t>, P.</w:t>
      </w:r>
      <w:r w:rsidRPr="00D069F8">
        <w:rPr>
          <w:rFonts w:ascii="Calibri" w:eastAsia="Calibri" w:hAnsi="Calibri" w:cs="Times New Roman"/>
          <w:color w:val="0000FF"/>
        </w:rPr>
        <w:t>, Janjua</w:t>
      </w:r>
      <w:r w:rsidR="005D00CC">
        <w:rPr>
          <w:rFonts w:ascii="Calibri" w:eastAsia="Calibri" w:hAnsi="Calibri" w:cs="Times New Roman"/>
          <w:color w:val="0000FF"/>
        </w:rPr>
        <w:t>, K.</w:t>
      </w:r>
      <w:r w:rsidRPr="00D069F8">
        <w:rPr>
          <w:rFonts w:ascii="Calibri" w:eastAsia="Calibri" w:hAnsi="Calibri" w:cs="Times New Roman"/>
          <w:color w:val="0000FF"/>
        </w:rPr>
        <w:t>, Palmer</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J. B.</w:t>
      </w:r>
      <w:r w:rsidRPr="00D069F8">
        <w:rPr>
          <w:rFonts w:ascii="Calibri" w:eastAsia="Calibri" w:hAnsi="Calibri" w:cs="Times New Roman"/>
          <w:color w:val="0000FF"/>
        </w:rPr>
        <w:t>, Needham</w:t>
      </w:r>
      <w:r w:rsidR="005D00CC">
        <w:rPr>
          <w:rFonts w:ascii="Calibri" w:eastAsia="Calibri" w:hAnsi="Calibri" w:cs="Times New Roman"/>
          <w:color w:val="0000FF"/>
        </w:rPr>
        <w:t xml:space="preserve">, </w:t>
      </w:r>
      <w:r w:rsidR="005D00CC" w:rsidRPr="00D069F8">
        <w:rPr>
          <w:rFonts w:ascii="Calibri" w:eastAsia="Calibri" w:hAnsi="Calibri" w:cs="Times New Roman"/>
          <w:color w:val="0000FF"/>
        </w:rPr>
        <w:t>D. M</w:t>
      </w:r>
      <w:r w:rsidRPr="00D069F8">
        <w:rPr>
          <w:rFonts w:ascii="Calibri" w:eastAsia="Calibri" w:hAnsi="Calibri" w:cs="Times New Roman"/>
          <w:color w:val="0000FF"/>
        </w:rPr>
        <w:t xml:space="preserve">. </w:t>
      </w:r>
      <w:r w:rsidR="005D00CC">
        <w:rPr>
          <w:rFonts w:ascii="Calibri" w:eastAsia="Calibri" w:hAnsi="Calibri" w:cs="Times New Roman"/>
          <w:color w:val="0000FF"/>
        </w:rPr>
        <w:t xml:space="preserve">(2010). </w:t>
      </w:r>
      <w:r w:rsidRPr="00D069F8">
        <w:rPr>
          <w:rFonts w:ascii="Calibri" w:eastAsia="Calibri" w:hAnsi="Calibri" w:cs="Times New Roman"/>
          <w:color w:val="0000FF"/>
        </w:rPr>
        <w:t xml:space="preserve">Rehabilitation </w:t>
      </w:r>
      <w:r w:rsidR="005D00CC" w:rsidRPr="00D069F8">
        <w:rPr>
          <w:rFonts w:ascii="Calibri" w:eastAsia="Calibri" w:hAnsi="Calibri" w:cs="Times New Roman"/>
          <w:color w:val="0000FF"/>
        </w:rPr>
        <w:t>therapy and outcomes in acute respiratory failure: An observational pilot project.</w:t>
      </w:r>
      <w:r w:rsidRPr="00D069F8">
        <w:rPr>
          <w:rFonts w:ascii="Calibri" w:eastAsia="Calibri" w:hAnsi="Calibri" w:cs="Times New Roman"/>
          <w:color w:val="0000FF"/>
        </w:rPr>
        <w:t xml:space="preserve"> </w:t>
      </w:r>
      <w:r w:rsidRPr="00D069F8">
        <w:rPr>
          <w:rFonts w:ascii="Calibri" w:eastAsia="Calibri" w:hAnsi="Calibri" w:cs="Times New Roman"/>
          <w:i/>
          <w:iCs/>
          <w:color w:val="0000FF"/>
        </w:rPr>
        <w:t>J</w:t>
      </w:r>
      <w:r w:rsidR="005D00CC">
        <w:rPr>
          <w:rFonts w:ascii="Calibri" w:eastAsia="Calibri" w:hAnsi="Calibri" w:cs="Times New Roman"/>
          <w:i/>
          <w:iCs/>
          <w:color w:val="0000FF"/>
        </w:rPr>
        <w:t>ournal of</w:t>
      </w:r>
      <w:r w:rsidRPr="00D069F8">
        <w:rPr>
          <w:rFonts w:ascii="Calibri" w:eastAsia="Calibri" w:hAnsi="Calibri" w:cs="Times New Roman"/>
          <w:i/>
          <w:iCs/>
          <w:color w:val="0000FF"/>
        </w:rPr>
        <w:t xml:space="preserve"> Crit</w:t>
      </w:r>
      <w:r w:rsidR="005D00CC">
        <w:rPr>
          <w:rFonts w:ascii="Calibri" w:eastAsia="Calibri" w:hAnsi="Calibri" w:cs="Times New Roman"/>
          <w:i/>
          <w:iCs/>
          <w:color w:val="0000FF"/>
        </w:rPr>
        <w:t>ical</w:t>
      </w:r>
      <w:r w:rsidRPr="00D069F8">
        <w:rPr>
          <w:rFonts w:ascii="Calibri" w:eastAsia="Calibri" w:hAnsi="Calibri" w:cs="Times New Roman"/>
          <w:i/>
          <w:iCs/>
          <w:color w:val="0000FF"/>
        </w:rPr>
        <w:t xml:space="preserve"> Care</w:t>
      </w:r>
      <w:r w:rsidR="005D00CC">
        <w:rPr>
          <w:rFonts w:ascii="Calibri" w:eastAsia="Calibri" w:hAnsi="Calibri" w:cs="Times New Roman"/>
          <w:i/>
          <w:iCs/>
          <w:color w:val="0000FF"/>
        </w:rPr>
        <w:t>,</w:t>
      </w:r>
      <w:r w:rsidRPr="00D069F8">
        <w:rPr>
          <w:rFonts w:ascii="Calibri" w:eastAsia="Calibri" w:hAnsi="Calibri" w:cs="Times New Roman"/>
          <w:i/>
          <w:iCs/>
          <w:color w:val="0000FF"/>
        </w:rPr>
        <w:t xml:space="preserve"> </w:t>
      </w:r>
      <w:r w:rsidRPr="00036B89">
        <w:rPr>
          <w:rFonts w:ascii="Calibri" w:eastAsia="Calibri" w:hAnsi="Calibri" w:cs="Times New Roman"/>
          <w:i/>
          <w:color w:val="0000FF"/>
        </w:rPr>
        <w:t>25,</w:t>
      </w:r>
      <w:r w:rsidRPr="00D069F8">
        <w:rPr>
          <w:rFonts w:ascii="Calibri" w:eastAsia="Calibri" w:hAnsi="Calibri" w:cs="Times New Roman"/>
          <w:color w:val="0000FF"/>
        </w:rPr>
        <w:t xml:space="preserve"> 254</w:t>
      </w:r>
      <w:r w:rsidR="005D00CC">
        <w:rPr>
          <w:rFonts w:ascii="Calibri" w:eastAsia="Calibri" w:hAnsi="Calibri" w:cs="Times New Roman"/>
          <w:color w:val="0000FF"/>
        </w:rPr>
        <w:t>–2</w:t>
      </w:r>
      <w:r w:rsidRPr="00D069F8">
        <w:rPr>
          <w:rFonts w:ascii="Calibri" w:eastAsia="Calibri" w:hAnsi="Calibri" w:cs="Times New Roman"/>
          <w:color w:val="0000FF"/>
        </w:rPr>
        <w:t>62.</w:t>
      </w:r>
    </w:p>
    <w:p w:rsidR="00D069F8" w:rsidRPr="00B65C8F" w:rsidRDefault="00D069F8" w:rsidP="008A3E40">
      <w:pPr>
        <w:spacing w:before="240" w:after="240"/>
        <w:ind w:firstLine="0"/>
        <w:rPr>
          <w:rFonts w:ascii="Calibri" w:eastAsia="Calibri" w:hAnsi="Calibri" w:cs="Times New Roman"/>
          <w:color w:val="0000FF"/>
        </w:rPr>
      </w:pPr>
      <w:r w:rsidRPr="00D069F8">
        <w:rPr>
          <w:rFonts w:ascii="Calibri" w:eastAsia="Calibri" w:hAnsi="Calibri" w:cs="Times New Roman"/>
          <w:color w:val="0000FF"/>
        </w:rPr>
        <w:t>The aim of this study was to describe the frequency, physiologic effects, safety, and patient</w:t>
      </w:r>
      <w:r w:rsidR="004D798B">
        <w:rPr>
          <w:rFonts w:ascii="Calibri" w:eastAsia="Calibri" w:hAnsi="Calibri" w:cs="Times New Roman"/>
          <w:color w:val="0000FF"/>
        </w:rPr>
        <w:t xml:space="preserve"> </w:t>
      </w:r>
      <w:r w:rsidRPr="00D069F8">
        <w:rPr>
          <w:rFonts w:ascii="Calibri" w:eastAsia="Calibri" w:hAnsi="Calibri" w:cs="Times New Roman"/>
          <w:color w:val="0000FF"/>
        </w:rPr>
        <w:t xml:space="preserve">outcomes associated with traditional rehabilitation therapy in patients who require mechanical ventilation. This pilot project illustrated important barriers to providing rehabilitation to mechanically ventilated patients in an </w:t>
      </w:r>
      <w:r w:rsidR="008A3E40">
        <w:rPr>
          <w:rFonts w:ascii="Calibri" w:eastAsia="Calibri" w:hAnsi="Calibri" w:cs="Times New Roman"/>
          <w:color w:val="0000FF"/>
        </w:rPr>
        <w:t>intensive care unit</w:t>
      </w:r>
      <w:r w:rsidRPr="00D069F8">
        <w:rPr>
          <w:rFonts w:ascii="Calibri" w:eastAsia="Calibri" w:hAnsi="Calibri" w:cs="Times New Roman"/>
          <w:color w:val="0000FF"/>
        </w:rPr>
        <w:t xml:space="preserve"> and impairments in strength, range of motion, and functional outcomes at hospital discharge.</w:t>
      </w:r>
    </w:p>
    <w:sectPr w:rsidR="00D069F8" w:rsidRPr="00B65C8F" w:rsidSect="00B51DF8">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5A7" w:rsidRDefault="000D15A7" w:rsidP="007E37A5">
      <w:r>
        <w:separator/>
      </w:r>
    </w:p>
  </w:endnote>
  <w:endnote w:type="continuationSeparator" w:id="0">
    <w:p w:rsidR="000D15A7" w:rsidRDefault="000D15A7" w:rsidP="007E37A5">
      <w:r>
        <w:continuationSeparator/>
      </w:r>
    </w:p>
  </w:endnote>
  <w:endnote w:type="continuationNotice" w:id="1">
    <w:p w:rsidR="000D15A7" w:rsidRDefault="000D1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gi">
    <w:panose1 w:val="04040504061007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aramond-Book">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5A7" w:rsidRDefault="000D15A7">
    <w:pPr>
      <w:pStyle w:val="Footer"/>
    </w:pPr>
    <w:r w:rsidRPr="00395263">
      <w:t>Version 6.5</w:t>
    </w:r>
    <w:r>
      <w:t>, 08/20</w:t>
    </w:r>
    <w:r w:rsidRPr="00395263">
      <w:t>/13</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5A7" w:rsidRDefault="000D15A7" w:rsidP="007E37A5">
      <w:r>
        <w:separator/>
      </w:r>
    </w:p>
  </w:footnote>
  <w:footnote w:type="continuationSeparator" w:id="0">
    <w:p w:rsidR="000D15A7" w:rsidRDefault="000D15A7" w:rsidP="007E37A5">
      <w:r>
        <w:continuationSeparator/>
      </w:r>
    </w:p>
  </w:footnote>
  <w:footnote w:type="continuationNotice" w:id="1">
    <w:p w:rsidR="000D15A7" w:rsidRDefault="000D15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0D15A7" w:rsidRDefault="000D15A7"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0.2pt;height:10.2pt;visibility:visible;mso-wrap-style:square" o:bullet="t">
        <v:imagedata r:id="rId1" o:title=""/>
      </v:shape>
    </w:pict>
  </w:numPicBullet>
  <w:numPicBullet w:numPicBulletId="1">
    <w:pict>
      <v:shape id="_x0000_i1070" type="#_x0000_t75" style="width:3in;height:3in" o:bullet="t"/>
    </w:pict>
  </w:numPicBullet>
  <w:abstractNum w:abstractNumId="0">
    <w:nsid w:val="06FA5411"/>
    <w:multiLevelType w:val="multilevel"/>
    <w:tmpl w:val="BAEA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B43EBE"/>
    <w:multiLevelType w:val="multilevel"/>
    <w:tmpl w:val="8EAA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0567BB"/>
    <w:multiLevelType w:val="multilevel"/>
    <w:tmpl w:val="9F10CEA2"/>
    <w:lvl w:ilvl="0">
      <w:start w:val="4"/>
      <w:numFmt w:val="decimal"/>
      <w:lvlText w:val="%1."/>
      <w:lvlJc w:val="left"/>
      <w:pPr>
        <w:tabs>
          <w:tab w:val="num" w:pos="360"/>
        </w:tabs>
        <w:ind w:left="0" w:firstLine="0"/>
      </w:pPr>
      <w:rPr>
        <w:rFonts w:ascii="Gigi" w:hAnsi="Gigi" w:hint="default"/>
        <w:b w:val="0"/>
        <w:i/>
        <w:vanish w:val="0"/>
        <w:color w:val="auto"/>
        <w:sz w:val="3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vanish w:val="0"/>
        <w:color w:val="FF0000"/>
      </w:rPr>
    </w:lvl>
  </w:abstractNum>
  <w:abstractNum w:abstractNumId="3">
    <w:nsid w:val="237D1C6F"/>
    <w:multiLevelType w:val="hybridMultilevel"/>
    <w:tmpl w:val="1758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8EA18EA"/>
    <w:multiLevelType w:val="hybridMultilevel"/>
    <w:tmpl w:val="3716B77E"/>
    <w:lvl w:ilvl="0" w:tplc="D5A22E34">
      <w:start w:val="1"/>
      <w:numFmt w:val="bullet"/>
      <w:lvlText w:val="•"/>
      <w:lvlJc w:val="left"/>
      <w:pPr>
        <w:ind w:left="1080" w:hanging="360"/>
      </w:pPr>
      <w:rPr>
        <w:rFonts w:ascii="Arial" w:hAnsi="Arial" w:cs="Calibri" w:hint="default"/>
        <w:b/>
        <w:i w:val="0"/>
        <w:color w:val="auto"/>
        <w:sz w:val="24"/>
        <w:szCs w:val="14"/>
      </w:rPr>
    </w:lvl>
    <w:lvl w:ilvl="1" w:tplc="8A6CB272" w:tentative="1">
      <w:start w:val="1"/>
      <w:numFmt w:val="bullet"/>
      <w:lvlText w:val="o"/>
      <w:lvlJc w:val="left"/>
      <w:pPr>
        <w:ind w:left="1800" w:hanging="360"/>
      </w:pPr>
      <w:rPr>
        <w:rFonts w:ascii="Courier New" w:hAnsi="Courier New" w:cs="Courier New" w:hint="default"/>
      </w:rPr>
    </w:lvl>
    <w:lvl w:ilvl="2" w:tplc="3594DEC0" w:tentative="1">
      <w:start w:val="1"/>
      <w:numFmt w:val="bullet"/>
      <w:lvlText w:val=""/>
      <w:lvlJc w:val="left"/>
      <w:pPr>
        <w:ind w:left="2520" w:hanging="360"/>
      </w:pPr>
      <w:rPr>
        <w:rFonts w:ascii="Wingdings" w:hAnsi="Wingdings" w:hint="default"/>
      </w:rPr>
    </w:lvl>
    <w:lvl w:ilvl="3" w:tplc="E6D2B24C" w:tentative="1">
      <w:start w:val="1"/>
      <w:numFmt w:val="bullet"/>
      <w:lvlText w:val=""/>
      <w:lvlJc w:val="left"/>
      <w:pPr>
        <w:ind w:left="3240" w:hanging="360"/>
      </w:pPr>
      <w:rPr>
        <w:rFonts w:ascii="Symbol" w:hAnsi="Symbol" w:hint="default"/>
      </w:rPr>
    </w:lvl>
    <w:lvl w:ilvl="4" w:tplc="AD1E02A8" w:tentative="1">
      <w:start w:val="1"/>
      <w:numFmt w:val="bullet"/>
      <w:lvlText w:val="o"/>
      <w:lvlJc w:val="left"/>
      <w:pPr>
        <w:ind w:left="3960" w:hanging="360"/>
      </w:pPr>
      <w:rPr>
        <w:rFonts w:ascii="Courier New" w:hAnsi="Courier New" w:cs="Courier New" w:hint="default"/>
      </w:rPr>
    </w:lvl>
    <w:lvl w:ilvl="5" w:tplc="38BCE4F6" w:tentative="1">
      <w:start w:val="1"/>
      <w:numFmt w:val="bullet"/>
      <w:lvlText w:val=""/>
      <w:lvlJc w:val="left"/>
      <w:pPr>
        <w:ind w:left="4680" w:hanging="360"/>
      </w:pPr>
      <w:rPr>
        <w:rFonts w:ascii="Wingdings" w:hAnsi="Wingdings" w:hint="default"/>
      </w:rPr>
    </w:lvl>
    <w:lvl w:ilvl="6" w:tplc="316A173C" w:tentative="1">
      <w:start w:val="1"/>
      <w:numFmt w:val="bullet"/>
      <w:lvlText w:val=""/>
      <w:lvlJc w:val="left"/>
      <w:pPr>
        <w:ind w:left="5400" w:hanging="360"/>
      </w:pPr>
      <w:rPr>
        <w:rFonts w:ascii="Symbol" w:hAnsi="Symbol" w:hint="default"/>
      </w:rPr>
    </w:lvl>
    <w:lvl w:ilvl="7" w:tplc="A316FD16" w:tentative="1">
      <w:start w:val="1"/>
      <w:numFmt w:val="bullet"/>
      <w:lvlText w:val="o"/>
      <w:lvlJc w:val="left"/>
      <w:pPr>
        <w:ind w:left="6120" w:hanging="360"/>
      </w:pPr>
      <w:rPr>
        <w:rFonts w:ascii="Courier New" w:hAnsi="Courier New" w:cs="Courier New" w:hint="default"/>
      </w:rPr>
    </w:lvl>
    <w:lvl w:ilvl="8" w:tplc="037AD672" w:tentative="1">
      <w:start w:val="1"/>
      <w:numFmt w:val="bullet"/>
      <w:lvlText w:val=""/>
      <w:lvlJc w:val="left"/>
      <w:pPr>
        <w:ind w:left="6840" w:hanging="360"/>
      </w:pPr>
      <w:rPr>
        <w:rFonts w:ascii="Wingdings" w:hAnsi="Wingdings" w:hint="default"/>
      </w:rPr>
    </w:lvl>
  </w:abstractNum>
  <w:abstractNum w:abstractNumId="10">
    <w:nsid w:val="3ED70C99"/>
    <w:multiLevelType w:val="multilevel"/>
    <w:tmpl w:val="EEDC3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B27482"/>
    <w:multiLevelType w:val="multilevel"/>
    <w:tmpl w:val="E1D41A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FE178D"/>
    <w:multiLevelType w:val="hybridMultilevel"/>
    <w:tmpl w:val="0890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8408DC"/>
    <w:multiLevelType w:val="multilevel"/>
    <w:tmpl w:val="156AD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5AA4123"/>
    <w:multiLevelType w:val="multilevel"/>
    <w:tmpl w:val="47DC4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C4538F6"/>
    <w:multiLevelType w:val="multilevel"/>
    <w:tmpl w:val="EBC4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D230CE"/>
    <w:multiLevelType w:val="multilevel"/>
    <w:tmpl w:val="08BC5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DD323EC"/>
    <w:multiLevelType w:val="hybridMultilevel"/>
    <w:tmpl w:val="BFC0C544"/>
    <w:lvl w:ilvl="0" w:tplc="411E6FFE">
      <w:start w:val="1"/>
      <w:numFmt w:val="bullet"/>
      <w:lvlText w:val=""/>
      <w:lvlPicBulletId w:val="0"/>
      <w:lvlJc w:val="left"/>
      <w:pPr>
        <w:tabs>
          <w:tab w:val="num" w:pos="720"/>
        </w:tabs>
        <w:ind w:left="720" w:hanging="360"/>
      </w:pPr>
      <w:rPr>
        <w:rFonts w:ascii="Symbol" w:hAnsi="Symbol" w:hint="default"/>
      </w:rPr>
    </w:lvl>
    <w:lvl w:ilvl="1" w:tplc="FEDE3292" w:tentative="1">
      <w:start w:val="1"/>
      <w:numFmt w:val="bullet"/>
      <w:lvlText w:val=""/>
      <w:lvlJc w:val="left"/>
      <w:pPr>
        <w:tabs>
          <w:tab w:val="num" w:pos="1440"/>
        </w:tabs>
        <w:ind w:left="1440" w:hanging="360"/>
      </w:pPr>
      <w:rPr>
        <w:rFonts w:ascii="Symbol" w:hAnsi="Symbol" w:hint="default"/>
      </w:rPr>
    </w:lvl>
    <w:lvl w:ilvl="2" w:tplc="69345AA0" w:tentative="1">
      <w:start w:val="1"/>
      <w:numFmt w:val="bullet"/>
      <w:lvlText w:val=""/>
      <w:lvlJc w:val="left"/>
      <w:pPr>
        <w:tabs>
          <w:tab w:val="num" w:pos="2160"/>
        </w:tabs>
        <w:ind w:left="2160" w:hanging="360"/>
      </w:pPr>
      <w:rPr>
        <w:rFonts w:ascii="Symbol" w:hAnsi="Symbol" w:hint="default"/>
      </w:rPr>
    </w:lvl>
    <w:lvl w:ilvl="3" w:tplc="30D84C98" w:tentative="1">
      <w:start w:val="1"/>
      <w:numFmt w:val="bullet"/>
      <w:lvlText w:val=""/>
      <w:lvlJc w:val="left"/>
      <w:pPr>
        <w:tabs>
          <w:tab w:val="num" w:pos="2880"/>
        </w:tabs>
        <w:ind w:left="2880" w:hanging="360"/>
      </w:pPr>
      <w:rPr>
        <w:rFonts w:ascii="Symbol" w:hAnsi="Symbol" w:hint="default"/>
      </w:rPr>
    </w:lvl>
    <w:lvl w:ilvl="4" w:tplc="C3A41A46" w:tentative="1">
      <w:start w:val="1"/>
      <w:numFmt w:val="bullet"/>
      <w:lvlText w:val=""/>
      <w:lvlJc w:val="left"/>
      <w:pPr>
        <w:tabs>
          <w:tab w:val="num" w:pos="3600"/>
        </w:tabs>
        <w:ind w:left="3600" w:hanging="360"/>
      </w:pPr>
      <w:rPr>
        <w:rFonts w:ascii="Symbol" w:hAnsi="Symbol" w:hint="default"/>
      </w:rPr>
    </w:lvl>
    <w:lvl w:ilvl="5" w:tplc="31E0C020" w:tentative="1">
      <w:start w:val="1"/>
      <w:numFmt w:val="bullet"/>
      <w:lvlText w:val=""/>
      <w:lvlJc w:val="left"/>
      <w:pPr>
        <w:tabs>
          <w:tab w:val="num" w:pos="4320"/>
        </w:tabs>
        <w:ind w:left="4320" w:hanging="360"/>
      </w:pPr>
      <w:rPr>
        <w:rFonts w:ascii="Symbol" w:hAnsi="Symbol" w:hint="default"/>
      </w:rPr>
    </w:lvl>
    <w:lvl w:ilvl="6" w:tplc="2618CA66" w:tentative="1">
      <w:start w:val="1"/>
      <w:numFmt w:val="bullet"/>
      <w:lvlText w:val=""/>
      <w:lvlJc w:val="left"/>
      <w:pPr>
        <w:tabs>
          <w:tab w:val="num" w:pos="5040"/>
        </w:tabs>
        <w:ind w:left="5040" w:hanging="360"/>
      </w:pPr>
      <w:rPr>
        <w:rFonts w:ascii="Symbol" w:hAnsi="Symbol" w:hint="default"/>
      </w:rPr>
    </w:lvl>
    <w:lvl w:ilvl="7" w:tplc="3F2E5744" w:tentative="1">
      <w:start w:val="1"/>
      <w:numFmt w:val="bullet"/>
      <w:lvlText w:val=""/>
      <w:lvlJc w:val="left"/>
      <w:pPr>
        <w:tabs>
          <w:tab w:val="num" w:pos="5760"/>
        </w:tabs>
        <w:ind w:left="5760" w:hanging="360"/>
      </w:pPr>
      <w:rPr>
        <w:rFonts w:ascii="Symbol" w:hAnsi="Symbol" w:hint="default"/>
      </w:rPr>
    </w:lvl>
    <w:lvl w:ilvl="8" w:tplc="27EC0A52" w:tentative="1">
      <w:start w:val="1"/>
      <w:numFmt w:val="bullet"/>
      <w:lvlText w:val=""/>
      <w:lvlJc w:val="left"/>
      <w:pPr>
        <w:tabs>
          <w:tab w:val="num" w:pos="6480"/>
        </w:tabs>
        <w:ind w:left="6480" w:hanging="360"/>
      </w:pPr>
      <w:rPr>
        <w:rFonts w:ascii="Symbol" w:hAnsi="Symbol" w:hint="default"/>
      </w:rPr>
    </w:lvl>
  </w:abstractNum>
  <w:abstractNum w:abstractNumId="19">
    <w:nsid w:val="62AC2D6D"/>
    <w:multiLevelType w:val="multilevel"/>
    <w:tmpl w:val="F1F2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D32B7"/>
    <w:multiLevelType w:val="multilevel"/>
    <w:tmpl w:val="BC1ABB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860D59"/>
    <w:multiLevelType w:val="multilevel"/>
    <w:tmpl w:val="68A86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027FFB"/>
    <w:multiLevelType w:val="multilevel"/>
    <w:tmpl w:val="4C886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7"/>
  </w:num>
  <w:num w:numId="3">
    <w:abstractNumId w:val="4"/>
  </w:num>
  <w:num w:numId="4">
    <w:abstractNumId w:val="5"/>
  </w:num>
  <w:num w:numId="5">
    <w:abstractNumId w:val="7"/>
  </w:num>
  <w:num w:numId="6">
    <w:abstractNumId w:val="6"/>
  </w:num>
  <w:num w:numId="7">
    <w:abstractNumId w:val="22"/>
  </w:num>
  <w:num w:numId="8">
    <w:abstractNumId w:val="20"/>
  </w:num>
  <w:num w:numId="9">
    <w:abstractNumId w:val="3"/>
  </w:num>
  <w:num w:numId="10">
    <w:abstractNumId w:val="9"/>
  </w:num>
  <w:num w:numId="11">
    <w:abstractNumId w:val="18"/>
  </w:num>
  <w:num w:numId="12">
    <w:abstractNumId w:val="2"/>
  </w:num>
  <w:num w:numId="13">
    <w:abstractNumId w:val="1"/>
  </w:num>
  <w:num w:numId="14">
    <w:abstractNumId w:val="10"/>
  </w:num>
  <w:num w:numId="15">
    <w:abstractNumId w:val="15"/>
  </w:num>
  <w:num w:numId="16">
    <w:abstractNumId w:val="23"/>
  </w:num>
  <w:num w:numId="17">
    <w:abstractNumId w:val="14"/>
  </w:num>
  <w:num w:numId="18">
    <w:abstractNumId w:val="16"/>
  </w:num>
  <w:num w:numId="19">
    <w:abstractNumId w:val="13"/>
  </w:num>
  <w:num w:numId="20">
    <w:abstractNumId w:val="19"/>
  </w:num>
  <w:num w:numId="21">
    <w:abstractNumId w:val="24"/>
  </w:num>
  <w:num w:numId="22">
    <w:abstractNumId w:val="11"/>
  </w:num>
  <w:num w:numId="23">
    <w:abstractNumId w:val="0"/>
  </w:num>
  <w:num w:numId="24">
    <w:abstractNumId w:val="2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16D71"/>
    <w:rsid w:val="00021A59"/>
    <w:rsid w:val="00024526"/>
    <w:rsid w:val="00030F43"/>
    <w:rsid w:val="00036B89"/>
    <w:rsid w:val="00040DCF"/>
    <w:rsid w:val="00052C0B"/>
    <w:rsid w:val="0005432B"/>
    <w:rsid w:val="00061CF3"/>
    <w:rsid w:val="00063601"/>
    <w:rsid w:val="00073079"/>
    <w:rsid w:val="0007593F"/>
    <w:rsid w:val="0009044D"/>
    <w:rsid w:val="00095EC9"/>
    <w:rsid w:val="00096A37"/>
    <w:rsid w:val="000A0810"/>
    <w:rsid w:val="000B627F"/>
    <w:rsid w:val="000D15A7"/>
    <w:rsid w:val="000D649E"/>
    <w:rsid w:val="000D6770"/>
    <w:rsid w:val="000D6D06"/>
    <w:rsid w:val="000F35B2"/>
    <w:rsid w:val="00105F92"/>
    <w:rsid w:val="00114848"/>
    <w:rsid w:val="00120934"/>
    <w:rsid w:val="00130B65"/>
    <w:rsid w:val="00132070"/>
    <w:rsid w:val="00135057"/>
    <w:rsid w:val="00141875"/>
    <w:rsid w:val="0014347E"/>
    <w:rsid w:val="00146CA9"/>
    <w:rsid w:val="001472D8"/>
    <w:rsid w:val="00154438"/>
    <w:rsid w:val="001551F6"/>
    <w:rsid w:val="0015535B"/>
    <w:rsid w:val="00162036"/>
    <w:rsid w:val="001632DD"/>
    <w:rsid w:val="0017199E"/>
    <w:rsid w:val="00176E60"/>
    <w:rsid w:val="00194D9A"/>
    <w:rsid w:val="001A196B"/>
    <w:rsid w:val="001A3572"/>
    <w:rsid w:val="001A6D05"/>
    <w:rsid w:val="001B38BF"/>
    <w:rsid w:val="001B772D"/>
    <w:rsid w:val="001B789C"/>
    <w:rsid w:val="001D5B5D"/>
    <w:rsid w:val="001E6153"/>
    <w:rsid w:val="001F2198"/>
    <w:rsid w:val="00201FF9"/>
    <w:rsid w:val="00205857"/>
    <w:rsid w:val="00235ADC"/>
    <w:rsid w:val="00236F87"/>
    <w:rsid w:val="002460F5"/>
    <w:rsid w:val="0026265B"/>
    <w:rsid w:val="00265702"/>
    <w:rsid w:val="002662B2"/>
    <w:rsid w:val="002717C7"/>
    <w:rsid w:val="00274A55"/>
    <w:rsid w:val="00286D34"/>
    <w:rsid w:val="002875E9"/>
    <w:rsid w:val="00287EB3"/>
    <w:rsid w:val="002A3C05"/>
    <w:rsid w:val="002A47BA"/>
    <w:rsid w:val="002A6777"/>
    <w:rsid w:val="002B06BD"/>
    <w:rsid w:val="002C0E48"/>
    <w:rsid w:val="002C6F04"/>
    <w:rsid w:val="002E2177"/>
    <w:rsid w:val="002E2E41"/>
    <w:rsid w:val="002E63A4"/>
    <w:rsid w:val="002E78CD"/>
    <w:rsid w:val="002F20A7"/>
    <w:rsid w:val="003008F4"/>
    <w:rsid w:val="00300E63"/>
    <w:rsid w:val="00302B1D"/>
    <w:rsid w:val="00307FA5"/>
    <w:rsid w:val="00311CEA"/>
    <w:rsid w:val="00316B9D"/>
    <w:rsid w:val="00323885"/>
    <w:rsid w:val="003245EC"/>
    <w:rsid w:val="00324D64"/>
    <w:rsid w:val="0033616C"/>
    <w:rsid w:val="00352B52"/>
    <w:rsid w:val="0035760D"/>
    <w:rsid w:val="00362E0D"/>
    <w:rsid w:val="00363ECC"/>
    <w:rsid w:val="00365EDB"/>
    <w:rsid w:val="0039020B"/>
    <w:rsid w:val="003950DC"/>
    <w:rsid w:val="00395263"/>
    <w:rsid w:val="003956E0"/>
    <w:rsid w:val="0039609A"/>
    <w:rsid w:val="003970E9"/>
    <w:rsid w:val="00397500"/>
    <w:rsid w:val="003B1CC5"/>
    <w:rsid w:val="003B54B7"/>
    <w:rsid w:val="003B65CE"/>
    <w:rsid w:val="003E039E"/>
    <w:rsid w:val="003E7593"/>
    <w:rsid w:val="00413CEC"/>
    <w:rsid w:val="00422917"/>
    <w:rsid w:val="00423F6D"/>
    <w:rsid w:val="00432980"/>
    <w:rsid w:val="00437A7D"/>
    <w:rsid w:val="00440687"/>
    <w:rsid w:val="0044131D"/>
    <w:rsid w:val="00441ADA"/>
    <w:rsid w:val="004559FB"/>
    <w:rsid w:val="00457E46"/>
    <w:rsid w:val="0049449B"/>
    <w:rsid w:val="00496AF8"/>
    <w:rsid w:val="004A575D"/>
    <w:rsid w:val="004B65C6"/>
    <w:rsid w:val="004D1DC7"/>
    <w:rsid w:val="004D798B"/>
    <w:rsid w:val="004F0869"/>
    <w:rsid w:val="004F5533"/>
    <w:rsid w:val="004F7D7E"/>
    <w:rsid w:val="00500B0C"/>
    <w:rsid w:val="00511F62"/>
    <w:rsid w:val="00537150"/>
    <w:rsid w:val="00540984"/>
    <w:rsid w:val="00541BA0"/>
    <w:rsid w:val="00543851"/>
    <w:rsid w:val="0055559D"/>
    <w:rsid w:val="005556C4"/>
    <w:rsid w:val="005569AE"/>
    <w:rsid w:val="005857F8"/>
    <w:rsid w:val="005B0D18"/>
    <w:rsid w:val="005B12C3"/>
    <w:rsid w:val="005B409D"/>
    <w:rsid w:val="005B69CA"/>
    <w:rsid w:val="005C3670"/>
    <w:rsid w:val="005C6D90"/>
    <w:rsid w:val="005D00CC"/>
    <w:rsid w:val="005D0FDB"/>
    <w:rsid w:val="005D25E9"/>
    <w:rsid w:val="005D6D59"/>
    <w:rsid w:val="005E42EA"/>
    <w:rsid w:val="005E47F9"/>
    <w:rsid w:val="005F3143"/>
    <w:rsid w:val="005F5B6A"/>
    <w:rsid w:val="006127C4"/>
    <w:rsid w:val="006128E4"/>
    <w:rsid w:val="00617390"/>
    <w:rsid w:val="0061772D"/>
    <w:rsid w:val="006200DA"/>
    <w:rsid w:val="00623420"/>
    <w:rsid w:val="006267E6"/>
    <w:rsid w:val="00634768"/>
    <w:rsid w:val="0063596F"/>
    <w:rsid w:val="00644441"/>
    <w:rsid w:val="006535A4"/>
    <w:rsid w:val="00654956"/>
    <w:rsid w:val="00657F7F"/>
    <w:rsid w:val="006703DB"/>
    <w:rsid w:val="006709EB"/>
    <w:rsid w:val="00672824"/>
    <w:rsid w:val="0068184A"/>
    <w:rsid w:val="00687838"/>
    <w:rsid w:val="006B5C51"/>
    <w:rsid w:val="006C142C"/>
    <w:rsid w:val="006C2785"/>
    <w:rsid w:val="006C2E60"/>
    <w:rsid w:val="006C7F30"/>
    <w:rsid w:val="006E6FDD"/>
    <w:rsid w:val="006F4B7F"/>
    <w:rsid w:val="006F760B"/>
    <w:rsid w:val="00701CC3"/>
    <w:rsid w:val="00702FC4"/>
    <w:rsid w:val="007222FB"/>
    <w:rsid w:val="00724801"/>
    <w:rsid w:val="00734949"/>
    <w:rsid w:val="00736A4A"/>
    <w:rsid w:val="00736AEC"/>
    <w:rsid w:val="00736E0F"/>
    <w:rsid w:val="007370A9"/>
    <w:rsid w:val="00743457"/>
    <w:rsid w:val="007434FA"/>
    <w:rsid w:val="00752BD9"/>
    <w:rsid w:val="007573F0"/>
    <w:rsid w:val="00765156"/>
    <w:rsid w:val="00766F5C"/>
    <w:rsid w:val="00767669"/>
    <w:rsid w:val="00773485"/>
    <w:rsid w:val="00776842"/>
    <w:rsid w:val="00776E8F"/>
    <w:rsid w:val="00776F6D"/>
    <w:rsid w:val="007B53DB"/>
    <w:rsid w:val="007C0297"/>
    <w:rsid w:val="007C1887"/>
    <w:rsid w:val="007D4775"/>
    <w:rsid w:val="007D5DC6"/>
    <w:rsid w:val="007E37A5"/>
    <w:rsid w:val="007F49D8"/>
    <w:rsid w:val="00805940"/>
    <w:rsid w:val="0081026E"/>
    <w:rsid w:val="008133C7"/>
    <w:rsid w:val="008139D0"/>
    <w:rsid w:val="008169B0"/>
    <w:rsid w:val="008369A8"/>
    <w:rsid w:val="00837121"/>
    <w:rsid w:val="008471E5"/>
    <w:rsid w:val="00850C35"/>
    <w:rsid w:val="00851466"/>
    <w:rsid w:val="00863E43"/>
    <w:rsid w:val="008647C3"/>
    <w:rsid w:val="008659ED"/>
    <w:rsid w:val="00870987"/>
    <w:rsid w:val="00871008"/>
    <w:rsid w:val="00873574"/>
    <w:rsid w:val="0087564A"/>
    <w:rsid w:val="00877DF8"/>
    <w:rsid w:val="00881160"/>
    <w:rsid w:val="0088371C"/>
    <w:rsid w:val="00884DF8"/>
    <w:rsid w:val="008A3E40"/>
    <w:rsid w:val="008A45F3"/>
    <w:rsid w:val="008A6135"/>
    <w:rsid w:val="008A6AF9"/>
    <w:rsid w:val="008B51D9"/>
    <w:rsid w:val="008B652E"/>
    <w:rsid w:val="008D6A56"/>
    <w:rsid w:val="008E17F1"/>
    <w:rsid w:val="008F1DC6"/>
    <w:rsid w:val="008F4C89"/>
    <w:rsid w:val="00905C5B"/>
    <w:rsid w:val="0092293A"/>
    <w:rsid w:val="00923295"/>
    <w:rsid w:val="00925F11"/>
    <w:rsid w:val="00935265"/>
    <w:rsid w:val="00944A86"/>
    <w:rsid w:val="0094689F"/>
    <w:rsid w:val="009477D6"/>
    <w:rsid w:val="00951601"/>
    <w:rsid w:val="00953ED3"/>
    <w:rsid w:val="00965FF6"/>
    <w:rsid w:val="00975497"/>
    <w:rsid w:val="009846D6"/>
    <w:rsid w:val="0098657F"/>
    <w:rsid w:val="009930B7"/>
    <w:rsid w:val="00997612"/>
    <w:rsid w:val="009A3236"/>
    <w:rsid w:val="009B37D6"/>
    <w:rsid w:val="009B5A93"/>
    <w:rsid w:val="009B5BEA"/>
    <w:rsid w:val="009C291F"/>
    <w:rsid w:val="009C47BA"/>
    <w:rsid w:val="009C58F6"/>
    <w:rsid w:val="009C7E2D"/>
    <w:rsid w:val="009D6C0A"/>
    <w:rsid w:val="009E146E"/>
    <w:rsid w:val="009E37BD"/>
    <w:rsid w:val="009E6B86"/>
    <w:rsid w:val="009E7248"/>
    <w:rsid w:val="00A00B63"/>
    <w:rsid w:val="00A03301"/>
    <w:rsid w:val="00A04A22"/>
    <w:rsid w:val="00A12762"/>
    <w:rsid w:val="00A13867"/>
    <w:rsid w:val="00A26FED"/>
    <w:rsid w:val="00A3689A"/>
    <w:rsid w:val="00A421D4"/>
    <w:rsid w:val="00A44FF0"/>
    <w:rsid w:val="00A50E55"/>
    <w:rsid w:val="00A67EB1"/>
    <w:rsid w:val="00A83CB1"/>
    <w:rsid w:val="00A91A47"/>
    <w:rsid w:val="00A9553D"/>
    <w:rsid w:val="00A95D2B"/>
    <w:rsid w:val="00AA4BBE"/>
    <w:rsid w:val="00AA5587"/>
    <w:rsid w:val="00AA68F6"/>
    <w:rsid w:val="00AB12B4"/>
    <w:rsid w:val="00AC1E53"/>
    <w:rsid w:val="00AC5A6C"/>
    <w:rsid w:val="00AD79C8"/>
    <w:rsid w:val="00AE487D"/>
    <w:rsid w:val="00AE6CE0"/>
    <w:rsid w:val="00B058A6"/>
    <w:rsid w:val="00B117D0"/>
    <w:rsid w:val="00B13998"/>
    <w:rsid w:val="00B15083"/>
    <w:rsid w:val="00B41D27"/>
    <w:rsid w:val="00B439DD"/>
    <w:rsid w:val="00B44A28"/>
    <w:rsid w:val="00B51DF8"/>
    <w:rsid w:val="00B52E0F"/>
    <w:rsid w:val="00B62DBE"/>
    <w:rsid w:val="00B65C8F"/>
    <w:rsid w:val="00B74629"/>
    <w:rsid w:val="00B770E0"/>
    <w:rsid w:val="00B91F58"/>
    <w:rsid w:val="00B955B5"/>
    <w:rsid w:val="00BA579E"/>
    <w:rsid w:val="00BB773E"/>
    <w:rsid w:val="00BD35B1"/>
    <w:rsid w:val="00BD58DE"/>
    <w:rsid w:val="00BE0EAC"/>
    <w:rsid w:val="00BE2295"/>
    <w:rsid w:val="00BE6373"/>
    <w:rsid w:val="00BF0B8B"/>
    <w:rsid w:val="00BF533A"/>
    <w:rsid w:val="00C17ACD"/>
    <w:rsid w:val="00C3490A"/>
    <w:rsid w:val="00C46677"/>
    <w:rsid w:val="00C5180E"/>
    <w:rsid w:val="00C543B3"/>
    <w:rsid w:val="00C54BC7"/>
    <w:rsid w:val="00C54E40"/>
    <w:rsid w:val="00C55F56"/>
    <w:rsid w:val="00C57BA4"/>
    <w:rsid w:val="00C613EB"/>
    <w:rsid w:val="00C84623"/>
    <w:rsid w:val="00CB06C9"/>
    <w:rsid w:val="00CB1E41"/>
    <w:rsid w:val="00CB271C"/>
    <w:rsid w:val="00CE4F96"/>
    <w:rsid w:val="00CE7D20"/>
    <w:rsid w:val="00CF0AB1"/>
    <w:rsid w:val="00CF30D1"/>
    <w:rsid w:val="00CF4B9B"/>
    <w:rsid w:val="00CF55E6"/>
    <w:rsid w:val="00CF772F"/>
    <w:rsid w:val="00D048DB"/>
    <w:rsid w:val="00D0519A"/>
    <w:rsid w:val="00D069F8"/>
    <w:rsid w:val="00D14F0B"/>
    <w:rsid w:val="00D178CA"/>
    <w:rsid w:val="00D20048"/>
    <w:rsid w:val="00D27AB0"/>
    <w:rsid w:val="00D3311C"/>
    <w:rsid w:val="00D423AE"/>
    <w:rsid w:val="00D42E95"/>
    <w:rsid w:val="00D43C02"/>
    <w:rsid w:val="00D524BA"/>
    <w:rsid w:val="00D53405"/>
    <w:rsid w:val="00D5457B"/>
    <w:rsid w:val="00D6073B"/>
    <w:rsid w:val="00D7206B"/>
    <w:rsid w:val="00D72995"/>
    <w:rsid w:val="00D93D6C"/>
    <w:rsid w:val="00DA3B23"/>
    <w:rsid w:val="00DA7FA2"/>
    <w:rsid w:val="00DB3B5D"/>
    <w:rsid w:val="00DB5CB4"/>
    <w:rsid w:val="00DB6562"/>
    <w:rsid w:val="00DC2D8D"/>
    <w:rsid w:val="00DC460A"/>
    <w:rsid w:val="00DC75A6"/>
    <w:rsid w:val="00DD0212"/>
    <w:rsid w:val="00DE1F5D"/>
    <w:rsid w:val="00DE50D8"/>
    <w:rsid w:val="00DF278A"/>
    <w:rsid w:val="00DF7223"/>
    <w:rsid w:val="00E1664B"/>
    <w:rsid w:val="00E30D12"/>
    <w:rsid w:val="00E3394E"/>
    <w:rsid w:val="00E35241"/>
    <w:rsid w:val="00E371B1"/>
    <w:rsid w:val="00E41417"/>
    <w:rsid w:val="00E46E6E"/>
    <w:rsid w:val="00E536D3"/>
    <w:rsid w:val="00E57BE2"/>
    <w:rsid w:val="00E62A95"/>
    <w:rsid w:val="00E746A2"/>
    <w:rsid w:val="00E90D06"/>
    <w:rsid w:val="00E97E59"/>
    <w:rsid w:val="00EA79C9"/>
    <w:rsid w:val="00EB66AC"/>
    <w:rsid w:val="00EC2247"/>
    <w:rsid w:val="00EC5761"/>
    <w:rsid w:val="00EE1F87"/>
    <w:rsid w:val="00EE3931"/>
    <w:rsid w:val="00EE4C17"/>
    <w:rsid w:val="00EE5AF6"/>
    <w:rsid w:val="00EE761C"/>
    <w:rsid w:val="00EE782E"/>
    <w:rsid w:val="00EF2A94"/>
    <w:rsid w:val="00EF2CEF"/>
    <w:rsid w:val="00EF2EA9"/>
    <w:rsid w:val="00EF483B"/>
    <w:rsid w:val="00F05893"/>
    <w:rsid w:val="00F1092D"/>
    <w:rsid w:val="00F1729B"/>
    <w:rsid w:val="00F27551"/>
    <w:rsid w:val="00F32733"/>
    <w:rsid w:val="00F34F17"/>
    <w:rsid w:val="00F3548D"/>
    <w:rsid w:val="00F42C20"/>
    <w:rsid w:val="00F431D8"/>
    <w:rsid w:val="00F67706"/>
    <w:rsid w:val="00F7420F"/>
    <w:rsid w:val="00F77B0E"/>
    <w:rsid w:val="00F92D75"/>
    <w:rsid w:val="00F97327"/>
    <w:rsid w:val="00FA296F"/>
    <w:rsid w:val="00FA7323"/>
    <w:rsid w:val="00FC32D3"/>
    <w:rsid w:val="00FD3AA2"/>
    <w:rsid w:val="00FD4D82"/>
    <w:rsid w:val="00FD72E3"/>
    <w:rsid w:val="00FE57AE"/>
    <w:rsid w:val="00FE6B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0F23AE-0344-4AD2-BE1A-49433D40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2"/>
  </w:style>
  <w:style w:type="paragraph" w:styleId="Heading2">
    <w:name w:val="heading 2"/>
    <w:basedOn w:val="Normal"/>
    <w:next w:val="Normal"/>
    <w:link w:val="Heading2Char"/>
    <w:uiPriority w:val="9"/>
    <w:semiHidden/>
    <w:unhideWhenUsed/>
    <w:qFormat/>
    <w:rsid w:val="001472D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1472D8"/>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nhideWhenUsed/>
    <w:qFormat/>
    <w:rsid w:val="00752BD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752BD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customStyle="1" w:styleId="Default">
    <w:name w:val="Default"/>
    <w:rsid w:val="00975497"/>
    <w:pPr>
      <w:autoSpaceDE w:val="0"/>
      <w:autoSpaceDN w:val="0"/>
      <w:adjustRightInd w:val="0"/>
      <w:ind w:left="0" w:firstLine="0"/>
    </w:pPr>
    <w:rPr>
      <w:rFonts w:ascii="TimesNewRoman,Bold" w:eastAsia="Times New Roman" w:hAnsi="TimesNewRoman,Bold" w:cs="Times New Roman"/>
      <w:sz w:val="20"/>
      <w:szCs w:val="20"/>
    </w:rPr>
  </w:style>
  <w:style w:type="character" w:customStyle="1" w:styleId="Heading2Char">
    <w:name w:val="Heading 2 Char"/>
    <w:basedOn w:val="DefaultParagraphFont"/>
    <w:link w:val="Heading2"/>
    <w:uiPriority w:val="9"/>
    <w:semiHidden/>
    <w:rsid w:val="001472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472D8"/>
    <w:rPr>
      <w:rFonts w:ascii="Calibri" w:eastAsia="Calibri" w:hAnsi="Calibri" w:cs="Calibri"/>
      <w:b/>
      <w:bCs/>
    </w:rPr>
  </w:style>
  <w:style w:type="character" w:customStyle="1" w:styleId="Heading4Char">
    <w:name w:val="Heading 4 Char"/>
    <w:basedOn w:val="DefaultParagraphFont"/>
    <w:link w:val="Heading4"/>
    <w:uiPriority w:val="9"/>
    <w:semiHidden/>
    <w:rsid w:val="00752BD9"/>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uiPriority w:val="9"/>
    <w:semiHidden/>
    <w:rsid w:val="00752BD9"/>
    <w:rPr>
      <w:rFonts w:asciiTheme="majorHAnsi" w:eastAsiaTheme="majorEastAsia" w:hAnsiTheme="majorHAnsi" w:cstheme="majorBidi"/>
      <w:i/>
      <w:iCs/>
      <w:color w:val="243F60" w:themeColor="accent1" w:themeShade="7F"/>
    </w:rPr>
  </w:style>
  <w:style w:type="character" w:styleId="Strong">
    <w:name w:val="Strong"/>
    <w:basedOn w:val="DefaultParagraphFont"/>
    <w:uiPriority w:val="22"/>
    <w:qFormat/>
    <w:rsid w:val="00AE48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7538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678">
          <w:marLeft w:val="0"/>
          <w:marRight w:val="0"/>
          <w:marTop w:val="150"/>
          <w:marBottom w:val="0"/>
          <w:divBdr>
            <w:top w:val="none" w:sz="0" w:space="0" w:color="auto"/>
            <w:left w:val="none" w:sz="0" w:space="0" w:color="auto"/>
            <w:bottom w:val="none" w:sz="0" w:space="0" w:color="auto"/>
            <w:right w:val="none" w:sz="0" w:space="0" w:color="auto"/>
          </w:divBdr>
          <w:divsChild>
            <w:div w:id="1050181212">
              <w:marLeft w:val="0"/>
              <w:marRight w:val="0"/>
              <w:marTop w:val="0"/>
              <w:marBottom w:val="0"/>
              <w:divBdr>
                <w:top w:val="none" w:sz="0" w:space="0" w:color="auto"/>
                <w:left w:val="none" w:sz="0" w:space="0" w:color="auto"/>
                <w:bottom w:val="none" w:sz="0" w:space="0" w:color="auto"/>
                <w:right w:val="none" w:sz="0" w:space="0" w:color="auto"/>
              </w:divBdr>
              <w:divsChild>
                <w:div w:id="658925036">
                  <w:marLeft w:val="0"/>
                  <w:marRight w:val="0"/>
                  <w:marTop w:val="0"/>
                  <w:marBottom w:val="0"/>
                  <w:divBdr>
                    <w:top w:val="none" w:sz="0" w:space="0" w:color="auto"/>
                    <w:left w:val="none" w:sz="0" w:space="0" w:color="auto"/>
                    <w:bottom w:val="none" w:sz="0" w:space="0" w:color="auto"/>
                    <w:right w:val="none" w:sz="0" w:space="0" w:color="auto"/>
                  </w:divBdr>
                  <w:divsChild>
                    <w:div w:id="750662157">
                      <w:marLeft w:val="0"/>
                      <w:marRight w:val="0"/>
                      <w:marTop w:val="0"/>
                      <w:marBottom w:val="0"/>
                      <w:divBdr>
                        <w:top w:val="none" w:sz="0" w:space="0" w:color="auto"/>
                        <w:left w:val="none" w:sz="0" w:space="0" w:color="auto"/>
                        <w:bottom w:val="none" w:sz="0" w:space="0" w:color="auto"/>
                        <w:right w:val="none" w:sz="0" w:space="0" w:color="auto"/>
                      </w:divBdr>
                      <w:divsChild>
                        <w:div w:id="12488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893013">
      <w:bodyDiv w:val="1"/>
      <w:marLeft w:val="0"/>
      <w:marRight w:val="0"/>
      <w:marTop w:val="0"/>
      <w:marBottom w:val="0"/>
      <w:divBdr>
        <w:top w:val="none" w:sz="0" w:space="0" w:color="auto"/>
        <w:left w:val="none" w:sz="0" w:space="0" w:color="auto"/>
        <w:bottom w:val="none" w:sz="0" w:space="0" w:color="auto"/>
        <w:right w:val="none" w:sz="0" w:space="0" w:color="auto"/>
      </w:divBdr>
      <w:divsChild>
        <w:div w:id="1566180129">
          <w:marLeft w:val="0"/>
          <w:marRight w:val="0"/>
          <w:marTop w:val="0"/>
          <w:marBottom w:val="0"/>
          <w:divBdr>
            <w:top w:val="none" w:sz="0" w:space="0" w:color="auto"/>
            <w:left w:val="none" w:sz="0" w:space="0" w:color="auto"/>
            <w:bottom w:val="none" w:sz="0" w:space="0" w:color="auto"/>
            <w:right w:val="none" w:sz="0" w:space="0" w:color="auto"/>
          </w:divBdr>
        </w:div>
        <w:div w:id="2135905581">
          <w:marLeft w:val="0"/>
          <w:marRight w:val="0"/>
          <w:marTop w:val="0"/>
          <w:marBottom w:val="0"/>
          <w:divBdr>
            <w:top w:val="none" w:sz="0" w:space="0" w:color="auto"/>
            <w:left w:val="none" w:sz="0" w:space="0" w:color="auto"/>
            <w:bottom w:val="none" w:sz="0" w:space="0" w:color="auto"/>
            <w:right w:val="none" w:sz="0" w:space="0" w:color="auto"/>
          </w:divBdr>
        </w:div>
        <w:div w:id="978613029">
          <w:marLeft w:val="0"/>
          <w:marRight w:val="0"/>
          <w:marTop w:val="0"/>
          <w:marBottom w:val="0"/>
          <w:divBdr>
            <w:top w:val="none" w:sz="0" w:space="0" w:color="auto"/>
            <w:left w:val="none" w:sz="0" w:space="0" w:color="auto"/>
            <w:bottom w:val="none" w:sz="0" w:space="0" w:color="auto"/>
            <w:right w:val="none" w:sz="0" w:space="0" w:color="auto"/>
          </w:divBdr>
        </w:div>
        <w:div w:id="37095132">
          <w:marLeft w:val="0"/>
          <w:marRight w:val="0"/>
          <w:marTop w:val="0"/>
          <w:marBottom w:val="0"/>
          <w:divBdr>
            <w:top w:val="none" w:sz="0" w:space="0" w:color="auto"/>
            <w:left w:val="none" w:sz="0" w:space="0" w:color="auto"/>
            <w:bottom w:val="none" w:sz="0" w:space="0" w:color="auto"/>
            <w:right w:val="none" w:sz="0" w:space="0" w:color="auto"/>
          </w:divBdr>
        </w:div>
        <w:div w:id="771899641">
          <w:marLeft w:val="0"/>
          <w:marRight w:val="0"/>
          <w:marTop w:val="0"/>
          <w:marBottom w:val="0"/>
          <w:divBdr>
            <w:top w:val="none" w:sz="0" w:space="0" w:color="auto"/>
            <w:left w:val="none" w:sz="0" w:space="0" w:color="auto"/>
            <w:bottom w:val="none" w:sz="0" w:space="0" w:color="auto"/>
            <w:right w:val="none" w:sz="0" w:space="0" w:color="auto"/>
          </w:divBdr>
        </w:div>
        <w:div w:id="537788735">
          <w:marLeft w:val="0"/>
          <w:marRight w:val="0"/>
          <w:marTop w:val="0"/>
          <w:marBottom w:val="0"/>
          <w:divBdr>
            <w:top w:val="none" w:sz="0" w:space="0" w:color="auto"/>
            <w:left w:val="none" w:sz="0" w:space="0" w:color="auto"/>
            <w:bottom w:val="none" w:sz="0" w:space="0" w:color="auto"/>
            <w:right w:val="none" w:sz="0" w:space="0" w:color="auto"/>
          </w:divBdr>
        </w:div>
        <w:div w:id="1689061238">
          <w:marLeft w:val="0"/>
          <w:marRight w:val="0"/>
          <w:marTop w:val="0"/>
          <w:marBottom w:val="0"/>
          <w:divBdr>
            <w:top w:val="none" w:sz="0" w:space="0" w:color="auto"/>
            <w:left w:val="none" w:sz="0" w:space="0" w:color="auto"/>
            <w:bottom w:val="none" w:sz="0" w:space="0" w:color="auto"/>
            <w:right w:val="none" w:sz="0" w:space="0" w:color="auto"/>
          </w:divBdr>
        </w:div>
        <w:div w:id="1401368265">
          <w:marLeft w:val="0"/>
          <w:marRight w:val="0"/>
          <w:marTop w:val="0"/>
          <w:marBottom w:val="0"/>
          <w:divBdr>
            <w:top w:val="none" w:sz="0" w:space="0" w:color="auto"/>
            <w:left w:val="none" w:sz="0" w:space="0" w:color="auto"/>
            <w:bottom w:val="none" w:sz="0" w:space="0" w:color="auto"/>
            <w:right w:val="none" w:sz="0" w:space="0" w:color="auto"/>
          </w:divBdr>
        </w:div>
        <w:div w:id="1691301562">
          <w:marLeft w:val="0"/>
          <w:marRight w:val="0"/>
          <w:marTop w:val="0"/>
          <w:marBottom w:val="0"/>
          <w:divBdr>
            <w:top w:val="none" w:sz="0" w:space="0" w:color="auto"/>
            <w:left w:val="none" w:sz="0" w:space="0" w:color="auto"/>
            <w:bottom w:val="none" w:sz="0" w:space="0" w:color="auto"/>
            <w:right w:val="none" w:sz="0" w:space="0" w:color="auto"/>
          </w:divBdr>
        </w:div>
        <w:div w:id="600648693">
          <w:marLeft w:val="0"/>
          <w:marRight w:val="0"/>
          <w:marTop w:val="0"/>
          <w:marBottom w:val="0"/>
          <w:divBdr>
            <w:top w:val="none" w:sz="0" w:space="0" w:color="auto"/>
            <w:left w:val="none" w:sz="0" w:space="0" w:color="auto"/>
            <w:bottom w:val="none" w:sz="0" w:space="0" w:color="auto"/>
            <w:right w:val="none" w:sz="0" w:space="0" w:color="auto"/>
          </w:divBdr>
        </w:div>
        <w:div w:id="1694064791">
          <w:marLeft w:val="0"/>
          <w:marRight w:val="0"/>
          <w:marTop w:val="0"/>
          <w:marBottom w:val="0"/>
          <w:divBdr>
            <w:top w:val="none" w:sz="0" w:space="0" w:color="auto"/>
            <w:left w:val="none" w:sz="0" w:space="0" w:color="auto"/>
            <w:bottom w:val="none" w:sz="0" w:space="0" w:color="auto"/>
            <w:right w:val="none" w:sz="0" w:space="0" w:color="auto"/>
          </w:divBdr>
        </w:div>
        <w:div w:id="952712350">
          <w:marLeft w:val="0"/>
          <w:marRight w:val="0"/>
          <w:marTop w:val="0"/>
          <w:marBottom w:val="0"/>
          <w:divBdr>
            <w:top w:val="none" w:sz="0" w:space="0" w:color="auto"/>
            <w:left w:val="none" w:sz="0" w:space="0" w:color="auto"/>
            <w:bottom w:val="none" w:sz="0" w:space="0" w:color="auto"/>
            <w:right w:val="none" w:sz="0" w:space="0" w:color="auto"/>
          </w:divBdr>
        </w:div>
        <w:div w:id="529877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nice.org.uk/guidance/cg83/resources/cg83-critical-illness-rehabilitation-guideline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uideline.gov/content.aspx?id=43919"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uideline.gov/content.aspx?id=4391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ice.org.uk/guidance/CG83"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FABDC8373F34925BFF1276DEF2737DE"/>
        <w:category>
          <w:name w:val="General"/>
          <w:gallery w:val="placeholder"/>
        </w:category>
        <w:types>
          <w:type w:val="bbPlcHdr"/>
        </w:types>
        <w:behaviors>
          <w:behavior w:val="content"/>
        </w:behaviors>
        <w:guid w:val="{505D5C01-D4BE-41F8-99D6-3662F5B7CF1C}"/>
      </w:docPartPr>
      <w:docPartBody>
        <w:p w:rsidR="00FD02A0" w:rsidRDefault="00887136">
          <w:pPr>
            <w:pStyle w:val="8FABDC8373F34925BFF1276DEF2737DE"/>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gi">
    <w:panose1 w:val="04040504061007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aramond-Book">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2"/>
  </w:compat>
  <w:rsids>
    <w:rsidRoot w:val="00FC30A1"/>
    <w:rsid w:val="00160241"/>
    <w:rsid w:val="00167F3A"/>
    <w:rsid w:val="0017077B"/>
    <w:rsid w:val="00181A08"/>
    <w:rsid w:val="00186365"/>
    <w:rsid w:val="0021213C"/>
    <w:rsid w:val="00267793"/>
    <w:rsid w:val="0030619F"/>
    <w:rsid w:val="003A1E4B"/>
    <w:rsid w:val="004523DA"/>
    <w:rsid w:val="00455EB5"/>
    <w:rsid w:val="00461C1C"/>
    <w:rsid w:val="00495F70"/>
    <w:rsid w:val="004E2027"/>
    <w:rsid w:val="004F0E2F"/>
    <w:rsid w:val="00616EEE"/>
    <w:rsid w:val="006C4FFC"/>
    <w:rsid w:val="007136FF"/>
    <w:rsid w:val="00887136"/>
    <w:rsid w:val="008F6A9B"/>
    <w:rsid w:val="009B6830"/>
    <w:rsid w:val="00A97A15"/>
    <w:rsid w:val="00B77B6F"/>
    <w:rsid w:val="00BD1210"/>
    <w:rsid w:val="00C03643"/>
    <w:rsid w:val="00C2797F"/>
    <w:rsid w:val="00C357A1"/>
    <w:rsid w:val="00C80225"/>
    <w:rsid w:val="00C96C71"/>
    <w:rsid w:val="00CF221A"/>
    <w:rsid w:val="00D228C9"/>
    <w:rsid w:val="00DB5324"/>
    <w:rsid w:val="00E97654"/>
    <w:rsid w:val="00EA555A"/>
    <w:rsid w:val="00F6161F"/>
    <w:rsid w:val="00F87EB9"/>
    <w:rsid w:val="00FC2C2A"/>
    <w:rsid w:val="00FC30A1"/>
    <w:rsid w:val="00FD02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7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8FABDC8373F34925BFF1276DEF2737DE">
    <w:name w:val="8FABDC8373F34925BFF1276DEF2737DE"/>
  </w:style>
  <w:style w:type="paragraph" w:customStyle="1" w:styleId="84F12E32BFA943719E5EBC08FCD50E5F">
    <w:name w:val="84F12E32BFA943719E5EBC08FCD50E5F"/>
  </w:style>
  <w:style w:type="paragraph" w:customStyle="1" w:styleId="1132DAD03B4A4E6E900EE9AB7C554C86">
    <w:name w:val="1132DAD03B4A4E6E900EE9AB7C554C86"/>
  </w:style>
  <w:style w:type="paragraph" w:customStyle="1" w:styleId="E88A23BDC7274DF1820B10AEEA5A85EA">
    <w:name w:val="E88A23BDC7274DF1820B10AEEA5A85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B4EBF-DD83-4F0B-8BA3-B7F07D90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17</Pages>
  <Words>7140</Words>
  <Characters>40703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Deutsch, Anne</cp:lastModifiedBy>
  <cp:revision>12</cp:revision>
  <cp:lastPrinted>2014-10-25T01:43:00Z</cp:lastPrinted>
  <dcterms:created xsi:type="dcterms:W3CDTF">2014-10-23T19:31:00Z</dcterms:created>
  <dcterms:modified xsi:type="dcterms:W3CDTF">2014-11-06T15:43:00Z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