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E53689">
            <w:rPr>
              <w:rStyle w:val="Style1"/>
            </w:rPr>
            <w:t>2695</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311837771"/>
              <w:placeholder>
                <w:docPart w:val="8166DAA49C90449B9579CF1778BD76AA"/>
              </w:placeholder>
            </w:sdtPr>
            <w:sdtEndPr>
              <w:rPr>
                <w:rStyle w:val="DefaultParagraphFont"/>
                <w:noProof/>
                <w:color w:val="0000CC"/>
              </w:rPr>
            </w:sdtEndPr>
            <w:sdtContent>
              <w:r w:rsidR="00D23FC8" w:rsidRPr="00C1750C">
                <w:rPr>
                  <w:rStyle w:val="Style1"/>
                </w:rPr>
                <w:t xml:space="preserve">Follow-Up after Emergency Department Visit </w:t>
              </w:r>
              <w:r w:rsidR="00212A29">
                <w:rPr>
                  <w:rStyle w:val="Style1"/>
                </w:rPr>
                <w:t xml:space="preserve">by Children </w:t>
              </w:r>
              <w:r w:rsidR="00D23FC8" w:rsidRPr="00C1750C">
                <w:rPr>
                  <w:rStyle w:val="Style1"/>
                </w:rPr>
                <w:t>for Dental Caries</w:t>
              </w:r>
              <w:r w:rsidR="00D23FC8" w:rsidRPr="000B0DFD">
                <w:rPr>
                  <w:b/>
                  <w:color w:val="0000CC"/>
                </w:rPr>
                <w:tab/>
              </w:r>
            </w:sdtContent>
          </w:sdt>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1-15T00:00:00Z">
            <w:dateFormat w:val="M/d/yyyy"/>
            <w:lid w:val="en-US"/>
            <w:storeMappedDataAs w:val="dateTime"/>
            <w:calendar w:val="gregorian"/>
          </w:date>
        </w:sdtPr>
        <w:sdtEndPr>
          <w:rPr>
            <w:rStyle w:val="DefaultParagraphFont"/>
            <w:noProof/>
            <w:color w:val="auto"/>
            <w:u w:val="none"/>
          </w:rPr>
        </w:sdtEndPr>
        <w:sdtContent>
          <w:r w:rsidR="00242E20">
            <w:rPr>
              <w:rStyle w:val="Style2"/>
            </w:rPr>
            <w:t>1/15/2015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2"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3"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4"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3416B0" w:rsidP="005857F8">
      <w:pPr>
        <w:ind w:left="720" w:hanging="432"/>
        <w:rPr>
          <w:rStyle w:val="Style2"/>
          <w:rFonts w:cstheme="minorHAnsi"/>
        </w:rPr>
      </w:pPr>
      <w:sdt>
        <w:sdtPr>
          <w:rPr>
            <w:bCs/>
            <w:color w:val="0000FF"/>
            <w:u w:val="single"/>
          </w:rPr>
          <w:id w:val="1077707841"/>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3416B0" w:rsidP="005857F8">
      <w:pPr>
        <w:ind w:left="720" w:hanging="432"/>
        <w:rPr>
          <w:b/>
          <w:bCs/>
        </w:rPr>
      </w:pPr>
      <w:sdt>
        <w:sdtPr>
          <w:rPr>
            <w:bCs/>
            <w:color w:val="0000FF"/>
          </w:rPr>
          <w:id w:val="-1541041819"/>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3416B0" w:rsidP="005857F8">
      <w:pPr>
        <w:ind w:left="720" w:hanging="432"/>
        <w:rPr>
          <w:bCs/>
        </w:rPr>
      </w:pPr>
      <w:sdt>
        <w:sdtPr>
          <w:rPr>
            <w:bCs/>
            <w:color w:val="0000FF"/>
          </w:rPr>
          <w:id w:val="1309518776"/>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3416B0" w:rsidP="00015986">
      <w:pPr>
        <w:ind w:left="432" w:hanging="432"/>
        <w:rPr>
          <w:bCs/>
        </w:rPr>
      </w:pPr>
      <w:sdt>
        <w:sdtPr>
          <w:rPr>
            <w:bCs/>
            <w:color w:val="0000FF"/>
          </w:rPr>
          <w:id w:val="-1535727686"/>
        </w:sdtPr>
        <w:sdtEndPr/>
        <w:sdtContent>
          <w:r w:rsidR="00D23FC8">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D23FC8">
            <w:rPr>
              <w:rStyle w:val="Style2"/>
              <w:rFonts w:cstheme="minorHAnsi"/>
            </w:rPr>
            <w:t xml:space="preserve">Follow up after </w:t>
          </w:r>
          <w:r w:rsidR="00D23FC8">
            <w:rPr>
              <w:color w:val="0000CC"/>
            </w:rPr>
            <w:t>ED</w:t>
          </w:r>
          <w:r w:rsidR="00D23FC8" w:rsidRPr="00F43B07">
            <w:rPr>
              <w:color w:val="0000CC"/>
            </w:rPr>
            <w:t xml:space="preserve"> visits</w:t>
          </w:r>
          <w:r w:rsidR="00212A29">
            <w:rPr>
              <w:color w:val="0000CC"/>
            </w:rPr>
            <w:t xml:space="preserve"> by children</w:t>
          </w:r>
          <w:r w:rsidR="00D23FC8" w:rsidRPr="00F43B07">
            <w:rPr>
              <w:color w:val="0000CC"/>
            </w:rPr>
            <w:t xml:space="preserve"> </w:t>
          </w:r>
          <w:r w:rsidR="00D23FC8">
            <w:rPr>
              <w:color w:val="0000CC"/>
            </w:rPr>
            <w:t>for dental caries</w:t>
          </w:r>
        </w:sdtContent>
      </w:sdt>
    </w:p>
    <w:p w:rsidR="00496AF8" w:rsidRPr="003B1CC5" w:rsidRDefault="003416B0" w:rsidP="00015986">
      <w:pPr>
        <w:ind w:left="432" w:hanging="432"/>
        <w:rPr>
          <w:bCs/>
        </w:rPr>
      </w:pPr>
      <w:sdt>
        <w:sdtPr>
          <w:rPr>
            <w:bCs/>
            <w:color w:val="0000FF"/>
          </w:rPr>
          <w:id w:val="1676770628"/>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3416B0" w:rsidP="00015986">
      <w:pPr>
        <w:ind w:left="432" w:hanging="432"/>
        <w:rPr>
          <w:bCs/>
        </w:rPr>
      </w:pPr>
      <w:sdt>
        <w:sdtPr>
          <w:rPr>
            <w:bCs/>
            <w:color w:val="0000FF"/>
          </w:rPr>
          <w:id w:val="1719405626"/>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Default="00D23FC8" w:rsidP="002E2177">
      <w:pPr>
        <w:ind w:left="432" w:hanging="432"/>
        <w:rPr>
          <w:b/>
          <w:bCs/>
          <w:color w:val="0000FF"/>
        </w:rPr>
      </w:pPr>
      <w:r w:rsidRPr="00D23FC8">
        <w:rPr>
          <w:b/>
          <w:bCs/>
          <w:color w:val="0000FF"/>
        </w:rPr>
        <w:t>Not Applicable</w:t>
      </w:r>
    </w:p>
    <w:p w:rsidR="00212A29" w:rsidRPr="00D23FC8" w:rsidRDefault="00212A29" w:rsidP="002E2177">
      <w:pPr>
        <w:ind w:left="432" w:hanging="432"/>
        <w:rPr>
          <w:color w:val="0070C0"/>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D23FC8" w:rsidRPr="00D23FC8" w:rsidRDefault="00D23FC8" w:rsidP="00D23FC8">
      <w:pPr>
        <w:ind w:left="432" w:hanging="432"/>
        <w:rPr>
          <w:color w:val="0070C0"/>
        </w:rPr>
      </w:pPr>
      <w:r w:rsidRPr="00D23FC8">
        <w:rPr>
          <w:b/>
          <w:bCs/>
          <w:color w:val="0000FF"/>
        </w:rPr>
        <w:t>Not Applicable</w:t>
      </w:r>
    </w:p>
    <w:p w:rsidR="00D23FC8" w:rsidRPr="00D23FC8" w:rsidRDefault="00D23FC8" w:rsidP="002E2177">
      <w:pPr>
        <w:ind w:left="0" w:firstLine="0"/>
        <w:rPr>
          <w:iCs/>
        </w:rPr>
      </w:pP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Default="007C1887" w:rsidP="002E2177">
      <w:pPr>
        <w:ind w:left="0" w:firstLine="0"/>
      </w:pPr>
    </w:p>
    <w:p w:rsidR="00AE0F2F" w:rsidRDefault="009F3D80" w:rsidP="00BE2413">
      <w:pPr>
        <w:ind w:left="0" w:firstLine="0"/>
        <w:rPr>
          <w:color w:val="0000CC"/>
        </w:rPr>
      </w:pPr>
      <w:r w:rsidRPr="009F3D80">
        <w:rPr>
          <w:color w:val="0000CC"/>
        </w:rPr>
        <w:t xml:space="preserve">Improving access to care through the oral health care delivery system is critical to improving oral health outcomes and addressing oral health disparities.  </w:t>
      </w:r>
      <w:r w:rsidR="00BD2267" w:rsidRPr="00BD2267">
        <w:rPr>
          <w:color w:val="0000CC"/>
        </w:rPr>
        <w:t>The IOM report, Improving Access to Oral Health Care for Vulnerable and Underserved Populations, identified as one of four main conclusions: “Improving access to oral health care is a critical and necessary first step to improving oral health outcomes and reducing disparities” (IOM 2011).  Ensuring children receive timely follow-up after an ED visit for dental caries related reasons is an important first step in connecting these children to the dental care system.</w:t>
      </w:r>
    </w:p>
    <w:p w:rsidR="00212A29" w:rsidRDefault="00212A29" w:rsidP="004F1E59">
      <w:pPr>
        <w:ind w:left="0" w:firstLine="0"/>
        <w:rPr>
          <w:iCs/>
          <w:color w:val="0000CC"/>
        </w:rPr>
      </w:pPr>
    </w:p>
    <w:p w:rsidR="004F1E59" w:rsidRDefault="004F1E59" w:rsidP="004F1E59">
      <w:pPr>
        <w:ind w:left="0" w:firstLine="0"/>
        <w:rPr>
          <w:iCs/>
          <w:color w:val="0000CC"/>
        </w:rPr>
      </w:pPr>
      <w:r w:rsidRPr="000A4744">
        <w:rPr>
          <w:iCs/>
          <w:color w:val="0000CC"/>
        </w:rPr>
        <w:t xml:space="preserve">The proposed measure, </w:t>
      </w:r>
      <w:r w:rsidR="004C6F0B" w:rsidRPr="00BE2413">
        <w:rPr>
          <w:b/>
          <w:iCs/>
          <w:color w:val="0000CC"/>
        </w:rPr>
        <w:t>Follow-Up after Emergency Department Visit by Children for Dental Caries</w:t>
      </w:r>
      <w:r w:rsidRPr="000A4744">
        <w:rPr>
          <w:iCs/>
          <w:color w:val="0000CC"/>
        </w:rPr>
        <w:t xml:space="preserve">, measures the percentage of caries-related ED visits during the reporting period for which </w:t>
      </w:r>
      <w:r w:rsidR="00212A29">
        <w:rPr>
          <w:iCs/>
          <w:color w:val="0000CC"/>
        </w:rPr>
        <w:t>an enrolled child</w:t>
      </w:r>
      <w:r w:rsidRPr="000A4744">
        <w:rPr>
          <w:iCs/>
          <w:color w:val="0000CC"/>
        </w:rPr>
        <w:t xml:space="preserve"> visited a dentist within 7 and 30 days of the ED visit, respectively.  Th</w:t>
      </w:r>
      <w:r w:rsidR="000D204C">
        <w:rPr>
          <w:iCs/>
          <w:color w:val="0000CC"/>
        </w:rPr>
        <w:t xml:space="preserve">is </w:t>
      </w:r>
      <w:r w:rsidRPr="000A4744">
        <w:rPr>
          <w:iCs/>
          <w:color w:val="0000CC"/>
        </w:rPr>
        <w:t xml:space="preserve">measure specifically focuses on dental caries-related reasons because:  (1) dental caries (tooth decay) plays a central role in dental disease among children and (2) </w:t>
      </w:r>
      <w:r w:rsidR="000D204C">
        <w:rPr>
          <w:iCs/>
          <w:color w:val="0000CC"/>
        </w:rPr>
        <w:t xml:space="preserve">definitive care for dental-caries related </w:t>
      </w:r>
      <w:r w:rsidR="00242E20">
        <w:rPr>
          <w:iCs/>
          <w:color w:val="0000CC"/>
        </w:rPr>
        <w:t xml:space="preserve">conditions is most effectively </w:t>
      </w:r>
      <w:r w:rsidR="000D204C">
        <w:rPr>
          <w:iCs/>
          <w:color w:val="0000CC"/>
        </w:rPr>
        <w:t>delivered in outpatient dental settings.</w:t>
      </w:r>
    </w:p>
    <w:p w:rsidR="004F1E59" w:rsidRPr="00BD2267" w:rsidRDefault="004F1E59" w:rsidP="00BD2267">
      <w:pPr>
        <w:rPr>
          <w:color w:val="0000CC"/>
        </w:rPr>
      </w:pPr>
    </w:p>
    <w:p w:rsidR="00D23FC8" w:rsidRPr="003B1CC5" w:rsidRDefault="005F1E54" w:rsidP="002E2177">
      <w:pPr>
        <w:ind w:left="0" w:firstLine="0"/>
      </w:pPr>
      <w:r w:rsidRPr="005F1E54">
        <w:rPr>
          <w:noProof/>
        </w:rPr>
        <w:lastRenderedPageBreak/>
        <w:drawing>
          <wp:inline distT="0" distB="0" distL="0" distR="0" wp14:anchorId="7C704C2C" wp14:editId="7B272666">
            <wp:extent cx="5943600" cy="3345611"/>
            <wp:effectExtent l="57150" t="19050" r="57150" b="83820"/>
            <wp:docPr id="4"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3416B0" w:rsidP="002E2177">
      <w:pPr>
        <w:ind w:left="0" w:firstLine="0"/>
      </w:pPr>
      <w:sdt>
        <w:sdtPr>
          <w:rPr>
            <w:bCs/>
            <w:color w:val="0000FF"/>
          </w:rPr>
          <w:id w:val="-468508862"/>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3416B0" w:rsidP="002E2177">
      <w:pPr>
        <w:ind w:left="0" w:firstLine="0"/>
        <w:rPr>
          <w:b/>
          <w:i/>
        </w:rPr>
      </w:pPr>
      <w:sdt>
        <w:sdtPr>
          <w:rPr>
            <w:bCs/>
            <w:color w:val="0000FF"/>
          </w:rPr>
          <w:id w:val="-411317169"/>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3416B0" w:rsidP="002E2177">
      <w:pPr>
        <w:ind w:left="0" w:firstLine="0"/>
      </w:pPr>
      <w:sdt>
        <w:sdtPr>
          <w:rPr>
            <w:bCs/>
            <w:color w:val="0000FF"/>
            <w:u w:val="single"/>
          </w:rPr>
          <w:id w:val="1199589694"/>
        </w:sdtPr>
        <w:sdtEndPr/>
        <w:sdtContent>
          <w:r w:rsidR="008C7339">
            <w:rPr>
              <w:rFonts w:ascii="MS Gothic" w:eastAsia="MS Gothic" w:hAnsi="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3416B0" w:rsidP="002E2177">
      <w:pPr>
        <w:ind w:left="0" w:firstLine="0"/>
      </w:pPr>
      <w:sdt>
        <w:sdtPr>
          <w:rPr>
            <w:bCs/>
            <w:color w:val="0000FF"/>
            <w:u w:val="single"/>
          </w:rPr>
          <w:id w:val="302275832"/>
        </w:sdtPr>
        <w:sdtEndPr/>
        <w:sdtContent>
          <w:r w:rsidR="00350373">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D53405" w:rsidP="002E2177">
      <w:pPr>
        <w:ind w:left="0" w:firstLine="0"/>
        <w:rPr>
          <w:rFonts w:cs="Arial"/>
          <w:sz w:val="20"/>
          <w:szCs w:val="20"/>
        </w:rPr>
      </w:pPr>
    </w:p>
    <w:p w:rsidR="006F4B7F" w:rsidRPr="003B1CC5" w:rsidRDefault="00350373" w:rsidP="002E2177">
      <w:pPr>
        <w:ind w:left="0" w:firstLine="0"/>
        <w:rPr>
          <w:color w:val="0000FF"/>
        </w:rPr>
      </w:pPr>
      <w:r>
        <w:rPr>
          <w:color w:val="0000FF"/>
        </w:rPr>
        <w:t>NA</w:t>
      </w: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350373" w:rsidRPr="003B1CC5" w:rsidRDefault="00350373" w:rsidP="00350373">
      <w:pPr>
        <w:ind w:left="0" w:firstLine="0"/>
        <w:rPr>
          <w:color w:val="0000FF"/>
        </w:rPr>
      </w:pPr>
      <w:r>
        <w:rPr>
          <w:color w:val="0000FF"/>
        </w:rPr>
        <w:t>NA</w:t>
      </w:r>
    </w:p>
    <w:p w:rsidR="00496AF8" w:rsidRPr="003B1CC5" w:rsidRDefault="00496AF8" w:rsidP="002E2177">
      <w:pPr>
        <w:ind w:left="0" w:firstLine="0"/>
      </w:pP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350373" w:rsidRPr="003B1CC5" w:rsidRDefault="00350373" w:rsidP="00350373">
      <w:pPr>
        <w:ind w:left="0" w:firstLine="0"/>
        <w:rPr>
          <w:color w:val="0000FF"/>
        </w:rPr>
      </w:pPr>
      <w:r>
        <w:rPr>
          <w:color w:val="0000FF"/>
        </w:rPr>
        <w:t>NA</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350373" w:rsidRPr="003B1CC5" w:rsidRDefault="00350373" w:rsidP="00350373">
      <w:pPr>
        <w:ind w:left="0" w:firstLine="0"/>
        <w:rPr>
          <w:color w:val="0000FF"/>
        </w:rPr>
      </w:pPr>
      <w:r>
        <w:rPr>
          <w:color w:val="0000FF"/>
        </w:rPr>
        <w:t>NA</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350373" w:rsidRPr="003B1CC5" w:rsidRDefault="00350373" w:rsidP="00350373">
      <w:pPr>
        <w:ind w:left="0" w:firstLine="0"/>
        <w:rPr>
          <w:color w:val="0000FF"/>
        </w:rPr>
      </w:pPr>
      <w:r>
        <w:rPr>
          <w:color w:val="0000FF"/>
        </w:rPr>
        <w:t>NA</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3416B0" w:rsidP="00FC32D3">
      <w:pPr>
        <w:ind w:left="720" w:hanging="432"/>
        <w:rPr>
          <w:b/>
        </w:rPr>
      </w:pPr>
      <w:sdt>
        <w:sdtPr>
          <w:rPr>
            <w:bCs/>
            <w:color w:val="0000FF"/>
          </w:rPr>
          <w:id w:val="-1346319738"/>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3416B0" w:rsidP="0098657F">
      <w:pPr>
        <w:ind w:left="1008" w:hanging="720"/>
      </w:pPr>
      <w:sdt>
        <w:sdtPr>
          <w:rPr>
            <w:bCs/>
            <w:color w:val="0000FF"/>
            <w:u w:val="single"/>
          </w:rPr>
          <w:id w:val="777454248"/>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50373" w:rsidRPr="003B1CC5" w:rsidRDefault="00350373" w:rsidP="00350373">
      <w:pPr>
        <w:ind w:left="0" w:firstLine="0"/>
        <w:rPr>
          <w:color w:val="0000FF"/>
        </w:rPr>
      </w:pPr>
      <w:r>
        <w:rPr>
          <w:color w:val="0000FF"/>
        </w:rPr>
        <w:t>NA</w:t>
      </w: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50373" w:rsidRPr="003B1CC5" w:rsidRDefault="00350373" w:rsidP="00350373">
      <w:pPr>
        <w:ind w:left="0" w:firstLine="0"/>
        <w:rPr>
          <w:color w:val="0000FF"/>
        </w:rPr>
      </w:pPr>
      <w:r>
        <w:rPr>
          <w:color w:val="0000FF"/>
        </w:rPr>
        <w:t>NA</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350373" w:rsidRPr="003B1CC5" w:rsidRDefault="00350373" w:rsidP="00350373">
      <w:pPr>
        <w:ind w:left="0" w:firstLine="0"/>
        <w:rPr>
          <w:color w:val="0000FF"/>
        </w:rPr>
      </w:pPr>
      <w:r>
        <w:rPr>
          <w:color w:val="0000FF"/>
        </w:rPr>
        <w:t>NA</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50373" w:rsidRPr="003B1CC5" w:rsidRDefault="00350373" w:rsidP="00350373">
      <w:pPr>
        <w:ind w:left="0" w:firstLine="0"/>
        <w:rPr>
          <w:color w:val="0000FF"/>
        </w:rPr>
      </w:pPr>
      <w:r>
        <w:rPr>
          <w:color w:val="0000FF"/>
        </w:rPr>
        <w:t>NA</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350373" w:rsidRPr="003B1CC5" w:rsidRDefault="00350373" w:rsidP="00350373">
      <w:pPr>
        <w:ind w:left="0" w:firstLine="0"/>
        <w:rPr>
          <w:color w:val="0000FF"/>
        </w:rPr>
      </w:pPr>
      <w:r>
        <w:rPr>
          <w:color w:val="0000FF"/>
        </w:rPr>
        <w:t>NA</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350373" w:rsidRPr="003B1CC5" w:rsidRDefault="00EE5AF6" w:rsidP="00350373">
      <w:pPr>
        <w:ind w:left="0" w:firstLine="0"/>
        <w:rPr>
          <w:color w:val="0000FF"/>
        </w:rPr>
      </w:pPr>
      <w:r w:rsidRPr="003B1CC5">
        <w:t xml:space="preserve"> </w:t>
      </w:r>
      <w:r w:rsidR="00350373">
        <w:rPr>
          <w:color w:val="0000FF"/>
        </w:rPr>
        <w:t>NA</w:t>
      </w:r>
    </w:p>
    <w:p w:rsidR="00EE5AF6" w:rsidRPr="003B1CC5" w:rsidRDefault="00EE5AF6" w:rsidP="00EE5AF6">
      <w:pPr>
        <w:ind w:left="0" w:firstLine="0"/>
      </w:pP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350373" w:rsidRPr="003B1CC5" w:rsidRDefault="00350373" w:rsidP="00350373">
      <w:pPr>
        <w:ind w:left="0" w:firstLine="0"/>
        <w:rPr>
          <w:color w:val="0000FF"/>
        </w:rPr>
      </w:pPr>
      <w:r>
        <w:rPr>
          <w:color w:val="0000FF"/>
        </w:rPr>
        <w:t>NA</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350373" w:rsidRPr="003B1CC5" w:rsidRDefault="00350373" w:rsidP="00350373">
      <w:pPr>
        <w:ind w:left="0" w:firstLine="0"/>
        <w:rPr>
          <w:color w:val="0000FF"/>
        </w:rPr>
      </w:pPr>
      <w:r>
        <w:rPr>
          <w:color w:val="0000FF"/>
        </w:rPr>
        <w:t>NA</w:t>
      </w:r>
    </w:p>
    <w:p w:rsidR="00B7645F" w:rsidRPr="0055651A" w:rsidRDefault="00B7645F" w:rsidP="00B7645F">
      <w:pPr>
        <w:ind w:left="0" w:firstLine="0"/>
        <w:rPr>
          <w:color w:val="0000CC"/>
        </w:rPr>
      </w:pPr>
    </w:p>
    <w:p w:rsidR="00EE5AF6" w:rsidRPr="003B1CC5" w:rsidRDefault="00EE5AF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350373" w:rsidRPr="003B1CC5" w:rsidRDefault="00350373" w:rsidP="00350373">
      <w:pPr>
        <w:ind w:left="0" w:firstLine="0"/>
        <w:rPr>
          <w:color w:val="0000FF"/>
        </w:rPr>
      </w:pPr>
      <w:r>
        <w:rPr>
          <w:color w:val="0000FF"/>
        </w:rPr>
        <w:t>NA</w:t>
      </w:r>
    </w:p>
    <w:p w:rsidR="008C7339" w:rsidRDefault="008C7339" w:rsidP="00EA79C9">
      <w:pPr>
        <w:ind w:left="0" w:firstLine="0"/>
        <w:rPr>
          <w:color w:val="0000CC"/>
        </w:rPr>
      </w:pPr>
    </w:p>
    <w:p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350373" w:rsidRPr="003B1CC5" w:rsidRDefault="00350373" w:rsidP="00350373">
      <w:pPr>
        <w:ind w:left="0" w:firstLine="0"/>
        <w:rPr>
          <w:color w:val="0000FF"/>
        </w:rPr>
      </w:pPr>
      <w:r>
        <w:rPr>
          <w:color w:val="0000FF"/>
        </w:rPr>
        <w:t>NA</w:t>
      </w:r>
    </w:p>
    <w:p w:rsidR="00A12762" w:rsidRPr="003B1CC5" w:rsidRDefault="00A1276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w:t>
      </w:r>
      <w:sdt>
        <w:sdtPr>
          <w:rPr>
            <w:rStyle w:val="Style2"/>
          </w:rPr>
          <w:id w:val="-1666395719"/>
        </w:sdtPr>
        <w:sdtEndPr>
          <w:rPr>
            <w:rStyle w:val="DefaultParagraphFont"/>
            <w:color w:val="auto"/>
            <w:u w:val="none"/>
          </w:rPr>
        </w:sdtEndPr>
        <w:sdtContent>
          <w:r w:rsidR="00B7645F" w:rsidRPr="0055651A">
            <w:rPr>
              <w:rStyle w:val="Style2"/>
              <w:color w:val="0000CC"/>
              <w:u w:val="none"/>
            </w:rPr>
            <w:t xml:space="preserve"> </w:t>
          </w:r>
        </w:sdtContent>
      </w:sdt>
    </w:p>
    <w:p w:rsidR="00350373" w:rsidRPr="003B1CC5" w:rsidRDefault="00350373" w:rsidP="00350373">
      <w:pPr>
        <w:ind w:left="0" w:firstLine="0"/>
        <w:rPr>
          <w:color w:val="0000FF"/>
        </w:rPr>
      </w:pPr>
      <w:r>
        <w:rPr>
          <w:color w:val="0000FF"/>
        </w:rPr>
        <w:t>NA</w:t>
      </w:r>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8C7339" w:rsidRPr="00350373" w:rsidRDefault="00350373" w:rsidP="00350373">
      <w:pPr>
        <w:ind w:left="0" w:firstLine="0"/>
        <w:rPr>
          <w:color w:val="0000FF"/>
        </w:rPr>
      </w:pPr>
      <w:r>
        <w:rPr>
          <w:color w:val="0000FF"/>
        </w:rPr>
        <w:t>NA</w:t>
      </w: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496AF8" w:rsidP="002E2177">
      <w:pPr>
        <w:ind w:left="0" w:firstLine="0"/>
      </w:pPr>
    </w:p>
    <w:p w:rsidR="00350373" w:rsidRPr="003B1CC5" w:rsidRDefault="00350373" w:rsidP="00350373">
      <w:pPr>
        <w:ind w:left="0" w:firstLine="0"/>
        <w:rPr>
          <w:color w:val="0000FF"/>
        </w:rPr>
      </w:pPr>
      <w:r>
        <w:rPr>
          <w:color w:val="0000FF"/>
        </w:rPr>
        <w:t>NA</w:t>
      </w: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496AF8" w:rsidP="002E2177">
      <w:pPr>
        <w:ind w:left="0" w:firstLine="0"/>
      </w:pPr>
    </w:p>
    <w:p w:rsidR="00350373" w:rsidRPr="003B1CC5" w:rsidRDefault="00350373" w:rsidP="00350373">
      <w:pPr>
        <w:ind w:left="0" w:firstLine="0"/>
        <w:rPr>
          <w:color w:val="0000FF"/>
        </w:rPr>
      </w:pPr>
      <w:r>
        <w:rPr>
          <w:color w:val="0000FF"/>
        </w:rPr>
        <w:t>NA</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350373" w:rsidRPr="003B1CC5" w:rsidRDefault="00350373" w:rsidP="00350373">
      <w:pPr>
        <w:ind w:left="0" w:firstLine="0"/>
        <w:rPr>
          <w:color w:val="0000FF"/>
        </w:rPr>
      </w:pPr>
      <w:r>
        <w:rPr>
          <w:color w:val="0000FF"/>
        </w:rPr>
        <w:t>NA</w:t>
      </w:r>
    </w:p>
    <w:p w:rsidR="00496AF8" w:rsidRPr="003B1CC5" w:rsidRDefault="00496AF8" w:rsidP="002E2177">
      <w:pPr>
        <w:ind w:left="0" w:firstLine="0"/>
      </w:pP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350373" w:rsidRPr="003B1CC5" w:rsidRDefault="00350373" w:rsidP="00350373">
      <w:pPr>
        <w:ind w:left="0" w:firstLine="0"/>
        <w:rPr>
          <w:color w:val="0000FF"/>
        </w:rPr>
      </w:pPr>
      <w:r>
        <w:rPr>
          <w:color w:val="0000FF"/>
        </w:rPr>
        <w:t>NA</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E00EB1" w:rsidRDefault="00E00EB1" w:rsidP="000A4744">
      <w:pPr>
        <w:ind w:left="0" w:firstLine="0"/>
        <w:rPr>
          <w:iCs/>
          <w:color w:val="0000CC"/>
        </w:rPr>
      </w:pPr>
    </w:p>
    <w:p w:rsidR="007D3947" w:rsidRDefault="004F1E59" w:rsidP="007D3947">
      <w:pPr>
        <w:ind w:left="0" w:firstLine="0"/>
        <w:rPr>
          <w:iCs/>
          <w:color w:val="0000CC"/>
        </w:rPr>
      </w:pPr>
      <w:r w:rsidRPr="00FF2F8C">
        <w:rPr>
          <w:color w:val="0000CC"/>
        </w:rPr>
        <w:t xml:space="preserve">A literature </w:t>
      </w:r>
      <w:r w:rsidR="000D204C">
        <w:rPr>
          <w:color w:val="0000CC"/>
        </w:rPr>
        <w:t>search</w:t>
      </w:r>
      <w:r w:rsidR="000D204C" w:rsidRPr="00FF2F8C">
        <w:rPr>
          <w:color w:val="0000CC"/>
        </w:rPr>
        <w:t xml:space="preserve"> </w:t>
      </w:r>
      <w:r w:rsidRPr="00FF2F8C">
        <w:rPr>
          <w:color w:val="0000CC"/>
        </w:rPr>
        <w:t>was conducted</w:t>
      </w:r>
      <w:r w:rsidRPr="00FF2F8C">
        <w:rPr>
          <w:iCs/>
          <w:color w:val="0000CC"/>
        </w:rPr>
        <w:t xml:space="preserve"> in MedLine through PubMed to identify literature </w:t>
      </w:r>
      <w:r w:rsidR="000D204C">
        <w:rPr>
          <w:iCs/>
          <w:color w:val="0000CC"/>
        </w:rPr>
        <w:t>related to follow-up care after a dental</w:t>
      </w:r>
      <w:r w:rsidR="007D4440">
        <w:rPr>
          <w:iCs/>
          <w:color w:val="0000CC"/>
        </w:rPr>
        <w:t xml:space="preserve">-related ED visit.  Search s included (1) </w:t>
      </w:r>
      <w:r w:rsidR="000D204C">
        <w:rPr>
          <w:iCs/>
          <w:color w:val="0000CC"/>
        </w:rPr>
        <w:t xml:space="preserve">“dent*” </w:t>
      </w:r>
      <w:r w:rsidR="007D4440">
        <w:rPr>
          <w:iCs/>
          <w:color w:val="0000CC"/>
        </w:rPr>
        <w:t xml:space="preserve">and </w:t>
      </w:r>
      <w:r w:rsidR="000D204C">
        <w:rPr>
          <w:iCs/>
          <w:color w:val="0000CC"/>
        </w:rPr>
        <w:t xml:space="preserve">“emergency” </w:t>
      </w:r>
      <w:r w:rsidR="007D4440">
        <w:rPr>
          <w:iCs/>
          <w:color w:val="0000CC"/>
        </w:rPr>
        <w:t>and (2) and</w:t>
      </w:r>
      <w:r w:rsidR="000D204C">
        <w:rPr>
          <w:iCs/>
          <w:color w:val="0000CC"/>
        </w:rPr>
        <w:t xml:space="preserve"> </w:t>
      </w:r>
      <w:r w:rsidR="007D4440">
        <w:rPr>
          <w:iCs/>
          <w:color w:val="0000CC"/>
        </w:rPr>
        <w:t xml:space="preserve"> “dent*” and “emergency” and </w:t>
      </w:r>
      <w:r w:rsidR="000D204C">
        <w:rPr>
          <w:iCs/>
          <w:color w:val="0000CC"/>
        </w:rPr>
        <w:t xml:space="preserve">“follow up”.  </w:t>
      </w:r>
      <w:r w:rsidR="007D4440">
        <w:rPr>
          <w:iCs/>
          <w:color w:val="0000CC"/>
        </w:rPr>
        <w:t xml:space="preserve"> We also carefully reviewed the references of relevant articles to identify additional evidence.</w:t>
      </w:r>
    </w:p>
    <w:p w:rsidR="007D3947" w:rsidRDefault="007D3947" w:rsidP="000A4744">
      <w:pPr>
        <w:ind w:left="0" w:firstLine="0"/>
        <w:rPr>
          <w:iCs/>
          <w:color w:val="0000CC"/>
        </w:rPr>
      </w:pPr>
    </w:p>
    <w:p w:rsidR="004F1E59" w:rsidRDefault="004F1E59" w:rsidP="000A4744">
      <w:pPr>
        <w:ind w:left="0" w:firstLine="0"/>
        <w:rPr>
          <w:iCs/>
          <w:color w:val="0000CC"/>
        </w:rPr>
      </w:pPr>
    </w:p>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B1457A" w:rsidRDefault="00B1457A" w:rsidP="00EE36E8">
      <w:pPr>
        <w:autoSpaceDE w:val="0"/>
        <w:autoSpaceDN w:val="0"/>
        <w:adjustRightInd w:val="0"/>
        <w:rPr>
          <w:rFonts w:cs="Arial"/>
          <w:color w:val="0000CC"/>
          <w:sz w:val="20"/>
          <w:szCs w:val="20"/>
        </w:rPr>
      </w:pPr>
    </w:p>
    <w:p w:rsidR="00AE0F2F" w:rsidRPr="00C8101E" w:rsidRDefault="00843BCD" w:rsidP="007D4440">
      <w:pPr>
        <w:ind w:left="0" w:firstLine="0"/>
        <w:rPr>
          <w:b/>
          <w:iCs/>
          <w:color w:val="0000CC"/>
        </w:rPr>
      </w:pPr>
      <w:r w:rsidRPr="00C8101E">
        <w:rPr>
          <w:b/>
          <w:iCs/>
          <w:color w:val="0000CC"/>
        </w:rPr>
        <w:t xml:space="preserve">Evidence Statement #1: </w:t>
      </w:r>
      <w:r w:rsidR="00473342" w:rsidRPr="00C8101E">
        <w:rPr>
          <w:b/>
          <w:iCs/>
          <w:color w:val="FF0000"/>
        </w:rPr>
        <w:t>D</w:t>
      </w:r>
      <w:r w:rsidRPr="00C8101E">
        <w:rPr>
          <w:b/>
          <w:iCs/>
          <w:color w:val="FF0000"/>
        </w:rPr>
        <w:t xml:space="preserve">efinitive care is </w:t>
      </w:r>
      <w:r w:rsidR="00473342" w:rsidRPr="00C8101E">
        <w:rPr>
          <w:b/>
          <w:iCs/>
          <w:color w:val="FF0000"/>
        </w:rPr>
        <w:t xml:space="preserve">not </w:t>
      </w:r>
      <w:r w:rsidRPr="00C8101E">
        <w:rPr>
          <w:b/>
          <w:iCs/>
          <w:color w:val="FF0000"/>
        </w:rPr>
        <w:t>provided to child</w:t>
      </w:r>
      <w:r w:rsidR="00473342" w:rsidRPr="00C8101E">
        <w:rPr>
          <w:b/>
          <w:iCs/>
          <w:color w:val="FF0000"/>
        </w:rPr>
        <w:t>ren</w:t>
      </w:r>
      <w:r w:rsidRPr="00C8101E">
        <w:rPr>
          <w:b/>
          <w:iCs/>
          <w:color w:val="FF0000"/>
        </w:rPr>
        <w:t xml:space="preserve"> presenting wi</w:t>
      </w:r>
      <w:r w:rsidR="007D4440" w:rsidRPr="00C8101E">
        <w:rPr>
          <w:b/>
          <w:iCs/>
          <w:color w:val="FF0000"/>
        </w:rPr>
        <w:t>th pain and/or swelling in an emergency department (ED)</w:t>
      </w:r>
      <w:r w:rsidRPr="00C8101E">
        <w:rPr>
          <w:b/>
          <w:iCs/>
          <w:color w:val="FF0000"/>
        </w:rPr>
        <w:t xml:space="preserve"> for dental caries</w:t>
      </w:r>
      <w:r w:rsidR="00216927" w:rsidRPr="00C8101E">
        <w:rPr>
          <w:b/>
          <w:iCs/>
          <w:color w:val="FF0000"/>
        </w:rPr>
        <w:t>-</w:t>
      </w:r>
      <w:r w:rsidRPr="00C8101E">
        <w:rPr>
          <w:b/>
          <w:iCs/>
          <w:color w:val="FF0000"/>
        </w:rPr>
        <w:t>related reasons.</w:t>
      </w:r>
    </w:p>
    <w:p w:rsidR="007D4440" w:rsidRDefault="007D4440" w:rsidP="007D4440">
      <w:pPr>
        <w:autoSpaceDE w:val="0"/>
        <w:autoSpaceDN w:val="0"/>
        <w:adjustRightInd w:val="0"/>
        <w:ind w:left="0" w:firstLine="0"/>
        <w:rPr>
          <w:rFonts w:cs="Arial"/>
          <w:color w:val="0000CC"/>
        </w:rPr>
      </w:pPr>
    </w:p>
    <w:p w:rsidR="00AE0F2F" w:rsidRPr="007D4440" w:rsidRDefault="002F53D5" w:rsidP="007D4440">
      <w:pPr>
        <w:autoSpaceDE w:val="0"/>
        <w:autoSpaceDN w:val="0"/>
        <w:adjustRightInd w:val="0"/>
        <w:ind w:left="0" w:firstLine="0"/>
        <w:rPr>
          <w:rFonts w:cs="Arial"/>
          <w:color w:val="0000CC"/>
        </w:rPr>
      </w:pPr>
      <w:r w:rsidRPr="007D4440">
        <w:rPr>
          <w:rFonts w:cs="Arial"/>
          <w:color w:val="0000CC"/>
        </w:rPr>
        <w:t>ED care for caries-related problems is generally not definitive compared to that provided in primary care dental settings and often results in referral to primary care dental sites</w:t>
      </w:r>
      <w:r w:rsidR="001C57B5" w:rsidRPr="007D4440">
        <w:rPr>
          <w:rFonts w:cs="Arial"/>
          <w:color w:val="0000CC"/>
        </w:rPr>
        <w:t xml:space="preserve">.  </w:t>
      </w:r>
    </w:p>
    <w:p w:rsidR="00AE0F2F" w:rsidRPr="007D4440" w:rsidRDefault="00AE0F2F" w:rsidP="007D4440">
      <w:pPr>
        <w:autoSpaceDE w:val="0"/>
        <w:autoSpaceDN w:val="0"/>
        <w:adjustRightInd w:val="0"/>
        <w:ind w:left="0" w:firstLine="0"/>
        <w:rPr>
          <w:rFonts w:cs="Arial"/>
          <w:color w:val="0000CC"/>
        </w:rPr>
      </w:pPr>
    </w:p>
    <w:p w:rsidR="00AE0F2F" w:rsidRPr="00C8101E" w:rsidRDefault="00103EFA" w:rsidP="007D4440">
      <w:pPr>
        <w:autoSpaceDE w:val="0"/>
        <w:autoSpaceDN w:val="0"/>
        <w:adjustRightInd w:val="0"/>
        <w:ind w:left="0" w:firstLine="0"/>
        <w:rPr>
          <w:rFonts w:cs="Arial"/>
          <w:b/>
          <w:color w:val="0000CC"/>
          <w:u w:val="single"/>
        </w:rPr>
      </w:pPr>
      <w:r w:rsidRPr="00C8101E">
        <w:rPr>
          <w:rFonts w:cs="Arial"/>
          <w:b/>
          <w:color w:val="0000CC"/>
          <w:u w:val="single"/>
        </w:rPr>
        <w:t>Patients who visit the ED for dental–related reasons are</w:t>
      </w:r>
      <w:r w:rsidR="007D4440" w:rsidRPr="00C8101E">
        <w:rPr>
          <w:rFonts w:cs="Arial"/>
          <w:b/>
          <w:color w:val="0000CC"/>
          <w:u w:val="single"/>
        </w:rPr>
        <w:t xml:space="preserve"> substantially</w:t>
      </w:r>
      <w:r w:rsidRPr="00C8101E">
        <w:rPr>
          <w:rFonts w:cs="Arial"/>
          <w:b/>
          <w:color w:val="0000CC"/>
          <w:u w:val="single"/>
        </w:rPr>
        <w:t xml:space="preserve"> more likely to receive medications for pain management and infection control than procedures to treat the underlying problem.</w:t>
      </w:r>
    </w:p>
    <w:p w:rsidR="00AE0F2F" w:rsidRPr="007D4440" w:rsidRDefault="00273A0A" w:rsidP="007D4440">
      <w:pPr>
        <w:autoSpaceDE w:val="0"/>
        <w:autoSpaceDN w:val="0"/>
        <w:adjustRightInd w:val="0"/>
        <w:ind w:left="0" w:firstLine="0"/>
        <w:rPr>
          <w:rFonts w:cs="Arial"/>
          <w:color w:val="0000CC"/>
        </w:rPr>
      </w:pPr>
      <w:r w:rsidRPr="007D4440">
        <w:rPr>
          <w:rFonts w:cs="Arial"/>
          <w:color w:val="0000CC"/>
        </w:rPr>
        <w:t xml:space="preserve">A retrospective analysis of nationally representative ED visit data (all ages) from the </w:t>
      </w:r>
      <w:r w:rsidR="009F20C4" w:rsidRPr="007D4440">
        <w:rPr>
          <w:rFonts w:cs="Arial"/>
          <w:color w:val="0000CC"/>
        </w:rPr>
        <w:t>N</w:t>
      </w:r>
      <w:r w:rsidRPr="007D4440">
        <w:rPr>
          <w:rFonts w:cs="Arial"/>
          <w:color w:val="0000CC"/>
        </w:rPr>
        <w:t>ational Hospital Ambulatory Medical Care Survey for the four-year period 1997-2000 found that dental-related visits were less likely to have procedures performed and more likely to have medications prescribed compared with ED visits for other reasons (Lewis, Lynch and Johnston 2003).  Specifically</w:t>
      </w:r>
      <w:r w:rsidR="007D4440">
        <w:rPr>
          <w:rFonts w:cs="Arial"/>
          <w:color w:val="0000CC"/>
        </w:rPr>
        <w:t>,</w:t>
      </w:r>
      <w:r w:rsidRPr="007D4440">
        <w:rPr>
          <w:rFonts w:cs="Arial"/>
          <w:color w:val="0000CC"/>
        </w:rPr>
        <w:t xml:space="preserve"> approximately 10% of dental-related ED visits had procedures performed compared with 42% of </w:t>
      </w:r>
      <w:r w:rsidR="007D4440">
        <w:rPr>
          <w:rFonts w:cs="Arial"/>
          <w:color w:val="0000CC"/>
        </w:rPr>
        <w:t xml:space="preserve">ED </w:t>
      </w:r>
      <w:r w:rsidRPr="007D4440">
        <w:rPr>
          <w:rFonts w:cs="Arial"/>
          <w:color w:val="0000CC"/>
        </w:rPr>
        <w:t xml:space="preserve">visits for other </w:t>
      </w:r>
      <w:r w:rsidR="007D4440">
        <w:rPr>
          <w:rFonts w:cs="Arial"/>
          <w:color w:val="0000CC"/>
        </w:rPr>
        <w:t xml:space="preserve">(non-dental) </w:t>
      </w:r>
      <w:r w:rsidRPr="007D4440">
        <w:rPr>
          <w:rFonts w:cs="Arial"/>
          <w:color w:val="0000CC"/>
        </w:rPr>
        <w:t xml:space="preserve">reasons; medications were prescribed for 81% of dental-related ED visits and for 72% of visits for other reasons.  </w:t>
      </w:r>
    </w:p>
    <w:p w:rsidR="00AE0F2F" w:rsidRPr="007D4440" w:rsidRDefault="00AE0F2F" w:rsidP="007D4440">
      <w:pPr>
        <w:autoSpaceDE w:val="0"/>
        <w:autoSpaceDN w:val="0"/>
        <w:adjustRightInd w:val="0"/>
        <w:ind w:left="0" w:firstLine="0"/>
        <w:rPr>
          <w:rFonts w:cs="Arial"/>
          <w:color w:val="0000CC"/>
        </w:rPr>
      </w:pPr>
    </w:p>
    <w:p w:rsidR="00AE0F2F" w:rsidRPr="007D4440" w:rsidRDefault="00273A0A" w:rsidP="007D4440">
      <w:pPr>
        <w:autoSpaceDE w:val="0"/>
        <w:autoSpaceDN w:val="0"/>
        <w:adjustRightInd w:val="0"/>
        <w:ind w:left="0" w:firstLine="0"/>
        <w:rPr>
          <w:rFonts w:cs="Arial"/>
          <w:color w:val="0000CC"/>
        </w:rPr>
      </w:pPr>
      <w:r w:rsidRPr="007D4440">
        <w:rPr>
          <w:rFonts w:cs="Arial"/>
          <w:color w:val="0000CC"/>
        </w:rPr>
        <w:t xml:space="preserve">Similar findings were obtained in a </w:t>
      </w:r>
      <w:r w:rsidR="001C57B5" w:rsidRPr="007D4440">
        <w:rPr>
          <w:rFonts w:cs="Arial"/>
          <w:color w:val="0000CC"/>
        </w:rPr>
        <w:t xml:space="preserve">retrospective chart review study of all visits (1,013) made to an urban teaching hospital ED </w:t>
      </w:r>
      <w:r w:rsidR="00103EFA" w:rsidRPr="007D4440">
        <w:rPr>
          <w:rFonts w:cs="Arial"/>
          <w:color w:val="0000CC"/>
        </w:rPr>
        <w:t xml:space="preserve">in North Carolina </w:t>
      </w:r>
      <w:r w:rsidR="001C57B5" w:rsidRPr="007D4440">
        <w:rPr>
          <w:rFonts w:cs="Arial"/>
          <w:color w:val="0000CC"/>
        </w:rPr>
        <w:t>between 7/1/2010 and 6/30/2011</w:t>
      </w:r>
      <w:r w:rsidR="007D4440">
        <w:rPr>
          <w:rFonts w:cs="Arial"/>
          <w:color w:val="0000CC"/>
        </w:rPr>
        <w:t xml:space="preserve"> </w:t>
      </w:r>
      <w:r w:rsidR="001C57B5" w:rsidRPr="007D4440">
        <w:rPr>
          <w:rFonts w:cs="Arial"/>
          <w:color w:val="0000CC"/>
        </w:rPr>
        <w:t>by patients (all ages) with a chief complaint or diagnosis code indicating dental pain, toothache, or dental abscess</w:t>
      </w:r>
      <w:r w:rsidR="007D4440">
        <w:rPr>
          <w:rFonts w:cs="Arial"/>
          <w:color w:val="0000CC"/>
        </w:rPr>
        <w:t>.  This study also</w:t>
      </w:r>
      <w:r w:rsidR="001C57B5" w:rsidRPr="007D4440">
        <w:rPr>
          <w:rFonts w:cs="Arial"/>
          <w:color w:val="0000CC"/>
        </w:rPr>
        <w:t xml:space="preserve"> found that only 10% of</w:t>
      </w:r>
      <w:r w:rsidR="007D4440">
        <w:rPr>
          <w:rFonts w:cs="Arial"/>
          <w:color w:val="0000CC"/>
        </w:rPr>
        <w:t xml:space="preserve"> ED</w:t>
      </w:r>
      <w:r w:rsidR="001C57B5" w:rsidRPr="007D4440">
        <w:rPr>
          <w:rFonts w:cs="Arial"/>
          <w:color w:val="0000CC"/>
        </w:rPr>
        <w:t xml:space="preserve"> patients received any type of dental procedure.  Instead, the focus was on pain management and infection control: 64% of patients received pain medications or antibiotics during their visit and 91% received outpatient pain </w:t>
      </w:r>
      <w:r w:rsidR="007D4440">
        <w:rPr>
          <w:rFonts w:cs="Arial"/>
          <w:color w:val="0000CC"/>
        </w:rPr>
        <w:t xml:space="preserve">and/or </w:t>
      </w:r>
      <w:r w:rsidR="001C57B5" w:rsidRPr="007D4440">
        <w:rPr>
          <w:rFonts w:cs="Arial"/>
          <w:color w:val="0000CC"/>
        </w:rPr>
        <w:t>antibiotic prescriptions (</w:t>
      </w:r>
      <w:r w:rsidR="002F53D5" w:rsidRPr="007D4440">
        <w:rPr>
          <w:rFonts w:cs="Arial"/>
          <w:color w:val="0000CC"/>
        </w:rPr>
        <w:t xml:space="preserve">Hocker et al. 2012). </w:t>
      </w:r>
    </w:p>
    <w:p w:rsidR="00AE0F2F" w:rsidRPr="007D4440" w:rsidRDefault="00AE0F2F" w:rsidP="007D4440">
      <w:pPr>
        <w:autoSpaceDE w:val="0"/>
        <w:autoSpaceDN w:val="0"/>
        <w:adjustRightInd w:val="0"/>
        <w:ind w:left="0" w:firstLine="0"/>
        <w:rPr>
          <w:rFonts w:cs="Arial"/>
          <w:color w:val="0000CC"/>
        </w:rPr>
      </w:pPr>
    </w:p>
    <w:p w:rsidR="00AE0F2F" w:rsidRPr="007D4440" w:rsidRDefault="00E15F61" w:rsidP="007D4440">
      <w:pPr>
        <w:autoSpaceDE w:val="0"/>
        <w:autoSpaceDN w:val="0"/>
        <w:adjustRightInd w:val="0"/>
        <w:ind w:left="0" w:firstLine="0"/>
        <w:rPr>
          <w:rFonts w:cs="Arial"/>
          <w:color w:val="0000CC"/>
        </w:rPr>
      </w:pPr>
      <w:r w:rsidRPr="007D4440">
        <w:rPr>
          <w:rFonts w:cs="Arial"/>
          <w:color w:val="0000CC"/>
        </w:rPr>
        <w:t>The</w:t>
      </w:r>
      <w:r w:rsidR="00103EFA" w:rsidRPr="007D4440">
        <w:rPr>
          <w:rFonts w:cs="Arial"/>
          <w:color w:val="0000CC"/>
        </w:rPr>
        <w:t xml:space="preserve"> above</w:t>
      </w:r>
      <w:r w:rsidRPr="007D4440">
        <w:rPr>
          <w:rFonts w:cs="Arial"/>
          <w:color w:val="0000CC"/>
        </w:rPr>
        <w:t xml:space="preserve"> findings are consistent with an analysis of national trends in medications prescribed in the ED for patients (all ages</w:t>
      </w:r>
      <w:r w:rsidR="00C8101E">
        <w:rPr>
          <w:rFonts w:cs="Arial"/>
          <w:color w:val="0000CC"/>
        </w:rPr>
        <w:t>)</w:t>
      </w:r>
      <w:r w:rsidRPr="007D4440">
        <w:rPr>
          <w:rFonts w:cs="Arial"/>
          <w:color w:val="0000CC"/>
        </w:rPr>
        <w:t xml:space="preserve"> with non-traumatic dental conditions during 1997-2007</w:t>
      </w:r>
      <w:r w:rsidR="00AC4C68">
        <w:rPr>
          <w:rFonts w:cs="Arial"/>
          <w:color w:val="0000CC"/>
        </w:rPr>
        <w:t xml:space="preserve"> </w:t>
      </w:r>
      <w:r w:rsidRPr="007D4440">
        <w:rPr>
          <w:rFonts w:cs="Arial"/>
          <w:color w:val="0000CC"/>
        </w:rPr>
        <w:t xml:space="preserve">conducted by Okunseri </w:t>
      </w:r>
      <w:r w:rsidR="00C8101E">
        <w:rPr>
          <w:rFonts w:cs="Arial"/>
          <w:color w:val="0000CC"/>
        </w:rPr>
        <w:t xml:space="preserve"> </w:t>
      </w:r>
      <w:r w:rsidRPr="007D4440">
        <w:rPr>
          <w:rFonts w:cs="Arial"/>
          <w:color w:val="0000CC"/>
        </w:rPr>
        <w:t>et al. (2012</w:t>
      </w:r>
      <w:r w:rsidR="00AC4C68">
        <w:rPr>
          <w:rFonts w:cs="Arial"/>
          <w:color w:val="0000CC"/>
        </w:rPr>
        <w:t>a</w:t>
      </w:r>
      <w:r w:rsidRPr="007D4440">
        <w:rPr>
          <w:rFonts w:cs="Arial"/>
          <w:color w:val="0000CC"/>
        </w:rPr>
        <w:t xml:space="preserve">), using data from the National Hospital Ambulatory Medicare Care Survey.  This study found that 87% of patients </w:t>
      </w:r>
      <w:r w:rsidR="00B1730E" w:rsidRPr="007D4440">
        <w:rPr>
          <w:rFonts w:cs="Arial"/>
          <w:color w:val="0000CC"/>
        </w:rPr>
        <w:t xml:space="preserve">who visited the ED for non-traumatic dental conditions during the period 1997-2007 received prescriptions for pain medications and/or antibiotics.  Pain medicines were the most commonly prescribed medications in the ED for non-traumatic dental visits (75% of patients). </w:t>
      </w:r>
    </w:p>
    <w:p w:rsidR="00AE0F2F" w:rsidRPr="007D4440" w:rsidRDefault="00AE0F2F" w:rsidP="007D4440">
      <w:pPr>
        <w:autoSpaceDE w:val="0"/>
        <w:autoSpaceDN w:val="0"/>
        <w:adjustRightInd w:val="0"/>
        <w:ind w:left="0" w:firstLine="0"/>
        <w:rPr>
          <w:rFonts w:cs="Arial"/>
          <w:color w:val="0000CC"/>
        </w:rPr>
      </w:pPr>
    </w:p>
    <w:p w:rsidR="00AE0F2F" w:rsidRPr="007D4440" w:rsidRDefault="00AE0F2F" w:rsidP="007D4440">
      <w:pPr>
        <w:autoSpaceDE w:val="0"/>
        <w:autoSpaceDN w:val="0"/>
        <w:adjustRightInd w:val="0"/>
        <w:ind w:left="0" w:firstLine="0"/>
        <w:rPr>
          <w:rFonts w:cs="Arial"/>
          <w:color w:val="0000CC"/>
        </w:rPr>
      </w:pPr>
    </w:p>
    <w:p w:rsidR="00AE0F2F" w:rsidRPr="00C8101E" w:rsidRDefault="00103EFA" w:rsidP="007D4440">
      <w:pPr>
        <w:autoSpaceDE w:val="0"/>
        <w:autoSpaceDN w:val="0"/>
        <w:adjustRightInd w:val="0"/>
        <w:ind w:left="0" w:firstLine="0"/>
        <w:rPr>
          <w:rFonts w:cs="Arial"/>
          <w:b/>
          <w:color w:val="0000CC"/>
          <w:u w:val="single"/>
        </w:rPr>
      </w:pPr>
      <w:r w:rsidRPr="00C8101E">
        <w:rPr>
          <w:rFonts w:cs="Arial"/>
          <w:b/>
          <w:color w:val="0000CC"/>
          <w:u w:val="single"/>
        </w:rPr>
        <w:t xml:space="preserve">The vast majority of patients who visit the ED for dental-related reasons are referred </w:t>
      </w:r>
      <w:r w:rsidR="00C8101E">
        <w:rPr>
          <w:rFonts w:cs="Arial"/>
          <w:b/>
          <w:color w:val="0000CC"/>
          <w:u w:val="single"/>
        </w:rPr>
        <w:t>to a primary care site</w:t>
      </w:r>
      <w:r w:rsidRPr="00C8101E">
        <w:rPr>
          <w:rFonts w:cs="Arial"/>
          <w:b/>
          <w:color w:val="0000CC"/>
          <w:u w:val="single"/>
        </w:rPr>
        <w:t xml:space="preserve"> for care</w:t>
      </w:r>
      <w:r w:rsidR="00C8101E">
        <w:rPr>
          <w:rFonts w:cs="Arial"/>
          <w:b/>
          <w:color w:val="0000CC"/>
          <w:u w:val="single"/>
        </w:rPr>
        <w:t xml:space="preserve"> of their dental problem</w:t>
      </w:r>
      <w:r w:rsidRPr="00C8101E">
        <w:rPr>
          <w:rFonts w:cs="Arial"/>
          <w:b/>
          <w:color w:val="0000CC"/>
          <w:u w:val="single"/>
        </w:rPr>
        <w:t>.</w:t>
      </w:r>
    </w:p>
    <w:p w:rsidR="00AE0F2F" w:rsidRPr="007D4440" w:rsidRDefault="00000D7F" w:rsidP="007D4440">
      <w:pPr>
        <w:autoSpaceDE w:val="0"/>
        <w:autoSpaceDN w:val="0"/>
        <w:adjustRightInd w:val="0"/>
        <w:ind w:left="0" w:firstLine="0"/>
        <w:rPr>
          <w:rFonts w:cs="Arial"/>
          <w:color w:val="0000CC"/>
        </w:rPr>
      </w:pPr>
      <w:r w:rsidRPr="007D4440">
        <w:rPr>
          <w:rFonts w:cs="Arial"/>
          <w:color w:val="0000CC"/>
        </w:rPr>
        <w:t xml:space="preserve">A survey of 401 adults in Maryland who experienced a dental problem found that among those who sought treatment at an ED, 89% were instructed by the ED </w:t>
      </w:r>
      <w:r w:rsidR="002F53D5" w:rsidRPr="007D4440">
        <w:rPr>
          <w:rFonts w:cs="Arial"/>
          <w:color w:val="0000CC"/>
        </w:rPr>
        <w:t xml:space="preserve">to follow-up with a dentist (Cohen et al. 2011).  </w:t>
      </w:r>
      <w:r w:rsidR="00103EFA" w:rsidRPr="007D4440">
        <w:rPr>
          <w:rFonts w:cs="Arial"/>
          <w:color w:val="0000CC"/>
        </w:rPr>
        <w:t xml:space="preserve">A retrospective analysis of nationally representative ED visit data (all ages) from the </w:t>
      </w:r>
      <w:r w:rsidR="00C8101E">
        <w:rPr>
          <w:rFonts w:cs="Arial"/>
          <w:color w:val="0000CC"/>
        </w:rPr>
        <w:t>N</w:t>
      </w:r>
      <w:r w:rsidR="00103EFA" w:rsidRPr="007D4440">
        <w:rPr>
          <w:rFonts w:cs="Arial"/>
          <w:color w:val="0000CC"/>
        </w:rPr>
        <w:t xml:space="preserve">ational Hospital Ambulatory Medical Care Survey for the four-year period 1997-2000 found that 73% of patients who visited the ED for a dental problem were referred to a doctor or clinic other than the patient’s regular site of care compared to 42% of patients who visited the ED for other reasons (Lewis, Lynch and Johnston 2003).  </w:t>
      </w:r>
    </w:p>
    <w:p w:rsidR="00AE0F2F" w:rsidRPr="007D4440" w:rsidRDefault="00AE0F2F" w:rsidP="007D4440">
      <w:pPr>
        <w:autoSpaceDE w:val="0"/>
        <w:autoSpaceDN w:val="0"/>
        <w:adjustRightInd w:val="0"/>
        <w:ind w:left="0" w:firstLine="0"/>
        <w:rPr>
          <w:rFonts w:cs="Arial"/>
          <w:color w:val="0000CC"/>
        </w:rPr>
      </w:pPr>
    </w:p>
    <w:p w:rsidR="00AE0F2F" w:rsidRPr="00C8101E" w:rsidRDefault="00843BCD" w:rsidP="007D4440">
      <w:pPr>
        <w:ind w:left="0" w:firstLine="0"/>
        <w:rPr>
          <w:b/>
          <w:iCs/>
          <w:color w:val="FF0000"/>
        </w:rPr>
      </w:pPr>
      <w:r w:rsidRPr="00C8101E">
        <w:rPr>
          <w:rFonts w:cs="Arial"/>
          <w:b/>
          <w:color w:val="0000CC"/>
        </w:rPr>
        <w:t>Evidence Statement #2:</w:t>
      </w:r>
      <w:r w:rsidRPr="00C8101E">
        <w:rPr>
          <w:b/>
          <w:iCs/>
          <w:color w:val="0000CC"/>
        </w:rPr>
        <w:t xml:space="preserve"> </w:t>
      </w:r>
      <w:r w:rsidRPr="00C8101E">
        <w:rPr>
          <w:b/>
          <w:iCs/>
          <w:color w:val="FF0000"/>
        </w:rPr>
        <w:t>While dental caries and its sequel</w:t>
      </w:r>
      <w:r w:rsidR="003A189C" w:rsidRPr="00C8101E">
        <w:rPr>
          <w:b/>
          <w:iCs/>
          <w:color w:val="FF0000"/>
        </w:rPr>
        <w:t>ae</w:t>
      </w:r>
      <w:r w:rsidRPr="00C8101E">
        <w:rPr>
          <w:b/>
          <w:iCs/>
          <w:color w:val="FF0000"/>
        </w:rPr>
        <w:t xml:space="preserve"> can be temporarily managed with pain medication and antibiotics, definitive dental care is necessary to treat the disease</w:t>
      </w:r>
      <w:r w:rsidR="008E154D" w:rsidRPr="00C8101E">
        <w:rPr>
          <w:b/>
          <w:iCs/>
          <w:color w:val="FF0000"/>
        </w:rPr>
        <w:t xml:space="preserve"> but often is not received</w:t>
      </w:r>
      <w:r w:rsidRPr="00C8101E">
        <w:rPr>
          <w:b/>
          <w:iCs/>
          <w:color w:val="FF0000"/>
        </w:rPr>
        <w:t xml:space="preserve">.   </w:t>
      </w:r>
    </w:p>
    <w:p w:rsidR="00C8101E" w:rsidRDefault="00C8101E" w:rsidP="007D4440">
      <w:pPr>
        <w:autoSpaceDE w:val="0"/>
        <w:autoSpaceDN w:val="0"/>
        <w:adjustRightInd w:val="0"/>
        <w:ind w:left="0" w:firstLine="0"/>
        <w:rPr>
          <w:rFonts w:cs="Arial"/>
          <w:color w:val="0000CC"/>
        </w:rPr>
      </w:pPr>
    </w:p>
    <w:p w:rsidR="00AE0F2F" w:rsidRPr="007D4440" w:rsidRDefault="00B1457A" w:rsidP="007D4440">
      <w:pPr>
        <w:autoSpaceDE w:val="0"/>
        <w:autoSpaceDN w:val="0"/>
        <w:adjustRightInd w:val="0"/>
        <w:ind w:left="0" w:firstLine="0"/>
        <w:rPr>
          <w:rFonts w:cs="Arial"/>
          <w:color w:val="0000CC"/>
        </w:rPr>
      </w:pPr>
      <w:r w:rsidRPr="007D4440">
        <w:rPr>
          <w:rFonts w:cs="Arial"/>
          <w:color w:val="0000CC"/>
        </w:rPr>
        <w:t xml:space="preserve">Untreated dental decay among children has significant short- and long-term adverse consequences (Tinanoff and Reisine 2009).  </w:t>
      </w:r>
      <w:r w:rsidR="008E154D" w:rsidRPr="007D4440">
        <w:rPr>
          <w:rFonts w:cs="Arial"/>
          <w:color w:val="0000CC"/>
        </w:rPr>
        <w:t xml:space="preserve">As described above, ED care for dental-related conditions is typically not definitive.  Although there are few studies that </w:t>
      </w:r>
      <w:r w:rsidR="00C8101E">
        <w:rPr>
          <w:rFonts w:cs="Arial"/>
          <w:color w:val="0000CC"/>
        </w:rPr>
        <w:t>examine</w:t>
      </w:r>
      <w:r w:rsidR="008E154D" w:rsidRPr="007D4440">
        <w:rPr>
          <w:rFonts w:cs="Arial"/>
          <w:color w:val="0000CC"/>
        </w:rPr>
        <w:t xml:space="preserve"> patient care </w:t>
      </w:r>
      <w:r w:rsidR="00C8101E">
        <w:rPr>
          <w:rFonts w:cs="Arial"/>
          <w:color w:val="0000CC"/>
        </w:rPr>
        <w:t>subsequent to a dental-related</w:t>
      </w:r>
      <w:r w:rsidR="008E154D" w:rsidRPr="007D4440">
        <w:rPr>
          <w:rFonts w:cs="Arial"/>
          <w:color w:val="0000CC"/>
        </w:rPr>
        <w:t xml:space="preserve"> ED visit, the existing evidence indicates a significant percentage of patients do not receive follow-up care with a dentist and will have repeat visits to the ED for dental problems.  </w:t>
      </w:r>
      <w:r w:rsidR="008E154D" w:rsidRPr="007D4440">
        <w:rPr>
          <w:color w:val="0000CC"/>
        </w:rPr>
        <w:t>A</w:t>
      </w:r>
      <w:r w:rsidR="002F53D5" w:rsidRPr="007D4440">
        <w:rPr>
          <w:color w:val="0000CC"/>
        </w:rPr>
        <w:t xml:space="preserve"> </w:t>
      </w:r>
      <w:r w:rsidR="00BF7BE1" w:rsidRPr="007D4440">
        <w:rPr>
          <w:color w:val="0000CC"/>
        </w:rPr>
        <w:t xml:space="preserve">medical record review </w:t>
      </w:r>
      <w:r w:rsidR="002F53D5" w:rsidRPr="007D4440">
        <w:rPr>
          <w:color w:val="0000CC"/>
        </w:rPr>
        <w:t xml:space="preserve">study </w:t>
      </w:r>
      <w:r w:rsidR="00BF7BE1" w:rsidRPr="007D4440">
        <w:rPr>
          <w:color w:val="0000CC"/>
        </w:rPr>
        <w:t xml:space="preserve">(all ages) </w:t>
      </w:r>
      <w:r w:rsidR="002F53D5" w:rsidRPr="007D4440">
        <w:rPr>
          <w:color w:val="0000CC"/>
        </w:rPr>
        <w:t xml:space="preserve">of five hospital systems in Minneapolis-St. Paul </w:t>
      </w:r>
      <w:r w:rsidR="00BF7BE1" w:rsidRPr="007D4440">
        <w:rPr>
          <w:color w:val="0000CC"/>
        </w:rPr>
        <w:t xml:space="preserve">during the period 7/1/2004-6/30-2005 </w:t>
      </w:r>
      <w:r w:rsidR="002F53D5" w:rsidRPr="007D4440">
        <w:rPr>
          <w:color w:val="0000CC"/>
        </w:rPr>
        <w:t xml:space="preserve">found that almost 25% of non-traumatic dental ED visits were due to repeat visits (Davis et al. 2010).  </w:t>
      </w:r>
      <w:r w:rsidR="002F53D5" w:rsidRPr="007D4440">
        <w:rPr>
          <w:rFonts w:cs="Arial"/>
          <w:color w:val="0000CC"/>
        </w:rPr>
        <w:t xml:space="preserve">A study of </w:t>
      </w:r>
      <w:r w:rsidR="00AE0F2F" w:rsidRPr="007D4440">
        <w:rPr>
          <w:rFonts w:cs="Arial"/>
          <w:color w:val="0000CC"/>
        </w:rPr>
        <w:t xml:space="preserve">adult </w:t>
      </w:r>
      <w:r w:rsidR="002F53D5" w:rsidRPr="007D4440">
        <w:rPr>
          <w:rFonts w:cs="Arial"/>
          <w:color w:val="0000CC"/>
        </w:rPr>
        <w:t>Wisconsin Medicaid enrollees who visited the ED for non-traumatic dental conditions</w:t>
      </w:r>
      <w:r w:rsidR="00AE0F2F" w:rsidRPr="007D4440">
        <w:rPr>
          <w:rFonts w:cs="Arial"/>
          <w:color w:val="0000CC"/>
        </w:rPr>
        <w:t xml:space="preserve"> during the period 2001-2009</w:t>
      </w:r>
      <w:r w:rsidR="002F53D5" w:rsidRPr="007D4440">
        <w:rPr>
          <w:rFonts w:cs="Arial"/>
          <w:color w:val="0000CC"/>
        </w:rPr>
        <w:t xml:space="preserve"> examined </w:t>
      </w:r>
      <w:r w:rsidR="00B141FB" w:rsidRPr="007D4440">
        <w:rPr>
          <w:rFonts w:cs="Arial"/>
          <w:color w:val="0000CC"/>
        </w:rPr>
        <w:t xml:space="preserve">administrative </w:t>
      </w:r>
      <w:r w:rsidR="002F53D5" w:rsidRPr="007D4440">
        <w:rPr>
          <w:rFonts w:cs="Arial"/>
          <w:color w:val="0000CC"/>
        </w:rPr>
        <w:t>claims</w:t>
      </w:r>
      <w:r w:rsidR="00AE0F2F" w:rsidRPr="007D4440">
        <w:rPr>
          <w:rFonts w:cs="Arial"/>
          <w:color w:val="0000CC"/>
        </w:rPr>
        <w:t xml:space="preserve"> for</w:t>
      </w:r>
      <w:r w:rsidR="00B141FB" w:rsidRPr="007D4440">
        <w:rPr>
          <w:rFonts w:cs="Arial"/>
          <w:color w:val="0000CC"/>
        </w:rPr>
        <w:t xml:space="preserve"> subsequent</w:t>
      </w:r>
      <w:r w:rsidR="00AE0F2F" w:rsidRPr="007D4440">
        <w:rPr>
          <w:rFonts w:cs="Arial"/>
          <w:color w:val="0000CC"/>
        </w:rPr>
        <w:t xml:space="preserve"> ED visits and dental services</w:t>
      </w:r>
      <w:r w:rsidR="002F53D5" w:rsidRPr="007D4440">
        <w:rPr>
          <w:rFonts w:cs="Arial"/>
          <w:color w:val="0000CC"/>
        </w:rPr>
        <w:t xml:space="preserve"> </w:t>
      </w:r>
      <w:r w:rsidR="00C8101E">
        <w:rPr>
          <w:rFonts w:cs="Arial"/>
          <w:color w:val="0000CC"/>
        </w:rPr>
        <w:t>within 30 day</w:t>
      </w:r>
      <w:r w:rsidR="00BF2BB6">
        <w:rPr>
          <w:rFonts w:cs="Arial"/>
          <w:color w:val="0000CC"/>
        </w:rPr>
        <w:t>s</w:t>
      </w:r>
      <w:r w:rsidR="00C8101E">
        <w:rPr>
          <w:rFonts w:cs="Arial"/>
          <w:color w:val="0000CC"/>
        </w:rPr>
        <w:t xml:space="preserve"> </w:t>
      </w:r>
      <w:r w:rsidR="002F53D5" w:rsidRPr="007D4440">
        <w:rPr>
          <w:rFonts w:cs="Arial"/>
          <w:color w:val="0000CC"/>
        </w:rPr>
        <w:t xml:space="preserve">and found that the next dental encounter was a repeat ED visit for 10% of enrollees and a dental office visit for 30% of enrollees; the remaining 60% did not have subsequent dental claims.  The same study also evaluated a longer follow-up time frame of 180 days and found that 18% returned to the ED, 42% visited a dental office, and 40% did not have subsequent dental claims (Pajewski &amp; Okunseri 2012).  </w:t>
      </w:r>
    </w:p>
    <w:p w:rsidR="00C8101E" w:rsidRDefault="00C8101E" w:rsidP="007D4440">
      <w:pPr>
        <w:autoSpaceDE w:val="0"/>
        <w:autoSpaceDN w:val="0"/>
        <w:adjustRightInd w:val="0"/>
        <w:ind w:left="0" w:firstLine="0"/>
        <w:rPr>
          <w:rFonts w:cs="Arial"/>
          <w:b/>
          <w:color w:val="0000CC"/>
        </w:rPr>
      </w:pPr>
    </w:p>
    <w:p w:rsidR="00AE0F2F" w:rsidRPr="00C8101E" w:rsidRDefault="00843BCD" w:rsidP="007D4440">
      <w:pPr>
        <w:autoSpaceDE w:val="0"/>
        <w:autoSpaceDN w:val="0"/>
        <w:adjustRightInd w:val="0"/>
        <w:ind w:left="0" w:firstLine="0"/>
        <w:rPr>
          <w:rFonts w:cs="Arial"/>
          <w:b/>
          <w:color w:val="FF0000"/>
        </w:rPr>
      </w:pPr>
      <w:r w:rsidRPr="00C8101E">
        <w:rPr>
          <w:rFonts w:cs="Arial"/>
          <w:b/>
          <w:color w:val="0000CC"/>
        </w:rPr>
        <w:t xml:space="preserve">Evidence Statement #3: </w:t>
      </w:r>
      <w:r w:rsidR="00216927" w:rsidRPr="00C8101E">
        <w:rPr>
          <w:rFonts w:cs="Arial"/>
          <w:b/>
          <w:color w:val="FF0000"/>
        </w:rPr>
        <w:t>Non-traumatic v</w:t>
      </w:r>
      <w:r w:rsidRPr="00C8101E">
        <w:rPr>
          <w:rFonts w:cs="Arial"/>
          <w:b/>
          <w:color w:val="FF0000"/>
        </w:rPr>
        <w:t xml:space="preserve">isits to an ED </w:t>
      </w:r>
      <w:r w:rsidR="00216927" w:rsidRPr="00C8101E">
        <w:rPr>
          <w:rFonts w:cs="Arial"/>
          <w:b/>
          <w:color w:val="FF0000"/>
        </w:rPr>
        <w:t xml:space="preserve">for dental problems by children </w:t>
      </w:r>
      <w:r w:rsidRPr="00C8101E">
        <w:rPr>
          <w:rFonts w:cs="Arial"/>
          <w:b/>
          <w:color w:val="FF0000"/>
        </w:rPr>
        <w:t>(initial and repeat visits) are a resource burden for state Medicaid programs</w:t>
      </w:r>
      <w:r w:rsidR="00216927" w:rsidRPr="00C8101E">
        <w:rPr>
          <w:rFonts w:cs="Arial"/>
          <w:b/>
          <w:color w:val="FF0000"/>
        </w:rPr>
        <w:t>.</w:t>
      </w:r>
      <w:r w:rsidR="00BF7BE1" w:rsidRPr="00C8101E">
        <w:rPr>
          <w:rFonts w:cs="Arial"/>
          <w:b/>
          <w:color w:val="FF0000"/>
        </w:rPr>
        <w:t xml:space="preserve"> </w:t>
      </w:r>
    </w:p>
    <w:p w:rsidR="00C8101E" w:rsidRPr="007D4440" w:rsidRDefault="00C8101E" w:rsidP="007D4440">
      <w:pPr>
        <w:autoSpaceDE w:val="0"/>
        <w:autoSpaceDN w:val="0"/>
        <w:adjustRightInd w:val="0"/>
        <w:ind w:left="0" w:firstLine="0"/>
        <w:rPr>
          <w:rFonts w:cs="Arial"/>
          <w:color w:val="0000CC"/>
        </w:rPr>
      </w:pPr>
    </w:p>
    <w:p w:rsidR="00B141FB" w:rsidRPr="007D4440" w:rsidRDefault="00843BCD" w:rsidP="007D4440">
      <w:pPr>
        <w:autoSpaceDE w:val="0"/>
        <w:autoSpaceDN w:val="0"/>
        <w:adjustRightInd w:val="0"/>
        <w:ind w:left="0" w:firstLine="0"/>
        <w:rPr>
          <w:rFonts w:cs="Arial"/>
          <w:color w:val="0000CC"/>
        </w:rPr>
      </w:pPr>
      <w:r w:rsidRPr="007D4440">
        <w:rPr>
          <w:rFonts w:cs="Arial"/>
          <w:color w:val="0000CC"/>
        </w:rPr>
        <w:t xml:space="preserve">Evidence </w:t>
      </w:r>
      <w:r w:rsidR="00216927" w:rsidRPr="007D4440">
        <w:rPr>
          <w:rFonts w:cs="Arial"/>
          <w:color w:val="0000CC"/>
        </w:rPr>
        <w:t xml:space="preserve">indicates </w:t>
      </w:r>
      <w:r w:rsidRPr="007D4440">
        <w:rPr>
          <w:rFonts w:cs="Arial"/>
          <w:color w:val="0000CC"/>
        </w:rPr>
        <w:t xml:space="preserve">that state Medicaid programs bear </w:t>
      </w:r>
      <w:r w:rsidR="00B141FB" w:rsidRPr="007D4440">
        <w:rPr>
          <w:rFonts w:cs="Arial"/>
          <w:color w:val="0000CC"/>
        </w:rPr>
        <w:t>a disproportionate share of dental-related ED costs</w:t>
      </w:r>
      <w:r w:rsidR="000B0A8C" w:rsidRPr="007D4440">
        <w:rPr>
          <w:rFonts w:cs="Arial"/>
          <w:color w:val="0000CC"/>
        </w:rPr>
        <w:t xml:space="preserve"> relative to both private payers and relative to non-dental related ED visits</w:t>
      </w:r>
      <w:r w:rsidRPr="007D4440">
        <w:rPr>
          <w:rFonts w:cs="Arial"/>
          <w:color w:val="0000CC"/>
        </w:rPr>
        <w:t xml:space="preserve">. </w:t>
      </w:r>
    </w:p>
    <w:p w:rsidR="00B141FB" w:rsidRPr="007D4440" w:rsidRDefault="00B141FB" w:rsidP="007D4440">
      <w:pPr>
        <w:autoSpaceDE w:val="0"/>
        <w:autoSpaceDN w:val="0"/>
        <w:adjustRightInd w:val="0"/>
        <w:ind w:left="0" w:firstLine="0"/>
        <w:rPr>
          <w:rFonts w:cs="Arial"/>
          <w:color w:val="0000CC"/>
        </w:rPr>
      </w:pPr>
    </w:p>
    <w:p w:rsidR="00532564" w:rsidRPr="007D4440" w:rsidRDefault="00216927" w:rsidP="007D4440">
      <w:pPr>
        <w:autoSpaceDE w:val="0"/>
        <w:autoSpaceDN w:val="0"/>
        <w:adjustRightInd w:val="0"/>
        <w:ind w:left="0" w:firstLine="0"/>
        <w:rPr>
          <w:rFonts w:cs="Arial"/>
          <w:color w:val="0000CC"/>
        </w:rPr>
      </w:pPr>
      <w:r w:rsidRPr="007D4440">
        <w:rPr>
          <w:rFonts w:cs="Arial"/>
          <w:color w:val="0000CC"/>
        </w:rPr>
        <w:t>The most recent nationally-reported data on non-traumatic dental-related ED visits by children are from the Nationwide Emergency Department Sample (NEDS), which is the largest all-payer ED visits database in the U.S. and is comprised of a twenty percent stratified sample of hospital-based EDs in the U.S.  (AHRQ 2014).  The most recent analyses of the NEDS indicate that among individuals 21 years of age and younger, there were 215,072 non-traumatic dental-related ED visits in 2008, 107,663 (50%) of which had an ICD-9-CM diagnosis code of dental caries.  The next most frequently occurring diagnosis code (71,087 visits; 33% of all dental-related ED visits) was periapical abscess without sinus, infections that arise from untreated dental caries</w:t>
      </w:r>
      <w:r w:rsidR="004A2726" w:rsidRPr="007D4440">
        <w:rPr>
          <w:rFonts w:cs="Arial"/>
          <w:color w:val="0000CC"/>
        </w:rPr>
        <w:t xml:space="preserve"> (Allareddy et al. 2014).  </w:t>
      </w:r>
      <w:r w:rsidRPr="007D4440">
        <w:rPr>
          <w:rFonts w:cs="Arial"/>
          <w:color w:val="0000CC"/>
        </w:rPr>
        <w:t>The mean charge per dental-related visit was $564, and total ED charges were approximately $104 million</w:t>
      </w:r>
      <w:r w:rsidR="004A2726" w:rsidRPr="007D4440">
        <w:rPr>
          <w:rFonts w:cs="Arial"/>
          <w:color w:val="0000CC"/>
        </w:rPr>
        <w:t xml:space="preserve">.  </w:t>
      </w:r>
      <w:r w:rsidRPr="007D4440">
        <w:rPr>
          <w:rFonts w:cs="Arial"/>
          <w:color w:val="0000CC"/>
        </w:rPr>
        <w:t>Of the 215,072 dental-related ED visits, 7,195 (3%) resulted in inpatient hospitalizations; among the subset of children hospitalized following dental-related ED visits, 37% had a dental caries diagnosis and 44% had a diagnosis of periapical abscess without sinus.  The mean hospitalization charge was $22,865, and total hospitalization charges were $162 million.</w:t>
      </w:r>
      <w:r w:rsidR="004A2726" w:rsidRPr="007D4440">
        <w:rPr>
          <w:rFonts w:cs="Arial"/>
          <w:color w:val="0000CC"/>
        </w:rPr>
        <w:t xml:space="preserve">  </w:t>
      </w:r>
      <w:r w:rsidR="004A2726" w:rsidRPr="007D4440">
        <w:rPr>
          <w:rFonts w:cs="Arial"/>
          <w:b/>
          <w:color w:val="0000CC"/>
        </w:rPr>
        <w:t>Medicaid enrolled children accounted for the largest share (43%) of these dental-related ED visits</w:t>
      </w:r>
      <w:r w:rsidR="004A2726" w:rsidRPr="007D4440">
        <w:rPr>
          <w:rFonts w:cs="Arial"/>
          <w:color w:val="0000CC"/>
        </w:rPr>
        <w:t xml:space="preserve"> (Allareddy et al. 2014).  </w:t>
      </w:r>
      <w:r w:rsidRPr="007D4440">
        <w:rPr>
          <w:rFonts w:cs="Arial"/>
          <w:color w:val="0000CC"/>
        </w:rPr>
        <w:t xml:space="preserve"> </w:t>
      </w:r>
      <w:r w:rsidR="004A2726" w:rsidRPr="007D4440">
        <w:rPr>
          <w:rFonts w:cs="Arial"/>
          <w:color w:val="0000CC"/>
        </w:rPr>
        <w:t xml:space="preserve">This finding </w:t>
      </w:r>
      <w:r w:rsidR="00C8101E">
        <w:rPr>
          <w:rFonts w:cs="Arial"/>
          <w:color w:val="0000CC"/>
        </w:rPr>
        <w:t xml:space="preserve">is consistent </w:t>
      </w:r>
      <w:r w:rsidR="004A2726" w:rsidRPr="007D4440">
        <w:rPr>
          <w:rFonts w:cs="Arial"/>
          <w:color w:val="0000CC"/>
        </w:rPr>
        <w:t>with earlier research, also using the NEDS data, that found that Medicaid is the primary payer for dental-related ED visits among children (Nalliah et al. 2010).</w:t>
      </w:r>
      <w:r w:rsidR="00532564" w:rsidRPr="007D4440">
        <w:rPr>
          <w:rFonts w:cs="Arial"/>
          <w:color w:val="0000CC"/>
        </w:rPr>
        <w:t xml:space="preserve">  </w:t>
      </w:r>
    </w:p>
    <w:p w:rsidR="00532564" w:rsidRPr="007D4440" w:rsidRDefault="00532564" w:rsidP="007D4440">
      <w:pPr>
        <w:autoSpaceDE w:val="0"/>
        <w:autoSpaceDN w:val="0"/>
        <w:adjustRightInd w:val="0"/>
        <w:ind w:left="0" w:firstLine="0"/>
        <w:rPr>
          <w:rFonts w:cs="Arial"/>
          <w:color w:val="0000CC"/>
        </w:rPr>
      </w:pPr>
    </w:p>
    <w:p w:rsidR="002D3BF0" w:rsidRPr="007D4440" w:rsidRDefault="009F20C4" w:rsidP="007D4440">
      <w:pPr>
        <w:autoSpaceDE w:val="0"/>
        <w:autoSpaceDN w:val="0"/>
        <w:adjustRightInd w:val="0"/>
        <w:ind w:left="0" w:firstLine="0"/>
        <w:rPr>
          <w:rFonts w:cs="Arial"/>
          <w:color w:val="0000CC"/>
        </w:rPr>
      </w:pPr>
      <w:r w:rsidRPr="007D4440">
        <w:rPr>
          <w:rFonts w:cs="Arial"/>
          <w:color w:val="0000CC"/>
        </w:rPr>
        <w:t>O</w:t>
      </w:r>
      <w:r w:rsidR="00532564" w:rsidRPr="007D4440">
        <w:rPr>
          <w:rFonts w:cs="Arial"/>
          <w:color w:val="0000CC"/>
        </w:rPr>
        <w:t>ther studies of the overall population (both children and adults), using national and state level data, also find that</w:t>
      </w:r>
      <w:r w:rsidR="00C8101E">
        <w:rPr>
          <w:rFonts w:cs="Arial"/>
          <w:color w:val="0000CC"/>
        </w:rPr>
        <w:t xml:space="preserve">: (1) </w:t>
      </w:r>
      <w:r w:rsidR="00532564" w:rsidRPr="007D4440">
        <w:rPr>
          <w:rFonts w:cs="Arial"/>
          <w:color w:val="0000CC"/>
        </w:rPr>
        <w:t xml:space="preserve">Medicaid enrollees, along with self-pay patients (particularly </w:t>
      </w:r>
      <w:r w:rsidR="00BF2BB6">
        <w:rPr>
          <w:rFonts w:cs="Arial"/>
          <w:color w:val="0000CC"/>
        </w:rPr>
        <w:t>amo</w:t>
      </w:r>
      <w:r w:rsidR="00532564" w:rsidRPr="007D4440">
        <w:rPr>
          <w:rFonts w:cs="Arial"/>
          <w:color w:val="0000CC"/>
        </w:rPr>
        <w:t>ng adults)</w:t>
      </w:r>
      <w:r w:rsidR="00BF2BB6">
        <w:rPr>
          <w:rFonts w:cs="Arial"/>
          <w:color w:val="0000CC"/>
        </w:rPr>
        <w:t>,</w:t>
      </w:r>
      <w:r w:rsidRPr="007D4440">
        <w:rPr>
          <w:rFonts w:cs="Arial"/>
          <w:color w:val="0000CC"/>
        </w:rPr>
        <w:t xml:space="preserve"> are more likely to have dental-related ED visits compared to those with private insurance or Medicare and</w:t>
      </w:r>
      <w:r w:rsidR="00C8101E">
        <w:rPr>
          <w:rFonts w:cs="Arial"/>
          <w:color w:val="0000CC"/>
        </w:rPr>
        <w:t xml:space="preserve"> (2)</w:t>
      </w:r>
      <w:r w:rsidRPr="007D4440">
        <w:rPr>
          <w:rFonts w:cs="Arial"/>
          <w:color w:val="0000CC"/>
        </w:rPr>
        <w:t xml:space="preserve"> Medicaid enrollees </w:t>
      </w:r>
      <w:r w:rsidR="002D3BF0" w:rsidRPr="007D4440">
        <w:rPr>
          <w:rFonts w:cs="Arial"/>
          <w:color w:val="0000CC"/>
        </w:rPr>
        <w:t>comprise a greater proportion of ED visits for dental complaints compared to ED visits for other reasons.</w:t>
      </w:r>
      <w:r w:rsidR="00532564" w:rsidRPr="007D4440">
        <w:rPr>
          <w:rFonts w:cs="Arial"/>
          <w:color w:val="0000CC"/>
        </w:rPr>
        <w:t xml:space="preserve"> </w:t>
      </w:r>
      <w:r w:rsidR="003518FE" w:rsidRPr="007D4440">
        <w:rPr>
          <w:rFonts w:cs="Arial"/>
          <w:color w:val="0000CC"/>
        </w:rPr>
        <w:t>Using National Hospital Ambulatory Medical Survey Data for the overall population (all ages) for the period 1997-2007, Okunseri et al.</w:t>
      </w:r>
      <w:r w:rsidR="00532564" w:rsidRPr="007D4440">
        <w:rPr>
          <w:rFonts w:cs="Arial"/>
          <w:color w:val="0000CC"/>
        </w:rPr>
        <w:t xml:space="preserve"> (2012</w:t>
      </w:r>
      <w:r w:rsidR="00AC4C68">
        <w:rPr>
          <w:rFonts w:cs="Arial"/>
          <w:color w:val="0000CC"/>
        </w:rPr>
        <w:t>b</w:t>
      </w:r>
      <w:r w:rsidR="00532564" w:rsidRPr="007D4440">
        <w:rPr>
          <w:rFonts w:cs="Arial"/>
          <w:color w:val="0000CC"/>
        </w:rPr>
        <w:t xml:space="preserve">) found that Medicaid enrollees </w:t>
      </w:r>
      <w:r w:rsidR="00C8101E">
        <w:rPr>
          <w:rFonts w:cs="Arial"/>
          <w:color w:val="0000CC"/>
        </w:rPr>
        <w:t>and self-pay patients were over-</w:t>
      </w:r>
      <w:r w:rsidR="00532564" w:rsidRPr="007D4440">
        <w:rPr>
          <w:rFonts w:cs="Arial"/>
          <w:color w:val="0000CC"/>
        </w:rPr>
        <w:t xml:space="preserve">represented among non-traumatic dental ED visits when compared to </w:t>
      </w:r>
      <w:r w:rsidR="00C8101E">
        <w:rPr>
          <w:rFonts w:cs="Arial"/>
          <w:color w:val="0000CC"/>
        </w:rPr>
        <w:t xml:space="preserve">payer-type mix for </w:t>
      </w:r>
      <w:r w:rsidR="00532564" w:rsidRPr="007D4440">
        <w:rPr>
          <w:rFonts w:cs="Arial"/>
          <w:color w:val="0000CC"/>
        </w:rPr>
        <w:t>non-dental ambulatory care sensitive condition (ACSC) ED visits and all other (non-ACSC) ED visits: “Compared to private insurance enrollees, Medicaid and self-pay patients had 2-3 times the odds of making NTDC [non-traumatic dental condition] visits compared to other visit types.” (Okunseri et al. 2012</w:t>
      </w:r>
      <w:r w:rsidR="00AC4C68">
        <w:rPr>
          <w:rFonts w:cs="Arial"/>
          <w:color w:val="0000CC"/>
        </w:rPr>
        <w:t>b</w:t>
      </w:r>
      <w:r w:rsidR="00532564" w:rsidRPr="007D4440">
        <w:rPr>
          <w:rFonts w:cs="Arial"/>
          <w:color w:val="0000CC"/>
        </w:rPr>
        <w:t>, p. 1).</w:t>
      </w:r>
      <w:r w:rsidRPr="007D4440">
        <w:rPr>
          <w:rFonts w:cs="Arial"/>
          <w:color w:val="0000CC"/>
        </w:rPr>
        <w:t xml:space="preserve">  An earlier study, using data (all ages) from the National Hospital Ambulatory Medical Care Survey for the four-year period 1997-2000</w:t>
      </w:r>
      <w:r w:rsidR="00AC4C68">
        <w:rPr>
          <w:rFonts w:cs="Arial"/>
          <w:color w:val="0000CC"/>
        </w:rPr>
        <w:t>,</w:t>
      </w:r>
      <w:r w:rsidRPr="007D4440">
        <w:rPr>
          <w:rFonts w:cs="Arial"/>
          <w:color w:val="0000CC"/>
        </w:rPr>
        <w:t xml:space="preserve"> similarly found that patients with ED visits for dental complaints were more likely to have Medicaid or to be self-pay relative to patients who visited the ED for non-dental complaints (Lewis, Lynch and Johnston 2003).   </w:t>
      </w:r>
    </w:p>
    <w:p w:rsidR="002D3BF0" w:rsidRPr="007D4440" w:rsidRDefault="002D3BF0" w:rsidP="007D4440">
      <w:pPr>
        <w:autoSpaceDE w:val="0"/>
        <w:autoSpaceDN w:val="0"/>
        <w:adjustRightInd w:val="0"/>
        <w:ind w:left="0" w:firstLine="0"/>
        <w:rPr>
          <w:rFonts w:cs="Arial"/>
          <w:color w:val="0000CC"/>
        </w:rPr>
      </w:pPr>
    </w:p>
    <w:p w:rsidR="002D3BF0" w:rsidRPr="007D4440" w:rsidRDefault="002D3BF0" w:rsidP="007D4440">
      <w:pPr>
        <w:autoSpaceDE w:val="0"/>
        <w:autoSpaceDN w:val="0"/>
        <w:adjustRightInd w:val="0"/>
        <w:ind w:left="0" w:firstLine="0"/>
        <w:rPr>
          <w:rFonts w:cs="Arial"/>
          <w:color w:val="0000CC"/>
        </w:rPr>
      </w:pPr>
      <w:r w:rsidRPr="007D4440">
        <w:rPr>
          <w:rFonts w:cs="Arial"/>
          <w:color w:val="0000CC"/>
        </w:rPr>
        <w:t xml:space="preserve">State-level studies also find Medicaid to be the primary payer of ED visits for dental-related reasons.  </w:t>
      </w:r>
      <w:r w:rsidRPr="007D4440">
        <w:rPr>
          <w:color w:val="0000CC"/>
        </w:rPr>
        <w:t>A study of ED discharge data for children (&lt;18 years old) in North Carolina from 2007-2009 found that 62% of ED visits for dental-related reasons were reimbursed by Medicaid: “a proportion over two times greater than</w:t>
      </w:r>
      <w:r w:rsidR="00AC4C68">
        <w:rPr>
          <w:color w:val="0000CC"/>
        </w:rPr>
        <w:t xml:space="preserve"> </w:t>
      </w:r>
      <w:r w:rsidRPr="007D4440">
        <w:rPr>
          <w:color w:val="0000CC"/>
        </w:rPr>
        <w:t>for pediatric reasons overall, 26 percent.” (Hom, Burgette and Lee 2005, p. 289).</w:t>
      </w:r>
    </w:p>
    <w:p w:rsidR="00532564" w:rsidRPr="007D4440" w:rsidRDefault="002D3BF0" w:rsidP="007D4440">
      <w:pPr>
        <w:autoSpaceDE w:val="0"/>
        <w:autoSpaceDN w:val="0"/>
        <w:adjustRightInd w:val="0"/>
        <w:ind w:left="0" w:firstLine="0"/>
        <w:rPr>
          <w:rFonts w:cs="Arial"/>
          <w:color w:val="0000CC"/>
        </w:rPr>
      </w:pPr>
      <w:r w:rsidRPr="007D4440">
        <w:rPr>
          <w:color w:val="0000CC"/>
        </w:rPr>
        <w:t xml:space="preserve">A medical record review study (all ages) of five hospital systems in Minneapolis-St. Paul during the period 7/1/2004-6/30-2005 found that the majority of ED visits for dental-related problems were charged to Medicaid, ranging from 55% to75% of visits across the five systems (Davis et al. 2010).  </w:t>
      </w:r>
    </w:p>
    <w:p w:rsidR="00AE0F2F" w:rsidRPr="007D4440" w:rsidRDefault="000B0A8C" w:rsidP="007D4440">
      <w:pPr>
        <w:autoSpaceDE w:val="0"/>
        <w:autoSpaceDN w:val="0"/>
        <w:adjustRightInd w:val="0"/>
        <w:ind w:left="0" w:firstLine="0"/>
        <w:rPr>
          <w:rFonts w:cs="Arial"/>
          <w:color w:val="0000CC"/>
        </w:rPr>
      </w:pPr>
      <w:r w:rsidRPr="007D4440">
        <w:rPr>
          <w:rFonts w:cs="Arial"/>
          <w:color w:val="0000CC"/>
        </w:rPr>
        <w:t>In general, n</w:t>
      </w:r>
      <w:r w:rsidR="00216927" w:rsidRPr="007D4440">
        <w:rPr>
          <w:rFonts w:cs="Arial"/>
          <w:color w:val="0000CC"/>
        </w:rPr>
        <w:t>on-traumatic dental-related ED visits have been increasing over time.  An analysis of the trends in ED visits with non-traumatic dental-related ICD-9-CM diagnosis codes for the overall population using the National Hospital Ambulatory Medical Care Survey data found that non-traumatic dental-related ED visits increased by 4% annually on average over the period 1997-2007, exceeding the rate of growth both for ED visits in general and for ED visits for non-dental ambulatory care sensitive conditions (Okunseri et al. 2012</w:t>
      </w:r>
      <w:r w:rsidR="00AC4C68">
        <w:rPr>
          <w:rFonts w:cs="Arial"/>
          <w:color w:val="0000CC"/>
        </w:rPr>
        <w:t>b</w:t>
      </w:r>
      <w:r w:rsidR="00216927" w:rsidRPr="007D4440">
        <w:rPr>
          <w:rFonts w:cs="Arial"/>
          <w:color w:val="0000CC"/>
        </w:rPr>
        <w:t xml:space="preserve">).  The same study found that over the period 1997-2007, non-traumatic dental-related visits accounted for 1.4% of all ED visits in the United States and 7% of all ambulatory care sensitive condition ED visits.  </w:t>
      </w:r>
    </w:p>
    <w:p w:rsidR="00AE0F2F" w:rsidRPr="007D4440" w:rsidRDefault="00AE0F2F" w:rsidP="007D4440">
      <w:pPr>
        <w:autoSpaceDE w:val="0"/>
        <w:autoSpaceDN w:val="0"/>
        <w:adjustRightInd w:val="0"/>
        <w:ind w:left="0" w:firstLine="0"/>
        <w:rPr>
          <w:rFonts w:cs="Arial"/>
          <w:color w:val="0000CC"/>
        </w:rPr>
      </w:pPr>
    </w:p>
    <w:p w:rsidR="002F53D5" w:rsidRPr="007D4440" w:rsidRDefault="002F53D5" w:rsidP="007D4440">
      <w:pPr>
        <w:ind w:left="0" w:firstLine="0"/>
        <w:rPr>
          <w:b/>
          <w:iCs/>
          <w:color w:val="0000CC"/>
        </w:rPr>
      </w:pPr>
    </w:p>
    <w:p w:rsidR="002F53D5" w:rsidRPr="007D4440" w:rsidRDefault="00AC4C68" w:rsidP="007D4440">
      <w:pPr>
        <w:ind w:left="0" w:firstLine="0"/>
        <w:rPr>
          <w:iCs/>
          <w:color w:val="0000CC"/>
        </w:rPr>
      </w:pPr>
      <w:r>
        <w:rPr>
          <w:b/>
          <w:iCs/>
          <w:color w:val="0000CC"/>
        </w:rPr>
        <w:t>References</w:t>
      </w:r>
    </w:p>
    <w:p w:rsidR="00AE0F2F" w:rsidRPr="007D4440" w:rsidRDefault="00AE0F2F" w:rsidP="007D4440">
      <w:pPr>
        <w:autoSpaceDE w:val="0"/>
        <w:autoSpaceDN w:val="0"/>
        <w:adjustRightInd w:val="0"/>
        <w:ind w:left="0" w:firstLine="0"/>
        <w:rPr>
          <w:rStyle w:val="Hyperlink"/>
          <w:rFonts w:cs="Arial"/>
          <w:color w:val="0000CC"/>
        </w:rPr>
      </w:pPr>
    </w:p>
    <w:p w:rsidR="00AC4C68" w:rsidRDefault="00AC4C68" w:rsidP="00AC4C68">
      <w:pPr>
        <w:ind w:left="0" w:firstLine="0"/>
        <w:rPr>
          <w:color w:val="0000CC"/>
        </w:rPr>
      </w:pPr>
      <w:r>
        <w:rPr>
          <w:color w:val="0000CC"/>
        </w:rPr>
        <w:t xml:space="preserve">Agency for Healthcare Research and Quality.  Overview of the Nationwide Emergency Department Sample (NEDS).  2014. Available at: </w:t>
      </w:r>
      <w:hyperlink r:id="rId22" w:history="1">
        <w:r w:rsidRPr="004D39BB">
          <w:rPr>
            <w:rStyle w:val="Hyperlink"/>
          </w:rPr>
          <w:t>http://www.hcup-us.ahrq.gov/nedsoverview.jsp</w:t>
        </w:r>
      </w:hyperlink>
      <w:r>
        <w:rPr>
          <w:color w:val="0000CC"/>
        </w:rPr>
        <w:t>.  Accessed January 11</w:t>
      </w:r>
      <w:r w:rsidRPr="00F90EEE">
        <w:rPr>
          <w:color w:val="0000CC"/>
          <w:vertAlign w:val="superscript"/>
        </w:rPr>
        <w:t>th</w:t>
      </w:r>
      <w:r>
        <w:rPr>
          <w:color w:val="0000CC"/>
        </w:rPr>
        <w:t xml:space="preserve">, 2015. </w:t>
      </w:r>
    </w:p>
    <w:p w:rsidR="00AC4C68" w:rsidRDefault="00AC4C68" w:rsidP="00AC4C68">
      <w:pPr>
        <w:ind w:left="0" w:firstLine="0"/>
        <w:rPr>
          <w:color w:val="0000CC"/>
        </w:rPr>
      </w:pPr>
    </w:p>
    <w:p w:rsidR="00AC4C68" w:rsidRDefault="00AC4C68" w:rsidP="00AC4C68">
      <w:pPr>
        <w:ind w:left="0" w:firstLine="0"/>
        <w:rPr>
          <w:color w:val="0000CC"/>
        </w:rPr>
      </w:pPr>
      <w:r>
        <w:rPr>
          <w:color w:val="0000CC"/>
        </w:rPr>
        <w:t>Allareddy V, Nalliah RP, Haque M, Johnson BS, Rampa SB, Lee MK. Hospital-based emergency department visits with dental conditions among children in the United States: nationwide epidemiological data.  Pediatr Dent 2014;37(5):393-9.</w:t>
      </w:r>
    </w:p>
    <w:p w:rsidR="00AC4C68" w:rsidRDefault="00AC4C68" w:rsidP="00AC4C68">
      <w:pPr>
        <w:ind w:left="0" w:firstLine="0"/>
        <w:rPr>
          <w:color w:val="0000CC"/>
        </w:rPr>
      </w:pPr>
    </w:p>
    <w:p w:rsidR="00AC4C68" w:rsidRDefault="00AC4C68" w:rsidP="00AC4C68">
      <w:pPr>
        <w:ind w:left="0" w:firstLine="0"/>
        <w:rPr>
          <w:noProof/>
          <w:color w:val="0000CC"/>
        </w:rPr>
      </w:pPr>
    </w:p>
    <w:p w:rsidR="00AC4C68" w:rsidRPr="000B0DFD" w:rsidRDefault="00AC4C68" w:rsidP="00AC4C68">
      <w:pPr>
        <w:ind w:left="0" w:firstLine="0"/>
        <w:rPr>
          <w:noProof/>
          <w:color w:val="0000CC"/>
        </w:rPr>
      </w:pPr>
      <w:r w:rsidRPr="000B0DFD">
        <w:rPr>
          <w:noProof/>
          <w:color w:val="0000CC"/>
        </w:rPr>
        <w:t xml:space="preserve">Cohen LA, Bonito AJ, Eicheldinger C, Manski RJ, Macek MD, Edwards RR, et al. Comparison of patient visits to emergency departments, physician offices, and dental offices for dental problems and injuries. J Public Health Dent. 2011;71(1):13-22. </w:t>
      </w:r>
    </w:p>
    <w:p w:rsidR="00AC4C68" w:rsidRPr="00656FD7" w:rsidRDefault="00AC4C68" w:rsidP="00AC4C68">
      <w:pPr>
        <w:ind w:left="0" w:firstLine="0"/>
        <w:rPr>
          <w:color w:val="0000CC"/>
        </w:rPr>
      </w:pPr>
    </w:p>
    <w:p w:rsidR="00AC4C68" w:rsidRPr="007D4440" w:rsidRDefault="00AC4C68" w:rsidP="00AC4C68">
      <w:pPr>
        <w:ind w:left="0" w:firstLine="0"/>
        <w:rPr>
          <w:noProof/>
          <w:color w:val="0000CC"/>
        </w:rPr>
      </w:pPr>
      <w:r w:rsidRPr="007D4440">
        <w:rPr>
          <w:noProof/>
          <w:color w:val="0000CC"/>
        </w:rPr>
        <w:t>Davis EE, Deinard AS, Maiga EWH. Doctor, my tooth hurts: the costs of incomplete dental care in the emergency room. J Public Health Dent. 2010;70:205-210.</w:t>
      </w:r>
    </w:p>
    <w:p w:rsidR="00AC4C68" w:rsidRDefault="00AC4C68" w:rsidP="00AC4C68">
      <w:pPr>
        <w:ind w:left="0" w:firstLine="0"/>
        <w:rPr>
          <w:color w:val="0000CC"/>
        </w:rPr>
      </w:pPr>
    </w:p>
    <w:p w:rsidR="00AC4C68" w:rsidRDefault="00AC4C68" w:rsidP="00AC4C68">
      <w:pPr>
        <w:ind w:left="0" w:firstLine="0"/>
        <w:rPr>
          <w:color w:val="0000CC"/>
        </w:rPr>
      </w:pPr>
      <w:r w:rsidRPr="00EB799A">
        <w:rPr>
          <w:color w:val="0000CC"/>
        </w:rPr>
        <w:t xml:space="preserve">Hocker MB, Villani JJ, Borawski JB, Evans CS, Nelson SM, Gerardo CJ, Limkaken AT. Dental visits to a North Carolina emergency department: a painful problem.  N C Med J. 2012; 73(5):346-51. </w:t>
      </w:r>
    </w:p>
    <w:p w:rsidR="00AC4C68" w:rsidRDefault="00AC4C68" w:rsidP="00AC4C68">
      <w:pPr>
        <w:ind w:left="0" w:firstLine="0"/>
        <w:rPr>
          <w:color w:val="0000CC"/>
        </w:rPr>
      </w:pPr>
    </w:p>
    <w:p w:rsidR="00AC4C68" w:rsidRDefault="00AC4C68" w:rsidP="00AC4C68">
      <w:pPr>
        <w:ind w:left="0" w:firstLine="0"/>
        <w:rPr>
          <w:color w:val="0000CC"/>
        </w:rPr>
      </w:pPr>
      <w:r>
        <w:rPr>
          <w:color w:val="0000CC"/>
        </w:rPr>
        <w:t>Hom JM, Burgette LF, Lee JY.  The effect of North Carolina hospital payor mix on dental-related pediatric emergency room utilization. J Public Health Dent. 2013;73:289-296.</w:t>
      </w:r>
    </w:p>
    <w:p w:rsidR="00AC4C68" w:rsidRDefault="00AC4C68" w:rsidP="00AC4C68">
      <w:pPr>
        <w:ind w:left="0" w:firstLine="0"/>
        <w:rPr>
          <w:color w:val="0000CC"/>
        </w:rPr>
      </w:pPr>
    </w:p>
    <w:p w:rsidR="00AC4C68" w:rsidRDefault="00AC4C68" w:rsidP="00AC4C68">
      <w:pPr>
        <w:ind w:left="0" w:firstLine="0"/>
        <w:rPr>
          <w:color w:val="0000CC"/>
        </w:rPr>
      </w:pPr>
      <w:r w:rsidRPr="00017344">
        <w:rPr>
          <w:color w:val="0000CC"/>
        </w:rPr>
        <w:t>Institute of Medicine and National Research Council. Improving access to oral health care for vulnerable and underserved populations. Washington, D.C.: National Academies Press; 2011.</w:t>
      </w:r>
    </w:p>
    <w:p w:rsidR="00AC4C68" w:rsidRDefault="00AC4C68" w:rsidP="00AC4C68">
      <w:pPr>
        <w:ind w:left="0" w:firstLine="0"/>
        <w:rPr>
          <w:color w:val="0000CC"/>
        </w:rPr>
      </w:pPr>
    </w:p>
    <w:p w:rsidR="00AC4C68" w:rsidRPr="007D4440" w:rsidRDefault="00AC4C68" w:rsidP="00AC4C68">
      <w:pPr>
        <w:ind w:left="0" w:firstLine="0"/>
        <w:rPr>
          <w:noProof/>
          <w:color w:val="0000CC"/>
        </w:rPr>
      </w:pPr>
      <w:r w:rsidRPr="007D4440">
        <w:rPr>
          <w:noProof/>
          <w:color w:val="0000CC"/>
        </w:rPr>
        <w:t>Lewis C, Lynch H, Johnston B. Dental complatins in emergency departments: a national perspective. Ann Emerg Med. 2003; 42(1):93-9.</w:t>
      </w:r>
    </w:p>
    <w:p w:rsidR="00AC4C68" w:rsidRPr="007D4440" w:rsidRDefault="00AC4C68" w:rsidP="00AC4C68">
      <w:pPr>
        <w:ind w:left="0" w:firstLine="0"/>
        <w:rPr>
          <w:noProof/>
          <w:color w:val="0000CC"/>
        </w:rPr>
      </w:pPr>
    </w:p>
    <w:p w:rsidR="00AC4C68" w:rsidRPr="007D4440" w:rsidRDefault="00AC4C68" w:rsidP="00AC4C68">
      <w:pPr>
        <w:ind w:left="0" w:firstLine="0"/>
        <w:rPr>
          <w:noProof/>
          <w:color w:val="0000CC"/>
        </w:rPr>
      </w:pPr>
      <w:r w:rsidRPr="007D4440">
        <w:rPr>
          <w:noProof/>
          <w:color w:val="0000CC"/>
        </w:rPr>
        <w:t>Nalliah RP, Allareddy V, Elangovan S, Karimbux N. Hospital based emergency department visits attributed to dental caries in the United States in 2006. The journal of evidence-based dental practice. 2010;10(4):212-22. Epub 2010/11/26.</w:t>
      </w:r>
    </w:p>
    <w:p w:rsidR="00AC4C68" w:rsidRDefault="00AC4C68" w:rsidP="00AC4C68">
      <w:pPr>
        <w:ind w:left="0" w:firstLine="0"/>
        <w:rPr>
          <w:iCs/>
          <w:color w:val="0000CC"/>
        </w:rPr>
      </w:pPr>
    </w:p>
    <w:p w:rsidR="00AC4C68" w:rsidRPr="007D4440" w:rsidRDefault="00AC4C68" w:rsidP="00AC4C68">
      <w:pPr>
        <w:autoSpaceDE w:val="0"/>
        <w:autoSpaceDN w:val="0"/>
        <w:adjustRightInd w:val="0"/>
        <w:ind w:left="0" w:firstLine="0"/>
        <w:rPr>
          <w:rFonts w:cs="Arial"/>
          <w:color w:val="0000CC"/>
        </w:rPr>
      </w:pPr>
      <w:r w:rsidRPr="007D4440">
        <w:rPr>
          <w:rFonts w:cs="Arial"/>
          <w:color w:val="0000CC"/>
        </w:rPr>
        <w:t>Okunseri C, Okunseri E, Thorpe JM, Xiang Q, Szabo A. Medications prescribed in emergency departments for nontraumatic dental condition visits in the United States. Med Care. 2012;50(6):508-512.</w:t>
      </w:r>
    </w:p>
    <w:p w:rsidR="00AC4C68" w:rsidRDefault="00AC4C68" w:rsidP="00AC4C68">
      <w:pPr>
        <w:ind w:left="0" w:firstLine="0"/>
        <w:rPr>
          <w:iCs/>
          <w:color w:val="0000CC"/>
        </w:rPr>
      </w:pPr>
    </w:p>
    <w:p w:rsidR="00AC4C68" w:rsidRDefault="00AC4C68" w:rsidP="00AC4C68">
      <w:pPr>
        <w:ind w:left="0" w:firstLine="0"/>
        <w:rPr>
          <w:iCs/>
          <w:color w:val="0000CC"/>
        </w:rPr>
      </w:pPr>
      <w:r w:rsidRPr="00FD306B">
        <w:rPr>
          <w:iCs/>
          <w:color w:val="0000CC"/>
        </w:rPr>
        <w:t>Okunseri C, Okunseri E, Thorpe JM, Xiang Q, Szabo A. Patient characteristics and trends in nontraumatic dental condition visits to emergency departments in the United States. Clin Cosmet Investig Dent. 2012;4:1-7.</w:t>
      </w:r>
    </w:p>
    <w:p w:rsidR="00AC4C68" w:rsidRPr="007D4440" w:rsidRDefault="00AC4C68" w:rsidP="00AC4C68">
      <w:pPr>
        <w:autoSpaceDE w:val="0"/>
        <w:autoSpaceDN w:val="0"/>
        <w:adjustRightInd w:val="0"/>
        <w:ind w:left="0" w:firstLine="0"/>
        <w:rPr>
          <w:rFonts w:cs="Arial"/>
          <w:color w:val="0000CC"/>
        </w:rPr>
      </w:pPr>
    </w:p>
    <w:p w:rsidR="00AC4C68" w:rsidRPr="007D4440" w:rsidRDefault="00AC4C68" w:rsidP="00AC4C68">
      <w:pPr>
        <w:autoSpaceDE w:val="0"/>
        <w:autoSpaceDN w:val="0"/>
        <w:adjustRightInd w:val="0"/>
        <w:ind w:left="0" w:firstLine="0"/>
        <w:rPr>
          <w:rFonts w:cs="Arial"/>
          <w:color w:val="0000CC"/>
        </w:rPr>
      </w:pPr>
      <w:r w:rsidRPr="007D4440">
        <w:rPr>
          <w:rFonts w:cs="Arial"/>
          <w:color w:val="0000CC"/>
        </w:rPr>
        <w:t>Pajewski NM, Okunseri C. Patterns of dental service utilization following nontraumatic dental condition visits to the emergency department in Wisconsin Medicaid. J Public Health Dent. 2014;74(1):34-41.</w:t>
      </w:r>
    </w:p>
    <w:p w:rsidR="00AC4C68" w:rsidRDefault="00AC4C68" w:rsidP="00AC4C68">
      <w:pPr>
        <w:ind w:left="0" w:firstLine="0"/>
        <w:rPr>
          <w:iCs/>
          <w:color w:val="0000CC"/>
        </w:rPr>
      </w:pPr>
    </w:p>
    <w:p w:rsidR="00AC4C68" w:rsidRDefault="00AC4C68" w:rsidP="00AC4C68">
      <w:pPr>
        <w:ind w:left="0" w:firstLine="0"/>
        <w:rPr>
          <w:iCs/>
          <w:color w:val="0000CC"/>
        </w:rPr>
      </w:pPr>
      <w:r>
        <w:rPr>
          <w:iCs/>
          <w:color w:val="0000CC"/>
        </w:rPr>
        <w:t>Tinanoff N, Reisine S.  Update on early childhood caries since the Surgeon General’s Report. Acad Pedatr 2009;9(6):396-403.</w:t>
      </w:r>
    </w:p>
    <w:p w:rsidR="00AE0F2F" w:rsidRPr="00AC4C68" w:rsidRDefault="00AE0F2F" w:rsidP="007D4440">
      <w:pPr>
        <w:autoSpaceDE w:val="0"/>
        <w:autoSpaceDN w:val="0"/>
        <w:adjustRightInd w:val="0"/>
        <w:ind w:left="0" w:firstLine="0"/>
        <w:rPr>
          <w:rStyle w:val="Hyperlink"/>
          <w:rFonts w:cs="Arial"/>
          <w:b/>
          <w:color w:val="0000CC"/>
        </w:rPr>
      </w:pPr>
    </w:p>
    <w:p w:rsidR="00AE0F2F" w:rsidRPr="007D4440" w:rsidRDefault="00AE0F2F" w:rsidP="007D4440">
      <w:pPr>
        <w:ind w:left="0" w:firstLine="0"/>
        <w:rPr>
          <w:noProof/>
          <w:color w:val="0000CC"/>
        </w:rPr>
      </w:pPr>
    </w:p>
    <w:p w:rsidR="00AE0F2F" w:rsidRDefault="00AE0F2F" w:rsidP="00BE2413">
      <w:pPr>
        <w:autoSpaceDE w:val="0"/>
        <w:autoSpaceDN w:val="0"/>
        <w:adjustRightInd w:val="0"/>
        <w:ind w:firstLine="0"/>
        <w:rPr>
          <w:rFonts w:cs="Arial"/>
          <w:color w:val="0000CC"/>
          <w:sz w:val="20"/>
          <w:szCs w:val="20"/>
        </w:rPr>
      </w:pPr>
    </w:p>
    <w:p w:rsidR="00AE0F2F" w:rsidRDefault="00AE0F2F" w:rsidP="00BE2413">
      <w:pPr>
        <w:autoSpaceDE w:val="0"/>
        <w:autoSpaceDN w:val="0"/>
        <w:adjustRightInd w:val="0"/>
        <w:ind w:firstLine="0"/>
        <w:rPr>
          <w:rFonts w:cs="Arial"/>
          <w:color w:val="0000CC"/>
          <w:sz w:val="20"/>
          <w:szCs w:val="20"/>
        </w:rPr>
      </w:pPr>
    </w:p>
    <w:sectPr w:rsidR="00AE0F2F" w:rsidSect="000E3B30">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6B0" w:rsidRDefault="003416B0" w:rsidP="007E37A5">
      <w:r>
        <w:separator/>
      </w:r>
    </w:p>
  </w:endnote>
  <w:endnote w:type="continuationSeparator" w:id="0">
    <w:p w:rsidR="003416B0" w:rsidRDefault="003416B0"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564" w:rsidRDefault="00532564">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000B0A8C">
      <w:fldChar w:fldCharType="begin"/>
    </w:r>
    <w:r w:rsidR="000B0A8C">
      <w:instrText xml:space="preserve"> PAGE   \* MERGEFORMAT </w:instrText>
    </w:r>
    <w:r w:rsidR="000B0A8C">
      <w:fldChar w:fldCharType="separate"/>
    </w:r>
    <w:r w:rsidR="00DD214F">
      <w:rPr>
        <w:noProof/>
      </w:rPr>
      <w:t>1</w:t>
    </w:r>
    <w:r w:rsidR="000B0A8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6B0" w:rsidRDefault="003416B0" w:rsidP="007E37A5">
      <w:r>
        <w:separator/>
      </w:r>
    </w:p>
  </w:footnote>
  <w:footnote w:type="continuationSeparator" w:id="0">
    <w:p w:rsidR="003416B0" w:rsidRDefault="003416B0"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564" w:rsidRDefault="00532564"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D6776"/>
    <w:multiLevelType w:val="hybridMultilevel"/>
    <w:tmpl w:val="27BE3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5432727"/>
    <w:multiLevelType w:val="hybridMultilevel"/>
    <w:tmpl w:val="80F6D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41F4F25"/>
    <w:multiLevelType w:val="hybridMultilevel"/>
    <w:tmpl w:val="27BE3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1015C3C"/>
    <w:multiLevelType w:val="hybridMultilevel"/>
    <w:tmpl w:val="27BE3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11E0646"/>
    <w:multiLevelType w:val="hybridMultilevel"/>
    <w:tmpl w:val="A9E8D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D7B2908"/>
    <w:multiLevelType w:val="hybridMultilevel"/>
    <w:tmpl w:val="EDA69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1"/>
  </w:num>
  <w:num w:numId="4">
    <w:abstractNumId w:val="3"/>
  </w:num>
  <w:num w:numId="5">
    <w:abstractNumId w:val="5"/>
  </w:num>
  <w:num w:numId="6">
    <w:abstractNumId w:val="4"/>
  </w:num>
  <w:num w:numId="7">
    <w:abstractNumId w:val="12"/>
  </w:num>
  <w:num w:numId="8">
    <w:abstractNumId w:val="11"/>
  </w:num>
  <w:num w:numId="9">
    <w:abstractNumId w:val="10"/>
  </w:num>
  <w:num w:numId="10">
    <w:abstractNumId w:val="2"/>
  </w:num>
  <w:num w:numId="11">
    <w:abstractNumId w:val="6"/>
  </w:num>
  <w:num w:numId="12">
    <w:abstractNumId w:val="0"/>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0D7F"/>
    <w:rsid w:val="00015986"/>
    <w:rsid w:val="000160E6"/>
    <w:rsid w:val="000167A1"/>
    <w:rsid w:val="00024526"/>
    <w:rsid w:val="00030F43"/>
    <w:rsid w:val="00040DCF"/>
    <w:rsid w:val="00052C0B"/>
    <w:rsid w:val="00061CF3"/>
    <w:rsid w:val="00063601"/>
    <w:rsid w:val="00073079"/>
    <w:rsid w:val="0007593F"/>
    <w:rsid w:val="00085301"/>
    <w:rsid w:val="00095EC9"/>
    <w:rsid w:val="00096A37"/>
    <w:rsid w:val="000A0810"/>
    <w:rsid w:val="000A4744"/>
    <w:rsid w:val="000B0A8C"/>
    <w:rsid w:val="000B627F"/>
    <w:rsid w:val="000D204C"/>
    <w:rsid w:val="000D649E"/>
    <w:rsid w:val="000D6D06"/>
    <w:rsid w:val="000E3B30"/>
    <w:rsid w:val="00103EFA"/>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C57B5"/>
    <w:rsid w:val="001C5D1A"/>
    <w:rsid w:val="001D5B5D"/>
    <w:rsid w:val="001E6153"/>
    <w:rsid w:val="001E7B8B"/>
    <w:rsid w:val="00201FF9"/>
    <w:rsid w:val="00205857"/>
    <w:rsid w:val="00212A29"/>
    <w:rsid w:val="00216927"/>
    <w:rsid w:val="00235ADC"/>
    <w:rsid w:val="00236F87"/>
    <w:rsid w:val="00242E20"/>
    <w:rsid w:val="00265702"/>
    <w:rsid w:val="002662B2"/>
    <w:rsid w:val="002717C7"/>
    <w:rsid w:val="00273A0A"/>
    <w:rsid w:val="002875E9"/>
    <w:rsid w:val="00287EB3"/>
    <w:rsid w:val="002A47BA"/>
    <w:rsid w:val="002A6777"/>
    <w:rsid w:val="002B06BD"/>
    <w:rsid w:val="002C0E48"/>
    <w:rsid w:val="002C6F04"/>
    <w:rsid w:val="002D3BF0"/>
    <w:rsid w:val="002E2177"/>
    <w:rsid w:val="002E2E41"/>
    <w:rsid w:val="002E78CD"/>
    <w:rsid w:val="002F20A7"/>
    <w:rsid w:val="002F53D5"/>
    <w:rsid w:val="003008F4"/>
    <w:rsid w:val="00301F94"/>
    <w:rsid w:val="00302B1D"/>
    <w:rsid w:val="00307FA5"/>
    <w:rsid w:val="00324D64"/>
    <w:rsid w:val="003416B0"/>
    <w:rsid w:val="00350373"/>
    <w:rsid w:val="003518FE"/>
    <w:rsid w:val="00352B52"/>
    <w:rsid w:val="0035760D"/>
    <w:rsid w:val="00363ECC"/>
    <w:rsid w:val="0039020B"/>
    <w:rsid w:val="00395263"/>
    <w:rsid w:val="003956E0"/>
    <w:rsid w:val="0039609A"/>
    <w:rsid w:val="00397500"/>
    <w:rsid w:val="003A189C"/>
    <w:rsid w:val="003B0D29"/>
    <w:rsid w:val="003B1CC5"/>
    <w:rsid w:val="003B65CE"/>
    <w:rsid w:val="003E039E"/>
    <w:rsid w:val="00417956"/>
    <w:rsid w:val="00422917"/>
    <w:rsid w:val="00437CCD"/>
    <w:rsid w:val="00440687"/>
    <w:rsid w:val="0044131D"/>
    <w:rsid w:val="00441ADA"/>
    <w:rsid w:val="00457E46"/>
    <w:rsid w:val="00473342"/>
    <w:rsid w:val="00496AF8"/>
    <w:rsid w:val="00497320"/>
    <w:rsid w:val="004A2726"/>
    <w:rsid w:val="004A575D"/>
    <w:rsid w:val="004B65C6"/>
    <w:rsid w:val="004C6F0B"/>
    <w:rsid w:val="004D1DC7"/>
    <w:rsid w:val="004F1E59"/>
    <w:rsid w:val="004F7D7E"/>
    <w:rsid w:val="00500B0C"/>
    <w:rsid w:val="00532564"/>
    <w:rsid w:val="00537150"/>
    <w:rsid w:val="00540984"/>
    <w:rsid w:val="00543851"/>
    <w:rsid w:val="0055559D"/>
    <w:rsid w:val="005569AE"/>
    <w:rsid w:val="005857F8"/>
    <w:rsid w:val="005B0D18"/>
    <w:rsid w:val="005B12C3"/>
    <w:rsid w:val="005B409D"/>
    <w:rsid w:val="005D0FDB"/>
    <w:rsid w:val="005D25E9"/>
    <w:rsid w:val="005D6D59"/>
    <w:rsid w:val="005F1E54"/>
    <w:rsid w:val="00617390"/>
    <w:rsid w:val="00617D4A"/>
    <w:rsid w:val="00623420"/>
    <w:rsid w:val="00634768"/>
    <w:rsid w:val="0063596F"/>
    <w:rsid w:val="006709EB"/>
    <w:rsid w:val="00672824"/>
    <w:rsid w:val="0068184A"/>
    <w:rsid w:val="006B5C51"/>
    <w:rsid w:val="006C4990"/>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3947"/>
    <w:rsid w:val="007D4440"/>
    <w:rsid w:val="007D4775"/>
    <w:rsid w:val="007D5DC6"/>
    <w:rsid w:val="007E37A5"/>
    <w:rsid w:val="007E6FF8"/>
    <w:rsid w:val="007F49D8"/>
    <w:rsid w:val="00805940"/>
    <w:rsid w:val="00837121"/>
    <w:rsid w:val="00843BCD"/>
    <w:rsid w:val="008471E5"/>
    <w:rsid w:val="00850C35"/>
    <w:rsid w:val="00851466"/>
    <w:rsid w:val="00863E43"/>
    <w:rsid w:val="008647C3"/>
    <w:rsid w:val="008659ED"/>
    <w:rsid w:val="00870987"/>
    <w:rsid w:val="0087564A"/>
    <w:rsid w:val="00881160"/>
    <w:rsid w:val="0088371C"/>
    <w:rsid w:val="008A45F3"/>
    <w:rsid w:val="008B51D9"/>
    <w:rsid w:val="008B652E"/>
    <w:rsid w:val="008C7339"/>
    <w:rsid w:val="008D2966"/>
    <w:rsid w:val="008E154D"/>
    <w:rsid w:val="008F1DC6"/>
    <w:rsid w:val="00905C5B"/>
    <w:rsid w:val="00923295"/>
    <w:rsid w:val="00925F11"/>
    <w:rsid w:val="00935265"/>
    <w:rsid w:val="0094689F"/>
    <w:rsid w:val="009477D6"/>
    <w:rsid w:val="00953ED3"/>
    <w:rsid w:val="00965FF6"/>
    <w:rsid w:val="009713C6"/>
    <w:rsid w:val="009846D6"/>
    <w:rsid w:val="0098657F"/>
    <w:rsid w:val="009A3236"/>
    <w:rsid w:val="009B5A93"/>
    <w:rsid w:val="009B5BEA"/>
    <w:rsid w:val="009C291F"/>
    <w:rsid w:val="009E37BD"/>
    <w:rsid w:val="009E6B86"/>
    <w:rsid w:val="009F20C4"/>
    <w:rsid w:val="009F3D80"/>
    <w:rsid w:val="00A03301"/>
    <w:rsid w:val="00A12762"/>
    <w:rsid w:val="00A13867"/>
    <w:rsid w:val="00A26FED"/>
    <w:rsid w:val="00A41AA4"/>
    <w:rsid w:val="00A421D4"/>
    <w:rsid w:val="00A44FF0"/>
    <w:rsid w:val="00A50E55"/>
    <w:rsid w:val="00A67EB1"/>
    <w:rsid w:val="00A7433E"/>
    <w:rsid w:val="00A91A47"/>
    <w:rsid w:val="00A95D2B"/>
    <w:rsid w:val="00AA5587"/>
    <w:rsid w:val="00AC1E53"/>
    <w:rsid w:val="00AC4C68"/>
    <w:rsid w:val="00AD1BF6"/>
    <w:rsid w:val="00AD79C8"/>
    <w:rsid w:val="00AE0F2F"/>
    <w:rsid w:val="00AE6CE0"/>
    <w:rsid w:val="00B058A6"/>
    <w:rsid w:val="00B117D0"/>
    <w:rsid w:val="00B13998"/>
    <w:rsid w:val="00B141FB"/>
    <w:rsid w:val="00B1457A"/>
    <w:rsid w:val="00B1730E"/>
    <w:rsid w:val="00B439DD"/>
    <w:rsid w:val="00B52E0F"/>
    <w:rsid w:val="00B74629"/>
    <w:rsid w:val="00B7645F"/>
    <w:rsid w:val="00B91F58"/>
    <w:rsid w:val="00BA4627"/>
    <w:rsid w:val="00BA579E"/>
    <w:rsid w:val="00BD2267"/>
    <w:rsid w:val="00BE2295"/>
    <w:rsid w:val="00BE2413"/>
    <w:rsid w:val="00BE6373"/>
    <w:rsid w:val="00BF2BB6"/>
    <w:rsid w:val="00BF533A"/>
    <w:rsid w:val="00BF7BE1"/>
    <w:rsid w:val="00C46677"/>
    <w:rsid w:val="00C5180E"/>
    <w:rsid w:val="00C54E40"/>
    <w:rsid w:val="00C55F56"/>
    <w:rsid w:val="00C57BA4"/>
    <w:rsid w:val="00C613EB"/>
    <w:rsid w:val="00C8101E"/>
    <w:rsid w:val="00C84623"/>
    <w:rsid w:val="00CB06C9"/>
    <w:rsid w:val="00CB1E41"/>
    <w:rsid w:val="00CB271C"/>
    <w:rsid w:val="00CE4F96"/>
    <w:rsid w:val="00CF0AB1"/>
    <w:rsid w:val="00CF4B9B"/>
    <w:rsid w:val="00CF55E6"/>
    <w:rsid w:val="00CF772F"/>
    <w:rsid w:val="00D048DB"/>
    <w:rsid w:val="00D14F0B"/>
    <w:rsid w:val="00D178CA"/>
    <w:rsid w:val="00D23340"/>
    <w:rsid w:val="00D23FC8"/>
    <w:rsid w:val="00D3311C"/>
    <w:rsid w:val="00D53405"/>
    <w:rsid w:val="00D5457B"/>
    <w:rsid w:val="00D72995"/>
    <w:rsid w:val="00DA7FA2"/>
    <w:rsid w:val="00DC2D8D"/>
    <w:rsid w:val="00DD214F"/>
    <w:rsid w:val="00DE1F5D"/>
    <w:rsid w:val="00DE50D8"/>
    <w:rsid w:val="00DF278A"/>
    <w:rsid w:val="00E00EB1"/>
    <w:rsid w:val="00E15F61"/>
    <w:rsid w:val="00E1664B"/>
    <w:rsid w:val="00E30D12"/>
    <w:rsid w:val="00E3394E"/>
    <w:rsid w:val="00E35241"/>
    <w:rsid w:val="00E41417"/>
    <w:rsid w:val="00E51695"/>
    <w:rsid w:val="00E53689"/>
    <w:rsid w:val="00E536D3"/>
    <w:rsid w:val="00E57BE2"/>
    <w:rsid w:val="00E62A95"/>
    <w:rsid w:val="00E651FF"/>
    <w:rsid w:val="00E746A2"/>
    <w:rsid w:val="00E87A6B"/>
    <w:rsid w:val="00E90D06"/>
    <w:rsid w:val="00E97E59"/>
    <w:rsid w:val="00EA79C9"/>
    <w:rsid w:val="00EB66AC"/>
    <w:rsid w:val="00EC2247"/>
    <w:rsid w:val="00ED6B0C"/>
    <w:rsid w:val="00EE1F87"/>
    <w:rsid w:val="00EE36E8"/>
    <w:rsid w:val="00EE3931"/>
    <w:rsid w:val="00EE5AF6"/>
    <w:rsid w:val="00EE7EB4"/>
    <w:rsid w:val="00EF2CEF"/>
    <w:rsid w:val="00F1092D"/>
    <w:rsid w:val="00F42C20"/>
    <w:rsid w:val="00F431D8"/>
    <w:rsid w:val="00F67706"/>
    <w:rsid w:val="00F92D75"/>
    <w:rsid w:val="00F97327"/>
    <w:rsid w:val="00FA296F"/>
    <w:rsid w:val="00FA7323"/>
    <w:rsid w:val="00FC32D3"/>
    <w:rsid w:val="00FD4D82"/>
    <w:rsid w:val="00FE57AE"/>
    <w:rsid w:val="00FF2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209A36-EED9-4ED4-AD86-593028E11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660766">
      <w:bodyDiv w:val="1"/>
      <w:marLeft w:val="0"/>
      <w:marRight w:val="0"/>
      <w:marTop w:val="0"/>
      <w:marBottom w:val="0"/>
      <w:divBdr>
        <w:top w:val="none" w:sz="0" w:space="0" w:color="auto"/>
        <w:left w:val="none" w:sz="0" w:space="0" w:color="auto"/>
        <w:bottom w:val="none" w:sz="0" w:space="0" w:color="auto"/>
        <w:right w:val="none" w:sz="0" w:space="0" w:color="auto"/>
      </w:divBdr>
    </w:div>
    <w:div w:id="199526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spreventiveservicestaskforce.org/methods.htm" TargetMode="External"/><Relationship Id="rId18" Type="http://schemas.openxmlformats.org/officeDocument/2006/relationships/diagramLayout" Target="diagrams/layout1.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microsoft.com/office/2007/relationships/diagramDrawing" Target="diagrams/drawing1.xml"/><Relationship Id="rId7" Type="http://schemas.openxmlformats.org/officeDocument/2006/relationships/settings" Target="settings.xml"/><Relationship Id="rId12" Type="http://schemas.openxmlformats.org/officeDocument/2006/relationships/hyperlink" Target="http://www.uspreventiveservicestaskforce.org/uspstf/grades.htm" TargetMode="External"/><Relationship Id="rId17" Type="http://schemas.openxmlformats.org/officeDocument/2006/relationships/diagramData" Target="diagrams/data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diagramQuickStyle" Target="diagrams/quickStyl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adeworkinggroup.org/publications/index.htm" TargetMode="External"/><Relationship Id="rId22" Type="http://schemas.openxmlformats.org/officeDocument/2006/relationships/hyperlink" Target="http://www.hcup-us.ahrq.gov/nedsoverview.jsp" TargetMode="External"/><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5">
  <dgm:title val=""/>
  <dgm:desc val=""/>
  <dgm:catLst>
    <dgm:cat type="accent1" pri="11500"/>
  </dgm:catLst>
  <dgm:styleLbl name="node0">
    <dgm:fillClrLst meth="cycle">
      <a:schemeClr val="accent1">
        <a:alpha val="80000"/>
      </a:schemeClr>
    </dgm:fillClrLst>
    <dgm:linClrLst meth="repeat">
      <a:schemeClr val="lt1"/>
    </dgm:linClrLst>
    <dgm:effectClrLst/>
    <dgm:txLinClrLst/>
    <dgm:txFillClrLst/>
    <dgm:txEffectClrLst/>
  </dgm:styleLbl>
  <dgm:styleLbl name="node1">
    <dgm:fillClrLst>
      <a:schemeClr val="accent1">
        <a:alpha val="90000"/>
      </a:schemeClr>
      <a:schemeClr val="accent1">
        <a:alpha val="50000"/>
      </a:schemeClr>
    </dgm:fillClrLst>
    <dgm:linClrLst meth="repeat">
      <a:schemeClr val="lt1"/>
    </dgm:linClrLst>
    <dgm:effectClrLst/>
    <dgm:txLinClrLst/>
    <dgm:txFillClrLst/>
    <dgm:txEffectClrLst/>
  </dgm:styleLbl>
  <dgm:styleLbl name="alignNode1">
    <dgm:fillClrLst>
      <a:schemeClr val="accent1">
        <a:alpha val="90000"/>
      </a:schemeClr>
      <a:schemeClr val="accent1">
        <a:alpha val="50000"/>
      </a:schemeClr>
    </dgm:fillClrLst>
    <dgm:linClrLst>
      <a:schemeClr val="accent1">
        <a:alpha val="90000"/>
      </a:schemeClr>
      <a:schemeClr val="accent1">
        <a:alpha val="50000"/>
      </a:schemeClr>
    </dgm:linClrLst>
    <dgm:effectClrLst/>
    <dgm:txLinClrLst/>
    <dgm:txFillClrLst/>
    <dgm:txEffectClrLst/>
  </dgm:styleLbl>
  <dgm:styleLbl name="lnNode1">
    <dgm:fillClrLst>
      <a:schemeClr val="accent1">
        <a:shade val="90000"/>
      </a:schemeClr>
      <a:schemeClr val="accent1">
        <a:alpha val="50000"/>
        <a:tint val="50000"/>
      </a:schemeClr>
    </dgm:fillClrLst>
    <dgm:linClrLst meth="repeat">
      <a:schemeClr val="lt1"/>
    </dgm:linClrLst>
    <dgm:effectClrLst/>
    <dgm:txLinClrLst/>
    <dgm:txFillClrLst/>
    <dgm:txEffectClrLst/>
  </dgm:styleLbl>
  <dgm:styleLbl name="vennNode1">
    <dgm:fillClrLst>
      <a:schemeClr val="accent1">
        <a:shade val="80000"/>
        <a:alpha val="50000"/>
      </a:schemeClr>
      <a:schemeClr val="accent1">
        <a:alpha val="80000"/>
      </a:schemeClr>
    </dgm:fillClrLst>
    <dgm:linClrLst meth="repeat">
      <a:schemeClr val="lt1"/>
    </dgm:linClrLst>
    <dgm:effectClrLst/>
    <dgm:txLinClrLst/>
    <dgm:txFillClrLst/>
    <dgm:txEffectClrLst/>
  </dgm:styleLbl>
  <dgm:styleLbl name="node2">
    <dgm:fillClrLst>
      <a:schemeClr val="accent1">
        <a:alpha val="70000"/>
      </a:schemeClr>
    </dgm:fillClrLst>
    <dgm:linClrLst meth="repeat">
      <a:schemeClr val="lt1"/>
    </dgm:linClrLst>
    <dgm:effectClrLst/>
    <dgm:txLinClrLst/>
    <dgm:txFillClrLst/>
    <dgm:txEffectClrLst/>
  </dgm:styleLbl>
  <dgm:styleLbl name="node3">
    <dgm:fillClrLst>
      <a:schemeClr val="accent1">
        <a:alpha val="50000"/>
      </a:schemeClr>
    </dgm:fillClrLst>
    <dgm:linClrLst meth="repeat">
      <a:schemeClr val="lt1"/>
    </dgm:linClrLst>
    <dgm:effectClrLst/>
    <dgm:txLinClrLst/>
    <dgm:txFillClrLst/>
    <dgm:txEffectClrLst/>
  </dgm:styleLbl>
  <dgm:styleLbl name="node4">
    <dgm:fillClrLst>
      <a:schemeClr val="accent1">
        <a:alpha val="30000"/>
      </a:schemeClr>
    </dgm:fillClrLst>
    <dgm:linClrLst meth="repeat">
      <a:schemeClr val="lt1"/>
    </dgm:linClrLst>
    <dgm:effectClrLst/>
    <dgm:txLinClrLst/>
    <dgm:txFillClrLst/>
    <dgm:txEffectClrLst/>
  </dgm:styleLbl>
  <dgm:styleLbl name="fgImgPlace1">
    <dgm:fillClrLst>
      <a:schemeClr val="accent1">
        <a:tint val="50000"/>
        <a:alpha val="90000"/>
      </a:schemeClr>
      <a:schemeClr val="accent1">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dgm:txEffectClrLst/>
  </dgm:styleLbl>
  <dgm:styleLbl name="fgSibTrans2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dgm:txEffectClrLst/>
  </dgm:styleLbl>
  <dgm:styleLbl name="bgSibTrans2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dgm:txEffectClrLst/>
  </dgm:styleLbl>
  <dgm:styleLbl name="sibTrans1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alpha val="90000"/>
      </a:schemeClr>
    </dgm:fillClrLst>
    <dgm:linClrLst meth="repeat">
      <a:schemeClr val="lt1"/>
    </dgm:linClrLst>
    <dgm:effectClrLst/>
    <dgm:txLinClrLst/>
    <dgm:txFillClrLst/>
    <dgm:txEffectClrLst/>
  </dgm:styleLbl>
  <dgm:styleLbl name="asst1">
    <dgm:fillClrLst meth="repeat">
      <a:schemeClr val="accent1">
        <a:alpha val="90000"/>
      </a:schemeClr>
    </dgm:fillClrLst>
    <dgm:linClrLst meth="repeat">
      <a:schemeClr val="lt1"/>
    </dgm:linClrLst>
    <dgm:effectClrLst/>
    <dgm:txLinClrLst/>
    <dgm:txFillClrLst/>
    <dgm:txEffectClrLst/>
  </dgm:styleLbl>
  <dgm:styleLbl name="asst2">
    <dgm:fillClrLst>
      <a:schemeClr val="accent1">
        <a:alpha val="90000"/>
      </a:schemeClr>
    </dgm:fillClrLst>
    <dgm:linClrLst meth="repeat">
      <a:schemeClr val="lt1"/>
    </dgm:linClrLst>
    <dgm:effectClrLst/>
    <dgm:txLinClrLst/>
    <dgm:txFillClrLst/>
    <dgm:txEffectClrLst/>
  </dgm:styleLbl>
  <dgm:styleLbl name="asst3">
    <dgm:fillClrLst>
      <a:schemeClr val="accent1">
        <a:alpha val="70000"/>
      </a:schemeClr>
    </dgm:fillClrLst>
    <dgm:linClrLst meth="repeat">
      <a:schemeClr val="lt1"/>
    </dgm:linClrLst>
    <dgm:effectClrLst/>
    <dgm:txLinClrLst/>
    <dgm:txFillClrLst/>
    <dgm:txEffectClrLst/>
  </dgm:styleLbl>
  <dgm:styleLbl name="asst4">
    <dgm:fillClrLst>
      <a:schemeClr val="accent1">
        <a:alpha val="50000"/>
      </a:schemeClr>
    </dgm:fillClrLst>
    <dgm:linClrLst meth="repeat">
      <a:schemeClr val="lt1"/>
    </dgm:linClrLst>
    <dgm:effectClrLst/>
    <dgm:txLinClrLst/>
    <dgm:txFillClrLst/>
    <dgm:txEffectClrLst/>
  </dgm:styleLbl>
  <dgm:styleLbl name="parChTrans2D1">
    <dgm:fillClrLst meth="repeat">
      <a:schemeClr val="accent1">
        <a:shade val="8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1">
        <a:alpha val="90000"/>
      </a:schemeClr>
      <a:schemeClr val="accent1">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a:schemeClr val="accent1">
        <a:alpha val="90000"/>
        <a:tint val="40000"/>
      </a:schemeClr>
      <a:schemeClr val="accent1">
        <a:alpha val="5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2E05368-3625-4DCC-BD56-1AF390DF3A7D}" type="doc">
      <dgm:prSet loTypeId="urn:microsoft.com/office/officeart/2005/8/layout/hProcess9" loCatId="process" qsTypeId="urn:microsoft.com/office/officeart/2005/8/quickstyle/simple4" qsCatId="simple" csTypeId="urn:microsoft.com/office/officeart/2005/8/colors/accent1_5" csCatId="accent1" phldr="1"/>
      <dgm:spPr/>
    </dgm:pt>
    <dgm:pt modelId="{28CEF7E2-933E-4613-881F-CAFE88A55D32}">
      <dgm:prSet phldrT="[Text]" custT="1"/>
      <dgm:spPr>
        <a:gradFill rotWithShape="0">
          <a:gsLst>
            <a:gs pos="0">
              <a:schemeClr val="accent1">
                <a:hueOff val="0"/>
                <a:satOff val="0"/>
                <a:lumOff val="0"/>
                <a:shade val="51000"/>
                <a:satMod val="130000"/>
                <a:alpha val="8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gradFill>
      </dgm:spPr>
      <dgm:t>
        <a:bodyPr lIns="0" tIns="0" rIns="0" bIns="0"/>
        <a:lstStyle/>
        <a:p>
          <a:pPr>
            <a:lnSpc>
              <a:spcPct val="80000"/>
            </a:lnSpc>
            <a:spcAft>
              <a:spcPts val="0"/>
            </a:spcAft>
          </a:pPr>
          <a:r>
            <a:rPr lang="en-US" sz="1100" dirty="0">
              <a:solidFill>
                <a:schemeClr val="tx1"/>
              </a:solidFill>
            </a:rPr>
            <a:t>Untreated dental caries (lack of access, prevention, and disease treatment/ management)</a:t>
          </a:r>
        </a:p>
      </dgm:t>
    </dgm:pt>
    <dgm:pt modelId="{71AABE8C-D9AF-4028-9686-CCDADD05CD5C}" type="parTrans" cxnId="{A44F5FEB-0E78-4C93-82C5-052D82F72A2D}">
      <dgm:prSet/>
      <dgm:spPr/>
      <dgm:t>
        <a:bodyPr/>
        <a:lstStyle/>
        <a:p>
          <a:endParaRPr lang="en-US">
            <a:solidFill>
              <a:schemeClr val="tx1"/>
            </a:solidFill>
          </a:endParaRPr>
        </a:p>
      </dgm:t>
    </dgm:pt>
    <dgm:pt modelId="{38463978-8B11-45D2-ACF3-84E072223849}" type="sibTrans" cxnId="{A44F5FEB-0E78-4C93-82C5-052D82F72A2D}">
      <dgm:prSet/>
      <dgm:spPr/>
      <dgm:t>
        <a:bodyPr/>
        <a:lstStyle/>
        <a:p>
          <a:endParaRPr lang="en-US">
            <a:solidFill>
              <a:schemeClr val="tx1"/>
            </a:solidFill>
          </a:endParaRPr>
        </a:p>
      </dgm:t>
    </dgm:pt>
    <dgm:pt modelId="{493036C7-3325-4821-99EC-CD0FFA22B3CA}">
      <dgm:prSet phldrT="[Text]" custT="1"/>
      <dgm:spPr>
        <a:gradFill rotWithShape="0">
          <a:gsLst>
            <a:gs pos="0">
              <a:schemeClr val="accent1">
                <a:hueOff val="0"/>
                <a:satOff val="0"/>
                <a:lumOff val="0"/>
                <a:shade val="51000"/>
                <a:satMod val="130000"/>
                <a:alpha val="65000"/>
              </a:schemeClr>
            </a:gs>
            <a:gs pos="80000">
              <a:schemeClr val="accent1">
                <a:alpha val="90000"/>
                <a:hueOff val="0"/>
                <a:satOff val="0"/>
                <a:lumOff val="0"/>
                <a:alphaOff val="-10000"/>
                <a:shade val="93000"/>
                <a:satMod val="130000"/>
              </a:schemeClr>
            </a:gs>
            <a:gs pos="100000">
              <a:schemeClr val="accent1">
                <a:alpha val="90000"/>
                <a:hueOff val="0"/>
                <a:satOff val="0"/>
                <a:lumOff val="0"/>
                <a:alphaOff val="-10000"/>
                <a:shade val="94000"/>
                <a:satMod val="135000"/>
              </a:schemeClr>
            </a:gs>
          </a:gsLst>
        </a:gradFill>
      </dgm:spPr>
      <dgm:t>
        <a:bodyPr/>
        <a:lstStyle/>
        <a:p>
          <a:r>
            <a:rPr lang="en-US" sz="1100" b="0" dirty="0">
              <a:solidFill>
                <a:schemeClr val="tx1"/>
              </a:solidFill>
            </a:rPr>
            <a:t>ED Visit for Caries-Related Reason - non-definitive care </a:t>
          </a:r>
        </a:p>
      </dgm:t>
    </dgm:pt>
    <dgm:pt modelId="{6D530BCD-0DEC-49FC-AF9A-C97DAE9C0ACA}" type="parTrans" cxnId="{B011D162-4E87-4223-98EE-2B2EDA0BA2D9}">
      <dgm:prSet/>
      <dgm:spPr/>
      <dgm:t>
        <a:bodyPr/>
        <a:lstStyle/>
        <a:p>
          <a:endParaRPr lang="en-US">
            <a:solidFill>
              <a:schemeClr val="tx1"/>
            </a:solidFill>
          </a:endParaRPr>
        </a:p>
      </dgm:t>
    </dgm:pt>
    <dgm:pt modelId="{883DC1A1-C772-406A-9FCA-6814E20959D3}" type="sibTrans" cxnId="{B011D162-4E87-4223-98EE-2B2EDA0BA2D9}">
      <dgm:prSet/>
      <dgm:spPr/>
      <dgm:t>
        <a:bodyPr/>
        <a:lstStyle/>
        <a:p>
          <a:endParaRPr lang="en-US">
            <a:solidFill>
              <a:schemeClr val="tx1"/>
            </a:solidFill>
          </a:endParaRPr>
        </a:p>
      </dgm:t>
    </dgm:pt>
    <dgm:pt modelId="{6A425EDC-7053-4BF1-9762-89E82AE63CF0}">
      <dgm:prSet phldrT="[Text]" custT="1"/>
      <dgm:spPr>
        <a:gradFill rotWithShape="0">
          <a:gsLst>
            <a:gs pos="0">
              <a:schemeClr val="accent1">
                <a:hueOff val="0"/>
                <a:satOff val="0"/>
                <a:lumOff val="0"/>
                <a:shade val="51000"/>
                <a:satMod val="130000"/>
                <a:alpha val="50000"/>
              </a:schemeClr>
            </a:gs>
            <a:gs pos="80000">
              <a:schemeClr val="accent1">
                <a:alpha val="90000"/>
                <a:hueOff val="0"/>
                <a:satOff val="0"/>
                <a:lumOff val="0"/>
                <a:alphaOff val="-20000"/>
                <a:shade val="93000"/>
                <a:satMod val="130000"/>
              </a:schemeClr>
            </a:gs>
            <a:gs pos="100000">
              <a:schemeClr val="accent1">
                <a:alpha val="90000"/>
                <a:hueOff val="0"/>
                <a:satOff val="0"/>
                <a:lumOff val="0"/>
                <a:alphaOff val="-20000"/>
                <a:shade val="94000"/>
                <a:satMod val="135000"/>
              </a:schemeClr>
            </a:gs>
          </a:gsLst>
        </a:gradFill>
      </dgm:spPr>
      <dgm:t>
        <a:bodyPr/>
        <a:lstStyle/>
        <a:p>
          <a:r>
            <a:rPr lang="en-US" sz="1100" b="1" dirty="0">
              <a:solidFill>
                <a:schemeClr val="tx1"/>
              </a:solidFill>
            </a:rPr>
            <a:t>Process of Care: </a:t>
          </a:r>
          <a:r>
            <a:rPr lang="en-US" sz="1100" b="0" dirty="0">
              <a:solidFill>
                <a:schemeClr val="tx1"/>
              </a:solidFill>
            </a:rPr>
            <a:t>Follow-Up after ED visit with Dental Provider</a:t>
          </a:r>
          <a:endParaRPr lang="en-US" sz="1100" b="1" dirty="0">
            <a:solidFill>
              <a:schemeClr val="tx1"/>
            </a:solidFill>
          </a:endParaRPr>
        </a:p>
      </dgm:t>
    </dgm:pt>
    <dgm:pt modelId="{6EB16B70-B0A7-40DE-AAED-9524EFCB6D39}" type="parTrans" cxnId="{A515578F-12F7-4BD8-B798-21023A9C3E66}">
      <dgm:prSet/>
      <dgm:spPr/>
      <dgm:t>
        <a:bodyPr/>
        <a:lstStyle/>
        <a:p>
          <a:endParaRPr lang="en-US">
            <a:solidFill>
              <a:schemeClr val="tx1"/>
            </a:solidFill>
          </a:endParaRPr>
        </a:p>
      </dgm:t>
    </dgm:pt>
    <dgm:pt modelId="{B36925BD-A494-4355-A876-0C82702B321F}" type="sibTrans" cxnId="{A515578F-12F7-4BD8-B798-21023A9C3E66}">
      <dgm:prSet/>
      <dgm:spPr/>
      <dgm:t>
        <a:bodyPr/>
        <a:lstStyle/>
        <a:p>
          <a:endParaRPr lang="en-US">
            <a:solidFill>
              <a:schemeClr val="tx1"/>
            </a:solidFill>
          </a:endParaRPr>
        </a:p>
      </dgm:t>
    </dgm:pt>
    <dgm:pt modelId="{602C0A96-96AC-4D67-82D7-D70033E6368E}">
      <dgm:prSet phldrT="[Text]" custT="1"/>
      <dgm:spPr>
        <a:gradFill rotWithShape="0">
          <a:gsLst>
            <a:gs pos="0">
              <a:schemeClr val="accent1">
                <a:hueOff val="0"/>
                <a:satOff val="0"/>
                <a:lumOff val="0"/>
                <a:shade val="51000"/>
                <a:satMod val="130000"/>
                <a:alpha val="35000"/>
              </a:schemeClr>
            </a:gs>
            <a:gs pos="80000">
              <a:schemeClr val="accent1">
                <a:alpha val="90000"/>
                <a:hueOff val="0"/>
                <a:satOff val="0"/>
                <a:lumOff val="0"/>
                <a:alphaOff val="-30000"/>
                <a:shade val="93000"/>
                <a:satMod val="130000"/>
              </a:schemeClr>
            </a:gs>
            <a:gs pos="100000">
              <a:schemeClr val="accent1">
                <a:alpha val="90000"/>
                <a:hueOff val="0"/>
                <a:satOff val="0"/>
                <a:lumOff val="0"/>
                <a:alphaOff val="-30000"/>
                <a:shade val="94000"/>
                <a:satMod val="135000"/>
              </a:schemeClr>
            </a:gs>
          </a:gsLst>
        </a:gradFill>
      </dgm:spPr>
      <dgm:t>
        <a:bodyPr/>
        <a:lstStyle/>
        <a:p>
          <a:r>
            <a:rPr lang="en-US" sz="1100" b="0" dirty="0" smtClean="0">
              <a:solidFill>
                <a:schemeClr val="tx1"/>
              </a:solidFill>
            </a:rPr>
            <a:t>Outcome: Receipt of Definitive Care</a:t>
          </a:r>
          <a:endParaRPr lang="en-US" sz="1100" b="0" dirty="0">
            <a:solidFill>
              <a:schemeClr val="tx1"/>
            </a:solidFill>
          </a:endParaRPr>
        </a:p>
      </dgm:t>
    </dgm:pt>
    <dgm:pt modelId="{ECBBDBE8-8192-48DF-B1DB-EA1329A0F4FE}" type="parTrans" cxnId="{17577E41-98C1-4EC5-82C1-DA8AEFE44030}">
      <dgm:prSet/>
      <dgm:spPr/>
      <dgm:t>
        <a:bodyPr/>
        <a:lstStyle/>
        <a:p>
          <a:endParaRPr lang="en-US">
            <a:solidFill>
              <a:schemeClr val="tx1"/>
            </a:solidFill>
          </a:endParaRPr>
        </a:p>
      </dgm:t>
    </dgm:pt>
    <dgm:pt modelId="{77E4D93F-AAB7-4E34-823E-8EFE90EBAF5C}" type="sibTrans" cxnId="{17577E41-98C1-4EC5-82C1-DA8AEFE44030}">
      <dgm:prSet/>
      <dgm:spPr/>
      <dgm:t>
        <a:bodyPr/>
        <a:lstStyle/>
        <a:p>
          <a:endParaRPr lang="en-US">
            <a:solidFill>
              <a:schemeClr val="tx1"/>
            </a:solidFill>
          </a:endParaRPr>
        </a:p>
      </dgm:t>
    </dgm:pt>
    <dgm:pt modelId="{EE159EEE-AA1D-49F8-AE7E-F7AD6920FD6F}" type="pres">
      <dgm:prSet presAssocID="{82E05368-3625-4DCC-BD56-1AF390DF3A7D}" presName="CompostProcess" presStyleCnt="0">
        <dgm:presLayoutVars>
          <dgm:dir/>
          <dgm:resizeHandles val="exact"/>
        </dgm:presLayoutVars>
      </dgm:prSet>
      <dgm:spPr/>
    </dgm:pt>
    <dgm:pt modelId="{7E7E18FC-835B-47C9-A595-1C0F438E07F9}" type="pres">
      <dgm:prSet presAssocID="{82E05368-3625-4DCC-BD56-1AF390DF3A7D}" presName="arrow" presStyleLbl="bgShp" presStyleIdx="0" presStyleCnt="1"/>
      <dgm:spPr/>
    </dgm:pt>
    <dgm:pt modelId="{16E164B0-C626-4BDB-AF68-CF242EF52640}" type="pres">
      <dgm:prSet presAssocID="{82E05368-3625-4DCC-BD56-1AF390DF3A7D}" presName="linearProcess" presStyleCnt="0"/>
      <dgm:spPr/>
    </dgm:pt>
    <dgm:pt modelId="{FE71283B-CB50-49A8-B06A-3377363ACFCC}" type="pres">
      <dgm:prSet presAssocID="{28CEF7E2-933E-4613-881F-CAFE88A55D32}" presName="textNode" presStyleLbl="node1" presStyleIdx="0" presStyleCnt="4" custScaleX="114027" custLinFactNeighborX="-4573">
        <dgm:presLayoutVars>
          <dgm:bulletEnabled val="1"/>
        </dgm:presLayoutVars>
      </dgm:prSet>
      <dgm:spPr/>
      <dgm:t>
        <a:bodyPr/>
        <a:lstStyle/>
        <a:p>
          <a:endParaRPr lang="en-US"/>
        </a:p>
      </dgm:t>
    </dgm:pt>
    <dgm:pt modelId="{0CD3B047-FA07-44BE-946B-AE01AD436861}" type="pres">
      <dgm:prSet presAssocID="{38463978-8B11-45D2-ACF3-84E072223849}" presName="sibTrans" presStyleCnt="0"/>
      <dgm:spPr/>
    </dgm:pt>
    <dgm:pt modelId="{C0BF0499-494F-4D9B-A640-A49856936223}" type="pres">
      <dgm:prSet presAssocID="{493036C7-3325-4821-99EC-CD0FFA22B3CA}" presName="textNode" presStyleLbl="node1" presStyleIdx="1" presStyleCnt="4">
        <dgm:presLayoutVars>
          <dgm:bulletEnabled val="1"/>
        </dgm:presLayoutVars>
      </dgm:prSet>
      <dgm:spPr/>
      <dgm:t>
        <a:bodyPr/>
        <a:lstStyle/>
        <a:p>
          <a:endParaRPr lang="en-US"/>
        </a:p>
      </dgm:t>
    </dgm:pt>
    <dgm:pt modelId="{F1749393-0C66-44CE-B187-993017CB2D06}" type="pres">
      <dgm:prSet presAssocID="{883DC1A1-C772-406A-9FCA-6814E20959D3}" presName="sibTrans" presStyleCnt="0"/>
      <dgm:spPr/>
    </dgm:pt>
    <dgm:pt modelId="{4E6CB2F3-42C5-45D4-9B60-575C1AC1EE7B}" type="pres">
      <dgm:prSet presAssocID="{6A425EDC-7053-4BF1-9762-89E82AE63CF0}" presName="textNode" presStyleLbl="node1" presStyleIdx="2" presStyleCnt="4">
        <dgm:presLayoutVars>
          <dgm:bulletEnabled val="1"/>
        </dgm:presLayoutVars>
      </dgm:prSet>
      <dgm:spPr/>
      <dgm:t>
        <a:bodyPr/>
        <a:lstStyle/>
        <a:p>
          <a:endParaRPr lang="en-US"/>
        </a:p>
      </dgm:t>
    </dgm:pt>
    <dgm:pt modelId="{323C5440-6853-4E32-81C3-DE01A9103DDD}" type="pres">
      <dgm:prSet presAssocID="{B36925BD-A494-4355-A876-0C82702B321F}" presName="sibTrans" presStyleCnt="0"/>
      <dgm:spPr/>
    </dgm:pt>
    <dgm:pt modelId="{49164F53-3D1F-4FB0-A8B7-28D36FE12BC2}" type="pres">
      <dgm:prSet presAssocID="{602C0A96-96AC-4D67-82D7-D70033E6368E}" presName="textNode" presStyleLbl="node1" presStyleIdx="3" presStyleCnt="4">
        <dgm:presLayoutVars>
          <dgm:bulletEnabled val="1"/>
        </dgm:presLayoutVars>
      </dgm:prSet>
      <dgm:spPr/>
      <dgm:t>
        <a:bodyPr/>
        <a:lstStyle/>
        <a:p>
          <a:endParaRPr lang="en-US"/>
        </a:p>
      </dgm:t>
    </dgm:pt>
  </dgm:ptLst>
  <dgm:cxnLst>
    <dgm:cxn modelId="{262C8828-7A5C-44BE-BB7C-3BC70B1BDA50}" type="presOf" srcId="{493036C7-3325-4821-99EC-CD0FFA22B3CA}" destId="{C0BF0499-494F-4D9B-A640-A49856936223}" srcOrd="0" destOrd="0" presId="urn:microsoft.com/office/officeart/2005/8/layout/hProcess9"/>
    <dgm:cxn modelId="{AE07B189-AC35-4644-9F48-6074CE7AF54D}" type="presOf" srcId="{82E05368-3625-4DCC-BD56-1AF390DF3A7D}" destId="{EE159EEE-AA1D-49F8-AE7E-F7AD6920FD6F}" srcOrd="0" destOrd="0" presId="urn:microsoft.com/office/officeart/2005/8/layout/hProcess9"/>
    <dgm:cxn modelId="{17577E41-98C1-4EC5-82C1-DA8AEFE44030}" srcId="{82E05368-3625-4DCC-BD56-1AF390DF3A7D}" destId="{602C0A96-96AC-4D67-82D7-D70033E6368E}" srcOrd="3" destOrd="0" parTransId="{ECBBDBE8-8192-48DF-B1DB-EA1329A0F4FE}" sibTransId="{77E4D93F-AAB7-4E34-823E-8EFE90EBAF5C}"/>
    <dgm:cxn modelId="{B011D162-4E87-4223-98EE-2B2EDA0BA2D9}" srcId="{82E05368-3625-4DCC-BD56-1AF390DF3A7D}" destId="{493036C7-3325-4821-99EC-CD0FFA22B3CA}" srcOrd="1" destOrd="0" parTransId="{6D530BCD-0DEC-49FC-AF9A-C97DAE9C0ACA}" sibTransId="{883DC1A1-C772-406A-9FCA-6814E20959D3}"/>
    <dgm:cxn modelId="{0EAD1F56-602E-4D29-BABD-28764B8E566D}" type="presOf" srcId="{602C0A96-96AC-4D67-82D7-D70033E6368E}" destId="{49164F53-3D1F-4FB0-A8B7-28D36FE12BC2}" srcOrd="0" destOrd="0" presId="urn:microsoft.com/office/officeart/2005/8/layout/hProcess9"/>
    <dgm:cxn modelId="{87AC788B-2FE9-4C10-B40A-F28A3CFE1293}" type="presOf" srcId="{6A425EDC-7053-4BF1-9762-89E82AE63CF0}" destId="{4E6CB2F3-42C5-45D4-9B60-575C1AC1EE7B}" srcOrd="0" destOrd="0" presId="urn:microsoft.com/office/officeart/2005/8/layout/hProcess9"/>
    <dgm:cxn modelId="{A515578F-12F7-4BD8-B798-21023A9C3E66}" srcId="{82E05368-3625-4DCC-BD56-1AF390DF3A7D}" destId="{6A425EDC-7053-4BF1-9762-89E82AE63CF0}" srcOrd="2" destOrd="0" parTransId="{6EB16B70-B0A7-40DE-AAED-9524EFCB6D39}" sibTransId="{B36925BD-A494-4355-A876-0C82702B321F}"/>
    <dgm:cxn modelId="{F90345F7-EBD4-4AF8-870A-F10F18E8567E}" type="presOf" srcId="{28CEF7E2-933E-4613-881F-CAFE88A55D32}" destId="{FE71283B-CB50-49A8-B06A-3377363ACFCC}" srcOrd="0" destOrd="0" presId="urn:microsoft.com/office/officeart/2005/8/layout/hProcess9"/>
    <dgm:cxn modelId="{A44F5FEB-0E78-4C93-82C5-052D82F72A2D}" srcId="{82E05368-3625-4DCC-BD56-1AF390DF3A7D}" destId="{28CEF7E2-933E-4613-881F-CAFE88A55D32}" srcOrd="0" destOrd="0" parTransId="{71AABE8C-D9AF-4028-9686-CCDADD05CD5C}" sibTransId="{38463978-8B11-45D2-ACF3-84E072223849}"/>
    <dgm:cxn modelId="{90B2E17A-D836-458C-B28D-C41B5964C60E}" type="presParOf" srcId="{EE159EEE-AA1D-49F8-AE7E-F7AD6920FD6F}" destId="{7E7E18FC-835B-47C9-A595-1C0F438E07F9}" srcOrd="0" destOrd="0" presId="urn:microsoft.com/office/officeart/2005/8/layout/hProcess9"/>
    <dgm:cxn modelId="{72819136-4324-4D20-86E8-06894C0DC480}" type="presParOf" srcId="{EE159EEE-AA1D-49F8-AE7E-F7AD6920FD6F}" destId="{16E164B0-C626-4BDB-AF68-CF242EF52640}" srcOrd="1" destOrd="0" presId="urn:microsoft.com/office/officeart/2005/8/layout/hProcess9"/>
    <dgm:cxn modelId="{D24032BF-A35A-414F-9BF5-A8433D635B44}" type="presParOf" srcId="{16E164B0-C626-4BDB-AF68-CF242EF52640}" destId="{FE71283B-CB50-49A8-B06A-3377363ACFCC}" srcOrd="0" destOrd="0" presId="urn:microsoft.com/office/officeart/2005/8/layout/hProcess9"/>
    <dgm:cxn modelId="{57A83F79-10C5-46C8-9611-BBAE10748428}" type="presParOf" srcId="{16E164B0-C626-4BDB-AF68-CF242EF52640}" destId="{0CD3B047-FA07-44BE-946B-AE01AD436861}" srcOrd="1" destOrd="0" presId="urn:microsoft.com/office/officeart/2005/8/layout/hProcess9"/>
    <dgm:cxn modelId="{5DF81F26-939B-4903-AB2A-3C39D7915813}" type="presParOf" srcId="{16E164B0-C626-4BDB-AF68-CF242EF52640}" destId="{C0BF0499-494F-4D9B-A640-A49856936223}" srcOrd="2" destOrd="0" presId="urn:microsoft.com/office/officeart/2005/8/layout/hProcess9"/>
    <dgm:cxn modelId="{3C9E66A5-5AEC-400C-9ED7-F944602F21DA}" type="presParOf" srcId="{16E164B0-C626-4BDB-AF68-CF242EF52640}" destId="{F1749393-0C66-44CE-B187-993017CB2D06}" srcOrd="3" destOrd="0" presId="urn:microsoft.com/office/officeart/2005/8/layout/hProcess9"/>
    <dgm:cxn modelId="{E308C811-4854-4F52-A89A-6B790F4CB246}" type="presParOf" srcId="{16E164B0-C626-4BDB-AF68-CF242EF52640}" destId="{4E6CB2F3-42C5-45D4-9B60-575C1AC1EE7B}" srcOrd="4" destOrd="0" presId="urn:microsoft.com/office/officeart/2005/8/layout/hProcess9"/>
    <dgm:cxn modelId="{6BC02736-17A6-4DC8-A6F7-24801BD147CF}" type="presParOf" srcId="{16E164B0-C626-4BDB-AF68-CF242EF52640}" destId="{323C5440-6853-4E32-81C3-DE01A9103DDD}" srcOrd="5" destOrd="0" presId="urn:microsoft.com/office/officeart/2005/8/layout/hProcess9"/>
    <dgm:cxn modelId="{6F669A89-71ED-452B-B5F9-8F6EC400037C}" type="presParOf" srcId="{16E164B0-C626-4BDB-AF68-CF242EF52640}" destId="{49164F53-3D1F-4FB0-A8B7-28D36FE12BC2}" srcOrd="6" destOrd="0" presId="urn:microsoft.com/office/officeart/2005/8/layout/hProcess9"/>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7E18FC-835B-47C9-A595-1C0F438E07F9}">
      <dsp:nvSpPr>
        <dsp:cNvPr id="0" name=""/>
        <dsp:cNvSpPr/>
      </dsp:nvSpPr>
      <dsp:spPr>
        <a:xfrm>
          <a:off x="445769" y="0"/>
          <a:ext cx="5052060" cy="3345611"/>
        </a:xfrm>
        <a:prstGeom prst="rightArrow">
          <a:avLst/>
        </a:prstGeom>
        <a:solidFill>
          <a:schemeClr val="accent1">
            <a:tint val="40000"/>
            <a:hueOff val="0"/>
            <a:satOff val="0"/>
            <a:lumOff val="0"/>
            <a:alphaOff val="0"/>
          </a:schemeClr>
        </a:solidFill>
        <a:ln>
          <a:noFill/>
        </a:ln>
        <a:effectLst>
          <a:outerShdw blurRad="40000" dist="23000" dir="5400000" rotWithShape="0">
            <a:srgbClr val="000000">
              <a:alpha val="35000"/>
            </a:srgbClr>
          </a:outerShdw>
        </a:effectLst>
      </dsp:spPr>
      <dsp:style>
        <a:lnRef idx="0">
          <a:scrgbClr r="0" g="0" b="0"/>
        </a:lnRef>
        <a:fillRef idx="1">
          <a:scrgbClr r="0" g="0" b="0"/>
        </a:fillRef>
        <a:effectRef idx="2">
          <a:scrgbClr r="0" g="0" b="0"/>
        </a:effectRef>
        <a:fontRef idx="minor"/>
      </dsp:style>
    </dsp:sp>
    <dsp:sp modelId="{FE71283B-CB50-49A8-B06A-3377363ACFCC}">
      <dsp:nvSpPr>
        <dsp:cNvPr id="0" name=""/>
        <dsp:cNvSpPr/>
      </dsp:nvSpPr>
      <dsp:spPr>
        <a:xfrm>
          <a:off x="0" y="1003683"/>
          <a:ext cx="1459371" cy="1338244"/>
        </a:xfrm>
        <a:prstGeom prst="roundRect">
          <a:avLst/>
        </a:prstGeom>
        <a:gradFill rotWithShape="0">
          <a:gsLst>
            <a:gs pos="0">
              <a:schemeClr val="accent1">
                <a:hueOff val="0"/>
                <a:satOff val="0"/>
                <a:lumOff val="0"/>
                <a:shade val="51000"/>
                <a:satMod val="130000"/>
                <a:alpha val="8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80000"/>
            </a:lnSpc>
            <a:spcBef>
              <a:spcPct val="0"/>
            </a:spcBef>
            <a:spcAft>
              <a:spcPts val="0"/>
            </a:spcAft>
          </a:pPr>
          <a:r>
            <a:rPr lang="en-US" sz="1100" kern="1200" dirty="0">
              <a:solidFill>
                <a:schemeClr val="tx1"/>
              </a:solidFill>
            </a:rPr>
            <a:t>Untreated dental caries (lack of access, prevention, and disease treatment/ management)</a:t>
          </a:r>
        </a:p>
      </dsp:txBody>
      <dsp:txXfrm>
        <a:off x="65328" y="1069011"/>
        <a:ext cx="1328715" cy="1207588"/>
      </dsp:txXfrm>
    </dsp:sp>
    <dsp:sp modelId="{C0BF0499-494F-4D9B-A640-A49856936223}">
      <dsp:nvSpPr>
        <dsp:cNvPr id="0" name=""/>
        <dsp:cNvSpPr/>
      </dsp:nvSpPr>
      <dsp:spPr>
        <a:xfrm>
          <a:off x="1675060" y="1003683"/>
          <a:ext cx="1279847" cy="1338244"/>
        </a:xfrm>
        <a:prstGeom prst="roundRect">
          <a:avLst/>
        </a:prstGeom>
        <a:gradFill rotWithShape="0">
          <a:gsLst>
            <a:gs pos="0">
              <a:schemeClr val="accent1">
                <a:hueOff val="0"/>
                <a:satOff val="0"/>
                <a:lumOff val="0"/>
                <a:shade val="51000"/>
                <a:satMod val="130000"/>
                <a:alpha val="65000"/>
              </a:schemeClr>
            </a:gs>
            <a:gs pos="80000">
              <a:schemeClr val="accent1">
                <a:alpha val="90000"/>
                <a:hueOff val="0"/>
                <a:satOff val="0"/>
                <a:lumOff val="0"/>
                <a:alphaOff val="-10000"/>
                <a:shade val="93000"/>
                <a:satMod val="130000"/>
              </a:schemeClr>
            </a:gs>
            <a:gs pos="100000">
              <a:schemeClr val="accent1">
                <a:alpha val="90000"/>
                <a:hueOff val="0"/>
                <a:satOff val="0"/>
                <a:lumOff val="0"/>
                <a:alphaOff val="-1000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b="0" kern="1200" dirty="0">
              <a:solidFill>
                <a:schemeClr val="tx1"/>
              </a:solidFill>
            </a:rPr>
            <a:t>ED Visit for Caries-Related Reason - non-definitive care </a:t>
          </a:r>
        </a:p>
      </dsp:txBody>
      <dsp:txXfrm>
        <a:off x="1737537" y="1066160"/>
        <a:ext cx="1154893" cy="1213290"/>
      </dsp:txXfrm>
    </dsp:sp>
    <dsp:sp modelId="{4E6CB2F3-42C5-45D4-9B60-575C1AC1EE7B}">
      <dsp:nvSpPr>
        <dsp:cNvPr id="0" name=""/>
        <dsp:cNvSpPr/>
      </dsp:nvSpPr>
      <dsp:spPr>
        <a:xfrm>
          <a:off x="3168216" y="1003683"/>
          <a:ext cx="1279847" cy="1338244"/>
        </a:xfrm>
        <a:prstGeom prst="roundRect">
          <a:avLst/>
        </a:prstGeom>
        <a:gradFill rotWithShape="0">
          <a:gsLst>
            <a:gs pos="0">
              <a:schemeClr val="accent1">
                <a:hueOff val="0"/>
                <a:satOff val="0"/>
                <a:lumOff val="0"/>
                <a:shade val="51000"/>
                <a:satMod val="130000"/>
                <a:alpha val="50000"/>
              </a:schemeClr>
            </a:gs>
            <a:gs pos="80000">
              <a:schemeClr val="accent1">
                <a:alpha val="90000"/>
                <a:hueOff val="0"/>
                <a:satOff val="0"/>
                <a:lumOff val="0"/>
                <a:alphaOff val="-20000"/>
                <a:shade val="93000"/>
                <a:satMod val="130000"/>
              </a:schemeClr>
            </a:gs>
            <a:gs pos="100000">
              <a:schemeClr val="accent1">
                <a:alpha val="90000"/>
                <a:hueOff val="0"/>
                <a:satOff val="0"/>
                <a:lumOff val="0"/>
                <a:alphaOff val="-2000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b="1" kern="1200" dirty="0">
              <a:solidFill>
                <a:schemeClr val="tx1"/>
              </a:solidFill>
            </a:rPr>
            <a:t>Process of Care: </a:t>
          </a:r>
          <a:r>
            <a:rPr lang="en-US" sz="1100" b="0" kern="1200" dirty="0">
              <a:solidFill>
                <a:schemeClr val="tx1"/>
              </a:solidFill>
            </a:rPr>
            <a:t>Follow-Up after ED visit with Dental Provider</a:t>
          </a:r>
          <a:endParaRPr lang="en-US" sz="1100" b="1" kern="1200" dirty="0">
            <a:solidFill>
              <a:schemeClr val="tx1"/>
            </a:solidFill>
          </a:endParaRPr>
        </a:p>
      </dsp:txBody>
      <dsp:txXfrm>
        <a:off x="3230693" y="1066160"/>
        <a:ext cx="1154893" cy="1213290"/>
      </dsp:txXfrm>
    </dsp:sp>
    <dsp:sp modelId="{49164F53-3D1F-4FB0-A8B7-28D36FE12BC2}">
      <dsp:nvSpPr>
        <dsp:cNvPr id="0" name=""/>
        <dsp:cNvSpPr/>
      </dsp:nvSpPr>
      <dsp:spPr>
        <a:xfrm>
          <a:off x="4661371" y="1003683"/>
          <a:ext cx="1279847" cy="1338244"/>
        </a:xfrm>
        <a:prstGeom prst="roundRect">
          <a:avLst/>
        </a:prstGeom>
        <a:gradFill rotWithShape="0">
          <a:gsLst>
            <a:gs pos="0">
              <a:schemeClr val="accent1">
                <a:hueOff val="0"/>
                <a:satOff val="0"/>
                <a:lumOff val="0"/>
                <a:shade val="51000"/>
                <a:satMod val="130000"/>
                <a:alpha val="35000"/>
              </a:schemeClr>
            </a:gs>
            <a:gs pos="80000">
              <a:schemeClr val="accent1">
                <a:alpha val="90000"/>
                <a:hueOff val="0"/>
                <a:satOff val="0"/>
                <a:lumOff val="0"/>
                <a:alphaOff val="-30000"/>
                <a:shade val="93000"/>
                <a:satMod val="130000"/>
              </a:schemeClr>
            </a:gs>
            <a:gs pos="100000">
              <a:schemeClr val="accent1">
                <a:alpha val="90000"/>
                <a:hueOff val="0"/>
                <a:satOff val="0"/>
                <a:lumOff val="0"/>
                <a:alphaOff val="-3000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b="0" kern="1200" dirty="0" smtClean="0">
              <a:solidFill>
                <a:schemeClr val="tx1"/>
              </a:solidFill>
            </a:rPr>
            <a:t>Outcome: Receipt of Definitive Care</a:t>
          </a:r>
          <a:endParaRPr lang="en-US" sz="1100" b="0" kern="1200" dirty="0">
            <a:solidFill>
              <a:schemeClr val="tx1"/>
            </a:solidFill>
          </a:endParaRPr>
        </a:p>
      </dsp:txBody>
      <dsp:txXfrm>
        <a:off x="4723848" y="1066160"/>
        <a:ext cx="1154893" cy="1213290"/>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166DAA49C90449B9579CF1778BD76AA"/>
        <w:category>
          <w:name w:val="General"/>
          <w:gallery w:val="placeholder"/>
        </w:category>
        <w:types>
          <w:type w:val="bbPlcHdr"/>
        </w:types>
        <w:behaviors>
          <w:behavior w:val="content"/>
        </w:behaviors>
        <w:guid w:val="{3F269638-73FB-46FC-A063-7B9AD4D44363}"/>
      </w:docPartPr>
      <w:docPartBody>
        <w:p w:rsidR="00D23B47" w:rsidRDefault="00B44B09" w:rsidP="00B44B09">
          <w:pPr>
            <w:pStyle w:val="8166DAA49C90449B9579CF1778BD76AA"/>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FC30A1"/>
    <w:rsid w:val="00160241"/>
    <w:rsid w:val="00244E8E"/>
    <w:rsid w:val="002B5F47"/>
    <w:rsid w:val="00341944"/>
    <w:rsid w:val="003A1E4B"/>
    <w:rsid w:val="00455EB5"/>
    <w:rsid w:val="00461C1C"/>
    <w:rsid w:val="00485224"/>
    <w:rsid w:val="004E2027"/>
    <w:rsid w:val="005F21F3"/>
    <w:rsid w:val="00881756"/>
    <w:rsid w:val="008E26B5"/>
    <w:rsid w:val="008F6A9B"/>
    <w:rsid w:val="00B44B09"/>
    <w:rsid w:val="00BE0F2D"/>
    <w:rsid w:val="00C03643"/>
    <w:rsid w:val="00C2797F"/>
    <w:rsid w:val="00C80225"/>
    <w:rsid w:val="00D228C9"/>
    <w:rsid w:val="00D23B47"/>
    <w:rsid w:val="00DB5324"/>
    <w:rsid w:val="00DF372F"/>
    <w:rsid w:val="00E97654"/>
    <w:rsid w:val="00EA555A"/>
    <w:rsid w:val="00F71F6D"/>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4B0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8166DAA49C90449B9579CF1778BD76AA">
    <w:name w:val="8166DAA49C90449B9579CF1778BD76AA"/>
    <w:rsid w:val="00B44B0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4E434-7F59-478F-9889-8C8438FFF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3.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BC9CA2-1E32-45C5-99E2-2E7BB6DEC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3779</Words>
  <Characters>21543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25272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Diptee Ojha</cp:lastModifiedBy>
  <cp:revision>2</cp:revision>
  <dcterms:created xsi:type="dcterms:W3CDTF">2015-01-15T21:11:00Z</dcterms:created>
  <dcterms:modified xsi:type="dcterms:W3CDTF">2015-01-15T21:11:00Z</dcterms:modified>
</cp:coreProperties>
</file>