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625C2E9E"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A24E88">
            <w:rPr>
              <w:rStyle w:val="Style1"/>
            </w:rPr>
            <w:t>2726</w:t>
          </w:r>
        </w:sdtContent>
      </w:sdt>
    </w:p>
    <w:p w14:paraId="55B8DA2F" w14:textId="547C1F65"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A24E88">
            <w:rPr>
              <w:rStyle w:val="Style1"/>
            </w:rPr>
            <w:t>Prevention of Central Venous Catheter (CVC)-Related Bloodstream Infections</w:t>
          </w:r>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77777777"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showingPlcHdr/>
          <w:date>
            <w:dateFormat w:val="M/d/yyyy"/>
            <w:lid w:val="en-US"/>
            <w:storeMappedDataAs w:val="dateTime"/>
            <w:calendar w:val="gregorian"/>
          </w:date>
        </w:sdtPr>
        <w:sdtEndPr>
          <w:rPr>
            <w:rStyle w:val="DefaultParagraphFont"/>
            <w:noProof/>
            <w:color w:val="auto"/>
            <w:u w:val="none"/>
          </w:rPr>
        </w:sdtEndPr>
        <w:sdtContent>
          <w:r w:rsidRPr="003B1CC5">
            <w:rPr>
              <w:rStyle w:val="PlaceholderText"/>
              <w:rFonts w:cstheme="minorHAnsi"/>
              <w:color w:val="A6A6A6" w:themeColor="background1" w:themeShade="A6"/>
            </w:rPr>
            <w:t>Click here to enter a date</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73B32973" w:rsidR="00496AF8" w:rsidRPr="003B1CC5" w:rsidRDefault="00FE0A9E" w:rsidP="00A9011D">
      <w:pPr>
        <w:ind w:left="432"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A9011D">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5B8DA52" w14:textId="77777777" w:rsidR="00236F87" w:rsidRPr="003B1CC5" w:rsidRDefault="00FE0A9E"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FE0A9E"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5147A5D2" w:rsidR="00D73685" w:rsidRDefault="00FE0A9E" w:rsidP="00015986">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6269D3">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dtPr>
        <w:sdtEndPr>
          <w:rPr>
            <w:rStyle w:val="DefaultParagraphFont"/>
            <w:rFonts w:cstheme="minorBidi"/>
            <w:bCs/>
            <w:color w:val="auto"/>
            <w:u w:val="none"/>
          </w:rPr>
        </w:sdtEndPr>
        <w:sdtContent>
          <w:r w:rsidR="006269D3">
            <w:rPr>
              <w:rStyle w:val="Style2"/>
              <w:rFonts w:cstheme="minorHAnsi"/>
            </w:rPr>
            <w:t>CVC insertion with all elements of maximal sterile barrier technique, hand hygiene, skin preparation and, if ultrasound is used, sterile ultrasound techniques followed</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FE0A9E"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FE0A9E"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350119F7" w:rsidR="002B06BD"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064DF51F" w14:textId="77777777" w:rsidR="00900E94" w:rsidRDefault="00900E94" w:rsidP="002B06BD">
      <w:pPr>
        <w:ind w:left="432" w:hanging="432"/>
        <w:rPr>
          <w:iCs/>
        </w:rPr>
      </w:pPr>
    </w:p>
    <w:p w14:paraId="13FBD055" w14:textId="77777777" w:rsidR="00900E94" w:rsidRDefault="00900E94" w:rsidP="00900E94">
      <w:pPr>
        <w:ind w:firstLine="0"/>
        <w:rPr>
          <w:rFonts w:cs="Arial"/>
        </w:rPr>
      </w:pPr>
      <w:r>
        <w:rPr>
          <w:rFonts w:cs="Arial"/>
        </w:rPr>
        <w:t>By following maximal sterile barrier (MSB) techniques during central venous catheter (CVC) insertion, providers reduce the risk of the patient acquiring a catheter-related bloodstream infection. This is a process-health outcome relationship. CPT procedure codes are used to identify patients who are included in the measure’s denominator. When reporting via claims, CPT Category II codes are used to report the numerator. When reporting via registry, listed numerator options are used to report the numerator.</w:t>
      </w:r>
    </w:p>
    <w:p w14:paraId="3E740A19" w14:textId="77777777" w:rsidR="00900E94" w:rsidRDefault="00900E94" w:rsidP="00900E94">
      <w:pPr>
        <w:ind w:left="0" w:firstLine="0"/>
      </w:pPr>
    </w:p>
    <w:p w14:paraId="04B423EC" w14:textId="77777777" w:rsidR="00900E94" w:rsidRDefault="00900E94" w:rsidP="00900E94">
      <w:pPr>
        <w:ind w:left="0" w:firstLine="0"/>
        <w:jc w:val="center"/>
      </w:pPr>
      <w:r>
        <w:t>Anesthesia provider follows maximal sterile barrier (MSB) techniques during central venous catheter (CVC) insertion</w:t>
      </w:r>
    </w:p>
    <w:p w14:paraId="0DD2C91D" w14:textId="12AA941F" w:rsidR="00900E94" w:rsidRDefault="00900E94" w:rsidP="00900E94">
      <w:pPr>
        <w:ind w:left="0" w:firstLine="0"/>
      </w:pPr>
      <w:r>
        <w:rPr>
          <w:noProof/>
        </w:rPr>
        <mc:AlternateContent>
          <mc:Choice Requires="wps">
            <w:drawing>
              <wp:anchor distT="0" distB="0" distL="114300" distR="114300" simplePos="0" relativeHeight="251659264" behindDoc="0" locked="0" layoutInCell="1" allowOverlap="1" wp14:anchorId="0680BDBE" wp14:editId="44F55429">
                <wp:simplePos x="0" y="0"/>
                <wp:positionH relativeFrom="column">
                  <wp:posOffset>2971800</wp:posOffset>
                </wp:positionH>
                <wp:positionV relativeFrom="paragraph">
                  <wp:posOffset>102235</wp:posOffset>
                </wp:positionV>
                <wp:extent cx="0" cy="209550"/>
                <wp:effectExtent l="95250" t="0" r="57150" b="57150"/>
                <wp:wrapNone/>
                <wp:docPr id="1" name="Straight Arrow Connector 1"/>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31EE938" id="_x0000_t32" coordsize="21600,21600" o:spt="32" o:oned="t" path="m,l21600,21600e" filled="f">
                <v:path arrowok="t" fillok="f" o:connecttype="none"/>
                <o:lock v:ext="edit" shapetype="t"/>
              </v:shapetype>
              <v:shape id="Straight Arrow Connector 1" o:spid="_x0000_s1026" type="#_x0000_t32" style="position:absolute;margin-left:234pt;margin-top:8.05pt;width:0;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" strokecolor="black [3040]">
                <v:stroke endarrow="open"/>
              </v:shape>
            </w:pict>
          </mc:Fallback>
        </mc:AlternateContent>
      </w:r>
    </w:p>
    <w:p w14:paraId="6A7A0FBC" w14:textId="77777777" w:rsidR="00900E94" w:rsidRDefault="00900E94" w:rsidP="00900E94">
      <w:pPr>
        <w:ind w:left="0" w:firstLine="0"/>
      </w:pPr>
    </w:p>
    <w:p w14:paraId="67BA93F5" w14:textId="77777777" w:rsidR="00900E94" w:rsidRDefault="00900E94" w:rsidP="00900E94">
      <w:pPr>
        <w:ind w:left="0" w:firstLine="0"/>
        <w:jc w:val="center"/>
      </w:pPr>
      <w:r>
        <w:t>Reduces the risk of the patient acquiring a catheter-related bloodstream infection</w:t>
      </w:r>
    </w:p>
    <w:p w14:paraId="19C02578" w14:textId="77777777" w:rsidR="00900E94" w:rsidRPr="00676BD4" w:rsidRDefault="00900E94" w:rsidP="002B06BD">
      <w:pPr>
        <w:ind w:left="432" w:hanging="432"/>
        <w:rPr>
          <w:iCs/>
        </w:rPr>
      </w:pPr>
    </w:p>
    <w:p w14:paraId="55B8DA5B" w14:textId="77777777" w:rsidR="002B06BD" w:rsidRPr="003B1CC5" w:rsidRDefault="002B06BD" w:rsidP="002E2177">
      <w:pPr>
        <w:ind w:left="432" w:hanging="432"/>
        <w:rPr>
          <w:color w:val="0000FF"/>
        </w:rPr>
      </w:pPr>
    </w:p>
    <w:p w14:paraId="55B8DA5C" w14:textId="47993695" w:rsidR="00676BD4" w:rsidRDefault="00676BD4" w:rsidP="002E2177">
      <w:pPr>
        <w:ind w:left="432" w:hanging="432"/>
        <w:rPr>
          <w:b/>
          <w:color w:val="0000FF"/>
        </w:rPr>
      </w:pPr>
    </w:p>
    <w:p w14:paraId="33C7741B" w14:textId="7C56D637" w:rsidR="004922E4" w:rsidRDefault="004922E4" w:rsidP="004922E4">
      <w:pPr>
        <w:ind w:right="140"/>
        <w:rPr>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2A65082C" w14:textId="1BE06ADB" w:rsidR="00A03201" w:rsidRPr="00A03201" w:rsidRDefault="00A03201" w:rsidP="00A03201">
      <w:pPr>
        <w:ind w:right="140" w:firstLine="0"/>
        <w:rPr>
          <w:b/>
          <w:iCs/>
          <w:color w:val="FF0000"/>
        </w:rPr>
      </w:pPr>
      <w:r>
        <w:rPr>
          <w:b/>
          <w:bCs/>
          <w:color w:val="FF0000"/>
        </w:rPr>
        <w:t>N/A</w:t>
      </w:r>
    </w:p>
    <w:p w14:paraId="5BCFDB54" w14:textId="77777777" w:rsidR="004922E4" w:rsidRDefault="004922E4" w:rsidP="002E2177">
      <w:pPr>
        <w:ind w:left="432" w:hanging="432"/>
        <w:rPr>
          <w:b/>
          <w:color w:val="0000FF"/>
        </w:rPr>
      </w:pPr>
    </w:p>
    <w:p w14:paraId="55B8DA5D" w14:textId="77777777" w:rsidR="00676BD4" w:rsidRDefault="00676BD4" w:rsidP="002E2177">
      <w:pPr>
        <w:ind w:left="432" w:hanging="432"/>
        <w:rPr>
          <w:b/>
          <w:color w:val="0000FF"/>
        </w:rPr>
      </w:pPr>
    </w:p>
    <w:p w14:paraId="55B8DA5E" w14:textId="77777777" w:rsidR="00F90F82" w:rsidRDefault="00F90F82" w:rsidP="002E2177">
      <w:pPr>
        <w:ind w:left="432" w:hanging="432"/>
        <w:rPr>
          <w:b/>
          <w:color w:val="0000FF"/>
        </w:rPr>
      </w:pPr>
    </w:p>
    <w:p w14:paraId="55B8DA5F" w14:textId="77777777" w:rsidR="00676BD4" w:rsidRDefault="00676BD4" w:rsidP="00A9011D">
      <w:pPr>
        <w:ind w:left="0" w:firstLine="0"/>
        <w:rPr>
          <w:b/>
          <w:color w:val="0000FF"/>
        </w:rPr>
      </w:pP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lastRenderedPageBreak/>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55B8DA64" w14:textId="77777777" w:rsidR="00D14F0B" w:rsidRPr="003B1CC5" w:rsidRDefault="00D14F0B" w:rsidP="002E2177">
      <w:pPr>
        <w:ind w:left="0" w:firstLine="0"/>
        <w:rPr>
          <w:iCs/>
        </w:rPr>
      </w:pPr>
    </w:p>
    <w:p w14:paraId="55B8DA65" w14:textId="77777777" w:rsidR="00676BD4" w:rsidRDefault="00676BD4" w:rsidP="002E2177">
      <w:pPr>
        <w:ind w:left="0" w:firstLine="0"/>
        <w:rPr>
          <w:i/>
          <w:iCs/>
          <w:highlight w:val="green"/>
          <w:u w:val="single"/>
        </w:rPr>
      </w:pPr>
    </w:p>
    <w:p w14:paraId="55B8DA66" w14:textId="725FE95F" w:rsidR="00C41794" w:rsidRPr="003B1CC5" w:rsidRDefault="002B06BD" w:rsidP="00C41794">
      <w:pPr>
        <w:ind w:left="0" w:firstLine="0"/>
        <w:rPr>
          <w:b/>
          <w:iCs/>
        </w:rPr>
      </w:pPr>
      <w:bookmarkStart w:id="5" w:name="Section1a3"/>
      <w:bookmarkEnd w:id="5"/>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proofErr w:type="gramStart"/>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w:t>
      </w:r>
      <w:proofErr w:type="gramEnd"/>
      <w:r w:rsidR="00C41794" w:rsidRPr="003B1CC5">
        <w:rPr>
          <w:b/>
          <w:iCs/>
          <w:caps/>
        </w:rPr>
        <w:t xml:space="preserv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75BAAC1E" w:rsidR="00A9011D" w:rsidRPr="00A9011D" w:rsidRDefault="00A03201" w:rsidP="00A9011D">
      <w:pPr>
        <w:ind w:left="0" w:firstLine="0"/>
        <w:rPr>
          <w:rFonts w:ascii="Calibri" w:eastAsia="Calibri" w:hAnsi="Calibri" w:cs="Times New Roman"/>
        </w:rPr>
      </w:pPr>
      <w:r>
        <w:rPr>
          <w:rFonts w:ascii="MS Gothic" w:eastAsia="MS Gothic" w:hAnsi="MS Gothic" w:cs="Mangal" w:hint="eastAsia"/>
          <w:color w:val="0000FF"/>
          <w:kern w:val="1"/>
          <w:sz w:val="24"/>
          <w:szCs w:val="24"/>
          <w:lang w:eastAsia="hi-IN" w:bidi="hi-IN"/>
        </w:rPr>
        <w:t>☒</w:t>
      </w:r>
      <w:r w:rsidR="00A9011D" w:rsidRPr="00A9011D">
        <w:rPr>
          <w:rFonts w:ascii="Calibri" w:eastAsia="Calibri" w:hAnsi="Calibri" w:cs="Times New Roman"/>
        </w:rPr>
        <w:t xml:space="preserve">Clinical Practice Guideline recommendation </w:t>
      </w:r>
      <w:r w:rsidR="00EC1225">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0" w:type="auto"/>
        <w:tblLayout w:type="fixed"/>
        <w:tblLook w:val="04A0" w:firstRow="1" w:lastRow="0" w:firstColumn="1" w:lastColumn="0" w:noHBand="0" w:noVBand="1"/>
      </w:tblPr>
      <w:tblGrid>
        <w:gridCol w:w="2425"/>
        <w:gridCol w:w="6925"/>
      </w:tblGrid>
      <w:tr w:rsidR="00AB4ECE" w14:paraId="55B8DA76" w14:textId="77777777" w:rsidTr="00DA2E08">
        <w:tc>
          <w:tcPr>
            <w:tcW w:w="2425"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6925" w:type="dxa"/>
          </w:tcPr>
          <w:p w14:paraId="1DE8F939" w14:textId="77777777" w:rsidR="00AB4ECE" w:rsidRPr="00A03201" w:rsidRDefault="00A03201" w:rsidP="00A03201">
            <w:pPr>
              <w:pStyle w:val="ListParagraph"/>
              <w:numPr>
                <w:ilvl w:val="0"/>
                <w:numId w:val="9"/>
              </w:numPr>
              <w:rPr>
                <w:b/>
              </w:rPr>
            </w:pPr>
            <w:r>
              <w:t>Guidelines for the Prevention of Intravascular Catheter-Related Infections</w:t>
            </w:r>
          </w:p>
          <w:p w14:paraId="28707BEF" w14:textId="77777777" w:rsidR="00A03201" w:rsidRPr="00A03201" w:rsidRDefault="00A03201" w:rsidP="00A03201">
            <w:pPr>
              <w:pStyle w:val="ListParagraph"/>
              <w:numPr>
                <w:ilvl w:val="0"/>
                <w:numId w:val="9"/>
              </w:numPr>
              <w:rPr>
                <w:b/>
              </w:rPr>
            </w:pPr>
            <w:r>
              <w:t>O’Grady NP, Alexander M, Burns LA, et al.</w:t>
            </w:r>
          </w:p>
          <w:p w14:paraId="747D49CF" w14:textId="77777777" w:rsidR="00A03201" w:rsidRPr="00A03201" w:rsidRDefault="00A03201" w:rsidP="00A03201">
            <w:pPr>
              <w:pStyle w:val="ListParagraph"/>
              <w:numPr>
                <w:ilvl w:val="0"/>
                <w:numId w:val="9"/>
              </w:numPr>
              <w:rPr>
                <w:b/>
              </w:rPr>
            </w:pPr>
            <w:r>
              <w:t>2011</w:t>
            </w:r>
          </w:p>
          <w:p w14:paraId="734245EB" w14:textId="6E9F7730" w:rsidR="00A03201" w:rsidRPr="00A03201" w:rsidRDefault="00A03201" w:rsidP="00A03201">
            <w:pPr>
              <w:pStyle w:val="ListParagraph"/>
              <w:numPr>
                <w:ilvl w:val="0"/>
                <w:numId w:val="9"/>
              </w:numPr>
              <w:rPr>
                <w:rFonts w:cs="Arial"/>
                <w:bCs/>
              </w:rPr>
            </w:pPr>
            <w:r w:rsidRPr="00A03201">
              <w:rPr>
                <w:rFonts w:cs="Arial"/>
                <w:bCs/>
              </w:rPr>
              <w:t xml:space="preserve">O’Grady NP, Alexander M, Burns LA, et al. (2011). Guidelines for the Prevention of Intravascular Catheter-Related Infections, 2011. </w:t>
            </w:r>
            <w:r w:rsidRPr="00A03201">
              <w:rPr>
                <w:rFonts w:cs="Arial"/>
                <w:bCs/>
                <w:i/>
              </w:rPr>
              <w:t>Centers for Disease Control and Prevention</w:t>
            </w:r>
            <w:r w:rsidRPr="00A03201">
              <w:rPr>
                <w:rFonts w:cs="Arial"/>
                <w:bCs/>
              </w:rPr>
              <w:t>. Washington, DC</w:t>
            </w:r>
            <w:r>
              <w:rPr>
                <w:rFonts w:cs="Arial"/>
                <w:bCs/>
              </w:rPr>
              <w:t xml:space="preserve"> pp. 28-30</w:t>
            </w:r>
            <w:r w:rsidRPr="00A03201">
              <w:rPr>
                <w:rFonts w:cs="Arial"/>
                <w:bCs/>
              </w:rPr>
              <w:t>.</w:t>
            </w:r>
          </w:p>
          <w:p w14:paraId="0A5F2706" w14:textId="03512998" w:rsidR="00A03201" w:rsidRPr="000731A5" w:rsidRDefault="00A03201" w:rsidP="00A03201">
            <w:pPr>
              <w:pStyle w:val="ListParagraph"/>
              <w:numPr>
                <w:ilvl w:val="0"/>
                <w:numId w:val="9"/>
              </w:numPr>
              <w:rPr>
                <w:b/>
              </w:rPr>
            </w:pPr>
            <w:hyperlink r:id="rId16" w:history="1">
              <w:r>
                <w:rPr>
                  <w:rStyle w:val="Hyperlink"/>
                </w:rPr>
                <w:t>https://www.cdc.gov/infectioncontrol/guidelines/pdf/bsi/bsi-guidelines-H.pdf</w:t>
              </w:r>
            </w:hyperlink>
          </w:p>
          <w:p w14:paraId="5BB56C95" w14:textId="3297617A" w:rsidR="000731A5" w:rsidRDefault="000731A5" w:rsidP="000731A5">
            <w:pPr>
              <w:rPr>
                <w:b/>
              </w:rPr>
            </w:pPr>
          </w:p>
          <w:p w14:paraId="1B913DB5" w14:textId="15537B5B" w:rsidR="000731A5" w:rsidRDefault="000731A5" w:rsidP="00CF6F71">
            <w:pPr>
              <w:pStyle w:val="ListParagraph"/>
              <w:numPr>
                <w:ilvl w:val="0"/>
                <w:numId w:val="9"/>
              </w:numPr>
              <w:autoSpaceDE w:val="0"/>
              <w:autoSpaceDN w:val="0"/>
            </w:pPr>
            <w:r>
              <w:t>FDA Safety Communication: UPDATE on Bacteria Found in Other-Sonic Generic Ultrasound</w:t>
            </w:r>
            <w:r>
              <w:t xml:space="preserve"> </w:t>
            </w:r>
            <w:r>
              <w:t xml:space="preserve">Transmission Gel Poses Risk of Infection. </w:t>
            </w:r>
            <w:r>
              <w:t xml:space="preserve">U.S. </w:t>
            </w:r>
            <w:r>
              <w:t>F</w:t>
            </w:r>
            <w:r>
              <w:t>ood</w:t>
            </w:r>
            <w:r>
              <w:t xml:space="preserve"> </w:t>
            </w:r>
            <w:r>
              <w:t xml:space="preserve">and </w:t>
            </w:r>
            <w:r>
              <w:t>Drug Administration, US Dept of Health and</w:t>
            </w:r>
            <w:r>
              <w:t xml:space="preserve"> </w:t>
            </w:r>
            <w:r>
              <w:t>Human Services.</w:t>
            </w:r>
            <w:r>
              <w:t xml:space="preserve"> June</w:t>
            </w:r>
            <w:r w:rsidR="0063488F">
              <w:t xml:space="preserve"> 8, 2012.</w:t>
            </w:r>
          </w:p>
          <w:p w14:paraId="7483600E" w14:textId="77777777" w:rsidR="000731A5" w:rsidRPr="000731A5" w:rsidRDefault="000731A5" w:rsidP="000731A5">
            <w:pPr>
              <w:rPr>
                <w:b/>
              </w:rPr>
            </w:pPr>
          </w:p>
          <w:p w14:paraId="2FF0B2D9" w14:textId="77777777" w:rsidR="00DA2E08" w:rsidRDefault="00DA2E08" w:rsidP="00DA2E08">
            <w:pPr>
              <w:rPr>
                <w:b/>
              </w:rPr>
            </w:pPr>
          </w:p>
          <w:p w14:paraId="18979F60" w14:textId="77777777" w:rsidR="00DA2E08" w:rsidRPr="00DA2E08" w:rsidRDefault="00DA2E08" w:rsidP="00DA2E08">
            <w:pPr>
              <w:pStyle w:val="ListParagraph"/>
              <w:rPr>
                <w:b/>
              </w:rPr>
            </w:pPr>
          </w:p>
          <w:p w14:paraId="55B8DA75" w14:textId="585050DD" w:rsidR="00DA2E08" w:rsidRPr="000731A5" w:rsidRDefault="00DA2E08" w:rsidP="000731A5">
            <w:pPr>
              <w:rPr>
                <w:b/>
              </w:rPr>
            </w:pPr>
          </w:p>
        </w:tc>
      </w:tr>
      <w:tr w:rsidR="00AB4ECE" w14:paraId="55B8DA79" w14:textId="77777777" w:rsidTr="00DA2E08">
        <w:tc>
          <w:tcPr>
            <w:tcW w:w="2425" w:type="dxa"/>
          </w:tcPr>
          <w:p w14:paraId="55B8DA77" w14:textId="77777777" w:rsidR="00AB4ECE" w:rsidRDefault="00AB4ECE" w:rsidP="002E2177">
            <w:pPr>
              <w:ind w:left="0" w:firstLine="0"/>
            </w:pPr>
            <w:r>
              <w:lastRenderedPageBreak/>
              <w:t>Quote the guideline or recommendation verbatim about the process, structure or intermediate outcome being measured.</w:t>
            </w:r>
            <w:r w:rsidR="000E5C93">
              <w:t xml:space="preserve"> If not a guideline, summarize the conclusions from the SR.</w:t>
            </w:r>
          </w:p>
        </w:tc>
        <w:tc>
          <w:tcPr>
            <w:tcW w:w="6925" w:type="dxa"/>
          </w:tcPr>
          <w:p w14:paraId="36EAE8FE" w14:textId="77777777" w:rsidR="000731A5" w:rsidRDefault="000731A5" w:rsidP="000731A5">
            <w:pPr>
              <w:rPr>
                <w:rFonts w:cs="Arial"/>
              </w:rPr>
            </w:pPr>
            <w:r>
              <w:rPr>
                <w:rFonts w:cs="Arial"/>
              </w:rPr>
              <w:t>Hand Hygiene and Aseptic Technique (p.12)</w:t>
            </w:r>
          </w:p>
          <w:p w14:paraId="6CF93136" w14:textId="77777777" w:rsidR="000731A5" w:rsidRDefault="000731A5" w:rsidP="000731A5">
            <w:pPr>
              <w:numPr>
                <w:ilvl w:val="0"/>
                <w:numId w:val="12"/>
              </w:numPr>
              <w:ind w:left="1440"/>
              <w:rPr>
                <w:rFonts w:cs="Arial"/>
              </w:rPr>
            </w:pPr>
            <w:r>
              <w:rPr>
                <w:rFonts w:cs="Arial"/>
              </w:rPr>
              <w:t>Perform hand hygiene procedures, either by washing hands with conventional soap and water or with alcohol-based hand rubs (ABHR). Hand hygiene should be performed before and after palpating catheter insertion sites as well as before and after inserting, replacing, accessing, repairing, or dressing an intravascular catheter. Palpation of the insertion site should not be performed after the application of antiseptic, unless aseptic technique is maintained. Category IB</w:t>
            </w:r>
          </w:p>
          <w:p w14:paraId="2EE1D5C3" w14:textId="77777777" w:rsidR="000731A5" w:rsidRDefault="000731A5" w:rsidP="000731A5">
            <w:pPr>
              <w:numPr>
                <w:ilvl w:val="0"/>
                <w:numId w:val="12"/>
              </w:numPr>
              <w:ind w:left="1440"/>
              <w:rPr>
                <w:rFonts w:cs="Arial"/>
              </w:rPr>
            </w:pPr>
            <w:r>
              <w:rPr>
                <w:rFonts w:cs="Arial"/>
              </w:rPr>
              <w:t>Maintain aseptic technique for the insertion and care of intravascular catheters. Category IB</w:t>
            </w:r>
          </w:p>
          <w:p w14:paraId="28D2581B" w14:textId="77777777" w:rsidR="000731A5" w:rsidRDefault="000731A5" w:rsidP="000731A5">
            <w:pPr>
              <w:numPr>
                <w:ilvl w:val="0"/>
                <w:numId w:val="12"/>
              </w:numPr>
              <w:ind w:left="1440"/>
              <w:rPr>
                <w:rFonts w:cs="Arial"/>
              </w:rPr>
            </w:pPr>
            <w:r>
              <w:rPr>
                <w:rFonts w:cs="Arial"/>
              </w:rPr>
              <w:t>Wear clean gloves, rather than sterile gloves, for the insertion of peripheral intravascular catheters, if the access site is not touched after the application of skin antiseptics. Category IC</w:t>
            </w:r>
          </w:p>
          <w:p w14:paraId="288ADB7A" w14:textId="77777777" w:rsidR="000731A5" w:rsidRDefault="000731A5" w:rsidP="000731A5">
            <w:pPr>
              <w:numPr>
                <w:ilvl w:val="0"/>
                <w:numId w:val="12"/>
              </w:numPr>
              <w:ind w:left="1440"/>
              <w:rPr>
                <w:rFonts w:cs="Arial"/>
              </w:rPr>
            </w:pPr>
            <w:r>
              <w:rPr>
                <w:rFonts w:cs="Arial"/>
              </w:rPr>
              <w:t>Sterile gloves should be worn for the insertion of arterial, central, and midline catheters. Category IA</w:t>
            </w:r>
          </w:p>
          <w:p w14:paraId="72129EB9" w14:textId="77777777" w:rsidR="000731A5" w:rsidRDefault="000731A5" w:rsidP="000731A5">
            <w:pPr>
              <w:numPr>
                <w:ilvl w:val="0"/>
                <w:numId w:val="12"/>
              </w:numPr>
              <w:ind w:left="1440"/>
              <w:rPr>
                <w:rFonts w:cs="Arial"/>
              </w:rPr>
            </w:pPr>
            <w:r>
              <w:rPr>
                <w:rFonts w:cs="Arial"/>
              </w:rPr>
              <w:t>Use new sterile gloves before handling the new catheter when guidewire exchanges are performed. Category II</w:t>
            </w:r>
          </w:p>
          <w:p w14:paraId="4F602361" w14:textId="77777777" w:rsidR="000731A5" w:rsidRDefault="000731A5" w:rsidP="000731A5">
            <w:pPr>
              <w:numPr>
                <w:ilvl w:val="0"/>
                <w:numId w:val="12"/>
              </w:numPr>
              <w:ind w:left="1440"/>
              <w:rPr>
                <w:rFonts w:cs="Arial"/>
              </w:rPr>
            </w:pPr>
            <w:r>
              <w:rPr>
                <w:rFonts w:cs="Arial"/>
              </w:rPr>
              <w:t>Wear either clean or sterile gloves when changing the dressing on intravascular catheters. Category IC</w:t>
            </w:r>
          </w:p>
          <w:p w14:paraId="363A29F7" w14:textId="77777777" w:rsidR="000731A5" w:rsidRDefault="000731A5" w:rsidP="000731A5">
            <w:pPr>
              <w:rPr>
                <w:rFonts w:cs="Arial"/>
              </w:rPr>
            </w:pPr>
          </w:p>
          <w:p w14:paraId="7068A785" w14:textId="77777777" w:rsidR="000731A5" w:rsidRDefault="000731A5" w:rsidP="000731A5">
            <w:pPr>
              <w:rPr>
                <w:rFonts w:cs="Arial"/>
              </w:rPr>
            </w:pPr>
            <w:r>
              <w:rPr>
                <w:rFonts w:cs="Arial"/>
              </w:rPr>
              <w:t>Maximal Sterile Barrier Precautions (p.12)</w:t>
            </w:r>
          </w:p>
          <w:p w14:paraId="79EF7B65" w14:textId="77777777" w:rsidR="000731A5" w:rsidRDefault="000731A5" w:rsidP="000731A5">
            <w:pPr>
              <w:numPr>
                <w:ilvl w:val="0"/>
                <w:numId w:val="13"/>
              </w:numPr>
              <w:ind w:left="1440"/>
              <w:rPr>
                <w:rFonts w:cs="Arial"/>
              </w:rPr>
            </w:pPr>
            <w:r>
              <w:rPr>
                <w:rFonts w:cs="Arial"/>
              </w:rPr>
              <w:t>Use maximal sterile barrier precautions, including the use of a cap, mask, sterile gown, sterile gloves, and a sterile full body drape, for the insertion of CVCs, PICCs, or guidewire exchange. Category IB</w:t>
            </w:r>
          </w:p>
          <w:p w14:paraId="735DC90D" w14:textId="77777777" w:rsidR="000731A5" w:rsidRDefault="000731A5" w:rsidP="000731A5">
            <w:pPr>
              <w:numPr>
                <w:ilvl w:val="0"/>
                <w:numId w:val="13"/>
              </w:numPr>
              <w:ind w:left="1440"/>
              <w:rPr>
                <w:rFonts w:cs="Arial"/>
              </w:rPr>
            </w:pPr>
            <w:r>
              <w:rPr>
                <w:rFonts w:cs="Arial"/>
              </w:rPr>
              <w:t>Use a sterile sleeve to protect pulmonary artery catheters during insertion. Category IB</w:t>
            </w:r>
          </w:p>
          <w:p w14:paraId="6FF6DF32" w14:textId="77777777" w:rsidR="000731A5" w:rsidRDefault="000731A5" w:rsidP="000731A5">
            <w:pPr>
              <w:rPr>
                <w:rFonts w:cs="Arial"/>
              </w:rPr>
            </w:pPr>
          </w:p>
          <w:p w14:paraId="6CDD7B85" w14:textId="77777777" w:rsidR="000731A5" w:rsidRDefault="000731A5" w:rsidP="000731A5">
            <w:pPr>
              <w:rPr>
                <w:rFonts w:cs="Arial"/>
              </w:rPr>
            </w:pPr>
            <w:r>
              <w:rPr>
                <w:rFonts w:cs="Arial"/>
              </w:rPr>
              <w:t>Skin Preparation (p.13)</w:t>
            </w:r>
          </w:p>
          <w:p w14:paraId="07D88EFD" w14:textId="77777777" w:rsidR="000731A5" w:rsidRDefault="000731A5" w:rsidP="000731A5">
            <w:pPr>
              <w:numPr>
                <w:ilvl w:val="0"/>
                <w:numId w:val="14"/>
              </w:numPr>
              <w:ind w:left="1440"/>
              <w:rPr>
                <w:rFonts w:cs="Arial"/>
              </w:rPr>
            </w:pPr>
            <w:r>
              <w:rPr>
                <w:rFonts w:cs="Arial"/>
              </w:rPr>
              <w:t>Prepare clean skin with an antiseptic (70% alcohol, tincture of iodine, or alcoholic chlorhexidine gluconate solution) before peripheral venous catheter insertion. Category IB</w:t>
            </w:r>
          </w:p>
          <w:p w14:paraId="19F22228" w14:textId="77777777" w:rsidR="000731A5" w:rsidRDefault="000731A5" w:rsidP="000731A5">
            <w:pPr>
              <w:numPr>
                <w:ilvl w:val="0"/>
                <w:numId w:val="14"/>
              </w:numPr>
              <w:ind w:left="1440"/>
              <w:rPr>
                <w:rFonts w:cs="Arial"/>
              </w:rPr>
            </w:pPr>
            <w:r>
              <w:rPr>
                <w:rFonts w:cs="Arial"/>
              </w:rPr>
              <w:t>Prepare clean skin with a &gt;0.5% chlorhexidine preparation with alcohol before central venous catheter and peripheral arterial catheter insertion and during dressing changes. If there is a contraindication to chlorhexidine, tincture of iodine, an iodophor, or 70% alcohol can be used as alternatives. Category IA</w:t>
            </w:r>
          </w:p>
          <w:p w14:paraId="79150C61" w14:textId="77777777" w:rsidR="000731A5" w:rsidRDefault="000731A5" w:rsidP="000731A5">
            <w:pPr>
              <w:numPr>
                <w:ilvl w:val="0"/>
                <w:numId w:val="14"/>
              </w:numPr>
              <w:ind w:left="1440"/>
              <w:rPr>
                <w:rFonts w:cs="Arial"/>
              </w:rPr>
            </w:pPr>
            <w:r>
              <w:rPr>
                <w:rFonts w:cs="Arial"/>
              </w:rPr>
              <w:t>No comparison has been made between using chlorhexidine preparations with alcohol and povidone-iodine in alcohol to prepare clean skin. Unresolved issue.</w:t>
            </w:r>
          </w:p>
          <w:p w14:paraId="3788D9C1" w14:textId="77777777" w:rsidR="000731A5" w:rsidRDefault="000731A5" w:rsidP="000731A5">
            <w:pPr>
              <w:numPr>
                <w:ilvl w:val="0"/>
                <w:numId w:val="14"/>
              </w:numPr>
              <w:ind w:left="1440"/>
              <w:rPr>
                <w:rFonts w:cs="Arial"/>
              </w:rPr>
            </w:pPr>
            <w:r>
              <w:rPr>
                <w:rFonts w:cs="Arial"/>
              </w:rPr>
              <w:lastRenderedPageBreak/>
              <w:t>No recommendation can be made for the safety or efficacy of chlorhexidine in infants aged &lt;2 months. Unresolved issue</w:t>
            </w:r>
          </w:p>
          <w:p w14:paraId="5779A37A" w14:textId="77777777" w:rsidR="00AB4ECE" w:rsidRPr="00727C2B" w:rsidRDefault="000731A5" w:rsidP="00727C2B">
            <w:pPr>
              <w:pStyle w:val="ListParagraph"/>
              <w:numPr>
                <w:ilvl w:val="0"/>
                <w:numId w:val="14"/>
              </w:numPr>
            </w:pPr>
            <w:r w:rsidRPr="00727C2B">
              <w:rPr>
                <w:rFonts w:cs="Arial"/>
              </w:rPr>
              <w:t>Antiseptics should be allowed to dry according to the manufacturer’s recommendation prior to placing the catheter. Category IB</w:t>
            </w:r>
          </w:p>
          <w:p w14:paraId="2614F140" w14:textId="77777777" w:rsidR="00727C2B" w:rsidRDefault="00727C2B" w:rsidP="00727C2B">
            <w:r>
              <w:t>Sterile Ultrasound</w:t>
            </w:r>
          </w:p>
          <w:p w14:paraId="55B8DA78" w14:textId="06A43B54" w:rsidR="00727C2B" w:rsidRDefault="00727C2B" w:rsidP="00727C2B">
            <w:r>
              <w:t>The Food and Drug Administration recommends that policies and clinical practice standards be reviewed to ensure the use of sterile ultrasound gel. Once a container of sterile or non-sterile ultrasound gel is opened, it is no longer sterile and contamination during ongoing use is possible.</w:t>
            </w:r>
          </w:p>
        </w:tc>
      </w:tr>
      <w:tr w:rsidR="00AB4ECE" w14:paraId="55B8DA7C" w14:textId="77777777" w:rsidTr="00DA2E08">
        <w:tc>
          <w:tcPr>
            <w:tcW w:w="2425" w:type="dxa"/>
          </w:tcPr>
          <w:p w14:paraId="55B8DA7A" w14:textId="77777777" w:rsidR="00AB4ECE" w:rsidRDefault="00AB4ECE" w:rsidP="00E42FAA">
            <w:pPr>
              <w:ind w:left="0" w:firstLine="0"/>
            </w:pPr>
            <w:r>
              <w:lastRenderedPageBreak/>
              <w:t xml:space="preserve">Grade assigned to the </w:t>
            </w:r>
            <w:r w:rsidRPr="004E7215">
              <w:rPr>
                <w:b/>
              </w:rPr>
              <w:t>evidence</w:t>
            </w:r>
            <w:r>
              <w:t xml:space="preserve"> associated with the recommendation with the definition of the grade</w:t>
            </w:r>
          </w:p>
        </w:tc>
        <w:tc>
          <w:tcPr>
            <w:tcW w:w="6925" w:type="dxa"/>
          </w:tcPr>
          <w:p w14:paraId="55B8DA7B" w14:textId="5E4084DD" w:rsidR="00AB4ECE" w:rsidRDefault="00013CDE" w:rsidP="002E2177">
            <w:pPr>
              <w:ind w:left="0" w:firstLine="0"/>
            </w:pPr>
            <w:r>
              <w:t xml:space="preserve">The evidence </w:t>
            </w:r>
            <w:r w:rsidR="00840D2A">
              <w:t>supporting the recommendations related to skin preparation has been assigned a grade of IA. The evidence supporting the recommendations related to maximal sterile barrier technique, hand hygiene has been assigned a grade of IB. The recommendation related to sterile ultrasound technique was not assigned a grade.</w:t>
            </w:r>
          </w:p>
        </w:tc>
      </w:tr>
      <w:tr w:rsidR="00AB4ECE" w14:paraId="55B8DA7F" w14:textId="77777777" w:rsidTr="00DA2E08">
        <w:tc>
          <w:tcPr>
            <w:tcW w:w="2425" w:type="dxa"/>
          </w:tcPr>
          <w:p w14:paraId="55B8DA7D" w14:textId="77777777" w:rsidR="00AB4ECE" w:rsidRDefault="00AB4ECE" w:rsidP="00E42FAA">
            <w:pPr>
              <w:ind w:left="0" w:firstLine="0"/>
            </w:pPr>
            <w:r>
              <w:t>Provide all other grades and definitions from the evidence grading system</w:t>
            </w:r>
          </w:p>
        </w:tc>
        <w:tc>
          <w:tcPr>
            <w:tcW w:w="6925" w:type="dxa"/>
          </w:tcPr>
          <w:p w14:paraId="7241A208" w14:textId="77777777" w:rsidR="00840D2A" w:rsidRDefault="00840D2A" w:rsidP="00840D2A">
            <w:pPr>
              <w:rPr>
                <w:rFonts w:cs="Arial"/>
              </w:rPr>
            </w:pPr>
            <w:r>
              <w:rPr>
                <w:rFonts w:cs="Arial"/>
              </w:rPr>
              <w:t>Category IA – Strongly recommended for implementation and strongly supported by well-designed experimental, clinical, or epidemiologic studies.</w:t>
            </w:r>
          </w:p>
          <w:p w14:paraId="5AF20264" w14:textId="77777777" w:rsidR="00840D2A" w:rsidRDefault="00840D2A" w:rsidP="00840D2A">
            <w:pPr>
              <w:rPr>
                <w:rFonts w:cs="Arial"/>
              </w:rPr>
            </w:pPr>
          </w:p>
          <w:p w14:paraId="1152AF57" w14:textId="77777777" w:rsidR="00840D2A" w:rsidRDefault="00840D2A" w:rsidP="00840D2A">
            <w:pPr>
              <w:rPr>
                <w:rFonts w:cs="Arial"/>
              </w:rPr>
            </w:pPr>
            <w:r>
              <w:rPr>
                <w:rFonts w:cs="Arial"/>
              </w:rPr>
              <w:t>Category IB – Strongly recommended for implementation and supported by some experimental, clinical, or epidemiologic studies and a strong theoretical rationale; or an accepted practice (e.g., aseptic technique) supported by limited evidence.</w:t>
            </w:r>
          </w:p>
          <w:p w14:paraId="2C1D5D7F" w14:textId="77777777" w:rsidR="00840D2A" w:rsidRDefault="00840D2A" w:rsidP="00840D2A">
            <w:pPr>
              <w:rPr>
                <w:rFonts w:cs="Arial"/>
              </w:rPr>
            </w:pPr>
          </w:p>
          <w:p w14:paraId="7D989026" w14:textId="77777777" w:rsidR="00840D2A" w:rsidRDefault="00840D2A" w:rsidP="00840D2A">
            <w:pPr>
              <w:rPr>
                <w:rFonts w:cs="Arial"/>
              </w:rPr>
            </w:pPr>
            <w:r>
              <w:rPr>
                <w:rFonts w:cs="Arial"/>
              </w:rPr>
              <w:t>Category IC – Required by state or federal regulations, rules, or standards.</w:t>
            </w:r>
          </w:p>
          <w:p w14:paraId="60DEF8CA" w14:textId="77777777" w:rsidR="00840D2A" w:rsidRDefault="00840D2A" w:rsidP="00840D2A">
            <w:pPr>
              <w:rPr>
                <w:rFonts w:cs="Arial"/>
              </w:rPr>
            </w:pPr>
          </w:p>
          <w:p w14:paraId="64FB484E" w14:textId="77777777" w:rsidR="00840D2A" w:rsidRDefault="00840D2A" w:rsidP="00840D2A">
            <w:pPr>
              <w:rPr>
                <w:rFonts w:cs="Arial"/>
              </w:rPr>
            </w:pPr>
            <w:r>
              <w:rPr>
                <w:rFonts w:cs="Arial"/>
              </w:rPr>
              <w:t>Category II – Suggested for implementation and supported by suggestive clinical or epidemiologic studies or a theoretical rationale.</w:t>
            </w:r>
          </w:p>
          <w:p w14:paraId="1711B9E5" w14:textId="77777777" w:rsidR="00840D2A" w:rsidRDefault="00840D2A" w:rsidP="00840D2A">
            <w:pPr>
              <w:rPr>
                <w:rFonts w:cs="Arial"/>
              </w:rPr>
            </w:pPr>
          </w:p>
          <w:p w14:paraId="1E154CB4" w14:textId="77777777" w:rsidR="00840D2A" w:rsidRDefault="00840D2A" w:rsidP="00840D2A">
            <w:pPr>
              <w:rPr>
                <w:rFonts w:cs="Arial"/>
              </w:rPr>
            </w:pPr>
            <w:r>
              <w:rPr>
                <w:rFonts w:cs="Arial"/>
              </w:rPr>
              <w:t>Unresolved Issue – Represents an unresolved issue for which evidence is insufficient or no consensus regarding efficacy exists.</w:t>
            </w:r>
          </w:p>
          <w:p w14:paraId="55B8DA7E" w14:textId="77777777" w:rsidR="00AB4ECE" w:rsidRDefault="00AB4ECE" w:rsidP="002E2177">
            <w:pPr>
              <w:ind w:left="0" w:firstLine="0"/>
            </w:pPr>
          </w:p>
        </w:tc>
      </w:tr>
      <w:tr w:rsidR="00AB4ECE" w14:paraId="55B8DA82" w14:textId="77777777" w:rsidTr="00DA2E08">
        <w:tc>
          <w:tcPr>
            <w:tcW w:w="2425"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6925" w:type="dxa"/>
          </w:tcPr>
          <w:p w14:paraId="55B8DA81" w14:textId="01815DDE" w:rsidR="00AB4ECE" w:rsidRDefault="00840D2A" w:rsidP="002E2177">
            <w:pPr>
              <w:ind w:left="0" w:firstLine="0"/>
            </w:pPr>
            <w:r>
              <w:t>The grade assigned to the strength of recommendation is included in the grade assigned to the evidence above.</w:t>
            </w:r>
          </w:p>
        </w:tc>
      </w:tr>
      <w:tr w:rsidR="00AB4ECE" w14:paraId="55B8DA85" w14:textId="77777777" w:rsidTr="00DA2E08">
        <w:tc>
          <w:tcPr>
            <w:tcW w:w="2425" w:type="dxa"/>
          </w:tcPr>
          <w:p w14:paraId="55B8DA83" w14:textId="77777777" w:rsidR="00AB4ECE" w:rsidRDefault="00AB4ECE" w:rsidP="00E42FAA">
            <w:pPr>
              <w:ind w:left="0" w:firstLine="0"/>
            </w:pPr>
            <w:r>
              <w:t>Provide all other grades and definitions from the recommendation grading system</w:t>
            </w:r>
          </w:p>
        </w:tc>
        <w:tc>
          <w:tcPr>
            <w:tcW w:w="6925" w:type="dxa"/>
          </w:tcPr>
          <w:p w14:paraId="55B8DA84" w14:textId="35FD1620" w:rsidR="00AB4ECE" w:rsidRDefault="00840D2A" w:rsidP="002E2177">
            <w:pPr>
              <w:ind w:left="0" w:firstLine="0"/>
            </w:pPr>
            <w:r>
              <w:t>See above.</w:t>
            </w:r>
          </w:p>
        </w:tc>
      </w:tr>
      <w:tr w:rsidR="00AB4ECE" w14:paraId="55B8DA8A" w14:textId="77777777" w:rsidTr="00DA2E08">
        <w:tc>
          <w:tcPr>
            <w:tcW w:w="2425"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lastRenderedPageBreak/>
              <w:t>Quality – what type of studies?</w:t>
            </w:r>
          </w:p>
        </w:tc>
        <w:tc>
          <w:tcPr>
            <w:tcW w:w="6925" w:type="dxa"/>
          </w:tcPr>
          <w:p w14:paraId="3AC440CC" w14:textId="3B5A55AC" w:rsidR="000D0716" w:rsidRDefault="000D0716" w:rsidP="000D0716">
            <w:pPr>
              <w:ind w:left="0" w:firstLine="0"/>
            </w:pPr>
            <w:r>
              <w:lastRenderedPageBreak/>
              <w:t xml:space="preserve">14 citations provided in support of the recommendations cited </w:t>
            </w:r>
            <w:r>
              <w:t>above</w:t>
            </w:r>
            <w:r>
              <w:t xml:space="preserve"> were pre-post observational studies, 6 were prospective randomized controlled trials, 1 was a retrospective cohort study, and 2 were reviews (1 about </w:t>
            </w:r>
            <w:proofErr w:type="spellStart"/>
            <w:r>
              <w:t>Swanz</w:t>
            </w:r>
            <w:proofErr w:type="spellEnd"/>
            <w:r>
              <w:t>-Ganz catheters, the other HICPAC guidelines for hand hygiene in health care settings).</w:t>
            </w:r>
          </w:p>
          <w:p w14:paraId="16F7F212" w14:textId="77777777" w:rsidR="000D0716" w:rsidRDefault="000D0716" w:rsidP="000D0716">
            <w:pPr>
              <w:ind w:left="432" w:hanging="432"/>
              <w:rPr>
                <w:iCs/>
              </w:rPr>
            </w:pPr>
            <w:r>
              <w:rPr>
                <w:iCs/>
              </w:rPr>
              <w:lastRenderedPageBreak/>
              <w:t>The quality of evidence across studies is high. Of the 13 recommendations provided in the CDC guidelines, 8 were graded as levels IA or IB (the two highest levels of evidence). Almost half of the studies cited by the CDC were randomized controlled trials. Of the 12 studies that were not reviews, 7 had very large sample sizes (&gt;400, highest &gt;4,000), 4 had relatively large sample sizes (&gt;100, &lt;400), and the smallest sample was 82 patients (</w:t>
            </w:r>
            <w:proofErr w:type="spellStart"/>
            <w:r>
              <w:rPr>
                <w:iCs/>
              </w:rPr>
              <w:t>Carrer</w:t>
            </w:r>
            <w:proofErr w:type="spellEnd"/>
            <w:r>
              <w:rPr>
                <w:iCs/>
              </w:rPr>
              <w:t xml:space="preserve"> 2005). The study designs minimize bias, and the large study samples increase statistical power.</w:t>
            </w:r>
          </w:p>
          <w:p w14:paraId="55B8DA89" w14:textId="77777777" w:rsidR="00AB4ECE" w:rsidRDefault="00AB4ECE" w:rsidP="002E2177">
            <w:pPr>
              <w:ind w:left="0" w:firstLine="0"/>
            </w:pPr>
          </w:p>
        </w:tc>
      </w:tr>
      <w:tr w:rsidR="00AB4ECE" w14:paraId="55B8DA8D" w14:textId="77777777" w:rsidTr="00DA2E08">
        <w:tc>
          <w:tcPr>
            <w:tcW w:w="2425" w:type="dxa"/>
          </w:tcPr>
          <w:p w14:paraId="55B8DA8B" w14:textId="77777777" w:rsidR="00AB4ECE" w:rsidRDefault="000E5C93" w:rsidP="002E2177">
            <w:pPr>
              <w:ind w:left="0" w:firstLine="0"/>
            </w:pPr>
            <w:r>
              <w:lastRenderedPageBreak/>
              <w:t xml:space="preserve">Estimates of benefit and consistency across studies </w:t>
            </w:r>
          </w:p>
        </w:tc>
        <w:tc>
          <w:tcPr>
            <w:tcW w:w="6925" w:type="dxa"/>
          </w:tcPr>
          <w:p w14:paraId="372FC8EF" w14:textId="77777777" w:rsidR="000D0716" w:rsidRDefault="000D0716" w:rsidP="000D0716">
            <w:pPr>
              <w:ind w:left="0" w:firstLine="0"/>
            </w:pPr>
            <w:r>
              <w:t>The direction of the effect shows uniform support for MSB techniques reducing the risk for bloodstream infections. Studies that examine the same outcomes show similar results.</w:t>
            </w:r>
          </w:p>
          <w:p w14:paraId="3F3C5570" w14:textId="77777777" w:rsidR="000D0716" w:rsidRDefault="000D0716" w:rsidP="000D0716">
            <w:pPr>
              <w:ind w:left="0" w:firstLine="0"/>
            </w:pPr>
          </w:p>
          <w:p w14:paraId="08A670A6" w14:textId="77777777" w:rsidR="000D0716" w:rsidRDefault="000D0716" w:rsidP="000D0716">
            <w:pPr>
              <w:ind w:left="0" w:firstLine="0"/>
            </w:pPr>
            <w:r>
              <w:t>The evidence consistently shows that when sterile techniques are used, the rate of bloodstream infections is reduced by approximately 25-35 percent (highest was 66 percent, Coopersmith et al 2002).</w:t>
            </w:r>
          </w:p>
          <w:p w14:paraId="743C444D" w14:textId="77777777" w:rsidR="000D0716" w:rsidRDefault="000D0716" w:rsidP="000D0716">
            <w:pPr>
              <w:ind w:left="0" w:firstLine="0"/>
            </w:pPr>
          </w:p>
          <w:p w14:paraId="4715406C" w14:textId="77777777" w:rsidR="000D0716" w:rsidRDefault="000D0716" w:rsidP="000D0716">
            <w:pPr>
              <w:ind w:left="0" w:firstLine="0"/>
            </w:pPr>
            <w:r>
              <w:t xml:space="preserve">The evidence consistently shows that when sterile techniques are not used, the risk of bloodstream infections and/or bacterial contamination is approximately 2-3 times higher (highest was 6.3, </w:t>
            </w:r>
            <w:proofErr w:type="spellStart"/>
            <w:r>
              <w:t>Raad</w:t>
            </w:r>
            <w:proofErr w:type="spellEnd"/>
            <w:r>
              <w:t xml:space="preserve"> et al 1994).</w:t>
            </w:r>
          </w:p>
          <w:p w14:paraId="15555238" w14:textId="77777777" w:rsidR="000D0716" w:rsidRDefault="000D0716" w:rsidP="000D0716">
            <w:pPr>
              <w:ind w:left="0" w:firstLine="0"/>
              <w:rPr>
                <w:rFonts w:ascii="Franklin Gothic Book" w:hAnsi="Franklin Gothic Book"/>
              </w:rPr>
            </w:pPr>
          </w:p>
          <w:p w14:paraId="053FDFCD" w14:textId="77777777" w:rsidR="000D0716" w:rsidRDefault="000D0716" w:rsidP="000D0716">
            <w:pPr>
              <w:ind w:left="0" w:firstLine="0"/>
            </w:pPr>
            <w:r>
              <w:t xml:space="preserve">The evidence consistently shows that after provider-focused interventions to increase compliance with sterile techniques, compliance approximately doubled (sometimes tripled, as in </w:t>
            </w:r>
            <w:proofErr w:type="spellStart"/>
            <w:r>
              <w:t>Sherertz</w:t>
            </w:r>
            <w:proofErr w:type="spellEnd"/>
            <w:r>
              <w:t xml:space="preserve"> et al 2000).</w:t>
            </w:r>
          </w:p>
          <w:p w14:paraId="55B8DA8C" w14:textId="77777777" w:rsidR="00AB4ECE" w:rsidRDefault="00AB4ECE" w:rsidP="002E2177">
            <w:pPr>
              <w:ind w:left="0" w:firstLine="0"/>
            </w:pPr>
          </w:p>
        </w:tc>
      </w:tr>
      <w:tr w:rsidR="000E5C93" w14:paraId="55B8DA90" w14:textId="77777777" w:rsidTr="00DA2E08">
        <w:tc>
          <w:tcPr>
            <w:tcW w:w="2425" w:type="dxa"/>
          </w:tcPr>
          <w:p w14:paraId="55B8DA8E" w14:textId="77777777" w:rsidR="000E5C93" w:rsidRDefault="000E5C93" w:rsidP="002E2177">
            <w:pPr>
              <w:ind w:left="0" w:firstLine="0"/>
            </w:pPr>
            <w:r>
              <w:t>What harms were identified?</w:t>
            </w:r>
          </w:p>
        </w:tc>
        <w:tc>
          <w:tcPr>
            <w:tcW w:w="6925" w:type="dxa"/>
          </w:tcPr>
          <w:p w14:paraId="175BE32D" w14:textId="77777777" w:rsidR="000D0716" w:rsidRDefault="000D0716" w:rsidP="000D0716">
            <w:pPr>
              <w:rPr>
                <w:rFonts w:cs="Arial"/>
                <w:bCs/>
              </w:rPr>
            </w:pPr>
            <w:r>
              <w:rPr>
                <w:rFonts w:cs="Arial"/>
                <w:bCs/>
              </w:rPr>
              <w:t>None of the studies reported adverse events or any harms associated with using MSB techniques. Although it may require additional man hours to properly train physicians in MSB techniques, this minor negative effect is heavily outweighed by improvements to patient safety and economic cost.</w:t>
            </w:r>
          </w:p>
          <w:p w14:paraId="55B8DA8F" w14:textId="77777777" w:rsidR="000E5C93" w:rsidRDefault="000E5C93" w:rsidP="002E2177">
            <w:pPr>
              <w:ind w:left="0" w:firstLine="0"/>
            </w:pPr>
          </w:p>
        </w:tc>
      </w:tr>
      <w:tr w:rsidR="000E5C93" w14:paraId="55B8DA93" w14:textId="77777777" w:rsidTr="00DA2E08">
        <w:tc>
          <w:tcPr>
            <w:tcW w:w="2425" w:type="dxa"/>
          </w:tcPr>
          <w:p w14:paraId="55B8DA91" w14:textId="77777777" w:rsidR="000E5C93" w:rsidRDefault="000E5C93" w:rsidP="000E5C93">
            <w:pPr>
              <w:ind w:left="0" w:firstLine="0"/>
            </w:pPr>
            <w:r>
              <w:t>Identify any new studies conducted since the SR. Do the new studies change the conclusions from the SR?</w:t>
            </w:r>
          </w:p>
        </w:tc>
        <w:tc>
          <w:tcPr>
            <w:tcW w:w="6925" w:type="dxa"/>
          </w:tcPr>
          <w:p w14:paraId="34D1CA01" w14:textId="77777777" w:rsidR="000D0716" w:rsidRDefault="000D0716" w:rsidP="000D0716">
            <w:pPr>
              <w:ind w:left="0" w:firstLine="0"/>
            </w:pPr>
            <w:proofErr w:type="spellStart"/>
            <w:r>
              <w:t>Gerolemou</w:t>
            </w:r>
            <w:proofErr w:type="spellEnd"/>
            <w:r>
              <w:t xml:space="preserve"> L, </w:t>
            </w:r>
            <w:proofErr w:type="spellStart"/>
            <w:r>
              <w:t>Fidellaga</w:t>
            </w:r>
            <w:proofErr w:type="spellEnd"/>
            <w:r>
              <w:t xml:space="preserve"> A, Rose K, Cooper S, </w:t>
            </w:r>
            <w:proofErr w:type="spellStart"/>
            <w:r>
              <w:t>Venturanza</w:t>
            </w:r>
            <w:proofErr w:type="spellEnd"/>
            <w:r>
              <w:t xml:space="preserve"> M, Aqeel A, Han Q, Jones J, Shapiro J, </w:t>
            </w:r>
            <w:proofErr w:type="spellStart"/>
            <w:r>
              <w:t>Khouli</w:t>
            </w:r>
            <w:proofErr w:type="spellEnd"/>
            <w:r>
              <w:t xml:space="preserve"> H: Simulation-based training for nurses in sterile techniques during central vein catheterization. Am J </w:t>
            </w:r>
            <w:proofErr w:type="spellStart"/>
            <w:r>
              <w:t>Crit</w:t>
            </w:r>
            <w:proofErr w:type="spellEnd"/>
            <w:r>
              <w:t xml:space="preserve"> Care 2014; 23(1):40-8</w:t>
            </w:r>
          </w:p>
          <w:p w14:paraId="6F3F4760" w14:textId="77777777" w:rsidR="000D0716" w:rsidRDefault="000D0716" w:rsidP="000D0716">
            <w:pPr>
              <w:pStyle w:val="ListParagraph"/>
              <w:numPr>
                <w:ilvl w:val="0"/>
                <w:numId w:val="16"/>
              </w:numPr>
            </w:pPr>
            <w:r>
              <w:t>A pre-post observational study surrounding an intervention of simulation-based nurse training in sterile techniques during CVC insertion. After intervention, there was an 85 percent reduction in catheter-related infections in the critical care unit. This supports the conclusions of the body of evidence.</w:t>
            </w:r>
          </w:p>
          <w:p w14:paraId="69A224DC" w14:textId="77777777" w:rsidR="000D0716" w:rsidRDefault="000D0716" w:rsidP="000D0716">
            <w:pPr>
              <w:ind w:left="0" w:firstLine="0"/>
            </w:pPr>
            <w:proofErr w:type="spellStart"/>
            <w:r>
              <w:t>Khouli</w:t>
            </w:r>
            <w:proofErr w:type="spellEnd"/>
            <w:r>
              <w:t xml:space="preserve"> H, </w:t>
            </w:r>
            <w:proofErr w:type="spellStart"/>
            <w:r>
              <w:t>Jahnes</w:t>
            </w:r>
            <w:proofErr w:type="spellEnd"/>
            <w:r>
              <w:t xml:space="preserve"> K, Shapiro J, Rose K, Mathew J, Gohil A, Han Q, Sotelo A, Jones J, Aqeel A, Eden E, Fried E: Performance of medical residents in sterile techniques during central vein catheterization: randomized trial of efficacy of simulation-based training. Chest 2011; 139(1):80-7</w:t>
            </w:r>
          </w:p>
          <w:p w14:paraId="0C6CF6D9" w14:textId="77777777" w:rsidR="000D0716" w:rsidRDefault="000D0716" w:rsidP="000D0716">
            <w:pPr>
              <w:pStyle w:val="ListParagraph"/>
              <w:numPr>
                <w:ilvl w:val="0"/>
                <w:numId w:val="16"/>
              </w:numPr>
            </w:pPr>
            <w:r>
              <w:t xml:space="preserve">A pre-post observational study surrounding an intervention of simulation-based training in sterile techniques during CVC </w:t>
            </w:r>
            <w:r>
              <w:lastRenderedPageBreak/>
              <w:t>insertion. After intervention, there was a 70 percent reduction in the incidence of CRBSI in the medical ICU. This supports the conclusions of the body of evidence.</w:t>
            </w:r>
          </w:p>
          <w:p w14:paraId="4B469E06" w14:textId="77777777" w:rsidR="000D0716" w:rsidRDefault="000D0716" w:rsidP="000D0716">
            <w:pPr>
              <w:ind w:left="0" w:firstLine="0"/>
            </w:pPr>
            <w:proofErr w:type="spellStart"/>
            <w:r>
              <w:t>Timsit</w:t>
            </w:r>
            <w:proofErr w:type="spellEnd"/>
            <w:r>
              <w:t xml:space="preserve"> JF, </w:t>
            </w:r>
            <w:proofErr w:type="spellStart"/>
            <w:r>
              <w:t>Mimoz</w:t>
            </w:r>
            <w:proofErr w:type="spellEnd"/>
            <w:r>
              <w:t xml:space="preserve"> O, </w:t>
            </w:r>
            <w:proofErr w:type="spellStart"/>
            <w:r>
              <w:t>Mourvillier</w:t>
            </w:r>
            <w:proofErr w:type="spellEnd"/>
            <w:r>
              <w:t xml:space="preserve"> B, </w:t>
            </w:r>
            <w:proofErr w:type="spellStart"/>
            <w:r>
              <w:t>Souweine</w:t>
            </w:r>
            <w:proofErr w:type="spellEnd"/>
            <w:r>
              <w:t xml:space="preserve"> B, </w:t>
            </w:r>
            <w:proofErr w:type="spellStart"/>
            <w:r>
              <w:t>Garrouste-Orgeas</w:t>
            </w:r>
            <w:proofErr w:type="spellEnd"/>
            <w:r>
              <w:t xml:space="preserve"> M, </w:t>
            </w:r>
            <w:proofErr w:type="spellStart"/>
            <w:r>
              <w:t>Alfandari</w:t>
            </w:r>
            <w:proofErr w:type="spellEnd"/>
            <w:r>
              <w:t xml:space="preserve"> S, </w:t>
            </w:r>
            <w:proofErr w:type="spellStart"/>
            <w:r>
              <w:t>Plantefeve</w:t>
            </w:r>
            <w:proofErr w:type="spellEnd"/>
            <w:r>
              <w:t xml:space="preserve"> G, </w:t>
            </w:r>
            <w:proofErr w:type="spellStart"/>
            <w:r>
              <w:t>Bronchard</w:t>
            </w:r>
            <w:proofErr w:type="spellEnd"/>
            <w:r>
              <w:t xml:space="preserve"> R, Troche G, </w:t>
            </w:r>
            <w:proofErr w:type="spellStart"/>
            <w:r>
              <w:t>Gauzit</w:t>
            </w:r>
            <w:proofErr w:type="spellEnd"/>
            <w:r>
              <w:t xml:space="preserve"> R, </w:t>
            </w:r>
            <w:proofErr w:type="spellStart"/>
            <w:r>
              <w:t>Antona</w:t>
            </w:r>
            <w:proofErr w:type="spellEnd"/>
            <w:r>
              <w:t xml:space="preserve"> M, </w:t>
            </w:r>
            <w:proofErr w:type="spellStart"/>
            <w:r>
              <w:t>Canet</w:t>
            </w:r>
            <w:proofErr w:type="spellEnd"/>
            <w:r>
              <w:t xml:space="preserve"> E, </w:t>
            </w:r>
            <w:proofErr w:type="spellStart"/>
            <w:r>
              <w:t>Bohe</w:t>
            </w:r>
            <w:proofErr w:type="spellEnd"/>
            <w:r>
              <w:t xml:space="preserve"> J, </w:t>
            </w:r>
            <w:proofErr w:type="spellStart"/>
            <w:r>
              <w:t>Lepape</w:t>
            </w:r>
            <w:proofErr w:type="spellEnd"/>
            <w:r>
              <w:t xml:space="preserve"> A, </w:t>
            </w:r>
            <w:proofErr w:type="spellStart"/>
            <w:r>
              <w:t>Vesin</w:t>
            </w:r>
            <w:proofErr w:type="spellEnd"/>
            <w:r>
              <w:t xml:space="preserve"> A, </w:t>
            </w:r>
            <w:proofErr w:type="spellStart"/>
            <w:r>
              <w:t>Arrault</w:t>
            </w:r>
            <w:proofErr w:type="spellEnd"/>
            <w:r>
              <w:t xml:space="preserve"> X, </w:t>
            </w:r>
            <w:proofErr w:type="spellStart"/>
            <w:r>
              <w:t>Schwebel</w:t>
            </w:r>
            <w:proofErr w:type="spellEnd"/>
            <w:r>
              <w:t xml:space="preserve"> C, </w:t>
            </w:r>
            <w:proofErr w:type="spellStart"/>
            <w:r>
              <w:t>Adrie</w:t>
            </w:r>
            <w:proofErr w:type="spellEnd"/>
            <w:r>
              <w:t xml:space="preserve"> C, </w:t>
            </w:r>
            <w:proofErr w:type="spellStart"/>
            <w:r>
              <w:t>Zahar</w:t>
            </w:r>
            <w:proofErr w:type="spellEnd"/>
            <w:r>
              <w:t xml:space="preserve"> JR, Ruckly S, </w:t>
            </w:r>
            <w:proofErr w:type="spellStart"/>
            <w:r>
              <w:t>Tournegros</w:t>
            </w:r>
            <w:proofErr w:type="spellEnd"/>
            <w:r>
              <w:t xml:space="preserve"> C, </w:t>
            </w:r>
            <w:proofErr w:type="spellStart"/>
            <w:r>
              <w:t>Lucet</w:t>
            </w:r>
            <w:proofErr w:type="spellEnd"/>
            <w:r>
              <w:t xml:space="preserve"> JC: Randomized controlled trial of chlorhexidine dressing and highly adhesive dressing for preventing catheter-related infections in critically ill adults. Am J Respir </w:t>
            </w:r>
            <w:proofErr w:type="spellStart"/>
            <w:r>
              <w:t>Crit</w:t>
            </w:r>
            <w:proofErr w:type="spellEnd"/>
            <w:r>
              <w:t xml:space="preserve"> Care Med 2012; 186(12):1272-8</w:t>
            </w:r>
          </w:p>
          <w:p w14:paraId="6F29390C" w14:textId="77777777" w:rsidR="000D0716" w:rsidRDefault="000D0716" w:rsidP="000D0716">
            <w:pPr>
              <w:pStyle w:val="ListParagraph"/>
              <w:numPr>
                <w:ilvl w:val="0"/>
                <w:numId w:val="16"/>
              </w:numPr>
            </w:pPr>
            <w:r>
              <w:t>A randomized controlled trial with chlorhexidine dressings acting as the intervention. With chlorhexidine dressings, the major catheter-related infection rate was 67 percent lower than with standard dressings. This supports the conclusions of the body of evidence.</w:t>
            </w:r>
          </w:p>
          <w:p w14:paraId="1B7E7EA4" w14:textId="77777777" w:rsidR="000D0716" w:rsidRDefault="000D0716" w:rsidP="000D0716">
            <w:pPr>
              <w:ind w:left="0" w:firstLine="0"/>
            </w:pPr>
            <w:r>
              <w:t xml:space="preserve">Wu PP, Liu CE, Chang CY, Huang HC, </w:t>
            </w:r>
            <w:proofErr w:type="spellStart"/>
            <w:r>
              <w:t>Syu</w:t>
            </w:r>
            <w:proofErr w:type="spellEnd"/>
            <w:r>
              <w:t xml:space="preserve"> SS, Wang CH, Huang YC: Decreasing catheter-related bloodstream infections in the intensive care unit: interventions in a medical center in central Taiwan. J Microbiol Immunol Infect 2012; 45(5):370-6</w:t>
            </w:r>
          </w:p>
          <w:p w14:paraId="5ECD2807" w14:textId="77777777" w:rsidR="000D0716" w:rsidRDefault="000D0716" w:rsidP="000D0716">
            <w:pPr>
              <w:ind w:left="0" w:firstLine="0"/>
            </w:pPr>
          </w:p>
          <w:p w14:paraId="7F857532" w14:textId="77777777" w:rsidR="000D0716" w:rsidRDefault="000D0716" w:rsidP="000D0716">
            <w:pPr>
              <w:ind w:left="0" w:firstLine="0"/>
            </w:pPr>
            <w:r>
              <w:t>A pre-post observational study surrounding an intervention standardizing the process of CVC insertion using MSB precautions. After intervention, catheter-related infection rates decreased to zero, which was sustained for 6 months after the intervention. This supports the conclusions of the body of evidence.</w:t>
            </w:r>
          </w:p>
          <w:p w14:paraId="625FD32C" w14:textId="77777777" w:rsidR="000E5C93" w:rsidRDefault="000E5C93" w:rsidP="002E2177">
            <w:pPr>
              <w:ind w:left="0" w:firstLine="0"/>
            </w:pPr>
          </w:p>
          <w:p w14:paraId="0C7F1FDD" w14:textId="77777777" w:rsidR="000D0716" w:rsidRDefault="00FE0A9E" w:rsidP="002E2177">
            <w:pPr>
              <w:ind w:left="0" w:firstLine="0"/>
              <w:rPr>
                <w:color w:val="FF0000"/>
              </w:rPr>
            </w:pPr>
            <w:r>
              <w:rPr>
                <w:color w:val="FF0000"/>
              </w:rPr>
              <w:t xml:space="preserve">Centers for Disease Control and Prevention. 2017 Recommendations on use of chlorhexidine-impregnated dressings for prevention of intravascular catheter-related infections: An update to the 2011 guidelines for the prevention of intravascular catheter-related infections from the Centers for Disease Control and Prevention. Centers for Disease Control and Prevention, National Center for Emerging and Zoonotic Infectious Diseases, Division of Healthcare Quality and Promotion. </w:t>
            </w:r>
            <w:hyperlink r:id="rId17" w:history="1">
              <w:r>
                <w:rPr>
                  <w:rStyle w:val="Hyperlink"/>
                </w:rPr>
                <w:t>https://www.cdc.gov/infectioncontrol/guidelines/pdf/bsi/c-i-dressings-H.pdf</w:t>
              </w:r>
            </w:hyperlink>
            <w:r>
              <w:t xml:space="preserve">. </w:t>
            </w:r>
            <w:r>
              <w:rPr>
                <w:color w:val="FF0000"/>
              </w:rPr>
              <w:t>Accessed April 2, 2019.</w:t>
            </w:r>
          </w:p>
          <w:p w14:paraId="146758EB" w14:textId="77777777" w:rsidR="00FE0A9E" w:rsidRDefault="00FE0A9E" w:rsidP="002E2177">
            <w:pPr>
              <w:ind w:left="0" w:firstLine="0"/>
              <w:rPr>
                <w:color w:val="FF0000"/>
              </w:rPr>
            </w:pPr>
          </w:p>
          <w:p w14:paraId="55B8DA92" w14:textId="031E3C75" w:rsidR="00FE0A9E" w:rsidRPr="00FE0A9E" w:rsidRDefault="00FE0A9E" w:rsidP="002E2177">
            <w:pPr>
              <w:ind w:left="0" w:firstLine="0"/>
              <w:rPr>
                <w:color w:val="FF0000"/>
              </w:rPr>
            </w:pPr>
            <w:r>
              <w:rPr>
                <w:color w:val="FF0000"/>
              </w:rPr>
              <w:t>In 2017, the CDC performed a focused update of their 2011 guideline that targeted evolving evidence related to chlorhexidine-impregnated dressings. This focused update did not result in any changes to the recommendations cited in support of this measure.</w:t>
            </w:r>
            <w:bookmarkStart w:id="6" w:name="_GoBack"/>
            <w:bookmarkEnd w:id="6"/>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7" w:name="Section1a8"/>
      <w:bookmarkEnd w:id="7"/>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E2177">
      <w:pPr>
        <w:ind w:left="0" w:firstLine="0"/>
      </w:pPr>
    </w:p>
    <w:p w14:paraId="55B8DA99" w14:textId="7777777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5B8DA9A" w14:textId="77777777" w:rsidR="000E5C93" w:rsidRDefault="000E5C93"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t xml:space="preserve">1a.4.2 </w:t>
      </w:r>
      <w:r w:rsidR="00837121" w:rsidRPr="003B1CC5">
        <w:rPr>
          <w:b/>
        </w:rPr>
        <w:t>What process was used to identify the evidence?</w:t>
      </w:r>
    </w:p>
    <w:p w14:paraId="55B8DA9C" w14:textId="77777777" w:rsidR="00837121" w:rsidRPr="003B1CC5" w:rsidRDefault="00837121" w:rsidP="002E2177">
      <w:pPr>
        <w:ind w:left="0" w:firstLine="0"/>
      </w:pPr>
    </w:p>
    <w:p w14:paraId="55B8DA9D" w14:textId="77777777" w:rsidR="00837121" w:rsidRPr="001B772D" w:rsidRDefault="000E5C93" w:rsidP="002E2177">
      <w:pPr>
        <w:ind w:left="0" w:firstLine="0"/>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sectPr w:rsidR="00837121" w:rsidRPr="001B772D">
      <w:headerReference w:type="default" r:id="rId18"/>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8DAA0" w14:textId="77777777" w:rsidR="0040230E" w:rsidRDefault="0040230E" w:rsidP="007E37A5">
      <w:r>
        <w:separator/>
      </w:r>
    </w:p>
  </w:endnote>
  <w:endnote w:type="continuationSeparator" w:id="0">
    <w:p w14:paraId="55B8DAA1" w14:textId="77777777" w:rsidR="0040230E" w:rsidRDefault="0040230E"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3" w14:textId="278EF352" w:rsidR="00440687" w:rsidRDefault="00440687">
    <w:pPr>
      <w:pStyle w:val="Footer"/>
    </w:pPr>
    <w:r w:rsidRPr="00395263">
      <w:t xml:space="preserve">Version </w:t>
    </w:r>
    <w:proofErr w:type="gramStart"/>
    <w:r w:rsidR="00DC7F67">
      <w:t>7.1</w:t>
    </w:r>
    <w:r w:rsidR="00F63E8D">
      <w:t xml:space="preserve"> </w:t>
    </w:r>
    <w:r w:rsidRPr="00395263">
      <w:t xml:space="preserve"> </w:t>
    </w:r>
    <w:r w:rsidR="00CC0F87">
      <w:t>9</w:t>
    </w:r>
    <w:proofErr w:type="gramEnd"/>
    <w:r w:rsidR="00CC0F87">
      <w:t>/6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194913">
      <w:rPr>
        <w:noProof/>
      </w:rPr>
      <w:t>2</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8DA9E" w14:textId="77777777" w:rsidR="0040230E" w:rsidRDefault="0040230E" w:rsidP="007E37A5">
      <w:r>
        <w:separator/>
      </w:r>
    </w:p>
  </w:footnote>
  <w:footnote w:type="continuationSeparator" w:id="0">
    <w:p w14:paraId="55B8DA9F" w14:textId="77777777" w:rsidR="0040230E" w:rsidRDefault="0040230E"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E4C3C"/>
    <w:multiLevelType w:val="hybridMultilevel"/>
    <w:tmpl w:val="A17218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D890152"/>
    <w:multiLevelType w:val="hybridMultilevel"/>
    <w:tmpl w:val="694607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ED2D93"/>
    <w:multiLevelType w:val="hybridMultilevel"/>
    <w:tmpl w:val="A272778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3387F86"/>
    <w:multiLevelType w:val="hybridMultilevel"/>
    <w:tmpl w:val="D8CEF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50F11DF"/>
    <w:multiLevelType w:val="hybridMultilevel"/>
    <w:tmpl w:val="665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3"/>
  </w:num>
  <w:num w:numId="4">
    <w:abstractNumId w:val="4"/>
  </w:num>
  <w:num w:numId="5">
    <w:abstractNumId w:val="6"/>
  </w:num>
  <w:num w:numId="6">
    <w:abstractNumId w:val="5"/>
  </w:num>
  <w:num w:numId="7">
    <w:abstractNumId w:val="11"/>
  </w:num>
  <w:num w:numId="8">
    <w:abstractNumId w:val="10"/>
  </w:num>
  <w:num w:numId="9">
    <w:abstractNumId w:val="14"/>
  </w:num>
  <w:num w:numId="10">
    <w:abstractNumId w:val="2"/>
  </w:num>
  <w:num w:numId="11">
    <w:abstractNumId w:val="8"/>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1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AF8"/>
    <w:rsid w:val="00013CDE"/>
    <w:rsid w:val="00015986"/>
    <w:rsid w:val="000160E6"/>
    <w:rsid w:val="00024526"/>
    <w:rsid w:val="00030F43"/>
    <w:rsid w:val="00040DCF"/>
    <w:rsid w:val="00052C0B"/>
    <w:rsid w:val="00061CF3"/>
    <w:rsid w:val="00063601"/>
    <w:rsid w:val="00073079"/>
    <w:rsid w:val="000731A5"/>
    <w:rsid w:val="0007593F"/>
    <w:rsid w:val="00095EC9"/>
    <w:rsid w:val="00096A37"/>
    <w:rsid w:val="000A0810"/>
    <w:rsid w:val="000B627F"/>
    <w:rsid w:val="000D0716"/>
    <w:rsid w:val="000D649E"/>
    <w:rsid w:val="000D6D06"/>
    <w:rsid w:val="000E5C93"/>
    <w:rsid w:val="000F4A7F"/>
    <w:rsid w:val="00114848"/>
    <w:rsid w:val="00120934"/>
    <w:rsid w:val="00132070"/>
    <w:rsid w:val="00141875"/>
    <w:rsid w:val="0014347E"/>
    <w:rsid w:val="00154438"/>
    <w:rsid w:val="001551F6"/>
    <w:rsid w:val="0015535B"/>
    <w:rsid w:val="00162036"/>
    <w:rsid w:val="001632DD"/>
    <w:rsid w:val="00176E60"/>
    <w:rsid w:val="00194913"/>
    <w:rsid w:val="00194D9A"/>
    <w:rsid w:val="001A196B"/>
    <w:rsid w:val="001A6D05"/>
    <w:rsid w:val="001B38BF"/>
    <w:rsid w:val="001B772D"/>
    <w:rsid w:val="001D5B5D"/>
    <w:rsid w:val="001E6153"/>
    <w:rsid w:val="00201FF9"/>
    <w:rsid w:val="00205857"/>
    <w:rsid w:val="00235ADC"/>
    <w:rsid w:val="00236F87"/>
    <w:rsid w:val="00265702"/>
    <w:rsid w:val="002662B2"/>
    <w:rsid w:val="002717C7"/>
    <w:rsid w:val="002875E9"/>
    <w:rsid w:val="00287EB3"/>
    <w:rsid w:val="002A47BA"/>
    <w:rsid w:val="002A6777"/>
    <w:rsid w:val="002B06BD"/>
    <w:rsid w:val="002B57A1"/>
    <w:rsid w:val="002C0E48"/>
    <w:rsid w:val="002C6F04"/>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B1CC5"/>
    <w:rsid w:val="003B65CE"/>
    <w:rsid w:val="003D6721"/>
    <w:rsid w:val="003E039E"/>
    <w:rsid w:val="0040230E"/>
    <w:rsid w:val="0041662F"/>
    <w:rsid w:val="00422917"/>
    <w:rsid w:val="00440687"/>
    <w:rsid w:val="0044131D"/>
    <w:rsid w:val="00441ADA"/>
    <w:rsid w:val="00457E46"/>
    <w:rsid w:val="004922E4"/>
    <w:rsid w:val="00496AF8"/>
    <w:rsid w:val="004A575D"/>
    <w:rsid w:val="004B65C6"/>
    <w:rsid w:val="004D1DC7"/>
    <w:rsid w:val="004E7215"/>
    <w:rsid w:val="004F7D7E"/>
    <w:rsid w:val="00500B0C"/>
    <w:rsid w:val="00537150"/>
    <w:rsid w:val="00540984"/>
    <w:rsid w:val="00543851"/>
    <w:rsid w:val="0055559D"/>
    <w:rsid w:val="005569AE"/>
    <w:rsid w:val="005857F8"/>
    <w:rsid w:val="005B0D18"/>
    <w:rsid w:val="005B12C3"/>
    <w:rsid w:val="005B409D"/>
    <w:rsid w:val="005D0FDB"/>
    <w:rsid w:val="005D25E9"/>
    <w:rsid w:val="005D6D59"/>
    <w:rsid w:val="0061327A"/>
    <w:rsid w:val="00617390"/>
    <w:rsid w:val="00623420"/>
    <w:rsid w:val="006269D3"/>
    <w:rsid w:val="00634768"/>
    <w:rsid w:val="0063488F"/>
    <w:rsid w:val="0063596F"/>
    <w:rsid w:val="006709EB"/>
    <w:rsid w:val="00672824"/>
    <w:rsid w:val="00676BD4"/>
    <w:rsid w:val="0068184A"/>
    <w:rsid w:val="006A0249"/>
    <w:rsid w:val="006B5C51"/>
    <w:rsid w:val="006C7F30"/>
    <w:rsid w:val="006D43FF"/>
    <w:rsid w:val="006E6FDD"/>
    <w:rsid w:val="006F4B7F"/>
    <w:rsid w:val="006F760B"/>
    <w:rsid w:val="00701CC3"/>
    <w:rsid w:val="00724801"/>
    <w:rsid w:val="00727C2B"/>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1599C"/>
    <w:rsid w:val="00837121"/>
    <w:rsid w:val="00840D2A"/>
    <w:rsid w:val="008471E5"/>
    <w:rsid w:val="00850C35"/>
    <w:rsid w:val="00851466"/>
    <w:rsid w:val="00863E43"/>
    <w:rsid w:val="008647C3"/>
    <w:rsid w:val="008659ED"/>
    <w:rsid w:val="008708DC"/>
    <w:rsid w:val="00870987"/>
    <w:rsid w:val="0087564A"/>
    <w:rsid w:val="00881160"/>
    <w:rsid w:val="0088371C"/>
    <w:rsid w:val="008A45F3"/>
    <w:rsid w:val="008B51D9"/>
    <w:rsid w:val="008B652E"/>
    <w:rsid w:val="008D05B7"/>
    <w:rsid w:val="008F1DC6"/>
    <w:rsid w:val="008F6F51"/>
    <w:rsid w:val="00900E94"/>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201"/>
    <w:rsid w:val="00A03301"/>
    <w:rsid w:val="00A12762"/>
    <w:rsid w:val="00A13867"/>
    <w:rsid w:val="00A24E88"/>
    <w:rsid w:val="00A26FED"/>
    <w:rsid w:val="00A421D4"/>
    <w:rsid w:val="00A44FF0"/>
    <w:rsid w:val="00A50E55"/>
    <w:rsid w:val="00A67EB1"/>
    <w:rsid w:val="00A9011D"/>
    <w:rsid w:val="00A91A47"/>
    <w:rsid w:val="00A95D2B"/>
    <w:rsid w:val="00AA5587"/>
    <w:rsid w:val="00AB4ECE"/>
    <w:rsid w:val="00AC1E53"/>
    <w:rsid w:val="00AD79C8"/>
    <w:rsid w:val="00AE6CE0"/>
    <w:rsid w:val="00B058A6"/>
    <w:rsid w:val="00B117D0"/>
    <w:rsid w:val="00B13998"/>
    <w:rsid w:val="00B35C5F"/>
    <w:rsid w:val="00B439DD"/>
    <w:rsid w:val="00B52E0F"/>
    <w:rsid w:val="00B74629"/>
    <w:rsid w:val="00B91F58"/>
    <w:rsid w:val="00BA579E"/>
    <w:rsid w:val="00BE2295"/>
    <w:rsid w:val="00BE6373"/>
    <w:rsid w:val="00BF533A"/>
    <w:rsid w:val="00C41794"/>
    <w:rsid w:val="00C46677"/>
    <w:rsid w:val="00C5180E"/>
    <w:rsid w:val="00C54E40"/>
    <w:rsid w:val="00C55F56"/>
    <w:rsid w:val="00C57BA4"/>
    <w:rsid w:val="00C613EB"/>
    <w:rsid w:val="00C71C1A"/>
    <w:rsid w:val="00C84623"/>
    <w:rsid w:val="00CB06C9"/>
    <w:rsid w:val="00CB1E41"/>
    <w:rsid w:val="00CB271C"/>
    <w:rsid w:val="00CC0F87"/>
    <w:rsid w:val="00CE4F96"/>
    <w:rsid w:val="00CF0AB1"/>
    <w:rsid w:val="00CF4B9B"/>
    <w:rsid w:val="00CF55E6"/>
    <w:rsid w:val="00CF772F"/>
    <w:rsid w:val="00D048DB"/>
    <w:rsid w:val="00D14F0B"/>
    <w:rsid w:val="00D178CA"/>
    <w:rsid w:val="00D3311C"/>
    <w:rsid w:val="00D53405"/>
    <w:rsid w:val="00D5457B"/>
    <w:rsid w:val="00D72995"/>
    <w:rsid w:val="00D73685"/>
    <w:rsid w:val="00DA2E08"/>
    <w:rsid w:val="00DA7FA2"/>
    <w:rsid w:val="00DC2D8D"/>
    <w:rsid w:val="00DC7F67"/>
    <w:rsid w:val="00DE1F5D"/>
    <w:rsid w:val="00DE50D8"/>
    <w:rsid w:val="00DF278A"/>
    <w:rsid w:val="00E1664B"/>
    <w:rsid w:val="00E30D12"/>
    <w:rsid w:val="00E3394E"/>
    <w:rsid w:val="00E35241"/>
    <w:rsid w:val="00E41417"/>
    <w:rsid w:val="00E42FAA"/>
    <w:rsid w:val="00E536D3"/>
    <w:rsid w:val="00E57BE2"/>
    <w:rsid w:val="00E62A95"/>
    <w:rsid w:val="00E746A2"/>
    <w:rsid w:val="00E90D06"/>
    <w:rsid w:val="00E97E59"/>
    <w:rsid w:val="00EA79C9"/>
    <w:rsid w:val="00EB66AC"/>
    <w:rsid w:val="00EC1225"/>
    <w:rsid w:val="00EC2247"/>
    <w:rsid w:val="00EC33D3"/>
    <w:rsid w:val="00EE1F87"/>
    <w:rsid w:val="00EE3931"/>
    <w:rsid w:val="00EE5AF6"/>
    <w:rsid w:val="00EF2CEF"/>
    <w:rsid w:val="00F1092D"/>
    <w:rsid w:val="00F42C20"/>
    <w:rsid w:val="00F431D8"/>
    <w:rsid w:val="00F63E8D"/>
    <w:rsid w:val="00F67706"/>
    <w:rsid w:val="00F81FE3"/>
    <w:rsid w:val="00F90F82"/>
    <w:rsid w:val="00F92D75"/>
    <w:rsid w:val="00F97327"/>
    <w:rsid w:val="00FA296F"/>
    <w:rsid w:val="00FA7323"/>
    <w:rsid w:val="00FB1299"/>
    <w:rsid w:val="00FC32D3"/>
    <w:rsid w:val="00FD4D82"/>
    <w:rsid w:val="00FE0A9E"/>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rules v:ext="edit">
        <o:r id="V:Rule1" type="connector" idref="#Straight Arrow Connector 1"/>
      </o:rules>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62497">
      <w:bodyDiv w:val="1"/>
      <w:marLeft w:val="0"/>
      <w:marRight w:val="0"/>
      <w:marTop w:val="0"/>
      <w:marBottom w:val="0"/>
      <w:divBdr>
        <w:top w:val="none" w:sz="0" w:space="0" w:color="auto"/>
        <w:left w:val="none" w:sz="0" w:space="0" w:color="auto"/>
        <w:bottom w:val="none" w:sz="0" w:space="0" w:color="auto"/>
        <w:right w:val="none" w:sz="0" w:space="0" w:color="auto"/>
      </w:divBdr>
    </w:div>
    <w:div w:id="623080224">
      <w:bodyDiv w:val="1"/>
      <w:marLeft w:val="0"/>
      <w:marRight w:val="0"/>
      <w:marTop w:val="0"/>
      <w:marBottom w:val="0"/>
      <w:divBdr>
        <w:top w:val="none" w:sz="0" w:space="0" w:color="auto"/>
        <w:left w:val="none" w:sz="0" w:space="0" w:color="auto"/>
        <w:bottom w:val="none" w:sz="0" w:space="0" w:color="auto"/>
        <w:right w:val="none" w:sz="0" w:space="0" w:color="auto"/>
      </w:divBdr>
    </w:div>
    <w:div w:id="735398931">
      <w:bodyDiv w:val="1"/>
      <w:marLeft w:val="0"/>
      <w:marRight w:val="0"/>
      <w:marTop w:val="0"/>
      <w:marBottom w:val="0"/>
      <w:divBdr>
        <w:top w:val="none" w:sz="0" w:space="0" w:color="auto"/>
        <w:left w:val="none" w:sz="0" w:space="0" w:color="auto"/>
        <w:bottom w:val="none" w:sz="0" w:space="0" w:color="auto"/>
        <w:right w:val="none" w:sz="0" w:space="0" w:color="auto"/>
      </w:divBdr>
    </w:div>
    <w:div w:id="832911706">
      <w:bodyDiv w:val="1"/>
      <w:marLeft w:val="0"/>
      <w:marRight w:val="0"/>
      <w:marTop w:val="0"/>
      <w:marBottom w:val="0"/>
      <w:divBdr>
        <w:top w:val="none" w:sz="0" w:space="0" w:color="auto"/>
        <w:left w:val="none" w:sz="0" w:space="0" w:color="auto"/>
        <w:bottom w:val="none" w:sz="0" w:space="0" w:color="auto"/>
        <w:right w:val="none" w:sz="0" w:space="0" w:color="auto"/>
      </w:divBdr>
    </w:div>
    <w:div w:id="1098520729">
      <w:bodyDiv w:val="1"/>
      <w:marLeft w:val="0"/>
      <w:marRight w:val="0"/>
      <w:marTop w:val="0"/>
      <w:marBottom w:val="0"/>
      <w:divBdr>
        <w:top w:val="none" w:sz="0" w:space="0" w:color="auto"/>
        <w:left w:val="none" w:sz="0" w:space="0" w:color="auto"/>
        <w:bottom w:val="none" w:sz="0" w:space="0" w:color="auto"/>
        <w:right w:val="none" w:sz="0" w:space="0" w:color="auto"/>
      </w:divBdr>
    </w:div>
    <w:div w:id="1330905361">
      <w:bodyDiv w:val="1"/>
      <w:marLeft w:val="0"/>
      <w:marRight w:val="0"/>
      <w:marTop w:val="0"/>
      <w:marBottom w:val="0"/>
      <w:divBdr>
        <w:top w:val="none" w:sz="0" w:space="0" w:color="auto"/>
        <w:left w:val="none" w:sz="0" w:space="0" w:color="auto"/>
        <w:bottom w:val="none" w:sz="0" w:space="0" w:color="auto"/>
        <w:right w:val="none" w:sz="0" w:space="0" w:color="auto"/>
      </w:divBdr>
    </w:div>
    <w:div w:id="1419712934">
      <w:bodyDiv w:val="1"/>
      <w:marLeft w:val="0"/>
      <w:marRight w:val="0"/>
      <w:marTop w:val="0"/>
      <w:marBottom w:val="0"/>
      <w:divBdr>
        <w:top w:val="none" w:sz="0" w:space="0" w:color="auto"/>
        <w:left w:val="none" w:sz="0" w:space="0" w:color="auto"/>
        <w:bottom w:val="none" w:sz="0" w:space="0" w:color="auto"/>
        <w:right w:val="none" w:sz="0" w:space="0" w:color="auto"/>
      </w:divBdr>
    </w:div>
    <w:div w:id="1636986768">
      <w:bodyDiv w:val="1"/>
      <w:marLeft w:val="0"/>
      <w:marRight w:val="0"/>
      <w:marTop w:val="0"/>
      <w:marBottom w:val="0"/>
      <w:divBdr>
        <w:top w:val="none" w:sz="0" w:space="0" w:color="auto"/>
        <w:left w:val="none" w:sz="0" w:space="0" w:color="auto"/>
        <w:bottom w:val="none" w:sz="0" w:space="0" w:color="auto"/>
        <w:right w:val="none" w:sz="0" w:space="0" w:color="auto"/>
      </w:divBdr>
    </w:div>
    <w:div w:id="1794398903">
      <w:bodyDiv w:val="1"/>
      <w:marLeft w:val="0"/>
      <w:marRight w:val="0"/>
      <w:marTop w:val="0"/>
      <w:marBottom w:val="0"/>
      <w:divBdr>
        <w:top w:val="none" w:sz="0" w:space="0" w:color="auto"/>
        <w:left w:val="none" w:sz="0" w:space="0" w:color="auto"/>
        <w:bottom w:val="none" w:sz="0" w:space="0" w:color="auto"/>
        <w:right w:val="none" w:sz="0" w:space="0" w:color="auto"/>
      </w:divBdr>
    </w:div>
    <w:div w:id="1795978253">
      <w:bodyDiv w:val="1"/>
      <w:marLeft w:val="0"/>
      <w:marRight w:val="0"/>
      <w:marTop w:val="0"/>
      <w:marBottom w:val="0"/>
      <w:divBdr>
        <w:top w:val="none" w:sz="0" w:space="0" w:color="auto"/>
        <w:left w:val="none" w:sz="0" w:space="0" w:color="auto"/>
        <w:bottom w:val="none" w:sz="0" w:space="0" w:color="auto"/>
        <w:right w:val="none" w:sz="0" w:space="0" w:color="auto"/>
      </w:divBdr>
    </w:div>
    <w:div w:id="18030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s://www.cdc.gov/infectioncontrol/guidelines/pdf/bsi/c-i-dressings-H.pdf" TargetMode="External"/><Relationship Id="rId2" Type="http://schemas.openxmlformats.org/officeDocument/2006/relationships/customXml" Target="../customXml/item2.xml"/><Relationship Id="rId16" Type="http://schemas.openxmlformats.org/officeDocument/2006/relationships/hyperlink" Target="https://www.cdc.gov/infectioncontrol/guidelines/pdf/bsi/bsi-guidelines-H.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30A1"/>
    <w:rsid w:val="00160241"/>
    <w:rsid w:val="001F47A0"/>
    <w:rsid w:val="002B5F47"/>
    <w:rsid w:val="003A1E4B"/>
    <w:rsid w:val="00455EB5"/>
    <w:rsid w:val="00461C1C"/>
    <w:rsid w:val="004E2027"/>
    <w:rsid w:val="005F21F3"/>
    <w:rsid w:val="008F6A9B"/>
    <w:rsid w:val="00A77B15"/>
    <w:rsid w:val="00BE0F2D"/>
    <w:rsid w:val="00C03643"/>
    <w:rsid w:val="00C2797F"/>
    <w:rsid w:val="00C80225"/>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2CDBE7-7F08-4F52-B308-EE351D98984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836b82f1-340d-495e-85b5-201c5296619a"/>
    <ds:schemaRef ds:uri="http://www.w3.org/XML/1998/namespace"/>
    <ds:schemaRef ds:uri="http://purl.org/dc/dcmitype/"/>
  </ds:schemaRefs>
</ds:datastoreItem>
</file>

<file path=customXml/itemProps3.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4.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5.xml><?xml version="1.0" encoding="utf-8"?>
<ds:datastoreItem xmlns:ds="http://schemas.openxmlformats.org/officeDocument/2006/customXml" ds:itemID="{2803046F-6315-4968-B135-C482F393A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8</Pages>
  <Words>2867</Words>
  <Characters>16343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19172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Toni Kaye</cp:lastModifiedBy>
  <cp:revision>3</cp:revision>
  <dcterms:created xsi:type="dcterms:W3CDTF">2019-04-02T16:32:00Z</dcterms:created>
  <dcterms:modified xsi:type="dcterms:W3CDTF">2019-04-02T18:29:00Z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