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0.11.0 -->
  <w:body>
    <w:p w:rsidR="00A77B3E">
      <w:pPr>
        <w:spacing w:before="0" w:after="80"/>
        <w:jc w:val="center"/>
      </w:pPr>
      <w:r>
        <w:drawing>
          <wp:inline>
            <wp:extent cx="2448084" cy="774176"/>
            <wp:docPr id="100001" name="" descr="National Quality Forum Logo with the tagline Driving measurable health improvements toge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
                    <pic:cNvPicPr>
                      <a:picLocks noChangeAspect="1"/>
                    </pic:cNvPicPr>
                  </pic:nvPicPr>
                  <pic:blipFill>
                    <a:blip xmlns:r="http://schemas.openxmlformats.org/officeDocument/2006/relationships" r:embed="rId4"/>
                    <a:stretch>
                      <a:fillRect/>
                    </a:stretch>
                  </pic:blipFill>
                  <pic:spPr>
                    <a:xfrm>
                      <a:off x="0" y="0"/>
                      <a:ext cx="2448084" cy="774176"/>
                    </a:xfrm>
                    <a:prstGeom prst="rect">
                      <a:avLst/>
                    </a:prstGeom>
                  </pic:spPr>
                </pic:pic>
              </a:graphicData>
            </a:graphic>
          </wp:inline>
        </w:drawing>
      </w:r>
    </w:p>
    <w:p w:rsidR="00A77B3E">
      <w:pPr>
        <w:spacing w:before="0" w:after="80"/>
        <w:jc w:val="center"/>
      </w:pPr>
    </w:p>
    <w:p w:rsidR="00A77B3E">
      <w:pPr>
        <w:spacing w:before="0" w:after="80"/>
        <w:jc w:val="center"/>
        <w:rPr>
          <w:rFonts w:ascii="Calibri" w:eastAsia="Calibri" w:hAnsi="Calibri" w:cs="Calibri"/>
          <w:b/>
          <w:sz w:val="22"/>
        </w:rPr>
      </w:pPr>
      <w:r>
        <w:rPr>
          <w:rFonts w:ascii="Calibri" w:eastAsia="Calibri" w:hAnsi="Calibri" w:cs="Calibri"/>
          <w:b/>
          <w:sz w:val="22"/>
        </w:rPr>
        <w:t>Measure Information</w:t>
      </w:r>
    </w:p>
    <w:p w:rsidR="00A77B3E">
      <w:pPr>
        <w:spacing w:before="0" w:after="80"/>
        <w:jc w:val="center"/>
        <w:rPr>
          <w:rFonts w:ascii="Calibri" w:eastAsia="Calibri" w:hAnsi="Calibri" w:cs="Calibri"/>
          <w:b/>
          <w:sz w:val="22"/>
        </w:rPr>
      </w:pPr>
    </w:p>
    <w:p w:rsidR="00A77B3E">
      <w:pPr>
        <w:spacing w:before="0" w:after="80"/>
        <w:jc w:val="left"/>
        <w:rPr>
          <w:rFonts w:ascii="Calibri" w:eastAsia="Calibri" w:hAnsi="Calibri" w:cs="Calibri"/>
          <w:b w:val="0"/>
          <w:sz w:val="20"/>
        </w:rPr>
      </w:pPr>
      <w:r>
        <w:rPr>
          <w:rFonts w:ascii="Calibri" w:eastAsia="Calibri" w:hAnsi="Calibri" w:cs="Calibri"/>
          <w:b w:val="0"/>
          <w:sz w:val="20"/>
        </w:rPr>
        <w:t>This document contains the information submitted by measure developers/stewards, but is organized according to NQF’s measure evaluation criteria and process. The item numbers refer to those in the submission form but may be in a slightly different order here. In general, the item numbers also reference the related criteria (e.g., item 1b.1 relates to sub criterion 1b).</w:t>
      </w:r>
    </w:p>
    <w:p w:rsidR="00A77B3E">
      <w:pPr>
        <w:spacing w:before="0" w:after="80"/>
        <w:jc w:val="left"/>
        <w:rPr>
          <w:rFonts w:ascii="Calibri" w:eastAsia="Calibri" w:hAnsi="Calibri" w:cs="Calibri"/>
          <w:b w:val="0"/>
          <w:sz w:val="20"/>
        </w:rPr>
      </w:pPr>
    </w:p>
    <w:p w:rsidR="00A77B3E">
      <w:pPr>
        <w:pStyle w:val="BlueGrayHeading"/>
        <w:spacing w:before="0" w:after="80"/>
        <w:jc w:val="left"/>
        <w:rPr>
          <w:rFonts w:ascii="Calibri" w:eastAsia="Calibri" w:hAnsi="Calibri" w:cs="Calibri"/>
          <w:b/>
          <w:color w:val="FFFFFF"/>
          <w:sz w:val="30"/>
        </w:rPr>
      </w:pPr>
      <w:r>
        <w:rPr>
          <w:rFonts w:ascii="Calibri" w:eastAsia="Calibri" w:hAnsi="Calibri" w:cs="Calibri"/>
          <w:b/>
          <w:color w:val="FFFFFF"/>
          <w:sz w:val="30"/>
        </w:rPr>
        <w:t>Brief Measure Information</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NQF #: </w:t>
      </w:r>
      <w:r>
        <w:rPr>
          <w:rFonts w:ascii="Calibri" w:eastAsia="Calibri" w:hAnsi="Calibri" w:cs="Calibri"/>
          <w:b w:val="0"/>
          <w:color w:val="000000"/>
          <w:sz w:val="20"/>
        </w:rPr>
        <w:t>2827</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Corresponding Measures: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Title: </w:t>
      </w:r>
      <w:r>
        <w:rPr>
          <w:rFonts w:ascii="Calibri" w:eastAsia="Calibri" w:hAnsi="Calibri" w:cs="Calibri"/>
          <w:b w:val="0"/>
          <w:color w:val="000000"/>
          <w:sz w:val="20"/>
        </w:rPr>
        <w:t>PointRight® Pro Long Stay(TM) Hospitalization Measure</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Steward: </w:t>
      </w:r>
      <w:r>
        <w:rPr>
          <w:rFonts w:ascii="Calibri" w:eastAsia="Calibri" w:hAnsi="Calibri" w:cs="Calibri"/>
          <w:b w:val="0"/>
          <w:color w:val="000000"/>
          <w:sz w:val="20"/>
        </w:rPr>
        <w:t>American Health Care Association</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sp.02. Brief Description of Measure: </w:t>
      </w:r>
      <w:r>
        <w:rPr>
          <w:rFonts w:ascii="Calibri" w:eastAsia="Calibri" w:hAnsi="Calibri" w:cs="Calibri"/>
          <w:b w:val="0"/>
          <w:color w:val="000000"/>
          <w:sz w:val="20"/>
        </w:rPr>
        <w:t>The PointRight Pro Long Stay Hospitalization Measure is an MDS-based, risk-adjusted measure of the rate of hospitalization of long-stay patients (also known as “residents”) of skilled nursing facilities (SNFs) averaged across the year, weighted by the number of stays in each quarter.</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1b.01. Developer Rationale: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In November 2013 the HHS Office of the Inspector General published a document entitled “Medicare Nursing Home Hospitalization Rates Merit Additional Monitoring” (HHS Document OEI-06-11-00040). The OIG report noted that one-quarter of Medicare nursing home residents had hospitalizations (i.e., direct discharges to acute care hospitals of Medicare residents, whether post-acute or long stay), and that these hospitalizations cost $14.3 billion – and this is for Medicare Fee for Service only.</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The rates of hospitalization varied significantly between states and between SNFs with different five-star ratings, suggesting that rates could be improved substantially if facilities rendered higher-quality care. The report details reasons for hospitalization and associates hospitalization costs with these reasons. For example, hospitalizations for pneumonia cost Medicare 844 million (USD) in one year, those for urinary track infections without sepsis cost 422 million (USD), and those related to aspiration of food or vomitus cost 618 million (USD).</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These three conditions alone are obvious opportunities for quality improvement: Pneumococcal pneumonia can be prevented by immunization; catheter-associated UTIs can be prevented by high quality catheter care, avoidance of unnecessary indwelling catheters, and prophylactic antibiotics where appropriate; aspiration rates can be reduced by dietary modifications, supervised eating, and therapy for addressable swallowing problems.</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Even when infections develop many can be safely and effectively treated in the facility if the diagnosis is timely – reducing hospitalization rates both for the specific infection and for sepsis. Review of the OIG report suggests that reducing hospitalization costs by over $1 billion per year – for FFS Medicare beneficiaries alone – is a modest and attainable target.</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A 2010 report, showed that one third of the dually eligible population in SNFs are hospitalized at least once and over a third of them can be avoidable (Walsh et al., 2010). The same study stated that in 2005, the Medicare program paid 3 billion (USD) for potentially avoidable hospitalizations, and Medicaid paid 463 million (USD). Again, these numbers demonstrate the high cost associated with hospitalizations.</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CMS through its contractor RTI has developed a 30-day hospitalization rate quality measure for SNFs based on Medicare claims, and PointRight has developed one based on the MDS; both are endorsed by the NQF. However, to date no corresponding measure has been developed for long-stay residents. According to the national MDS data from CMS, there were 437,356 long nursing home stays discharged to an acute hospital in the year ending 2015 Q1. This demonstrates the importance of needing a hospitalization measure for long-stay residents,</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In addition to their costs, it is known that hospitalizations are risky and potentially traumatic events for frail elderly patients, frequently associated with a decline in independent function, delirium and/or cognitive decline that may not be reversible, worsening of nutritional status and physical conditioning, and a risk of falls with injury, new pressure ulcers, and hospital-acquired infections They have also been tied to other risks associated with transitions of care such as the increased risk of medication errors. This offers additional motivation for reducing hospitalization rates of SNF residents, further establishing the need for a comprehensive set of performance measures related to this problem, and thus for a measure focusing on long-stay residents and including all payers.</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Other published studies confirm the observations and the conclusions reported by the OIG in 2013, e.g., ones from the Kaiser Foundation (Jacobson, 2010), the Commonwealth Fund (Schoen, 2013), MedPAC (MedPAC, 2012) and CMS (Walsh, 2010). Studies by Ouslander have shown that structural and process issues within SNFs have a high impact on the rate of hospitalizations (Ouslander, 2012; Ouslander, 2011), further supporting the hypothesis that hospitalization rates could be reduced by feasible changes in facilities’ operations.</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Jacobson, G., Neuman, T., &amp; Damico, A. (2010). Medicare spending and use of medical services for beneficiaries in nursing homes and other long term care facilities: A potential for achieving Medicare saving and improving the quality of care. The Henry J. Kaiser Family Foundation.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MedPAC. (2012) Report to congress: Payment policy. http://medpac.gov/documents/mar12_entirereport.pdf</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Ouslander, J.G., &amp; Maslow, K. (2012). Geriatrics and the triple aim: Defining preventable hospitalizations in the long-term care population. J Am Geriatr Soc., 60(12): 2313-2318.</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Ouslander, J.G., &amp; Bersenson, R.A. (2011). Reducing unnecessary hospitalization of nursing home residents. NEJM, 356(13): 1165-1167.</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Ouslander, J.G., Lamb, G., Perloe, M., Givens, J.H., Kluge, L., Rutland, T, … Saliba, D. (2010). Potentially avoidable hospitalizations of nursing home residents: Frequency, causes, and costs. J Am Geriatr Soc., 58(4): 627-635.</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Ouslander, J.G., Lamb,G., Tappen, R., Herndon, L., Diaz, S., Roos, B.A., … Bonner, A. (2011). Interventions to reduce hospitalizations from nursing homes: Evaluation of the INTERACT II collaborative quality improvement project. J Am Geriatr Soc., 59(4): 745-753.</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Schoen, C., Radley, D., Riley, P., Lippa, J., Berenson, J., Dermody, C., &amp; Shih A. (2013). Health Care in the two Americas: Findings from the scorecard on the state health system performance for low-income populations. The Commonwealth Fund.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http://www.commonwealthfund.org/Publications/Fund-Reports/2013/Sep/Low-Income-Scorecard.aspx</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Walsh, E.D., Freiman, M., Haber, S., Bragg, A., Ouslander, J., &amp; Wiener, J.M. (2010) Cost drivers for dually eligible beneficiaries: Potentially avoidable hospitalization from nursing facility, skilled nursing facility, and home and community-based services waiver programs, final task 2 report. RTI International.</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
        </w:rPr>
      </w:pPr>
      <w:r>
        <w:pict>
          <v:rect id="_x0000_i1025"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sp.12. Numerator Statement: </w:t>
      </w:r>
      <w:r>
        <w:rPr>
          <w:rFonts w:ascii="Calibri" w:eastAsia="Calibri" w:hAnsi="Calibri" w:cs="Calibri"/>
          <w:b w:val="0"/>
          <w:color w:val="000000"/>
          <w:sz w:val="20"/>
        </w:rPr>
        <w:t>The numerator for the measure is the sum over four quarters of the counts of hospitalizations of the quarterly denominator populations, where hospitalizations comprise discharges directly from the SNF to an acute care hospital.</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sp.14. Denominator Statement: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The quarterly denominator population consists of those patients present in the SNF on the first day of the quarter (the “snapshot date”) who meet the criterion for long stay on that date. The denominator for a quarter is the number of patients in the quarterly denominator population. The denominator for the measure is the sum of the quarterly denominators for the four quarters in the 12 month measurement period.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The criterion for a patient’s having a long stay is a cumulative length of stay in the facility of more than 100 days as of the snapshot date. The cumulative length of stay of a patient is the length of the current stay as of the snapshot date and plus the full lengths of stay of any previous stays that are linked to it. According to the criteria for linkage of stays used in the present measure, a stay in a SNF is linked to a subsequent stay in the SNF if the patient was discharged from the SNF to the community and was readmitted to the SNF within 10 days or fewer. All stays in a sequence of linked stays are included in the sum of days used to determine a patient’s cumulative length of stay. In these criteria the term “community” comprises private residences and all organized settings that are primarily residential in character, including senior housing, independent living facilities, board and care homes, and assisted living facilities.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A patient can contribute multiple times to the denominator for a 12 month measure period. For example, a resident continuously present in the facility for a full year would contribute four to the denominator.</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sp.16. Denominator Exclusions: </w:t>
      </w:r>
      <w:r>
        <w:rPr>
          <w:rFonts w:ascii="Calibri" w:eastAsia="Calibri" w:hAnsi="Calibri" w:cs="Calibri"/>
          <w:b w:val="0"/>
          <w:color w:val="000000"/>
          <w:sz w:val="20"/>
        </w:rPr>
        <w:t>There are no exclusions from the denominator; all patients in the facility on the snapshot date who meet the long stay criterion on that date are included.</w:t>
      </w:r>
    </w:p>
    <w:p w:rsidR="00A77B3E">
      <w:pPr>
        <w:spacing w:before="0" w:after="80"/>
        <w:jc w:val="left"/>
        <w:rPr>
          <w:rFonts w:ascii="Calibri" w:eastAsia="Calibri" w:hAnsi="Calibri" w:cs="Calibri"/>
          <w:b w:val="0"/>
          <w:color w:val="000000"/>
          <w:sz w:val="2"/>
        </w:rPr>
      </w:pPr>
      <w:r>
        <w:pict>
          <v:rect id="_x0000_i1026"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Type: </w:t>
      </w:r>
      <w:r>
        <w:rPr>
          <w:rFonts w:ascii="Calibri" w:eastAsia="Calibri" w:hAnsi="Calibri" w:cs="Calibri"/>
          <w:b w:val="0"/>
          <w:color w:val="000000"/>
          <w:sz w:val="20"/>
        </w:rPr>
        <w:t>Outcome</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sp.28. Data Source: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Assessment Data</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Electronic Health Records: Electronic Health Records</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sp.07. Level of Analysis: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Facility</w:t>
      </w:r>
    </w:p>
    <w:p w:rsidR="00A77B3E">
      <w:pPr>
        <w:spacing w:before="0" w:after="80"/>
        <w:jc w:val="left"/>
        <w:rPr>
          <w:rFonts w:ascii="Calibri" w:eastAsia="Calibri" w:hAnsi="Calibri" w:cs="Calibri"/>
          <w:b w:val="0"/>
          <w:color w:val="000000"/>
          <w:sz w:val="2"/>
        </w:rPr>
      </w:pPr>
      <w:r>
        <w:pict>
          <v:rect id="_x0000_i1027"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Endorsement Maintenance – Original Endorsement Date: </w:t>
      </w:r>
      <w:r>
        <w:rPr>
          <w:rFonts w:ascii="Calibri" w:eastAsia="Calibri" w:hAnsi="Calibri" w:cs="Calibri"/>
          <w:b w:val="0"/>
          <w:color w:val="000000"/>
          <w:sz w:val="20"/>
        </w:rPr>
        <w:t>2016-12-09 03:12 PM</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Most Recent Endorsement Date: </w:t>
      </w:r>
      <w:r>
        <w:rPr>
          <w:rFonts w:ascii="Calibri" w:eastAsia="Calibri" w:hAnsi="Calibri" w:cs="Calibri"/>
          <w:b w:val="0"/>
          <w:color w:val="000000"/>
          <w:sz w:val="20"/>
        </w:rPr>
        <w:t>12/12/2022 5:00:00 AM</w:t>
      </w:r>
    </w:p>
    <w:p w:rsidR="00A77B3E">
      <w:pPr>
        <w:spacing w:before="0" w:after="80"/>
        <w:jc w:val="left"/>
        <w:rPr>
          <w:rFonts w:ascii="Calibri" w:eastAsia="Calibri" w:hAnsi="Calibri" w:cs="Calibri"/>
          <w:b w:val="0"/>
          <w:color w:val="000000"/>
          <w:sz w:val="2"/>
        </w:rPr>
      </w:pPr>
      <w:r>
        <w:pict>
          <v:rect id="_x0000_i1028"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this measure is included in a composite, NQF Composite#/title: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this measure is paired/grouped, NQF#/title: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sp.03. IF PAIRED/GROUPED, what is the reason this measure must be reported with other measures to appropriately interpret results?: </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br w:type="page"/>
      </w:r>
    </w:p>
    <w:p w:rsidR="00A77B3E">
      <w:pPr>
        <w:pStyle w:val="OrangeHeading"/>
        <w:spacing w:before="0" w:after="80"/>
        <w:jc w:val="left"/>
        <w:rPr>
          <w:rFonts w:ascii="Calibri" w:eastAsia="Calibri" w:hAnsi="Calibri" w:cs="Calibri"/>
          <w:b/>
          <w:color w:val="FFFFFF"/>
          <w:sz w:val="30"/>
        </w:rPr>
      </w:pPr>
      <w:r>
        <w:rPr>
          <w:rFonts w:ascii="Calibri" w:eastAsia="Calibri" w:hAnsi="Calibri" w:cs="Calibri"/>
          <w:b/>
          <w:color w:val="FFFFFF"/>
          <w:sz w:val="30"/>
        </w:rPr>
        <w:t>1. Importance to Measure and Report</w:t>
      </w:r>
    </w:p>
    <w:p w:rsidR="00A77B3E">
      <w:pPr>
        <w:spacing w:before="0" w:after="80"/>
        <w:jc w:val="left"/>
        <w:rPr>
          <w:rFonts w:ascii="Calibri" w:eastAsia="Calibri" w:hAnsi="Calibri" w:cs="Calibri"/>
          <w:b w:val="0"/>
          <w:color w:val="000000"/>
          <w:sz w:val="2"/>
        </w:rPr>
      </w:pPr>
      <w:r>
        <w:rPr>
          <w:rFonts w:ascii="Calibri" w:eastAsia="Calibri" w:hAnsi="Calibri" w:cs="Calibri"/>
          <w:b w:val="0"/>
          <w:color w:val="000000"/>
          <w:sz w:val="20"/>
        </w:rPr>
        <w:t>Extent to which the specific measure focus is evidence-based, important to making significant gains in healthcare quality, and improving health outcomes for a specific high-priority (high-impact) aspect of healthcare where there is variation in or overall less-than-optimal performance. Measures must be judged to meet all sub criteria to pass this criterion and be evaluated against the remaining criteria</w:t>
      </w:r>
      <w:r>
        <w:pict>
          <v:rect id="_x0000_i1029" style="width:468pt;height:1pt" o:hrpct="1000" o:hralign="center" o:hrstd="t" o:hrnoshade="t" o:hr="t" filled="t" fillcolor="black" stroked="f">
            <v:path strokeok="f"/>
          </v:rect>
        </w:pict>
      </w:r>
    </w:p>
    <w:p w:rsidR="00A77B3E">
      <w:pPr>
        <w:pStyle w:val="Heading2a"/>
        <w:spacing w:before="0" w:after="80"/>
        <w:jc w:val="left"/>
        <w:rPr>
          <w:rFonts w:ascii="Calibri" w:eastAsia="Calibri" w:hAnsi="Calibri" w:cs="Calibri"/>
          <w:b/>
          <w:color w:val="000000"/>
          <w:sz w:val="20"/>
        </w:rPr>
      </w:pPr>
      <w:r>
        <w:rPr>
          <w:rFonts w:ascii="Calibri" w:eastAsia="Calibri" w:hAnsi="Calibri" w:cs="Calibri"/>
          <w:b/>
          <w:color w:val="000000"/>
          <w:sz w:val="20"/>
        </w:rPr>
        <w:t>1ma.01. Indicate whether there is new evidence about the measure since the most recent maintenance evaluation. If yes, please briefly summarize the new evidence, and ensure you have updated entries in the Evidence section as needed.</w:t>
      </w:r>
    </w:p>
    <w:p w:rsidR="00A77B3E">
      <w:pPr>
        <w:spacing w:before="0" w:after="80"/>
        <w:jc w:val="left"/>
        <w:rPr>
          <w:rFonts w:ascii="Calibri" w:eastAsia="Calibri" w:hAnsi="Calibri" w:cs="Calibri"/>
          <w:b/>
          <w:color w:val="000000"/>
          <w:sz w:val="20"/>
        </w:rPr>
      </w:pPr>
      <w:r>
        <w:rPr>
          <w:rFonts w:ascii="Calibri" w:eastAsia="Calibri" w:hAnsi="Calibri" w:cs="Calibri"/>
          <w:b/>
          <w:color w:val="000000"/>
          <w:sz w:val="20"/>
        </w:rPr>
        <w:t>[Response Begins]</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No  </w:t>
      </w:r>
    </w:p>
    <w:p w:rsidR="00A77B3E">
      <w:pPr>
        <w:spacing w:before="0" w:after="80"/>
        <w:jc w:val="left"/>
        <w:rPr>
          <w:rFonts w:ascii="Calibri" w:eastAsia="Calibri" w:hAnsi="Calibri" w:cs="Calibri"/>
          <w:b/>
          <w:color w:val="000000"/>
          <w:sz w:val="20"/>
        </w:rPr>
      </w:pPr>
      <w:r>
        <w:rPr>
          <w:rFonts w:ascii="Calibri" w:eastAsia="Calibri" w:hAnsi="Calibri" w:cs="Calibri"/>
          <w:b/>
          <w:color w:val="000000"/>
          <w:sz w:val="20"/>
        </w:rPr>
        <w:t>[Response Ends]</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Please separate added or updated information from the most recent measure evaluation within each question response in the Importance to Measure and Report: Evidence section. For example:</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2021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Updated evidence information here.</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2018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Evidence from the previous submission here.</w:t>
      </w:r>
    </w:p>
    <w:p w:rsidR="00A77B3E">
      <w:pPr>
        <w:spacing w:before="0" w:after="80"/>
        <w:jc w:val="left"/>
        <w:rPr>
          <w:rFonts w:ascii="Calibri" w:eastAsia="Calibri" w:hAnsi="Calibri" w:cs="Calibri"/>
          <w:b w:val="0"/>
          <w:color w:val="000000"/>
          <w:sz w:val="20"/>
        </w:rPr>
      </w:pPr>
    </w:p>
    <w:p w:rsidR="00A77B3E">
      <w:pPr>
        <w:pStyle w:val="Heading2a"/>
        <w:spacing w:before="0" w:after="80"/>
        <w:jc w:val="left"/>
        <w:rPr>
          <w:rFonts w:ascii="Calibri" w:eastAsia="Calibri" w:hAnsi="Calibri" w:cs="Calibri"/>
          <w:b/>
          <w:color w:val="000000"/>
          <w:sz w:val="20"/>
        </w:rPr>
      </w:pPr>
      <w:r>
        <w:rPr>
          <w:rFonts w:ascii="Calibri" w:eastAsia="Calibri" w:hAnsi="Calibri" w:cs="Calibri"/>
          <w:b/>
          <w:color w:val="000000"/>
          <w:sz w:val="20"/>
        </w:rPr>
        <w:t>1a.01. Provide a logic model.</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Briefly describe the steps between the healthcare structures and processes (e.g., interventions, or services) and the patient’s health outcome(s). The relationships in the diagram should be easily understood by general, non-technical audiences. Indicate the structure, process or outcome being measured.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Hospitalizations of any cause among individuals admitted to a skilled nursing facility (SNF) are the result of numerous clinical and non-clinical situations (Ouslander, 2012). However, a combination of structure, process and interventions influence the likelihood of hospitalizations more than patient acuity and condition. Structural interventions such as high staffing levels and nurse practitioner availability and process interventions such as early detection of signs and symptoms of impending infections (e.g. pneumonia, UTI) and chronic disease exacerbation (e.g. CHF, DM) can all work to decrease the incidence of hospitalizations (Ouslander, 2012; Young et al., 2011). The diagram below provides an overview of the structures and processes that can ultimately influence hospitalizations in long-term care residents.</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5115253"/>
            <wp:docPr id="100008" name="" descr="Logic model of structure and processes that influence hospitaliz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5"/>
                    <a:stretch>
                      <a:fillRect/>
                    </a:stretch>
                  </pic:blipFill>
                  <pic:spPr>
                    <a:xfrm>
                      <a:off x="0" y="0"/>
                      <a:ext cx="5943600" cy="5115253"/>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Logic model of structure and processes that influence hospitalizations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1a.02. Provide evidence that the target population values the measured outcome, process, or structure and finds it meaningful.</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Describe how and from whom input was obtained.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Studies show that hospitalizations of the elderly negatively impact mobility and function (Brown et al. 2009; Creditor, 1993). Furthermore, hospitalizations can cause complications unrelated to the primary reason for the hospitalization. These negative effects are driven by a decline in muscle strength, increased stress, and exposure to possible infections during a hospital stay, where physical movement is often restricted. Elderly individuals with dementia or memory loss can also find waking up in a hospital room disorienting. Thus, elderly individuals generally value avoiding hospitalizations when possible.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1a.03. Provide empirical data demonstrating the relationship between the outcome (or PRO) and at least one healthcare structure, process, intervention, or service.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Quality of life and quality of care are two areas that past research initiatives have utilized to measure quality. Quality of life focuses on issues surrounding the resident’s autonomy while quality of care examines the technical aspects of health care that affect the resident’s quality of health outcomes such as pressure ulcer prevalence (Spilsbury et al., 2011). Previous evidence supports the theory that quality measures are beneficial to determine the rate of hospitalization among long-stay residents. Facilities that do not have a high standard on their quality measures are more likely to have higher rates of hospitalization among long-stay residents. The evidence presented below contains past findings that describe the causal relationship between clinical outcomes and quality measures among long-stay nursing home residents and the ultimate influence on long-stay resident hospitalizations.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Improving Staffing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Staffing levels within skilled nursing facilities have the ability to affect residents’ quality of care and quality of life. Measures such as staffing ratios and licensed nursing staff availability have previously been determined to have a causal relationship between quality and health outcomes for long-stay residents.. Horn et al. (2005) evaluated staffing levels in relationship to residents’ health outcomes. Their study provided evidence that facilities where registered nurses (RN) provided 30 to 40 minutes of care per resident per day had positive health outcomes. Higher ratios among licensed practical nurses and certified nurses’ aides also provided better health outcomes. Newly admitted residents in the study were less likely to remain in the study (71.2 versus 80.8 days, P&lt;0.001), and to develop pressure ulcers. In addition, in centers where registered nurses provided 30 to 40 minutes of direct care showed a decreased in adverse outcomes while improvements in care processes increased. In addition, evidence showed a reduction in catheterization, pressure ulcers, and the development of UTI (Horn et al., 2005). Quality measures for long-stay residents showed improvement when residents received 4.1 hours of direct care per day and 1.35 hours of care from licensed staff per day (Collier &amp; Harrington, 2008).</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Indicators such as quality of care deficiencies, quality of life deficiencies, in-bed time, and resident satisfaction have also been examined (Spilsbury et al., 2011). The relationship among RNs and residents typically assume a linear relationship where higher staffing numbers provides better quality of care and fewer deficiencies (Spilsbury et al., 2011). Resident outcomes included fewer resident care deficiencies within the first year of admission and reduced mortality (Collier &amp; Harrington, 2008). Outcome measures for long-stay residents were measured by a comparison of two MDS assessments (separated by 90 days) which focused on variables such as functional improvement and weight loss (Collier &amp; Harrington, 2008).</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Facilities that have an on-site physician report lower hospitalization rates compared to facilities without a physician on-site. Young et al. (2011) reported a decrease in hospitalizations where facilities employed on-site physician assistants, nurse practitioners, and a training program for nurses’ aides. However, the majority of facilities do not have an on-site physicians and rely on nursing assessments to observe residents’ health and function-related problems as a strategy for management of care (Young et al., 2011). It is essential to have licensed staff members that can perform a proper assessment on residents’ conditions while determining if a hospital transfer is necessary. Facilities that cannot perform the proper medical assessment and communicate their findings to a physician have a higher risk of hospitalization rates (Young et al., 2011).</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Improving Communication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Effective communication between physicians and nursing staff leads to a reduction in hospitalization among long-stay residents. Both physicians and nursing staff must be trained on effective communication to provide better information about a patient’s condition regarding acute conditions and end-of-life care. Effective communication reduces the number of hospitalizations and encourages physicians to treat patients in the nursing home, thus avoiding unnecessary transfers (Young et al., 2011). At the same time, physicians must be provided resources to direct care within a nursing home such as the patients’ medical history, a lab, and lab results within a four hour timeframe during non-business hours. In addition, nursing staff must be trained to provide accurate assessments of a resident’s condition so that the physician may determine if a hospital transfer is necessary. Proper protocols must be put in place in order to provide the correct level of care to the resident and avoid hospitalizations (Young et al., 2011). The protocols for patient transfers must include resources for non-business hours (6 p.m.-6 a.m. and weekends) such as licensed staff on-site, in order to avoid improper hospitalization. Saliba et al. (2000) found that inappropriate transfers were more likely to occur during non-business hours because the facilities did not have the proper resources to treat the resident.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It is necessary to have conversations on advanced care planning with the resident and family members. These conversations are centered on noting the resident’s preferences while they are cognitively and physically able to share their wishes. Research has demonstrated that advanced care planning improves end of life care, decreases life-sustaining treatment and prevents hospitalizations. At the same time, advanced care planning leads to an increase in the use of hospice and palliative care (Brinkman-Stoppelenburg et at., 2014). It has further been shown that having an advanced care directive can lower the rate of hospitalizations and death in a hospital (Detering &amp; Silveira, 2015). All staff must be aware of healthcare advanced directives when discussing patient transfers to avoid inappropriate transfers and respect end-of-life wishes (Saliba et al., 2000).</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Improving Disease Management </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iCs/>
          <w:color w:val="000000"/>
          <w:sz w:val="20"/>
        </w:rPr>
        <w:t>INTERACT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Interventions to Reduce Acute Care Transfers (INTERACT) is a set of evidence-based clinical practice tools and strategies initially developed as a demonstration program to reduce hospitalization rates. The program reduced avoidable hospitalization in rates among nursing homes during the six-month implementation period (Ouslander et al., 2011). Overall, the program saw fewer complications and less morbidity from hospitalizations and reductions in Medicare expenditures (Ouslander et al., 2011). In combination with the INTERACT tools, nursing homes can employ best practices to avoid or mitigate risk factors for hospitalization among long-stay residents with chronic conditions. Potentially avoidable hospitalizations among nursing home residents are considered to be hospital admissions based on acute exacerbation of a chronic condition where preventative care could have been provided (Spector et al., 2013). Chronic conditions can be effectively managed in nursing homes if preventative measures or best practices are put into place. For example, infection control, falls prevention, and proper hygiene for residents with open sores are measures that could be utilized to reduce unnecessary hospitalization (Spector et al., 2013).</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iCs/>
          <w:color w:val="000000"/>
          <w:sz w:val="20"/>
        </w:rPr>
        <w:t>Functional Status/ADLs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Long-stay residents are more likely to demonstrate functional and behavioral impairment throughout their length of stay. Functional status is a practical outcome measure for this population, specifically in the physical and self-care domain, as long-stay residents are likely to demonstrate functional limitations (Gillen et al., 1996). Change of functional status is most likely to occur within the three month period after admission. Long-stay residents are more likely to remain stable at the same functional level and therefore, less likely to be discharged from a facility. Gillen et al. (1996) found a positive relationship between higher levels of functional impairment and higher probabilities of hospitalization and death among the long-stay population. Over half of their sample experienced a functional status change and/or two or more transitions. Activities of daily living (ADLs) dependency level is another risk factor for hospitalization and post discharge mortality (Ponzetto et al. 2003). It is essential that nursing homes provide the appropriate level of care in order for residents to maintain the same functional status. Maintaining functional status will prevent the deteriorating of health and reduce hospitalization.</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iCs/>
          <w:color w:val="000000"/>
          <w:sz w:val="20"/>
        </w:rPr>
        <w:t>Antipsychotics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Antipsychotics have been utilized to treat behavioral and psychotic symptoms in dementia patients. However, recentinitiatives have warned against the adverse effects of these drugs on the elderly. The use of antipsychotics among long-stay residents shows evidence of mixed reviews with caution for adverse effects. The typical approach to treating a health condition is a combination of pharmacological and nonpharmacological methods. There is evidence that side effects from antipsychotic use have the ability to reduce a resident’s functional status and quality of life. For example, drugs with anticholinergic burden (ACB) have shown to increase cognitive and physical impairments which can lead to a rapid functional decline (Kolanowski et al., 2009).</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Typically, adverse effects due to antipsychotic use may affect a resident’s quality of life including depression, cognitive impairment and hospitalization. Older adults are more sensitive to adverse effects from antipsychotics, therefore, caution must be used (Frenchman, 2005). Long-stay residents who ingest high levels of ACB are more likely to be socially withdrawn from activities that require high social engagement. Sedation and confusion are common side effects associated with ACB (Kolanowski et al., 2009). Atypical antipsychotics have also been proven to have negative results on individuals with dementia. For instance, a study by Gareri et. al (2010), found that the drugs risperidone and olanzapine have been shown in increase adverse cardiovascular events in the elderly.</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References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Brinkman-Stoppelenburg, A., Rietjens, J.A., Van Der Heide, A. (2014). The effects of advance care planning on end-of-life care: A systematic review. Palliat Med. 28: 1000-1025.</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Brown, C.J., Roth, D.L, Allman, R.M., Sawyer, P., Ritchie, C.S., Roseman, J.M. (2009). Trajectories of life-space mobility after hospitalization. Ann Intern Med. 150(6): 372-378.</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Collier, E. &amp; Harrington, C. (2008). Staffing characteristics, turnover rates, and quality of resident care in nursing facilities. Research in Gerontological Nursing. 1(3): 157-170.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Creditor, M.C. (1993). Hazards of hospitalization of the elderly. Ann Intern Med. 118(3): 219-223.</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Detering, K. &amp; Silveira, M.J. (2015). Advanced Care Planning and Advanced Directives. UpToDate. </w:t>
      </w:r>
      <w:hyperlink r:id="rId6" w:tgtFrame="_blank" w:history="1">
        <w:r>
          <w:rPr>
            <w:rFonts w:ascii="Calibri" w:eastAsia="Calibri" w:hAnsi="Calibri" w:cs="Calibri"/>
            <w:b w:val="0"/>
            <w:i w:val="0"/>
            <w:color w:val="0000FF"/>
            <w:sz w:val="20"/>
            <w:u w:val="single" w:color="0000FF"/>
          </w:rPr>
          <w:t>http://www.uptodate.com/contents/advance-care-planning-and-advance-directives</w:t>
        </w:r>
      </w:hyperlink>
      <w:r>
        <w:rPr>
          <w:rFonts w:ascii="Calibri" w:eastAsia="Calibri" w:hAnsi="Calibri" w:cs="Calibri"/>
          <w:b w:val="0"/>
          <w:i w:val="0"/>
          <w:color w:val="000000"/>
          <w:sz w:val="20"/>
        </w:rPr>
        <w: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Frenchman, I.B. (2005). Atypical antipsychotics for nursing home patients. Drugs and Aging. 22(3): 257-264.</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Gareri, P., Marigliano, N. M., De Fazio, S., Lacava, R., Castagna, A., Costantino, D. S., &amp; De Sarro, G. (2010). Antipsychotics and dementia. BMC Geriatrics, 10(Suppl 1), A93.</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Gillen, P., Spore, D., Mor, V., Freiberger, W. (1996). Functional and residential status transitions among nursing home residents. Journal of Gerontology: Medical Sciences. 51A(1): M29-M36.</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Hamer, S., Haddad, P.M. (2007). Adverse effects of antipsychotics as outcome measures. British Journal of Psychiatry. 191(59): 264-279.</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Horn, S.D., Buerhaus, P., Bergstrom, N., Smout, R.J. (2005). RN staffing time and outcomes of long-stay nursing home residents. Journal of Nursing. 105(11): 58-70.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Intrator, O., Zinn, J., Mor, V. (2004). Nursing home characteristics and potentially preventable hospitalizations of long-stay residents. Journal of American Geriatrics Society. 52: 1730-1736.</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Kahn, J.M., Werner, R.M., David, G., Have, T.R.T., Benson, N.M., Asch, D.A. (2013). Effectiveness of long-term acute care hospitalization in elderly patients with chronic critical illness. MedCare. 51(1): 4-10.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Kolanowski, A., Fick, D.M., Campbell, J., Litaker, M., Boustani, M. (2009). A preliminary study of anticholinergic burden and relationship to a quality of life indicator, engagement in activities, in nursing home residents with dementia. Journal of the American Medical Directors Association. 10(4): 252-257.</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Oslander, J.G., &amp; Maslow, K. (2012). Geriatrics and the triple aim: Defining preventable hospitalizations in the long-term care population. </w:t>
      </w:r>
      <w:r>
        <w:rPr>
          <w:rFonts w:ascii="Calibri" w:eastAsia="Calibri" w:hAnsi="Calibri" w:cs="Calibri"/>
          <w:b w:val="0"/>
          <w:i/>
          <w:iCs/>
          <w:color w:val="000000"/>
          <w:sz w:val="20"/>
        </w:rPr>
        <w:t>J Am Geriatr Soc.</w:t>
      </w:r>
      <w:r>
        <w:rPr>
          <w:rFonts w:ascii="Calibri" w:eastAsia="Calibri" w:hAnsi="Calibri" w:cs="Calibri"/>
          <w:b w:val="0"/>
          <w:i w:val="0"/>
          <w:color w:val="000000"/>
          <w:sz w:val="20"/>
        </w:rPr>
        <w:t>, 60(12): 2313-2318.</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Ouslander, J.G., Lamb, G., Tappen, R., Herndon, L., Diaz, S., Roos, B.A., Grabowski, D.C., Bonner, A. (2011). Interventions to reduce hospitalizations from nursing homes: Evaluation of the INTERACT II collaborative quality improvement project. Journal of American Geriatrics Society 59: 745-753.</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Ponzetto, M., Maero, B., Maina, P., Rosato, R., Ciccone, G., Merletti, F., Rubenstein, L.Z., Fabris, F. (2003). Risk factors for early and late morality in hospitalized older patients: The continuing importance of functional status. Journal of Gerontology: Medical Sciences. 58A(11): 1049-1054.</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Saliba, D., Kington, R., Buchanan, J., Bell, R., Wang, M., Lee, M., Herbst, M., Lee, D., Sur, D., Rubenstein, L. (2000). Appropriateness of the decision to transfer nursing facility residents to the hospital. Journal of American Geriatrics Society. 48: 154-163.</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Spector, W.D., Limcangco, R., Williams, C., Rhodes, W., Hurd, D. (2013). Potentially avoidable hospitalizations for elderly long-stay residents in nursing homes. Medical Care 51(8): 673-681.</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Spilsbury, K., Hewitt, C., Stirk, L., Bowman, C. (2011). The relationship between nurse staffing and quality of care in nursing homes: A systematic review. International Journal of Nursing Studies. 48: 732-750.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Werner, R.M., Konetzka, R.T., Kim, M.M. (2013). Quality improvement under nursing home compare: The association between changes in process and outcome measures. MedCare. 51(7): 582-588.</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Young, Y. Inandar, S., Dichter, B.S., Kilburn, H., Hannan, E.L. (2011). Clinical and nonclinical factors associated with potentially preventable hospitalizations among nursing home residents in New York state. Journal of American Medical Directors Association. 12: 364-371.</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1b.01. Briefly explain the rationale for this measure.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Explain how the measure will improve the quality of care, and list the benefits or improvements in quality envisioned by use of this measure.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 November 2013 the HHS Office of the Inspector General published a document entitled “Medicare Nursing Home Hospitalization Rates Merit Additional Monitoring” (HHS Document OEI-06-11-00040). The OIG report noted that one-quarter of Medicare nursing home residents had hospitalizations (i.e., direct discharges to acute care hospitals of Medicare residents, whether post-acute or long stay), and that these hospitalizations cost $14.3 billion – and this is for Medicare Fee for Service only.</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rates of hospitalization varied significantly between states and between SNFs with different five-star ratings, suggesting that rates could be improved substantially if facilities rendered higher-quality care. The report details reasons for hospitalization and associates hospitalization costs with these reasons. For example, hospitalizations for pneumonia cost Medicare 844 million (USD) in one year, those for urinary track infections without sepsis cost 422 million (USD), and those related to aspiration of food or vomitus cost 618 million (USD).</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These three conditions alone are obvious opportunities for quality improvement: Pneumococcal pneumonia can be prevented by immunization; catheter-associated UTIs can be prevented by high quality catheter care, avoidance of unnecessary indwelling catheters, and prophylactic antibiotics where appropriate; aspiration rates can be reduced by dietary modifications, supervised eating, and therapy for addressable swallowing problems.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Even when infections develop many can be safely and effectively treated in the facility if the diagnosis is timely – reducing hospitalization rates both for the specific infection and for sepsis. Review of the OIG report suggests that reducing hospitalization costs by over $1 billion per year – for FFS Medicare beneficiaries alone – is a modest and attainable target.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 2010 report, showed that one third of the dually eligible population in SNFs are hospitalized at least once and over a third of them can be avoidable (Walsh et al., 2010). The same study stated that in 2005, the Medicare program paid 3 billion (USD) for potentially avoidable hospitalizations, and Medicaid paid 463 million (USD). Again, these numbers demonstrate the high cost associated with hospitalizations.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CMS through its contractor RTI has developed a 30-day hospitalization rate quality measure for SNFs based on Medicare claims, and PointRight has developed one based on the MDS; both are endorsed by the NQF. However, to date no corresponding measure has been developed for long-stay residents. According to the national MDS data from CMS, there were 437,356 long nursing home stays discharged to an acute hospital in the year ending 2015 Q1. This demonstrates the importance of needing a hospitalization measure for long-stay residents,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 addition to their costs, it is known that hospitalizations are risky and potentially traumatic events for frail elderly patients, frequently associated with a decline in independent function, delirium and/or cognitive decline that may not be reversible, worsening of nutritional status and physical conditioning, and a risk of falls with injury, new pressure ulcers, and hospital-acquired infections They have also been tied to other risks associated with transitions of care such as the increased risk of medication errors. This offers additional motivation for reducing hospitalization rates of SNF residents, further establishing the need for a comprehensive set of performance measures related to this problem, and thus for a measure focusing on long-stay residents and including all payers.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Other published studies confirm the observations and the conclusions reported by the OIG in 2013, e.g., ones from the Kaiser Foundation (Jacobson, 2010), the Commonwealth Fund (Schoen, 2013), MedPAC (MedPAC, 2012) and CMS (Walsh, 2010). Studies by Ouslander have shown that structural and process issues within SNFs have a high impact on the rate of hospitalizations (Ouslander, 2012; Ouslander, 2011), further supporting the hypothesis that hospitalization rates could be reduced by feasible changes in facilities’ operations.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Jacobson, G., Neuman, T., &amp; Damico, A. (2010). Medicare spending and use of medical services for beneficiaries in nursing homes and other long term care facilities: A potential for achieving Medicare saving and improving the quality of care. The Henry J. Kaiser Family Foundation.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MedPAC. (2012) Report to congress: Payment policy. http://medpac.gov/documents/mar12_entirereport.pdf</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Ouslander, J.G., &amp; Maslow, K. (2012). Geriatrics and the triple aim: Defining preventable hospitalizations in the long-term care population. J Am Geriatr Soc., 60(12): 2313-2318.</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Ouslander, J.G., &amp; Bersenson, R.A. (2011). Reducing unnecessary hospitalization of nursing home residents. NEJM, 356(13): 1165-1167.</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Ouslander, J.G., Lamb, G., Perloe, M., Givens, J.H., Kluge, L., Rutland, T, … Saliba, D. (2010). Potentially avoidable hospitalizations of nursing home residents: Frequency, causes, and costs. J Am Geriatr Soc., 58(4): 627-635.</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Ouslander, J.G., Lamb,G., Tappen, R., Herndon, L., Diaz, S., Roos, B.A., … Bonner, A. (2011). Interventions to reduce hospitalizations from nursing homes: Evaluation of the INTERACT II collaborative quality improvement project. J Am Geriatr Soc., 59(4): 745-753.</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Schoen, C., Radley, D., Riley, P., Lippa, J., Berenson, J., Dermody, C., &amp; Shih A. (2013). Health Care in the two Americas: Findings from the scorecard on the state health system performance for low-income populations. The Commonwealth Fund.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http://www.commonwealthfund.org/Publications/Fund-Reports/2013/Sep/Low-Income-Scorecard.aspx</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Walsh, E.D., Freiman, M., Haber, S., Bragg, A., Ouslander, J., &amp; Wiener, J.M. (2010) Cost drivers for dually eligible beneficiaries: Potentially avoidable hospitalization from nursing facility, skilled nursing facility, and home and community-based services waiver programs, final task 2 report. RTI International.</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1b.02. Provide performance scores on the measure as specified (current and over time) at the specified level of analysis.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Include mean, std dev, min, max, interquartile range, and scores by decile. Describe the data source including number of measured entities; number of patients; dates of data; if a sample, characteristics of the entities include. This information also will be used to address the sub-criterion on improvement (4b) under Usability and Use.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AHCA has been calculating and tracking hospitalizations for all SNFs nationally for data from 2014 and updating results each quarter. Below are the basic statistics for the measure from the most recent data available; care through the 4th quarter of 2020.</w:t>
      </w:r>
    </w:p>
    <w:tbl>
      <w:tblPr>
        <w:tblStyle w:val="TableGrid"/>
        <w:tblCaption w:val="Recent Summary Statistics for ProLongStay"/>
        <w:tblDescription w:val="Recent Summary Statistics for ProLongStay"/>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222"/>
        <w:gridCol w:w="2183"/>
        <w:gridCol w:w="2183"/>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1943"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Statistics</w:t>
            </w:r>
          </w:p>
        </w:tc>
        <w:tc>
          <w:tcPr>
            <w:tcW w:w="1934"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A"/>
                <w:sz w:val="20"/>
              </w:rPr>
              <w:t>2019q4 (Pre-COVID)</w:t>
            </w:r>
          </w:p>
        </w:tc>
        <w:tc>
          <w:tcPr>
            <w:tcW w:w="1934"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A"/>
                <w:sz w:val="20"/>
              </w:rPr>
              <w:t>2020q4</w:t>
            </w:r>
          </w:p>
        </w:tc>
      </w:tr>
      <w:tr>
        <w:trPr>
          <w:cantSplit/>
        </w:trPr>
        <w:tc>
          <w:tcPr>
            <w:tcW w:w="194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N</w:t>
            </w:r>
          </w:p>
        </w:tc>
        <w:tc>
          <w:tcPr>
            <w:tcW w:w="193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14,823</w:t>
            </w:r>
          </w:p>
        </w:tc>
        <w:tc>
          <w:tcPr>
            <w:tcW w:w="193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14,737</w:t>
            </w:r>
          </w:p>
        </w:tc>
      </w:tr>
      <w:tr>
        <w:trPr>
          <w:cantSplit/>
        </w:trPr>
        <w:tc>
          <w:tcPr>
            <w:tcW w:w="194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Risk Adjusted Mean Rate</w:t>
            </w:r>
          </w:p>
        </w:tc>
        <w:tc>
          <w:tcPr>
            <w:tcW w:w="193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14.7%</w:t>
            </w:r>
          </w:p>
        </w:tc>
        <w:tc>
          <w:tcPr>
            <w:tcW w:w="193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14.8%</w:t>
            </w:r>
          </w:p>
        </w:tc>
      </w:tr>
      <w:tr>
        <w:trPr>
          <w:cantSplit/>
        </w:trPr>
        <w:tc>
          <w:tcPr>
            <w:tcW w:w="194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Standard Deviation</w:t>
            </w:r>
          </w:p>
        </w:tc>
        <w:tc>
          <w:tcPr>
            <w:tcW w:w="193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5.3%</w:t>
            </w:r>
          </w:p>
        </w:tc>
        <w:tc>
          <w:tcPr>
            <w:tcW w:w="193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6.0%</w:t>
            </w:r>
          </w:p>
        </w:tc>
      </w:tr>
      <w:tr>
        <w:trPr>
          <w:cantSplit/>
        </w:trPr>
        <w:tc>
          <w:tcPr>
            <w:tcW w:w="194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Min-Max</w:t>
            </w:r>
          </w:p>
        </w:tc>
        <w:tc>
          <w:tcPr>
            <w:tcW w:w="193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0-50.9%</w:t>
            </w:r>
          </w:p>
        </w:tc>
        <w:tc>
          <w:tcPr>
            <w:tcW w:w="193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0-53.6%</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Recent Summary Statistics for ProLongStay</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 xml:space="preserve">The distribution of the SNFs with reportable data is as follows: </w:t>
      </w:r>
    </w:p>
    <w:tbl>
      <w:tblPr>
        <w:tblStyle w:val="TableGrid"/>
        <w:tblCaption w:val="Recent Rate Distribution for ProLongStay"/>
        <w:tblDescription w:val="Recent Rate Distribution for ProLongStay"/>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50"/>
        <w:gridCol w:w="2431"/>
        <w:gridCol w:w="1464"/>
        <w:gridCol w:w="2431"/>
        <w:gridCol w:w="1464"/>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1602"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A"/>
                <w:sz w:val="20"/>
              </w:rPr>
              <w:t>Risk-Adjusted Rate Range</w:t>
            </w:r>
          </w:p>
        </w:tc>
        <w:tc>
          <w:tcPr>
            <w:tcW w:w="2958"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A"/>
                <w:sz w:val="20"/>
              </w:rPr>
              <w:t>2019q4 (Pre-COVID)</w:t>
            </w:r>
          </w:p>
        </w:tc>
        <w:tc>
          <w:tcPr/>
          <w:p w:rsidR="00A77B3E">
            <w:pPr>
              <w:rPr>
                <w:rFonts w:ascii="Calibri" w:eastAsia="Calibri" w:hAnsi="Calibri" w:cs="Calibri"/>
                <w:b/>
                <w:bCs/>
                <w:i w:val="0"/>
                <w:color w:val="00000A"/>
                <w:sz w:val="20"/>
              </w:rPr>
            </w:pPr>
          </w:p>
        </w:tc>
        <w:tc>
          <w:tcPr>
            <w:tcW w:w="2958"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A"/>
                <w:sz w:val="20"/>
              </w:rPr>
              <w:t>2020q4</w:t>
            </w:r>
          </w:p>
        </w:tc>
        <w:tc>
          <w:tcPr/>
          <w:p w:rsidR="00A77B3E">
            <w:pPr>
              <w:rPr>
                <w:rFonts w:ascii="Calibri" w:eastAsia="Calibri" w:hAnsi="Calibri" w:cs="Calibri"/>
                <w:b/>
                <w:bCs/>
                <w:i w:val="0"/>
                <w:color w:val="00000A"/>
                <w:sz w:val="20"/>
              </w:rPr>
            </w:pPr>
          </w:p>
        </w:tc>
      </w:tr>
      <w:tr>
        <w:trPr>
          <w:cantSplit/>
        </w:trPr>
        <w:tc>
          <w:tcPr/>
          <w:p w:rsidR="00A77B3E">
            <w:pPr>
              <w:rPr>
                <w:rFonts w:ascii="Calibri" w:eastAsia="Calibri" w:hAnsi="Calibri" w:cs="Calibri"/>
                <w:b/>
                <w:bCs/>
                <w:i w:val="0"/>
                <w:color w:val="00000A"/>
                <w:sz w:val="20"/>
              </w:rPr>
            </w:pPr>
          </w:p>
        </w:tc>
        <w:tc>
          <w:tcPr>
            <w:tcW w:w="1592"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A"/>
                <w:sz w:val="20"/>
              </w:rPr>
              <w:t>#</w:t>
            </w:r>
          </w:p>
        </w:tc>
        <w:tc>
          <w:tcPr>
            <w:tcW w:w="1592"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A"/>
                <w:sz w:val="20"/>
              </w:rPr>
              <w:t>%</w:t>
            </w:r>
          </w:p>
        </w:tc>
        <w:tc>
          <w:tcPr>
            <w:tcW w:w="1592"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A"/>
                <w:sz w:val="20"/>
              </w:rPr>
              <w:t>#</w:t>
            </w:r>
          </w:p>
        </w:tc>
        <w:tc>
          <w:tcPr>
            <w:tcW w:w="1592"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A"/>
                <w:sz w:val="20"/>
              </w:rPr>
              <w:t>%</w:t>
            </w:r>
          </w:p>
        </w:tc>
      </w:tr>
      <w:tr>
        <w:trPr>
          <w:cantSplit/>
        </w:trPr>
        <w:tc>
          <w:tcPr>
            <w:tcW w:w="160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0-&lt;5%</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325</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2.2%</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513</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3.5%</w:t>
            </w:r>
          </w:p>
        </w:tc>
      </w:tr>
      <w:tr>
        <w:trPr>
          <w:cantSplit/>
        </w:trPr>
        <w:tc>
          <w:tcPr>
            <w:tcW w:w="160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5-&lt;10%</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2,452</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16.5%</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2,660</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18.1%</w:t>
            </w:r>
          </w:p>
        </w:tc>
      </w:tr>
      <w:tr>
        <w:trPr>
          <w:cantSplit/>
        </w:trPr>
        <w:tc>
          <w:tcPr>
            <w:tcW w:w="160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10-&lt;15%</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5,309</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35.8%</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4,687</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31.8%</w:t>
            </w:r>
          </w:p>
        </w:tc>
      </w:tr>
      <w:tr>
        <w:trPr>
          <w:cantSplit/>
        </w:trPr>
        <w:tc>
          <w:tcPr>
            <w:tcW w:w="160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15-&lt;20%</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4,552</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30.7%</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4,078</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27.7%</w:t>
            </w:r>
          </w:p>
        </w:tc>
      </w:tr>
      <w:tr>
        <w:trPr>
          <w:cantSplit/>
        </w:trPr>
        <w:tc>
          <w:tcPr>
            <w:tcW w:w="160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20-&lt;25%</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1,709</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11.5%</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1,987</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13.5%</w:t>
            </w:r>
          </w:p>
        </w:tc>
      </w:tr>
      <w:tr>
        <w:trPr>
          <w:cantSplit/>
        </w:trPr>
        <w:tc>
          <w:tcPr>
            <w:tcW w:w="160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25-&lt;30%</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370</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2.5%</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621</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4.2%</w:t>
            </w:r>
          </w:p>
        </w:tc>
      </w:tr>
      <w:tr>
        <w:trPr>
          <w:cantSplit/>
        </w:trPr>
        <w:tc>
          <w:tcPr>
            <w:tcW w:w="160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30-35%</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86</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0.6%</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139</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0.9%</w:t>
            </w:r>
          </w:p>
        </w:tc>
      </w:tr>
      <w:tr>
        <w:trPr>
          <w:cantSplit/>
        </w:trPr>
        <w:tc>
          <w:tcPr>
            <w:tcW w:w="160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&gt;=35%</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20</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0.1%</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52</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0.4%</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Recent Rate Distribution for ProLongStay</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In addition, all AHCA member facilities have access to their own hospitalization rate updated each quarter through AHCA’s Long Term Care Trend Tracker. The national average has increased from the first quarter of 2014 to the fourth quarter of 2020 by 6.5%, with the average change by state varying (see table below).</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3116974"/>
            <wp:docPr id="100010" name="" descr="National Average ProLongStay Rate Over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7"/>
                    <a:stretch>
                      <a:fillRect/>
                    </a:stretch>
                  </pic:blipFill>
                  <pic:spPr>
                    <a:xfrm>
                      <a:off x="0" y="0"/>
                      <a:ext cx="5943600" cy="3116974"/>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National Average ProLongStay Rate Over Time</w:t>
      </w:r>
    </w:p>
    <w:tbl>
      <w:tblPr>
        <w:tblStyle w:val="TableGrid"/>
        <w:tblCaption w:val="National and State Averages and Percent Change from 2014q1 to 2020q4"/>
        <w:tblDescription w:val="National and State Averages and Percent Change from 2014q1 to 2020q4"/>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474"/>
        <w:gridCol w:w="1434"/>
        <w:gridCol w:w="1434"/>
        <w:gridCol w:w="1634"/>
        <w:gridCol w:w="1919"/>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1196"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State</w:t>
            </w:r>
          </w:p>
        </w:tc>
        <w:tc>
          <w:tcPr>
            <w:tcW w:w="1186"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2014-Q1 Rate</w:t>
            </w:r>
          </w:p>
        </w:tc>
        <w:tc>
          <w:tcPr>
            <w:tcW w:w="1186"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2020-Q4 Rate</w:t>
            </w:r>
          </w:p>
        </w:tc>
        <w:tc>
          <w:tcPr>
            <w:tcW w:w="1386"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Change</w:t>
            </w:r>
          </w:p>
        </w:tc>
        <w:tc>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Facilities</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Nation</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13.9%</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14.8%</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6.5%</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14,735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AK</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7.4%</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36.0%</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19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AL</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14.3%</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16.2%</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13.5%</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223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AR</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17.7%</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16.9%</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-4.8%</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223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AZ</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11.1%</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13.8%</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24.0%</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121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CA</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14.6%</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16.8%</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15.0%</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1,133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CO</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9.6%</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10.1%</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5.8%</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208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CT</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12.9%</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13.8%</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6.4%</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210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DC</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13.8%</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13.0%</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-5.8%</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16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13.9%</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14.2%</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2.3%</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44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FL</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15.4%</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18.3%</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18.8%</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668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GA</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15.2%</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15.5%</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353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HI</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6.8%</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30.3%</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41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IA</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12.9%</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11.9%</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-7.9%</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422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ID</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8.1%</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10.9%</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75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IL</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15.7%</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16.4%</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4.6%</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685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12.9%</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13.2%</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2.3%</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522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KS</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14.4%</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15.0%</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4.3%</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319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KY</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15.3%</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16.5%</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7.6%</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271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LA</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19.1%</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20.4%</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7.0%</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261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MA</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12.0%</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14.8%</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23.4%</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365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MD</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13.0%</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13.5%</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3.3%</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221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ME</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11.2%</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9.8%</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-12.5%</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93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MI</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13.3%</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15.2%</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14.3%</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430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MN</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11.2%</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12.4%</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11.0%</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353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MO</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14.7%</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16.8%</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14.2%</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498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MS</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19.2%</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19.8%</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3.3%</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197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MT</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10.6%</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10.7%</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0.9%</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69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NC</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13.6%</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13.7%</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407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ND</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11.6%</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11.8%</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79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NE</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12.6%</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2.2%</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190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NH</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11.1%</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-9.5%</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72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NJ</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15.1%</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16.0%</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5.5%</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337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NM</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13.0%</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13.6%</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4.7%</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65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NV</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12.8%</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14.6%</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14.0%</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53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NY</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13.6%</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12.2%</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-9.8%</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597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OH</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13.3%</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14.9%</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11.9%</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926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OK</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17.7%</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18.0%</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286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OR</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11.6%</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5.8%</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125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PA</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13.3%</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12.9%</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-3.1%</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654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RI</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12.0%</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12.4%</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2.9%</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79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SC</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14.6%</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16.9%</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15.8%</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171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SD</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11.9%</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10.7%</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-9.6%</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104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TN</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14.5%</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14.1%</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-2.5%</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297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TX</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15.9%</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17.1%</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7.3%</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1,166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UT</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9.9%</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10.4%</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5.4%</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85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VA</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13.7%</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13.1%</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-4.0%</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280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VT</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10.2%</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9.4%</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-8.1%</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35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WA</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10.4%</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10.7%</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2.5%</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196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WI</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10.7%</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15.3%</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339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WV</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14.2%</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12.2%</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-13.6%</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117 </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WY</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9.8%</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10.3%</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5.2%</w:t>
            </w:r>
          </w:p>
        </w:tc>
        <w:tc>
          <w:tcPr>
            <w:tcW w:w="16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35 </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National and State Averages and Percent Change from 2014q1 to 2020q4</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1b.03. If no or limited performance data on the measure as specified is reported above, then provide a summary of data from the literature that indicates opportunity for improvement or overall less than optimal performance on the specific focus of measurement. Include citations.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1b.04. Provide disparities data from the measure as specified (current and over time) by population group, e.g., by race/ethnicity, gender, age, insurance status, socioeconomic status, and/or disability.</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Describe the data source including number of measured entities; number of patients; dates of data; if a sample, characteristics of the entities included. Include mean, std dev, min, max, interquartile range, and scores by decile. For measures that show high levels of performance, i.e., “topped out”, disparities data may demonstrate an opportunity for improvement/gap in care for certain sub-populations. This information also will be used to address the sub-criterion on improvement (4b) under Usability and Use.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The MDS allows us to test the impact of race/ethnicity (A1000), gender (A0800), age (A0900) and Medicaid beneficiary status (A0700). All four of these variables are significant factors in explaining the risk of a long stay hospitalization, but only gender, age, and Medicaid beneficiary status are included in one or more of the four logistic regression models used to calculate the expected rate of first hospitalizations. Race/ethnicity was excluded because only black/African American as a binary variable was significant and using it as a crude proxy for other factors goes against NQF’s guidance received during NQF Social Risk Trial from 2015-2017.</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 xml:space="preserve">In our selection of sociodemographic factors to test we required that the factor be included on the MDS assessment and that it be consistently and reliably reported. These factors were age, gender, race/ethnicity and Medicaid beneficiary status as indicated by the patient’s having a Medicaid number. (This does not mean that Medicaid was necessarily the payer for every day of the patient’s stay – it is Medicaid eligibility that is the indicator of socioeconomic status as this means the patient has low income and few assets.) The items for occupation and education on admission MDS assessments often were missing. We rejected the option of using community-level (e.g., ZIP code based or census based) socioeconomic variables to impute socioeconomic status of individuals, both because of the high error variance implicit in that approach, and because we thought this would make the risk adjustment less acceptable to providers. In our view it would make little sense to them that the adjusted rates of hospitalization for otherwise identical facilities one city block apart would differ because one was in a different census tract or ZIP code from the other.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 xml:space="preserve">In testing the above-mentioned risk factors we compared their effects in both multi-level fixed effects models and in simple logistic regression models. If a multi-level fixed effects model including a given risk factor candidate explained significantly more variance in hospitalization rates than a simple logistic regression, we inferred that part of its effect was via disparities in facility performance correlated with the makeup of the facility’s resident population – disparities we did not want to mitigate by risk adjustment. We attributed variance at the individual level to otherwise-unmeasured differences in baseline health status for which risk adjustment would be appropriate.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Specific risk factors were tested and utilized as follows:</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A"/>
          <w:sz w:val="20"/>
        </w:rPr>
        <w:t xml:space="preserve">Age. This was tested using binary variables for age ranges: &lt;65, 65-69, 70-74, …90 or higher. Of these, only the variable indicating age of 90 or over added significantly to the explained variance to the predictive models.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A"/>
          <w:sz w:val="20"/>
        </w:rPr>
        <w:t xml:space="preserve">Race/Ethnicity. Individual ethnicities (black/African American, Latino, etc.) that are listed on the MDS were tested as binary variables, as was the constructed variable White/Nonwhite. Only black/African American as a binary variable added significantly to the explained variance of logistic regression models. To determine an appropriate coefficient for the black/African American variable we tested it in a two-level fixed effects model with both facility and individual effects. In this model most of the variance due to black race was associated with the facility level – i.e., facilities with a high proportion of black residents showed worse performance after adjustment for other risk factors - but the variable remained significant at the individual level. Despite being significant, the impact was minor and we decided to exclude from our final risk adjustment model, as recommended by the NQF panel at the All-Cause Admissions and Readmissions Standing Committee Meeting on June 8th 2016.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A"/>
          <w:sz w:val="20"/>
        </w:rPr>
        <w:t>Medicaid beneficiary status. As with race, Medicaid was associated with higher hospitalization rates, with most of the effect at the facility level – i.e., facilities with high proportions of Medicaid residents had worse outcomes. Nonetheless, even in the two-level fixed-effects model there was an effect of Medicaid status at the patient level. The coefficient in the simple logistic regression models were determined in fixed effects models and forced into the logistic regressions.</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A"/>
          <w:sz w:val="20"/>
        </w:rPr>
        <w:t xml:space="preserve">Gender. There was a strong effect of gender at the patient level. We interpreted this as totally due to health status differences associated with gender and not under the control of the facility.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 xml:space="preserve">Nationally, 76% of all nursing home residents are classified as White, 14% as African American, and 2% as Asian (see table below for full breakdown of race and ethnicity in 2020).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Race/Ethnicity Makeup of SNF Residents (2020q1-2020q4)</w:t>
      </w:r>
    </w:p>
    <w:tbl>
      <w:tblPr>
        <w:tblStyle w:val="TableGrid"/>
        <w:tblCaption w:val="Race/Ethnicity of SNF Residents in 2020"/>
        <w:tblDescription w:val="Race/Ethnicity of SNF Residents in 202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084"/>
        <w:gridCol w:w="1116"/>
        <w:gridCol w:w="1052"/>
        <w:gridCol w:w="1112"/>
        <w:gridCol w:w="1041"/>
        <w:gridCol w:w="1093"/>
        <w:gridCol w:w="2123"/>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1190"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SNFs</w:t>
            </w:r>
          </w:p>
        </w:tc>
        <w:tc>
          <w:tcPr>
            <w:tcW w:w="1180"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Residents</w:t>
            </w:r>
          </w:p>
        </w:tc>
        <w:tc>
          <w:tcPr>
            <w:tcW w:w="1180"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White</w:t>
            </w:r>
          </w:p>
        </w:tc>
        <w:tc>
          <w:tcPr>
            <w:tcW w:w="1180"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African American</w:t>
            </w:r>
          </w:p>
        </w:tc>
        <w:tc>
          <w:tcPr>
            <w:tcW w:w="1180"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Asian</w:t>
            </w:r>
          </w:p>
        </w:tc>
        <w:tc>
          <w:tcPr>
            <w:tcW w:w="1180"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Hispanic</w:t>
            </w:r>
          </w:p>
        </w:tc>
        <w:tc>
          <w:tcPr>
            <w:tcW w:w="2440"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Native American/ Hawaii Pacific Islander</w:t>
            </w:r>
          </w:p>
        </w:tc>
      </w:tr>
      <w:tr>
        <w:trPr>
          <w:cantSplit/>
        </w:trPr>
        <w:tc>
          <w:tcPr>
            <w:tcW w:w="119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15,715</w:t>
            </w:r>
          </w:p>
        </w:tc>
        <w:tc>
          <w:tcPr>
            <w:tcW w:w="11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3,739,243</w:t>
            </w:r>
          </w:p>
        </w:tc>
        <w:tc>
          <w:tcPr>
            <w:tcW w:w="11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75.8%</w:t>
            </w:r>
          </w:p>
        </w:tc>
        <w:tc>
          <w:tcPr>
            <w:tcW w:w="11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13.7%</w:t>
            </w:r>
          </w:p>
        </w:tc>
        <w:tc>
          <w:tcPr>
            <w:tcW w:w="11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w:t>
            </w:r>
          </w:p>
        </w:tc>
        <w:tc>
          <w:tcPr>
            <w:tcW w:w="11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5.6%</w:t>
            </w:r>
          </w:p>
        </w:tc>
        <w:tc>
          <w:tcPr>
            <w:tcW w:w="244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Race/Ethnicity of SNF Residents in 2020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 xml:space="preserve">Stratifying the measure by race and ethnicity would result in most providers having inadequate sample size to report a hospitalization rate. Also, the measure is an all-cause readmission measure, intended to capture the overall performance of each SNF.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When we categorize facilities by their percent of minority residents, we find that facilities with fewer minorities have lower risk adjusted ProLongStay hospitalization rates. In 2020-Q4, facilities with less than 5% of minority residents had an average rate of 12.3%, while facilities with or over 35% of minority residents had an average hospitalization rate of 17.9% (See table below).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Facility-Level Race/Ethnicity x ProLongStay Hospitalization Rate</w:t>
      </w:r>
    </w:p>
    <w:tbl>
      <w:tblPr>
        <w:tblStyle w:val="TableGrid"/>
        <w:tblCaption w:val="Facility-Level Race/Ethnicity and Average ProLongStay Rates"/>
        <w:tblDescription w:val="Facility-Level Race/Ethnicity and Average ProLongStay Rate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011"/>
        <w:gridCol w:w="1743"/>
        <w:gridCol w:w="2641"/>
        <w:gridCol w:w="1439"/>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2795"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Facility-Level Race/Ethnicity</w:t>
            </w:r>
          </w:p>
        </w:tc>
        <w:tc>
          <w:tcPr>
            <w:tcW w:w="1480"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SNF Count</w:t>
            </w:r>
          </w:p>
        </w:tc>
        <w:tc>
          <w:tcPr>
            <w:tcW w:w="2425"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Average Risk-Adjusted ProLongStay Hospitalization Rate</w:t>
            </w:r>
          </w:p>
        </w:tc>
        <w:tc>
          <w:tcPr/>
          <w:p w:rsidR="00A77B3E">
            <w:pPr>
              <w:rPr>
                <w:rFonts w:ascii="Calibri" w:eastAsia="Calibri" w:hAnsi="Calibri" w:cs="Calibri"/>
                <w:b/>
                <w:bCs/>
                <w:i w:val="0"/>
                <w:color w:val="000000"/>
                <w:sz w:val="20"/>
              </w:rPr>
            </w:pPr>
          </w:p>
        </w:tc>
      </w:tr>
      <w:tr>
        <w:trPr>
          <w:cantSplit/>
        </w:trPr>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tcW w:w="1255"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2014-Q1</w:t>
            </w:r>
          </w:p>
        </w:tc>
        <w:tc>
          <w:tcPr>
            <w:tcW w:w="1180"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2020-Q4</w:t>
            </w:r>
          </w:p>
        </w:tc>
      </w:tr>
      <w:tr>
        <w:trPr>
          <w:cantSplit/>
        </w:trPr>
        <w:tc>
          <w:tcPr>
            <w:tcW w:w="279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Low (&lt;5%) </w:t>
            </w:r>
          </w:p>
        </w:tc>
        <w:tc>
          <w:tcPr>
            <w:tcW w:w="14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5,010 (34%)</w:t>
            </w:r>
          </w:p>
        </w:tc>
        <w:tc>
          <w:tcPr>
            <w:tcW w:w="125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11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12.3%</w:t>
            </w:r>
          </w:p>
        </w:tc>
      </w:tr>
      <w:tr>
        <w:trPr>
          <w:cantSplit/>
        </w:trPr>
        <w:tc>
          <w:tcPr>
            <w:tcW w:w="279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Medium-Low (5-14.9%) </w:t>
            </w:r>
          </w:p>
        </w:tc>
        <w:tc>
          <w:tcPr>
            <w:tcW w:w="14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3,415 (23%)</w:t>
            </w:r>
          </w:p>
        </w:tc>
        <w:tc>
          <w:tcPr>
            <w:tcW w:w="125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13.5%</w:t>
            </w:r>
          </w:p>
        </w:tc>
        <w:tc>
          <w:tcPr>
            <w:tcW w:w="11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14.3%</w:t>
            </w:r>
          </w:p>
        </w:tc>
      </w:tr>
      <w:tr>
        <w:trPr>
          <w:cantSplit/>
        </w:trPr>
        <w:tc>
          <w:tcPr>
            <w:tcW w:w="279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Medium-High (15-34.9%) </w:t>
            </w:r>
          </w:p>
        </w:tc>
        <w:tc>
          <w:tcPr>
            <w:tcW w:w="14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3,133 (21%)</w:t>
            </w:r>
          </w:p>
        </w:tc>
        <w:tc>
          <w:tcPr>
            <w:tcW w:w="125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14.8%</w:t>
            </w:r>
          </w:p>
        </w:tc>
        <w:tc>
          <w:tcPr>
            <w:tcW w:w="11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16.3%</w:t>
            </w:r>
          </w:p>
        </w:tc>
      </w:tr>
      <w:tr>
        <w:trPr>
          <w:cantSplit/>
        </w:trPr>
        <w:tc>
          <w:tcPr>
            <w:tcW w:w="279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High (&gt;=35%) </w:t>
            </w:r>
          </w:p>
        </w:tc>
        <w:tc>
          <w:tcPr>
            <w:tcW w:w="14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3,169 (22%)</w:t>
            </w:r>
          </w:p>
        </w:tc>
        <w:tc>
          <w:tcPr>
            <w:tcW w:w="125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16.3%</w:t>
            </w:r>
          </w:p>
        </w:tc>
        <w:tc>
          <w:tcPr>
            <w:tcW w:w="11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17.9%</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Facility-Level Race/Ethnicity and Average ProLongStay Rates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 similar pattern is seen when we look at a facility’s geographic location relative to the CDC’s Social Vulnerability Index (SVI). The SVI evaluates the relative social vulnerability of counties across the United States using 15 different measures of vulnerability in 4 different themes: socioeconomic status, household composition &amp; disability, minority status &amp; language, and housing type &amp; transportation. For every measure, if a county is above the 90th percentile (i.e. in the most vulnerable 10%), it is given a flag.</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Facilities located in lower SVI counties had lower risk adjusted ProLongStay hospitalization rates. The difference in the average readmission rate between facilities in low (0 flags) and high (&gt;= 4 flags) SVI counties has decreased over time. In 2020-Q4, facilities in low (0 flags) SVI counties had an average rate of 13.7%, while facilities in high (&gt;=4 flags) SVI counties had an average rate of 17.5%. (See table below).</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County-Level Social Vulnerability Index (SVI) x ProLongStay Hospitalization Rate</w:t>
      </w:r>
    </w:p>
    <w:tbl>
      <w:tblPr>
        <w:tblStyle w:val="TableGrid"/>
        <w:tblCaption w:val="Facility County SVI and Average ProLongStay Rate"/>
        <w:tblDescription w:val="Facility County SVI and Average ProLongStay Rate"/>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011"/>
        <w:gridCol w:w="1742"/>
        <w:gridCol w:w="2836"/>
        <w:gridCol w:w="1575"/>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2795"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Facility County SVI</w:t>
            </w:r>
          </w:p>
        </w:tc>
        <w:tc>
          <w:tcPr>
            <w:tcW w:w="1480"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SNF Count</w:t>
            </w:r>
          </w:p>
        </w:tc>
        <w:tc>
          <w:tcPr>
            <w:tcW w:w="2620"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Average Risk-Adjusted ProLongStay Hospitalization Rate</w:t>
            </w:r>
          </w:p>
        </w:tc>
        <w:tc>
          <w:tcPr/>
          <w:p w:rsidR="00A77B3E">
            <w:pPr>
              <w:rPr>
                <w:rFonts w:ascii="Calibri" w:eastAsia="Calibri" w:hAnsi="Calibri" w:cs="Calibri"/>
                <w:b/>
                <w:bCs/>
                <w:i w:val="0"/>
                <w:color w:val="000000"/>
                <w:sz w:val="20"/>
              </w:rPr>
            </w:pPr>
          </w:p>
        </w:tc>
      </w:tr>
      <w:tr>
        <w:trPr>
          <w:cantSplit/>
        </w:trPr>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tcW w:w="1315"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2014-Q1</w:t>
            </w:r>
          </w:p>
        </w:tc>
        <w:tc>
          <w:tcPr>
            <w:tcW w:w="1315"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2020-Q4</w:t>
            </w:r>
          </w:p>
        </w:tc>
      </w:tr>
      <w:tr>
        <w:trPr>
          <w:cantSplit/>
        </w:trPr>
        <w:tc>
          <w:tcPr>
            <w:tcW w:w="279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Low (0 Flags) </w:t>
            </w:r>
          </w:p>
        </w:tc>
        <w:tc>
          <w:tcPr>
            <w:tcW w:w="14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5,188 (35%)</w:t>
            </w:r>
          </w:p>
        </w:tc>
        <w:tc>
          <w:tcPr>
            <w:tcW w:w="131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13.2%</w:t>
            </w:r>
          </w:p>
        </w:tc>
        <w:tc>
          <w:tcPr>
            <w:tcW w:w="131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13.7%</w:t>
            </w:r>
          </w:p>
        </w:tc>
      </w:tr>
      <w:tr>
        <w:trPr>
          <w:cantSplit/>
        </w:trPr>
        <w:tc>
          <w:tcPr>
            <w:tcW w:w="279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Medium-Low (1 Flag) </w:t>
            </w:r>
          </w:p>
        </w:tc>
        <w:tc>
          <w:tcPr>
            <w:tcW w:w="14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3,727 (25%)</w:t>
            </w:r>
          </w:p>
        </w:tc>
        <w:tc>
          <w:tcPr>
            <w:tcW w:w="131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13.3%</w:t>
            </w:r>
          </w:p>
        </w:tc>
        <w:tc>
          <w:tcPr>
            <w:tcW w:w="131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14.2%</w:t>
            </w:r>
          </w:p>
        </w:tc>
      </w:tr>
      <w:tr>
        <w:trPr>
          <w:cantSplit/>
        </w:trPr>
        <w:tc>
          <w:tcPr>
            <w:tcW w:w="279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Medium-High (2-3 Flags) </w:t>
            </w:r>
          </w:p>
        </w:tc>
        <w:tc>
          <w:tcPr>
            <w:tcW w:w="14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3,164 (22%)</w:t>
            </w:r>
          </w:p>
        </w:tc>
        <w:tc>
          <w:tcPr>
            <w:tcW w:w="131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14.1%</w:t>
            </w:r>
          </w:p>
        </w:tc>
        <w:tc>
          <w:tcPr>
            <w:tcW w:w="131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15.4%</w:t>
            </w:r>
          </w:p>
        </w:tc>
      </w:tr>
      <w:tr>
        <w:trPr>
          <w:cantSplit/>
        </w:trPr>
        <w:tc>
          <w:tcPr>
            <w:tcW w:w="279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High (&gt;=4 Flags) </w:t>
            </w:r>
          </w:p>
        </w:tc>
        <w:tc>
          <w:tcPr>
            <w:tcW w:w="14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2,597 (18%)</w:t>
            </w:r>
          </w:p>
        </w:tc>
        <w:tc>
          <w:tcPr>
            <w:tcW w:w="131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16.1%</w:t>
            </w:r>
          </w:p>
        </w:tc>
        <w:tc>
          <w:tcPr>
            <w:tcW w:w="131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17.5%</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Facility County SVI and Average ProLongStay Rate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1b.05. If no or limited data on disparities from the measure as specified is reported above, then provide a summary of data from the literature that addresses disparities in care on the specific focus of measurement. Include citations. Not necessary if performance data provided in above.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jc w:val="left"/>
        <w:rPr>
          <w:rFonts w:ascii="Calibri" w:eastAsia="Calibri" w:hAnsi="Calibri" w:cs="Calibri"/>
          <w:b/>
          <w:i w:val="0"/>
          <w:color w:val="FFFFFF"/>
          <w:sz w:val="30"/>
        </w:rPr>
      </w:pPr>
      <w:r>
        <w:rPr>
          <w:rFonts w:ascii="Calibri" w:eastAsia="Calibri" w:hAnsi="Calibri" w:cs="Calibri"/>
          <w:b/>
          <w:i w:val="0"/>
          <w:color w:val="FFFFFF"/>
          <w:sz w:val="30"/>
        </w:rPr>
        <w:t>2. Scientific Acceptability of Measure Properties</w:t>
      </w:r>
    </w:p>
    <w:p w:rsidR="00A77B3E">
      <w:pPr>
        <w:spacing w:before="0" w:after="8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the measure, as specified, produces consistent (reliable) and credible (valid) results about the quality of care when implemented. Measures must be judged to meet the sub criteria for both reliability and validity to pass this criterion and be evaluated against the remaining criteria.</w:t>
      </w:r>
      <w:r>
        <w:pict>
          <v:rect id="_x0000_i1030" style="width:468pt;height:1pt" o:hrpct="1000" o:hralign="center" o:hrstd="t" o:hrnoshade="t" o:hr="t" filled="t" fillcolor="black" stroked="f">
            <v:path strokeok="f"/>
          </v:rect>
        </w:pic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spma.01. Indicate whether there are changes to the specifications since the last updates/submission. If yes, update the specifications in the Measure Specifications section of the Measure Submission Form, and explain your reasoning for the changes below.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spma.02. Briefly describe any important changes to the measure specifications since the last measure update and provide a rationale.</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For annual updates, please explain how the change in specifications affects the measure results. If a material change in specification is identified, data from re-testing of the measure with the new specifications is required for early maintenance review.</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For example, specifications may have been updated based on suggestions from a previous NQF CDP review.</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sp.01. Provide the measure title.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color w:val="000000"/>
          <w:sz w:val="20"/>
        </w:rPr>
        <w:t xml:space="preserve">Measure titles should be concise yet convey who and what is being measured (see </w:t>
      </w:r>
      <w:hyperlink r:id="rId8" w:history="1">
        <w:r>
          <w:rPr>
            <w:rFonts w:ascii="Calibri" w:eastAsia="Calibri" w:hAnsi="Calibri" w:cs="Calibri"/>
            <w:b w:val="0"/>
            <w:i/>
            <w:color w:val="0000FF"/>
            <w:sz w:val="20"/>
            <w:u w:val="single" w:color="0000FF"/>
          </w:rPr>
          <w:t>What Good Looks Like</w:t>
        </w:r>
      </w:hyperlink>
      <w:r>
        <w:rPr>
          <w:rFonts w:ascii="Calibri" w:eastAsia="Calibri" w:hAnsi="Calibri" w:cs="Calibri"/>
          <w:b w:val="0"/>
          <w:i/>
          <w:color w:val="000000"/>
          <w:sz w:val="20"/>
        </w:rPr>
        <w:t>).</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PointRight® Pro Long Stay(TM) Hospitalization Measure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sp.02. Provide a brief description of the measure.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Including type of score, measure focus, target population, timeframe, (e.g., Percentage of adult patients aged 18-75 years receiving one or more HbA1c tests per year).</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PointRight Pro Long Stay Hospitalization Measure is an MDS-based, risk-adjusted measure of the rate of hospitalization of long-stay patients (also known as “residents”) of skilled nursing facilities (SNFs) averaged across the year, weighted by the number of stays in each quarter.</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sp.04. </w:t>
      </w:r>
      <w:r>
        <w:rPr>
          <w:rFonts w:ascii="Calibri" w:eastAsia="Calibri" w:hAnsi="Calibri" w:cs="Calibri"/>
          <w:b/>
          <w:i w:val="0"/>
          <w:color w:val="000000"/>
          <w:sz w:val="20"/>
        </w:rPr>
        <w:t>Check all the clinical condition/topic areas that apply to your measure, below.</w:t>
      </w:r>
    </w:p>
    <w:p w:rsidR="00A77B3E">
      <w:pPr>
        <w:spacing w:before="0" w:after="8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2"/>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Surgery: General</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Other (specify)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    [Other (specify) Please Explain]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sp.05. Check all the non-condition specific measure domain areas that apply to your measure, below.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Care Coordination: Readmissions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Care Coordination: Transitions of Care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sp.06. Select one or more target population categories.</w:t>
      </w:r>
    </w:p>
    <w:p w:rsidR="00A77B3E">
      <w:pPr>
        <w:spacing w:before="0" w:after="80"/>
        <w:jc w:val="left"/>
        <w:rPr>
          <w:rFonts w:ascii="Calibri" w:eastAsia="Calibri" w:hAnsi="Calibri" w:cs="Calibri"/>
          <w:b w:val="0"/>
          <w:i/>
          <w:color w:val="000000"/>
          <w:sz w:val="20"/>
        </w:rPr>
      </w:pPr>
      <w:r>
        <w:rPr>
          <w:rFonts w:ascii="Calibri" w:eastAsia="Calibri" w:hAnsi="Calibri" w:cs="Calibri"/>
          <w:b w:val="0"/>
          <w:i/>
          <w:color w:val="000000"/>
          <w:sz w:val="20"/>
        </w:rPr>
        <w:t>Select only those target populations which can be stratified in the reporting of the measure's result.</w:t>
      </w:r>
    </w:p>
    <w:p w:rsidR="00A77B3E">
      <w:pPr>
        <w:spacing w:before="0" w:after="8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3"/>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Populations at Risk: Populations at Risk</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Elderly (Age &gt;= 65)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sp.07. Select the levels of analysis that apply to your measure.</w:t>
      </w:r>
    </w:p>
    <w:p w:rsidR="00A77B3E">
      <w:pPr>
        <w:spacing w:before="0" w:after="80"/>
        <w:jc w:val="left"/>
        <w:rPr>
          <w:rFonts w:ascii="Calibri" w:eastAsia="Calibri" w:hAnsi="Calibri" w:cs="Calibri"/>
          <w:b w:val="0"/>
          <w:i/>
          <w:color w:val="000000"/>
          <w:sz w:val="20"/>
        </w:rPr>
      </w:pPr>
      <w:r>
        <w:rPr>
          <w:rFonts w:ascii="Calibri" w:eastAsia="Calibri" w:hAnsi="Calibri" w:cs="Calibri"/>
          <w:b w:val="0"/>
          <w:i/>
          <w:iCs/>
          <w:color w:val="000000"/>
          <w:sz w:val="20"/>
        </w:rPr>
        <w:t>Check ONLY the levels of analysis for which the measure is SPECIFIED and TESTED.</w:t>
      </w:r>
    </w:p>
    <w:p w:rsidR="00A77B3E">
      <w:pPr>
        <w:spacing w:before="0" w:after="8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4"/>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Clinician: Clinician</w:t>
      </w:r>
    </w:p>
    <w:p w:rsidR="00A77B3E">
      <w:pPr>
        <w:numPr>
          <w:ilvl w:val="0"/>
          <w:numId w:val="4"/>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Population: Population</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Facility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sp.08. Indicate the care settings that apply to your measure.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 Check ONLY the settings for which the measure is SPECIFIED and TESTED.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Post-Acute Care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sp.09. Provide a URL link to a web page specific for this measure that contains current detailed specifications including code lists, risk model details, and supplemental materials.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Do not enter a URL linking to a home page or to general information. If no URL is available, indicate “none available".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https://www.ahcancal.org/Data-and-Research/Documents/PointRight%20Pro%20Long%20Stay%20Hospitalization%20Rate.pdf</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sp.11. Attach the data dictionary, code table, or value sets (and risk model codes and coefficients when applicable). Excel formats (.xlsx or .csv) are preferred.</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 xml:space="preserve">Attach an excel or csv file; if this poses an issue, </w:t>
      </w:r>
      <w:hyperlink r:id="rId9" w:history="1">
        <w:r>
          <w:rPr>
            <w:rFonts w:ascii="Calibri" w:eastAsia="Calibri" w:hAnsi="Calibri" w:cs="Calibri"/>
            <w:b w:val="0"/>
            <w:i/>
            <w:iCs/>
            <w:color w:val="0000FF"/>
            <w:sz w:val="20"/>
            <w:u w:val="single" w:color="0000FF"/>
          </w:rPr>
          <w:t>contact staff</w:t>
        </w:r>
      </w:hyperlink>
      <w:r>
        <w:rPr>
          <w:rFonts w:ascii="Calibri" w:eastAsia="Calibri" w:hAnsi="Calibri" w:cs="Calibri"/>
          <w:b w:val="0"/>
          <w:i/>
          <w:iCs/>
          <w:color w:val="000000"/>
          <w:sz w:val="20"/>
        </w:rPr>
        <w:t>. Provide descriptors for any codes. Use one file with multiple worksheets, if needed.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data dictionary/code table – all information provided in the submission form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For the question below: state the outcome being measured. Calculation of the risk-adjusted outcome should be described in sp.22.</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sp.12. State the numerator.</w:t>
      </w:r>
    </w:p>
    <w:p w:rsidR="00A77B3E">
      <w:pPr>
        <w:spacing w:before="0" w:after="80"/>
        <w:jc w:val="left"/>
        <w:rPr>
          <w:rFonts w:ascii="Calibri" w:eastAsia="Calibri" w:hAnsi="Calibri" w:cs="Calibri"/>
          <w:b w:val="0"/>
          <w:i/>
          <w:color w:val="000000"/>
          <w:sz w:val="20"/>
        </w:rPr>
      </w:pPr>
      <w:r>
        <w:rPr>
          <w:rFonts w:ascii="Calibri" w:eastAsia="Calibri" w:hAnsi="Calibri" w:cs="Calibri"/>
          <w:b w:val="0"/>
          <w:i/>
          <w:iCs/>
          <w:color w:val="000000"/>
          <w:sz w:val="20"/>
        </w:rPr>
        <w:t>Brief, narrative description of the measure focus or what is being measured about the target population, i.e., cases from the target population with the target process, condition, event, or outcome).</w:t>
      </w:r>
    </w:p>
    <w:p w:rsidR="00A77B3E">
      <w:pPr>
        <w:spacing w:before="0" w:after="80"/>
        <w:jc w:val="left"/>
        <w:rPr>
          <w:rFonts w:ascii="Calibri" w:eastAsia="Calibri" w:hAnsi="Calibri" w:cs="Calibri"/>
          <w:b w:val="0"/>
          <w:i/>
          <w:color w:val="000000"/>
          <w:sz w:val="20"/>
        </w:rPr>
      </w:pPr>
      <w:r>
        <w:rPr>
          <w:rFonts w:ascii="Calibri" w:eastAsia="Calibri" w:hAnsi="Calibri" w:cs="Calibri"/>
          <w:b w:val="0"/>
          <w:i/>
          <w:iCs/>
          <w:color w:val="000000"/>
          <w:sz w:val="20"/>
        </w:rPr>
        <w:t>DO NOT include the rationale for the measure.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numerator for the measure is the sum over four quarters of the counts of hospitalizations of the quarterly denominator populations, where hospitalizations comprise discharges directly from the SNF to an acute care hospital.</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For the question below: describe how the observed outcome is identified/counted. Calculation of the risk-adjusted outcome should be described in sp.22.</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sp.13. </w:t>
      </w:r>
      <w:r>
        <w:rPr>
          <w:rFonts w:ascii="Calibri" w:eastAsia="Calibri" w:hAnsi="Calibri" w:cs="Calibri"/>
          <w:b/>
          <w:i w:val="0"/>
          <w:color w:val="000000"/>
          <w:sz w:val="20"/>
        </w:rPr>
        <w:t>Provide details needed to calculate the numerator.</w:t>
      </w:r>
    </w:p>
    <w:p w:rsidR="00A77B3E">
      <w:pPr>
        <w:spacing w:before="0" w:after="80"/>
        <w:jc w:val="left"/>
        <w:rPr>
          <w:rFonts w:ascii="Calibri" w:eastAsia="Calibri" w:hAnsi="Calibri" w:cs="Calibri"/>
          <w:b w:val="0"/>
          <w:i/>
          <w:color w:val="000000"/>
          <w:sz w:val="20"/>
        </w:rPr>
      </w:pPr>
      <w:r>
        <w:rPr>
          <w:rFonts w:ascii="Calibri" w:eastAsia="Calibri" w:hAnsi="Calibri" w:cs="Calibri"/>
          <w:b w:val="0"/>
          <w:i/>
          <w:iCs/>
          <w:color w:val="000000"/>
          <w:sz w:val="20"/>
        </w:rPr>
        <w:t>All information required to identify and calculate the cases from the target population with the target process, condition, event, or outcome such as definitions, time period for data collection, specific data collection items/responses, code/value sets.</w:t>
      </w:r>
    </w:p>
    <w:p w:rsidR="00A77B3E">
      <w:pPr>
        <w:spacing w:before="0" w:after="80"/>
        <w:jc w:val="left"/>
        <w:rPr>
          <w:rFonts w:ascii="Calibri" w:eastAsia="Calibri" w:hAnsi="Calibri" w:cs="Calibri"/>
          <w:b w:val="0"/>
          <w:i/>
          <w:color w:val="000000"/>
          <w:sz w:val="20"/>
        </w:rPr>
      </w:pPr>
      <w:r>
        <w:rPr>
          <w:rFonts w:ascii="Calibri" w:eastAsia="Calibri" w:hAnsi="Calibri" w:cs="Calibri"/>
          <w:b w:val="0"/>
          <w:i/>
          <w:iCs/>
          <w:color w:val="000000"/>
          <w:sz w:val="20"/>
        </w:rPr>
        <w:t>Note: lists of individual codes with descriptors that exceed 1 page should be provided in an Excel or csv file in required format at sp.11.</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numerator for a quarter is the number, during the quarter, of discharges from the SNF directly to an acute care hospital of patients in the denominator population for that quarter as indicated by MDS item A2100=03 ‘discharge status = acute hospital’. A patient in the quarterly denominator population can contribute multiple times to the quarterly numerator.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Discharges to LTACHs, IRFs, and mental hospitals are not included in the numerator, nor are acute hospital admissions directly following a discharge from the SNF to a setting other than an acute care hospital. As noted above, if a patient is discharged from a SNF directly to an acute care hospital during a quarter at risk, the hospitalization will be counted in the numerator even if the patient was discharged to a setting other than an acute care hospital earlier in that quarter.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numerator for the measure is the sum of the quarterly numerators for the four quarters in the 12 month measurement period.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For the question below: state the target population for the outcome. Calculation of the risk-adjusted outcome should be described in sp.22.</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sp.14. State the denominator.</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Brief, narrative description of the target population being measured.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quarterly denominator population consists of those patients present in the SNF on the first day of the quarter (the “snapshot date”) who meet the criterion for long stay on that date. The denominator for a quarter is the number of patients in the quarterly denominator population. The denominator for the measure is the sum of the quarterly denominators for the four quarters in the 12 month measurement period.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criterion for a patient’s having a long stay is a cumulative length of stay in the facility of more than 100 days as of the snapshot date. The cumulative length of stay of a patient is the length of the current stay as of the snapshot date and plus the full lengths of stay of any previous stays that are linked to it. According to the criteria for linkage of stays used in the present measure, a stay in a SNF is linked to a subsequent stay in the SNF if the patient was discharged from the SNF to the community and was readmitted to the SNF within 10 days or fewer. All stays in a sequence of linked stays are included in the sum of days used to determine a patient’s cumulative length of stay. In these criteria the term “community” comprises private residences and all organized settings that are primarily residential in character, including senior housing, independent living facilities, board and care homes, and assisted living facilities.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 patient can contribute multiple times to the denominator for a 12 month measure period. For example, a resident continuously present in the facility for a full year would contribute four to the denominator.</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For the question below: describe how the target population is identified. Calculation of the risk-adjusted outcome should be described in sp.22.</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sp.15. Provide details needed to calculate the denominator.</w:t>
      </w:r>
    </w:p>
    <w:p w:rsidR="00A77B3E">
      <w:pPr>
        <w:spacing w:before="0" w:after="80"/>
        <w:jc w:val="left"/>
        <w:rPr>
          <w:rFonts w:ascii="Calibri" w:eastAsia="Calibri" w:hAnsi="Calibri" w:cs="Calibri"/>
          <w:b w:val="0"/>
          <w:i/>
          <w:color w:val="000000"/>
          <w:sz w:val="20"/>
        </w:rPr>
      </w:pPr>
      <w:r>
        <w:rPr>
          <w:rFonts w:ascii="Calibri" w:eastAsia="Calibri" w:hAnsi="Calibri" w:cs="Calibri"/>
          <w:b w:val="0"/>
          <w:i/>
          <w:iCs/>
          <w:color w:val="000000"/>
          <w:sz w:val="20"/>
        </w:rPr>
        <w:t>All information required to identify and calculate the target population/denominator such as definitions, time period for data collection, specific data collection items/responses, code/value sets.</w:t>
      </w:r>
    </w:p>
    <w:p w:rsidR="00A77B3E">
      <w:pPr>
        <w:spacing w:before="0" w:after="80"/>
        <w:jc w:val="left"/>
        <w:rPr>
          <w:rFonts w:ascii="Calibri" w:eastAsia="Calibri" w:hAnsi="Calibri" w:cs="Calibri"/>
          <w:b w:val="0"/>
          <w:i/>
          <w:color w:val="000000"/>
          <w:sz w:val="20"/>
        </w:rPr>
      </w:pPr>
      <w:r>
        <w:rPr>
          <w:rFonts w:ascii="Calibri" w:eastAsia="Calibri" w:hAnsi="Calibri" w:cs="Calibri"/>
          <w:b w:val="0"/>
          <w:i/>
          <w:iCs/>
          <w:color w:val="000000"/>
          <w:sz w:val="20"/>
        </w:rPr>
        <w:t>Note: lists of individual codes with descriptors that exceed 1 page should be provided in an Excel or csv file in required format at sp.11.</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denominator population for a quarter is a subset of the patients present in the SNF on the snapshot date (the first day of the quarter). A patient is in that subset if his or her cumulative length of stay as of the snapshot date is more than 100 days.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The cumulative length of stay is calculated by taking the length of stay of the current admission as of the snapshot date and adding the lengths of stay of any linked stays at the same SNF. The length of the current admission as of the snapshot date is the snapshot date minus the entry date for the current admission, which is MDS item A1600. A stay is linked to a subsequent stay if the patient is discharged to the community (A2100=01) and admitted to the same SNF within 10 days or less (i.e., A1600 for the second stay minus A2100 for the first stay is less than or equal to 10 days).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The denominator for a quarter is the number of residents in the denominator population for that quarter. The denominator for the measure, which reports on a full year’s performance, is the sum of the denominators for the four quarters that constitute that year.</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sp.16. Describe the denominator exclusions.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Brief narrative description of exclusions from the target population.</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There are no exclusions from the denominator; all patients in the facility on the snapshot date who meet the long stay criterion on that date are included.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sp.17. </w:t>
      </w:r>
      <w:r>
        <w:rPr>
          <w:rFonts w:ascii="Calibri" w:eastAsia="Calibri" w:hAnsi="Calibri" w:cs="Calibri"/>
          <w:b/>
          <w:i w:val="0"/>
          <w:color w:val="000000"/>
          <w:sz w:val="20"/>
        </w:rPr>
        <w:t>Provide details needed to calculate the denominator exclusions.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All information required to identify and calculate exclusions from the denominator such as definitions, time period for data collection, specific data collection items/responses, code/value sets – Note: lists of individual codes with descriptors that exceed 1 page should be provided in an Excel or csv file in required format at sp.11.</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An outcome is regarded as unknown if it cannot be reasonably inferred or conservatively imputed.</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quarterly unknown outcome count is the number of patients in the quarterly denominator for whom it is not known and cannot be reasonably inferred or imputed that the patient was or was not hospitalized during the quarter. It would be known that a patient was hospitalized during the quarter if he or she had a discharge MDS with an acute care hospital as a discharge disposition. It would be known that a patient was not hospitalized during the quarter if he or she had an MDS assessment with an assessment reference date (item A2300) following the end of the quarter at risk and had an admission date (item A1600) on or prior to the snapshot date. If the patient has a discharge MDS during the quarter at risk and is subsequently readmitted to the same SNF within the same quarter it is assumed that there was a second discharge during that quarter (whether to an acute care hospital or elsewhere) if and only if there is a discharge MDS with an assessment reference date within that quarter. If there is an admission to the SNF from an acute care hospital during the quarter at risk but no preceding discharge MDS the inference is made that the preceding discharge was directly to an acute care hospital and the inferred discharge is counted in the numerator of the measure. If a patient has no MDS assessment of any kind with an assessment reference date 100 days or fewer after the latest MDS in the interval starting 10 days before the snapshot date and ending one day before the end of the quarter the patient’s outcome is regarded as unknown. If the count N of patients with unknown outcomes is 10% or less of the denominator, N*0.8 is added to the numerator. If N is more than 10% of the denominator the measure is not reported.</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denominator of the annual unknown outcome rate is the sum of the four quarterly denominators. The numerator of the annual unknown outcome rate is the sum over the four quarters of the numbers of quarterly denominator patients with an unknown outcome in the quarter at risk.</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sp.18. Provide all information required to stratify the measure results, if necessary.</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Include the stratification variables, definitions, specific data collection items/responses, code/value sets, and the risk-model covariates and coefficients for the clinically-adjusted version of the measure when appropriate. Note: lists of individual codes with descriptors that exceed 1 page should be provided in an Excel or csv file in required format in the Data Dictionary field.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sp.19. Select the risk adjustment type.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Select type. Provide specifications for risk stratification and/or risk models in the Scientific Acceptability section.</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Statistical risk model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sp.20. Select the most relevant type of score.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color w:val="000000"/>
          <w:sz w:val="20"/>
        </w:rPr>
        <w:t>Attachment: If available, please provide a sample report.</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Rate/proportion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sp.21. Select the appropriate interpretation of the measure score.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Classifies interpretation of score according to whether better quality or resource use is associated with a higher score, a lower score, a score falling within a defined interval, or a passing score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Better quality = Lower score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sp.22. Diagram or describe the calculation of the measure score as an ordered sequence of steps.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Identify the target population; exclusions; cases meeting the target process, condition, event, or outcome; time period of data, aggregating data; risk adjustment; etc.</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formula for a facility’s adjusted PointRight ProLong Hospitalization Rate is: [Observed rate of all hospitalizations]/[Expected rate of all hospitalizations]*[National average rate of all hospitalizations].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observed and expected rates are updated quarterly and the national benchmark rate is updated annually; the national benchmark rate used in the calculation is the most recently calculated benchmark rate at the time the observed and expected rates are calculated. </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Procedure for calculating the adjusted rate: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Calculate the observed rate.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observed PointRight ProLong Stay Hospitalization Rate is the sum of the four quarterly numerators divided by the sum of the four quarterly denominators.</w:t>
      </w:r>
    </w:p>
    <w:p w:rsidR="00A77B3E">
      <w:pPr>
        <w:numPr>
          <w:ilvl w:val="0"/>
          <w:numId w:val="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denominator for a quarter is the number of residents present in the facility on the first day of a calendar quarter who qualify as long stay on that day</w:t>
      </w:r>
    </w:p>
    <w:p w:rsidR="00A77B3E">
      <w:pPr>
        <w:numPr>
          <w:ilvl w:val="0"/>
          <w:numId w:val="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numerator for a quarter is number of hospitalizations of residents in the denominator population for that quarter, where hospitalization means discharge from the SNF directly to an acute care hospital, either with no return to the SNF or with return to the SNF after at least one midnight outside the SNF.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numerator excludes:</w:t>
      </w:r>
    </w:p>
    <w:p w:rsidR="00A77B3E">
      <w:pPr>
        <w:numPr>
          <w:ilvl w:val="0"/>
          <w:numId w:val="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Hospitalizations occurring after a patient has been discharged somewhere other than an acute care hospital and </w:t>
      </w:r>
    </w:p>
    <w:p w:rsidR="00A77B3E">
      <w:pPr>
        <w:numPr>
          <w:ilvl w:val="0"/>
          <w:numId w:val="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Hospitalizations at psychiatric hospitals, rehabilitation hospitals, or LTACHs.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numerator includes:</w:t>
      </w:r>
    </w:p>
    <w:p w:rsidR="00A77B3E">
      <w:pPr>
        <w:numPr>
          <w:ilvl w:val="0"/>
          <w:numId w:val="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“observations stays” if these involve at least one midnight away from the SNF and </w:t>
      </w:r>
    </w:p>
    <w:p w:rsidR="00A77B3E">
      <w:pPr>
        <w:numPr>
          <w:ilvl w:val="0"/>
          <w:numId w:val="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“planned” hospitalizations.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 Calculate the expected rate.</w:t>
      </w:r>
    </w:p>
    <w:p w:rsidR="00A77B3E">
      <w:pPr>
        <w:numPr>
          <w:ilvl w:val="0"/>
          <w:numId w:val="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Calculate the expected number of first hospitalizations of the quarterly denominator population for each of the four quarters in the measure period and sum them; multiply the sum by 1.25248 to obtain the expected number of total hospitalizations for the 12-month measure period. Divide this number by the sum of the quarterly denominators to get the expected rate for the measure period.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 Calculate the national benchmark rate</w:t>
      </w:r>
    </w:p>
    <w:p w:rsidR="00A77B3E">
      <w:pPr>
        <w:numPr>
          <w:ilvl w:val="0"/>
          <w:numId w:val="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national benchmark rate is the observed PointRight Pro Long Stay Hospitalization Rate for a denominator population consisting of the denominator populations for all SNFs in the largest available national sample that have complete non-discharge MDS data for all of their patients for all four quarters in the measure period and have 100% known outcomes for all patients in their denominator populations for all four quarters in the measure period. For a given member of a quarterly denominator population a known outcome means either that the patient had a discharge MDS submitted with a discharge date within the quarter and a discharge destination filled in, that the patient was readmitted from an acute care hospital during the quarter, or that the patient had a quarterly or other MDS submitted in the 100 days following the end of the quarter that gave an admission date prior to the snapshot date for the given quarter. </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Procedure for Calculating the Measure: </w:t>
      </w:r>
    </w:p>
    <w:p w:rsidR="00A77B3E">
      <w:pPr>
        <w:numPr>
          <w:ilvl w:val="0"/>
          <w:numId w:val="1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Establish a 12-month measure period comprising of four calendar quarters (each three months in length). For each quarter, the (quarterly) denominator is the number of residents who qualify as long stay for that quarter, i.e. whose cumulative length of stay as of the snapshot date (the first day of the quarter) is more than 100 days. (Cumulative length of stay is defined as the sum of the lengths of stay of the current stay and all stays linked to it.) The sum of the quarterly denominators for the four quarters constitutes the denominator for the measure period. </w:t>
      </w:r>
    </w:p>
    <w:p w:rsidR="00A77B3E">
      <w:pPr>
        <w:numPr>
          <w:ilvl w:val="0"/>
          <w:numId w:val="1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the quarterly denominator population determine the number of (direct) acute care hospitalizations of the residents in that quarter (the quarterly numerator). The count of the hospitalizations is the quarterly numerator. The sum of the quarterly numerators for the four quarters constitutes the numerator for the measure. As noted above the count includes only admissions to acute care hospitals directly from the SNF. Planned (or presumptively planned) hospitalizations are included, as are observation stays. Hospitalizations subsequent to a discharge somewhere other than an acute care hospital, and hospitalizations at LTACHs and specialty hospitals are excluded. </w:t>
      </w:r>
    </w:p>
    <w:p w:rsidR="00A77B3E">
      <w:pPr>
        <w:numPr>
          <w:ilvl w:val="0"/>
          <w:numId w:val="1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Divide the total numerator by the total denominator to obtain the observed rate for the SNF. </w:t>
      </w:r>
    </w:p>
    <w:p w:rsidR="00A77B3E">
      <w:pPr>
        <w:numPr>
          <w:ilvl w:val="0"/>
          <w:numId w:val="1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Calculate the estimated probability of a first hospitalization for each member of each quarterly denominator population using the predictive model described above, and sum these probabilities to get the expected number of first hospitalizations per quarter for the total 12 month denominator population. Sum these expected numbers over the four quarters of the measure period to get the expected number of first hospitalizations for the measure period. Multiply this result by 1.25248 to get the expected number of total hospitalizations for the total measure period denominator population, and divide this by the total measure period denominator to get the expected PointRight Pro Long Stay Hospitalization Rate for the measure period. </w:t>
      </w:r>
    </w:p>
    <w:p w:rsidR="00A77B3E">
      <w:pPr>
        <w:numPr>
          <w:ilvl w:val="0"/>
          <w:numId w:val="1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Divide the observed rate by the expected rate and multiply by the most recent national benchmark rate to obtain the Adjusted PointRight Pro Long Stay Hospitalization Rate.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sp.25. If measure is based on a sample, provide instructions for obtaining the sample and guidance on minimum sample size.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sp.28. Select </w:t>
      </w:r>
      <w:r>
        <w:rPr>
          <w:rFonts w:ascii="Calibri" w:eastAsia="Calibri" w:hAnsi="Calibri" w:cs="Calibri"/>
          <w:b/>
          <w:bCs/>
          <w:i w:val="0"/>
          <w:color w:val="000000"/>
          <w:sz w:val="20"/>
        </w:rPr>
        <w:t>only</w:t>
      </w:r>
      <w:r>
        <w:rPr>
          <w:rFonts w:ascii="Calibri" w:eastAsia="Calibri" w:hAnsi="Calibri" w:cs="Calibri"/>
          <w:b/>
          <w:i w:val="0"/>
          <w:color w:val="000000"/>
          <w:sz w:val="20"/>
        </w:rPr>
        <w:t xml:space="preserve"> the data sources for which the measure is </w:t>
      </w:r>
      <w:r>
        <w:rPr>
          <w:rFonts w:ascii="Calibri" w:eastAsia="Calibri" w:hAnsi="Calibri" w:cs="Calibri"/>
          <w:b/>
          <w:bCs/>
          <w:i w:val="0"/>
          <w:color w:val="000000"/>
          <w:sz w:val="20"/>
        </w:rPr>
        <w:t>specified</w:t>
      </w:r>
      <w:r>
        <w:rPr>
          <w:rFonts w:ascii="Calibri" w:eastAsia="Calibri" w:hAnsi="Calibri" w:cs="Calibri"/>
          <w:b/>
          <w:i w:val="0"/>
          <w:color w:val="000000"/>
          <w:sz w:val="20"/>
        </w:rPr>
        <w:t>.</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Assessment Data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sp.29. Identify the specific data source or data collection instrument.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For example, provide the name of the database, clinical registry, collection instrument, etc., and describe how data are collected.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Resident Assessment Instrument Minimum Data Set (MDS) version 3.0</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sp.30. Provide the data collection instrument.</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Available in attached appendix in Question 1 of the Additional Section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Attachment: Resident Assessment Instrument Minimum Data Set (MDS) version 3.0</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2ma.01. Indicate whether additional empirical reliability testing at the accountable entity level has been conducted. If yes, please provide results in the following section, Scientific Acceptability: Reliability - Testing. Include information on all testing conducted (prior testing as well as any new testing).</w:t>
      </w:r>
    </w:p>
    <w:p w:rsidR="00A77B3E">
      <w:pPr>
        <w:spacing w:before="0" w:after="80"/>
        <w:jc w:val="left"/>
        <w:rPr>
          <w:rFonts w:ascii="Calibri" w:eastAsia="Calibri" w:hAnsi="Calibri" w:cs="Calibri"/>
          <w:b w:val="0"/>
          <w:i/>
          <w:color w:val="000000"/>
          <w:sz w:val="20"/>
        </w:rPr>
      </w:pPr>
      <w:r>
        <w:rPr>
          <w:rFonts w:ascii="Calibri" w:eastAsia="Calibri" w:hAnsi="Calibri" w:cs="Calibri"/>
          <w:b/>
          <w:bCs/>
          <w:i/>
          <w:color w:val="000000"/>
          <w:sz w:val="20"/>
        </w:rPr>
        <w:t>Please separate added or updated information from the most recent measure evaluation within each question response in the Scientific Acceptability sections. For example:</w:t>
      </w:r>
    </w:p>
    <w:p w:rsidR="00A77B3E">
      <w:pPr>
        <w:spacing w:before="0" w:after="80"/>
        <w:jc w:val="left"/>
        <w:rPr>
          <w:rFonts w:ascii="Calibri" w:eastAsia="Calibri" w:hAnsi="Calibri" w:cs="Calibri"/>
          <w:b w:val="0"/>
          <w:i/>
          <w:color w:val="000000"/>
          <w:sz w:val="20"/>
        </w:rPr>
      </w:pPr>
      <w:r>
        <w:rPr>
          <w:rFonts w:ascii="Calibri" w:eastAsia="Calibri" w:hAnsi="Calibri" w:cs="Calibri"/>
          <w:b/>
          <w:bCs/>
          <w:i/>
          <w:color w:val="000000"/>
          <w:sz w:val="20"/>
        </w:rPr>
        <w:t>Current Submission:</w:t>
      </w:r>
    </w:p>
    <w:p w:rsidR="00A77B3E">
      <w:pPr>
        <w:spacing w:before="0" w:after="80"/>
        <w:jc w:val="left"/>
        <w:rPr>
          <w:rFonts w:ascii="Calibri" w:eastAsia="Calibri" w:hAnsi="Calibri" w:cs="Calibri"/>
          <w:b w:val="0"/>
          <w:i/>
          <w:color w:val="000000"/>
          <w:sz w:val="20"/>
        </w:rPr>
      </w:pPr>
      <w:r>
        <w:rPr>
          <w:rFonts w:ascii="Calibri" w:eastAsia="Calibri" w:hAnsi="Calibri" w:cs="Calibri"/>
          <w:b w:val="0"/>
          <w:i/>
          <w:color w:val="000000"/>
          <w:sz w:val="20"/>
        </w:rPr>
        <w:t>Updated testing information here.</w:t>
      </w:r>
    </w:p>
    <w:p w:rsidR="00A77B3E">
      <w:pPr>
        <w:spacing w:before="0" w:after="80"/>
        <w:jc w:val="left"/>
        <w:rPr>
          <w:rFonts w:ascii="Calibri" w:eastAsia="Calibri" w:hAnsi="Calibri" w:cs="Calibri"/>
          <w:b w:val="0"/>
          <w:i/>
          <w:color w:val="000000"/>
          <w:sz w:val="20"/>
        </w:rPr>
      </w:pPr>
      <w:r>
        <w:rPr>
          <w:rFonts w:ascii="Calibri" w:eastAsia="Calibri" w:hAnsi="Calibri" w:cs="Calibri"/>
          <w:b/>
          <w:bCs/>
          <w:i/>
          <w:color w:val="000000"/>
          <w:sz w:val="20"/>
        </w:rPr>
        <w:t>Previous Submission:</w:t>
      </w:r>
    </w:p>
    <w:p w:rsidR="00A77B3E">
      <w:pPr>
        <w:spacing w:before="0" w:after="80"/>
        <w:jc w:val="left"/>
        <w:rPr>
          <w:rFonts w:ascii="Calibri" w:eastAsia="Calibri" w:hAnsi="Calibri" w:cs="Calibri"/>
          <w:b w:val="0"/>
          <w:i/>
          <w:color w:val="000000"/>
          <w:sz w:val="20"/>
        </w:rPr>
      </w:pPr>
      <w:r>
        <w:rPr>
          <w:rFonts w:ascii="Calibri" w:eastAsia="Calibri" w:hAnsi="Calibri" w:cs="Calibri"/>
          <w:b w:val="0"/>
          <w:i/>
          <w:color w:val="000000"/>
          <w:sz w:val="20"/>
        </w:rPr>
        <w:t>Testing from the previous submission here.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2ma.02. Indicate whether additional empirical validity testing at the accountable entity level has been conducted. If yes, please provide results in the following section, Scientific Acceptability: Validity - Testing. Include information on all testing conducted (prior testing as well as any new testing).</w:t>
      </w:r>
    </w:p>
    <w:p w:rsidR="00A77B3E">
      <w:pPr>
        <w:spacing w:before="0" w:after="80"/>
        <w:jc w:val="left"/>
        <w:rPr>
          <w:rFonts w:ascii="Calibri" w:eastAsia="Calibri" w:hAnsi="Calibri" w:cs="Calibri"/>
          <w:b w:val="0"/>
          <w:i/>
          <w:color w:val="000000"/>
          <w:sz w:val="20"/>
        </w:rPr>
      </w:pPr>
      <w:r>
        <w:rPr>
          <w:rFonts w:ascii="Calibri" w:eastAsia="Calibri" w:hAnsi="Calibri" w:cs="Calibri"/>
          <w:b/>
          <w:bCs/>
          <w:i/>
          <w:color w:val="000000"/>
          <w:sz w:val="20"/>
        </w:rPr>
        <w:t>Please separate added or updated information from the most recent measure evaluation within each question response in the Scientific Acceptability sections. For example:</w:t>
      </w:r>
    </w:p>
    <w:p w:rsidR="00A77B3E">
      <w:pPr>
        <w:spacing w:before="0" w:after="80"/>
        <w:jc w:val="left"/>
        <w:rPr>
          <w:rFonts w:ascii="Calibri" w:eastAsia="Calibri" w:hAnsi="Calibri" w:cs="Calibri"/>
          <w:b w:val="0"/>
          <w:i/>
          <w:color w:val="000000"/>
          <w:sz w:val="20"/>
        </w:rPr>
      </w:pPr>
      <w:r>
        <w:rPr>
          <w:rFonts w:ascii="Calibri" w:eastAsia="Calibri" w:hAnsi="Calibri" w:cs="Calibri"/>
          <w:b/>
          <w:bCs/>
          <w:i/>
          <w:color w:val="000000"/>
          <w:sz w:val="20"/>
        </w:rPr>
        <w:t>Current Submission:</w:t>
      </w:r>
    </w:p>
    <w:p w:rsidR="00A77B3E">
      <w:pPr>
        <w:spacing w:before="0" w:after="80"/>
        <w:jc w:val="left"/>
        <w:rPr>
          <w:rFonts w:ascii="Calibri" w:eastAsia="Calibri" w:hAnsi="Calibri" w:cs="Calibri"/>
          <w:b w:val="0"/>
          <w:i/>
          <w:color w:val="000000"/>
          <w:sz w:val="20"/>
        </w:rPr>
      </w:pPr>
      <w:r>
        <w:rPr>
          <w:rFonts w:ascii="Calibri" w:eastAsia="Calibri" w:hAnsi="Calibri" w:cs="Calibri"/>
          <w:b w:val="0"/>
          <w:i/>
          <w:color w:val="000000"/>
          <w:sz w:val="20"/>
        </w:rPr>
        <w:t>Updated testing information here.</w:t>
      </w:r>
    </w:p>
    <w:p w:rsidR="00A77B3E">
      <w:pPr>
        <w:spacing w:before="0" w:after="80"/>
        <w:jc w:val="left"/>
        <w:rPr>
          <w:rFonts w:ascii="Calibri" w:eastAsia="Calibri" w:hAnsi="Calibri" w:cs="Calibri"/>
          <w:b w:val="0"/>
          <w:i/>
          <w:color w:val="000000"/>
          <w:sz w:val="20"/>
        </w:rPr>
      </w:pPr>
      <w:r>
        <w:rPr>
          <w:rFonts w:ascii="Calibri" w:eastAsia="Calibri" w:hAnsi="Calibri" w:cs="Calibri"/>
          <w:b/>
          <w:bCs/>
          <w:i/>
          <w:color w:val="000000"/>
          <w:sz w:val="20"/>
        </w:rPr>
        <w:t>Previous Submission:</w:t>
      </w:r>
    </w:p>
    <w:p w:rsidR="00A77B3E">
      <w:pPr>
        <w:spacing w:before="0" w:after="80"/>
        <w:jc w:val="left"/>
        <w:rPr>
          <w:rFonts w:ascii="Calibri" w:eastAsia="Calibri" w:hAnsi="Calibri" w:cs="Calibri"/>
          <w:b w:val="0"/>
          <w:i/>
          <w:color w:val="000000"/>
          <w:sz w:val="20"/>
        </w:rPr>
      </w:pPr>
      <w:r>
        <w:rPr>
          <w:rFonts w:ascii="Calibri" w:eastAsia="Calibri" w:hAnsi="Calibri" w:cs="Calibri"/>
          <w:b w:val="0"/>
          <w:i/>
          <w:color w:val="000000"/>
          <w:sz w:val="20"/>
        </w:rPr>
        <w:t>Testing from the previous submission here.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Yes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2ma.03. For outcome, patient-reported outcome, resource use, cost, and some process measures, risk adjustment/stratification may be conducted. Did you perform a risk adjustment or stratification analysis?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2ma.04. For maintenance measures in which risk adjustment/stratification has been performed, indicate whether additional risk adjustment testing has been conducted since the most recent maintenance evaluation. This may include updates to the risk adjustment analysis with additional clinical, demographic, and social risk factors.</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Please update the Scientific Acceptability: Validity - Other Threats to Validity section.</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Note: This section must be updated even if social risk factors are not included in the risk adjustment strategy.</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additional risk adjustment analysis included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Measure testing must demonstrate adequate reliability and validity in order to be recommended for endorsement. Testing may be conducted for data elements and/or the computed measure score. Testing information and results should be entered in the appropriate fields in the Scientific Acceptability sections of the Measure Submission Form.</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numPr>
          <w:ilvl w:val="0"/>
          <w:numId w:val="1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Measures must be tested for all the data sources and levels of analyses that are specified. If there is more than one set of data specifications or more than one level of analysis, contact NQF staff about how to present all the testing information in one form.</w:t>
      </w:r>
    </w:p>
    <w:p w:rsidR="00A77B3E">
      <w:pPr>
        <w:numPr>
          <w:ilvl w:val="0"/>
          <w:numId w:val="1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All required sections must be completed.</w:t>
      </w:r>
    </w:p>
    <w:p w:rsidR="00A77B3E">
      <w:pPr>
        <w:numPr>
          <w:ilvl w:val="0"/>
          <w:numId w:val="1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For composites with outcome and resource use measures, Questions 2b.23-2b.37 (Risk Adjustment) also must be completed.</w:t>
      </w:r>
    </w:p>
    <w:p w:rsidR="00A77B3E">
      <w:pPr>
        <w:numPr>
          <w:ilvl w:val="0"/>
          <w:numId w:val="1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specified for multiple data sources/sets of specifications (e.g., claims and EHRs), Questions 2b.11-2b.13 also must be completed.</w:t>
      </w:r>
    </w:p>
    <w:p w:rsidR="00A77B3E">
      <w:pPr>
        <w:numPr>
          <w:ilvl w:val="0"/>
          <w:numId w:val="1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 appendix for supplemental materials may be submitted (see Question 1 in the Additional section), but there is no guarantee it will be reviewed.</w:t>
      </w:r>
    </w:p>
    <w:p w:rsidR="00A77B3E">
      <w:pPr>
        <w:numPr>
          <w:ilvl w:val="0"/>
          <w:numId w:val="1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Contact NQF staff with any questions. Check for resources at the </w:t>
      </w:r>
      <w:hyperlink r:id="rId10" w:tgtFrame="_blank" w:history="1">
        <w:r>
          <w:rPr>
            <w:rFonts w:ascii="Calibri" w:eastAsia="Calibri" w:hAnsi="Calibri" w:cs="Calibri"/>
            <w:b w:val="0"/>
            <w:i w:val="0"/>
            <w:color w:val="0000FF"/>
            <w:sz w:val="20"/>
            <w:u w:val="single" w:color="0000FF"/>
          </w:rPr>
          <w:t>Submitting Standards webpage.</w:t>
        </w:r>
      </w:hyperlink>
    </w:p>
    <w:p w:rsidR="00A77B3E">
      <w:pPr>
        <w:numPr>
          <w:ilvl w:val="0"/>
          <w:numId w:val="1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information on the most updated guidance on how to address social risk factors variables and testing in this form refer to the release notes for the </w:t>
      </w:r>
      <w:hyperlink r:id="rId11" w:tgtFrame="_blank" w:history="1">
        <w:r>
          <w:rPr>
            <w:rFonts w:ascii="Calibri" w:eastAsia="Calibri" w:hAnsi="Calibri" w:cs="Calibri"/>
            <w:b w:val="0"/>
            <w:i w:val="0"/>
            <w:color w:val="0000FF"/>
            <w:sz w:val="20"/>
            <w:u w:val="single" w:color="0000FF"/>
          </w:rPr>
          <w:t>2021 Measure Evaluation Criteria and Guidance.</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The information provided in this form is intended to aid the Standing Committee and other stakeholders in understanding to what degree the testing results for this measure meet NQF’s evaluation criteria for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2a. Reliability testing demonstrates the measure data elements are repeatable, producing the same results a high proportion of the time when assessed in the same population in the same time period and/or that the measure score is precise. For instrument-based measures (including PRO-PMs) and composite performance measures, reliability should be demonstrated for the computed performance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2b1. Validity testing demonstrates that the measure data elements are correct and/or the measure score correctly reflects the quality of care provided, adequately identifying differences in quality. For instrument based measures (including PRO-PMs) and composite performance measures, validity should be demonstrated for the computed performance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2b2. Exclusions are supported by the clinical evidence and are of sufficient frequency to warrant inclusion in the specifications of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AND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2b3. For outcome measures and other measures when indicated (e.g., resource use):</w:t>
      </w:r>
    </w:p>
    <w:p w:rsidR="00A77B3E">
      <w:pPr>
        <w:numPr>
          <w:ilvl w:val="0"/>
          <w:numId w:val="1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 evidence-based risk-adjustment strategy (e.g., risk models, risk stratification) is specified; is based on patient factors (including clinical and social risk factors) that influence the measured outcome and are present at start of care; 14,15 and has demonstrated adequate discrimination and calibration</w:t>
      </w:r>
    </w:p>
    <w:p w:rsidR="00A77B3E">
      <w:pPr>
        <w:numPr>
          <w:ilvl w:val="0"/>
          <w:numId w:val="1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rationale/data support no risk adjustment/ stratification.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2b4. Data analysis of computed measure scores demonstrates that methods for scoring and analysis of the specified measure allow for identification of statistically significant and practically/clinically meaningful 16 differences in performance;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there is evidence of overall less-than-optimal performance.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2b5. If multiple data sources/methods are specified, there is demonstration they produce comparable results.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2b6. 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 For composite performance measures, empirical analyses support the composite construction approach and demonstrate that: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2c1. the component measures fit the quality construct and add value to the overall composite while achieving the related objective of parsimony to the extent possible; and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2c2. the aggregation and weighting rules are consistent with the quality construct and rationale while achieving the related objective of simplicity to the extent possible.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not conducted or results not adequate, justification must be submitted and accepted)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Definitions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 The degree of consensus and any areas of disagreement must be provided/discussed.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Examples of evidence that an exclusion distorts measure results include, but are not limited to: frequency of occurrence, variability of exclusions across providers, and sensitivity analyses with and without the exclusion.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 preference is not a clinical exception to eligibility and can be influenced by provider interventions.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Risk factors that influence outcomes should not be specified as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v.$5,025) is practically meaningful. Measures with overall less-than-optimal performance may not demonstrate much variability across providers.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Please separate added or updated information from the most recent measure evaluation within each question response in the Importance to Scientific Acceptability sections. For example:</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2021 Submission: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Updated testing information here.</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2018 Submission: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Testing from the previous submission here.</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2a.01. Select only the data sources for which the measure is tested.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Assessment Data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2a.02. If an existing dataset was used, identify the specific dataset.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The dataset used for testing must be consistent with the measure specifications for target population and healthcare entities being measured; e.g., Medicare Part A claims, Medicaid claims, other commercial insurance, nursing home MDS, home health OASIS, clinical registry).</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Resident Assessment Instrument Minimum Data Set (MDS) version 3.0</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2a.03. Provide the dates of the data used in testing.</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Use the following format: “MM-DD-YYYY - MM-DD-YYYY”</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PointRight® Pro Long Stay™ Hospitalization Measure risk adjustment models were fit on data from April 1, 2013 to November 30, 2014, from which covariates and the dependent variable were ascertained for a 12 month risk period between July 1, 2013 and June 30, 2014. Data covering the 12 month risk period January 1, 2014 to December 31, 2014 were utilized in various reliability and validity tests. MDS discharge status codes and Medicare Part A claims data used to demonstrate the representativeness of the PointRight® sample of MDS assessments came from CY 2013.</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2a.04. </w:t>
      </w:r>
      <w:r>
        <w:rPr>
          <w:rFonts w:ascii="Calibri" w:eastAsia="Calibri" w:hAnsi="Calibri" w:cs="Calibri"/>
          <w:b/>
          <w:i w:val="0"/>
          <w:color w:val="000000"/>
          <w:sz w:val="20"/>
        </w:rPr>
        <w:t>Select the levels of analysis for which the measure is tested.</w:t>
      </w:r>
    </w:p>
    <w:p w:rsidR="00A77B3E">
      <w:pPr>
        <w:spacing w:before="0" w:after="80"/>
        <w:jc w:val="left"/>
        <w:rPr>
          <w:rFonts w:ascii="Calibri" w:eastAsia="Calibri" w:hAnsi="Calibri" w:cs="Calibri"/>
          <w:b w:val="0"/>
          <w:i/>
          <w:color w:val="000000"/>
          <w:sz w:val="20"/>
        </w:rPr>
      </w:pPr>
      <w:r>
        <w:rPr>
          <w:rFonts w:ascii="Calibri" w:eastAsia="Calibri" w:hAnsi="Calibri" w:cs="Calibri"/>
          <w:b w:val="0"/>
          <w:i/>
          <w:iCs/>
          <w:color w:val="000000"/>
          <w:sz w:val="20"/>
        </w:rPr>
        <w:t>Testing must be provided for all the levels specified and intended for measure implementation, e.g., individual clinician, hospital, health plan.</w:t>
      </w:r>
    </w:p>
    <w:p w:rsidR="00A77B3E">
      <w:pPr>
        <w:spacing w:before="0" w:after="80"/>
        <w:jc w:val="left"/>
        <w:rPr>
          <w:rFonts w:ascii="Calibri" w:eastAsia="Calibri" w:hAnsi="Calibri" w:cs="Calibri"/>
          <w:b w:val="0"/>
          <w:i/>
          <w:color w:val="000000"/>
          <w:sz w:val="20"/>
        </w:rPr>
      </w:pPr>
      <w:r>
        <w:rPr>
          <w:rFonts w:ascii="Calibri" w:eastAsia="Calibri" w:hAnsi="Calibri" w:cs="Calibri"/>
          <w:b w:val="0"/>
          <w:i/>
          <w:iCs/>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jc w:val="left"/>
        <w:rPr>
          <w:rFonts w:ascii="Calibri" w:eastAsia="Calibri" w:hAnsi="Calibri" w:cs="Calibri"/>
          <w:b w:val="0"/>
          <w:i/>
          <w:color w:val="000000"/>
          <w:sz w:val="20"/>
        </w:rPr>
      </w:pPr>
      <w:r>
        <w:rPr>
          <w:rFonts w:ascii="Calibri" w:eastAsia="Calibri" w:hAnsi="Calibri" w:cs="Calibri"/>
          <w:b w:val="0"/>
          <w:i/>
          <w:iCs/>
          <w:color w:val="000000"/>
          <w:sz w:val="20"/>
        </w:rPr>
        <w:t>Please do not select:</w:t>
      </w:r>
    </w:p>
    <w:p w:rsidR="00A77B3E">
      <w:pPr>
        <w:numPr>
          <w:ilvl w:val="0"/>
          <w:numId w:val="13"/>
        </w:numPr>
        <w:spacing w:before="0" w:after="80"/>
        <w:ind w:left="720" w:hanging="360"/>
        <w:jc w:val="left"/>
        <w:rPr>
          <w:rFonts w:ascii="Calibri" w:eastAsia="Calibri" w:hAnsi="Calibri" w:cs="Calibri"/>
          <w:b w:val="0"/>
          <w:i/>
          <w:color w:val="000000"/>
          <w:sz w:val="20"/>
        </w:rPr>
      </w:pPr>
      <w:r>
        <w:rPr>
          <w:rFonts w:ascii="Calibri" w:eastAsia="Calibri" w:hAnsi="Calibri" w:cs="Calibri"/>
          <w:b w:val="0"/>
          <w:i/>
          <w:iCs/>
          <w:color w:val="000000"/>
          <w:sz w:val="20"/>
        </w:rPr>
        <w:t>Clinician: Clinician</w:t>
      </w:r>
    </w:p>
    <w:p w:rsidR="00A77B3E">
      <w:pPr>
        <w:numPr>
          <w:ilvl w:val="0"/>
          <w:numId w:val="13"/>
        </w:numPr>
        <w:spacing w:before="0" w:after="80"/>
        <w:ind w:left="720" w:hanging="360"/>
        <w:jc w:val="left"/>
        <w:rPr>
          <w:rFonts w:ascii="Calibri" w:eastAsia="Calibri" w:hAnsi="Calibri" w:cs="Calibri"/>
          <w:b w:val="0"/>
          <w:i/>
          <w:color w:val="000000"/>
          <w:sz w:val="20"/>
        </w:rPr>
      </w:pPr>
      <w:r>
        <w:rPr>
          <w:rFonts w:ascii="Calibri" w:eastAsia="Calibri" w:hAnsi="Calibri" w:cs="Calibri"/>
          <w:b w:val="0"/>
          <w:i/>
          <w:iCs/>
          <w:color w:val="000000"/>
          <w:sz w:val="20"/>
        </w:rPr>
        <w:t>Population: Population</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Facility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2a.05. List the measured entities included in the testing and analysis (by level of analysis and data source).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Identify the number and descriptive characteristics of measured entities included in the analysis (e.g., size, location, type); if a sample was used, describe how entities were selected for inclusion in the sample.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PointRight Pro Long Stay Hospitalization Measure was developed on MDS 3.0 assessments collected from skilled nursing facilities that purchased analytics services from PointRight. Modeling and estimation of risk adjustment were performed on 2,584 SNFs using four snapshots dates: Q3 2013, Q4 2013, Q1 2014 and Q2 2014. Testing and analysis were performed on 2,182 SNFs using calendar year 2014. In table 1 below, find facility level descriptive statistics on these SNFs and how they compare to the national population of skilled nursing facilities.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1. Testing Sample Facility Level Descriptive Statistics</w:t>
      </w:r>
    </w:p>
    <w:tbl>
      <w:tblPr>
        <w:tblStyle w:val="TableGrid"/>
        <w:tblCaption w:val="Comparison of facility-level descriptive statistics between PointRight sample and the entire nation in 2014"/>
        <w:tblDescription w:val="Comparison of facility-level descriptive statistics between PointRight sample and the entire nation in 2014"/>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934"/>
        <w:gridCol w:w="801"/>
        <w:gridCol w:w="591"/>
        <w:gridCol w:w="1111"/>
        <w:gridCol w:w="591"/>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Metric</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Nation</w:t>
            </w:r>
          </w:p>
        </w:tc>
        <w:tc>
          <w:tcPr/>
          <w:p w:rsidR="00A77B3E">
            <w:pPr>
              <w:rPr>
                <w:rFonts w:ascii="Calibri" w:eastAsia="Calibri" w:hAnsi="Calibri" w:cs="Calibri"/>
                <w:b/>
                <w:bCs/>
                <w:i w:val="0"/>
                <w:color w:val="000000"/>
                <w:sz w:val="20"/>
              </w:rPr>
            </w:pP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PointRight</w:t>
            </w:r>
          </w:p>
        </w:tc>
        <w:tc>
          <w:tcPr/>
          <w:p w:rsidR="00A77B3E">
            <w:pPr>
              <w:rPr>
                <w:rFonts w:ascii="Calibri" w:eastAsia="Calibri" w:hAnsi="Calibri" w:cs="Calibri"/>
                <w:b/>
                <w:bCs/>
                <w:i w:val="0"/>
                <w:color w:val="000000"/>
                <w:sz w:val="20"/>
              </w:rPr>
            </w:pPr>
          </w:p>
        </w:tc>
      </w:tr>
      <w:tr>
        <w:trPr>
          <w:cantSplit/>
        </w:trPr>
        <w:tc>
          <w:tcPr/>
          <w:p w:rsidR="00A77B3E">
            <w:pPr>
              <w:rPr>
                <w:rFonts w:ascii="Calibri" w:eastAsia="Calibri" w:hAnsi="Calibri" w:cs="Calibri"/>
                <w:b/>
                <w:bCs/>
                <w:i w:val="0"/>
                <w:color w:val="000000"/>
                <w:sz w:val="20"/>
              </w:rPr>
            </w:pPr>
          </w:p>
        </w:tc>
        <w:tc>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N</w:t>
            </w:r>
          </w:p>
        </w:tc>
        <w:tc>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w:t>
            </w:r>
          </w:p>
        </w:tc>
        <w:tc>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N</w:t>
            </w:r>
          </w:p>
        </w:tc>
        <w:tc>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Part of chain</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8,748</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56.4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2,118</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83.5</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For profit</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10,916</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69.8</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2,218</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87.4</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Government</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958</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38</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Hospital-based</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871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5.6</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0.5</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Medicare certified facilities</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15,169</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97.0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2,532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99.8</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Resident count less than 50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3,765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24.1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257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10.1</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Resident count greater than 50, less than 110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7,994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51.1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1,420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56.0</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Resident count greater than 110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3,884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24.8</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860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33.9</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Comparison of facility-level descriptive statistics between PointRight sample and the entire nation in 2014</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PointRight sample contained facilities of various bed counts, chain vs. independent ownership, hospital based vs. non-hospital based affiliation and for-profit vs. nonprofit designation. The PointRight sample had greater proportions of large for-profit chain facilities than the national SNF population; all provider types were sufficiently represented in the PointRight sample.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2a.06. Identify the number and descriptive characteristics of patients included in the analysis (e.g., age, sex, race, diagnosis), separated by level of analysis and data source; if a sample was used, describe how patients were selected for inclusion in the sample.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If there is a minimum case count used for testing, that minimum must be reflected in the specifications.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PointRight Pro Long Stay Hospitalization Measure measures the rate of hospitalization for a SNF’s Long Stay population over a 12-month measurement period. The measure sums numerators and denominators from four snapshot dates – the first day of each calendar quarter within the measure period. Using MDS from 2,584 SNFs, our dataset contained more than 150 thousand patients, present in the facility, on each of the 4 snapshot dates: Q3 2013, Q4 2013, Q1 2014 and Q2 2014. The table below presents the demographics of the denominator sample from one representative snapshot date, 4/1/2014.</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TABLE 2. Characteristics of Patients </w:t>
      </w:r>
    </w:p>
    <w:tbl>
      <w:tblPr>
        <w:tblStyle w:val="TableGrid"/>
        <w:tblCaption w:val="Comparison of patient characteristics between PointRight sample used in testing and the Nation"/>
        <w:tblDescription w:val="Comparison of patient characteristics between PointRight sample used in testing and the Nation"/>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087"/>
        <w:gridCol w:w="3260"/>
        <w:gridCol w:w="2161"/>
        <w:gridCol w:w="216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MDS Variables</w:t>
            </w:r>
          </w:p>
        </w:tc>
        <w:tc>
          <w:tcPr>
            <w:tcW w:w="4530"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MDS Variable Value Categories</w:t>
            </w:r>
          </w:p>
        </w:tc>
        <w:tc>
          <w:tcPr>
            <w:tcW w:w="3030"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Prevalence of PointRight Client Sample (N=2,584)</w:t>
            </w:r>
          </w:p>
        </w:tc>
        <w:tc>
          <w:tcPr>
            <w:tcW w:w="3030"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Prevalence of Nation (N=14,620)</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Age</w:t>
            </w:r>
          </w:p>
        </w:tc>
        <w:tc>
          <w:tcPr>
            <w:tcW w:w="45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&lt;65</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20.1%</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15.4%</w:t>
            </w:r>
          </w:p>
        </w:tc>
      </w:tr>
      <w:tr>
        <w:trPr>
          <w:cantSplit/>
        </w:trPr>
        <w:tc>
          <w:tcPr/>
          <w:p w:rsidR="00A77B3E">
            <w:pPr>
              <w:rPr>
                <w:rFonts w:ascii="Calibri" w:eastAsia="Calibri" w:hAnsi="Calibri" w:cs="Calibri"/>
                <w:b w:val="0"/>
                <w:i w:val="0"/>
                <w:color w:val="000000"/>
                <w:sz w:val="20"/>
              </w:rPr>
            </w:pPr>
          </w:p>
        </w:tc>
        <w:tc>
          <w:tcPr>
            <w:tcW w:w="45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65-74</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14.7%</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15.5%</w:t>
            </w:r>
          </w:p>
        </w:tc>
      </w:tr>
      <w:tr>
        <w:trPr>
          <w:cantSplit/>
        </w:trPr>
        <w:tc>
          <w:tcPr/>
          <w:p w:rsidR="00A77B3E">
            <w:pPr>
              <w:rPr>
                <w:rFonts w:ascii="Calibri" w:eastAsia="Calibri" w:hAnsi="Calibri" w:cs="Calibri"/>
                <w:b w:val="0"/>
                <w:i w:val="0"/>
                <w:color w:val="000000"/>
                <w:sz w:val="20"/>
              </w:rPr>
            </w:pPr>
          </w:p>
        </w:tc>
        <w:tc>
          <w:tcPr>
            <w:tcW w:w="45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75-84</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27.3%</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26.4%</w:t>
            </w:r>
          </w:p>
        </w:tc>
      </w:tr>
      <w:tr>
        <w:trPr>
          <w:cantSplit/>
        </w:trPr>
        <w:tc>
          <w:tcPr/>
          <w:p w:rsidR="00A77B3E">
            <w:pPr>
              <w:rPr>
                <w:rFonts w:ascii="Calibri" w:eastAsia="Calibri" w:hAnsi="Calibri" w:cs="Calibri"/>
                <w:b w:val="0"/>
                <w:i w:val="0"/>
                <w:color w:val="000000"/>
                <w:sz w:val="20"/>
              </w:rPr>
            </w:pPr>
          </w:p>
        </w:tc>
        <w:tc>
          <w:tcPr>
            <w:tcW w:w="45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85-89</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18.3%</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19.1%</w:t>
            </w:r>
          </w:p>
        </w:tc>
      </w:tr>
      <w:tr>
        <w:trPr>
          <w:cantSplit/>
        </w:trPr>
        <w:tc>
          <w:tcPr/>
          <w:p w:rsidR="00A77B3E">
            <w:pPr>
              <w:rPr>
                <w:rFonts w:ascii="Calibri" w:eastAsia="Calibri" w:hAnsi="Calibri" w:cs="Calibri"/>
                <w:b w:val="0"/>
                <w:i w:val="0"/>
                <w:color w:val="000000"/>
                <w:sz w:val="20"/>
              </w:rPr>
            </w:pPr>
          </w:p>
        </w:tc>
        <w:tc>
          <w:tcPr>
            <w:tcW w:w="45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90 or over</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19.6%</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23.6%</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Gender</w:t>
            </w:r>
          </w:p>
        </w:tc>
        <w:tc>
          <w:tcPr>
            <w:tcW w:w="45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Female</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69.0%</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67.5%</w:t>
            </w:r>
          </w:p>
        </w:tc>
      </w:tr>
      <w:tr>
        <w:trPr>
          <w:cantSplit/>
        </w:trPr>
        <w:tc>
          <w:tcPr/>
          <w:p w:rsidR="00A77B3E">
            <w:pPr>
              <w:rPr>
                <w:rFonts w:ascii="Calibri" w:eastAsia="Calibri" w:hAnsi="Calibri" w:cs="Calibri"/>
                <w:b w:val="0"/>
                <w:i w:val="0"/>
                <w:color w:val="000000"/>
                <w:sz w:val="20"/>
              </w:rPr>
            </w:pPr>
          </w:p>
        </w:tc>
        <w:tc>
          <w:tcPr>
            <w:tcW w:w="45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31.0%</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32.6%</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Race</w:t>
            </w:r>
          </w:p>
        </w:tc>
        <w:tc>
          <w:tcPr>
            <w:tcW w:w="45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Asian</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w:t>
            </w:r>
          </w:p>
        </w:tc>
      </w:tr>
      <w:tr>
        <w:trPr>
          <w:cantSplit/>
        </w:trPr>
        <w:tc>
          <w:tcPr/>
          <w:p w:rsidR="00A77B3E">
            <w:pPr>
              <w:rPr>
                <w:rFonts w:ascii="Calibri" w:eastAsia="Calibri" w:hAnsi="Calibri" w:cs="Calibri"/>
                <w:b w:val="0"/>
                <w:i w:val="0"/>
                <w:color w:val="000000"/>
                <w:sz w:val="20"/>
              </w:rPr>
            </w:pPr>
          </w:p>
        </w:tc>
        <w:tc>
          <w:tcPr>
            <w:tcW w:w="45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Black or African American</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16.4%</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14.1%</w:t>
            </w:r>
          </w:p>
        </w:tc>
      </w:tr>
      <w:tr>
        <w:trPr>
          <w:cantSplit/>
        </w:trPr>
        <w:tc>
          <w:tcPr/>
          <w:p w:rsidR="00A77B3E">
            <w:pPr>
              <w:rPr>
                <w:rFonts w:ascii="Calibri" w:eastAsia="Calibri" w:hAnsi="Calibri" w:cs="Calibri"/>
                <w:b w:val="0"/>
                <w:i w:val="0"/>
                <w:color w:val="000000"/>
                <w:sz w:val="20"/>
              </w:rPr>
            </w:pPr>
          </w:p>
        </w:tc>
        <w:tc>
          <w:tcPr>
            <w:tcW w:w="45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Hispanic Latino</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5.6%</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5.2%</w:t>
            </w:r>
          </w:p>
        </w:tc>
      </w:tr>
      <w:tr>
        <w:trPr>
          <w:cantSplit/>
        </w:trPr>
        <w:tc>
          <w:tcPr/>
          <w:p w:rsidR="00A77B3E">
            <w:pPr>
              <w:rPr>
                <w:rFonts w:ascii="Calibri" w:eastAsia="Calibri" w:hAnsi="Calibri" w:cs="Calibri"/>
                <w:b w:val="0"/>
                <w:i w:val="0"/>
                <w:color w:val="000000"/>
                <w:sz w:val="20"/>
              </w:rPr>
            </w:pPr>
          </w:p>
        </w:tc>
        <w:tc>
          <w:tcPr>
            <w:tcW w:w="45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White</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73.5%</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76.2%</w:t>
            </w:r>
          </w:p>
        </w:tc>
      </w:tr>
      <w:tr>
        <w:trPr>
          <w:cantSplit/>
        </w:trPr>
        <w:tc>
          <w:tcPr/>
          <w:p w:rsidR="00A77B3E">
            <w:pPr>
              <w:rPr>
                <w:rFonts w:ascii="Calibri" w:eastAsia="Calibri" w:hAnsi="Calibri" w:cs="Calibri"/>
                <w:b w:val="0"/>
                <w:i w:val="0"/>
                <w:color w:val="000000"/>
                <w:sz w:val="20"/>
              </w:rPr>
            </w:pPr>
          </w:p>
        </w:tc>
        <w:tc>
          <w:tcPr>
            <w:tcW w:w="45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Other</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2.9%</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3.0%</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Medicaid Beneficiary</w:t>
            </w:r>
          </w:p>
        </w:tc>
        <w:tc>
          <w:tcPr>
            <w:tcW w:w="45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Yes</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79.2%</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N/A</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Admission Setting</w:t>
            </w:r>
          </w:p>
        </w:tc>
        <w:tc>
          <w:tcPr>
            <w:tcW w:w="45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Acute Hospital</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83.4%</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74.7%</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Active Diagnosis</w:t>
            </w:r>
          </w:p>
        </w:tc>
        <w:tc>
          <w:tcPr>
            <w:tcW w:w="45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Anemia</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29.7%</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29.2%</w:t>
            </w:r>
          </w:p>
        </w:tc>
      </w:tr>
      <w:tr>
        <w:trPr>
          <w:cantSplit/>
        </w:trPr>
        <w:tc>
          <w:tcPr/>
          <w:p w:rsidR="00A77B3E">
            <w:pPr>
              <w:rPr>
                <w:rFonts w:ascii="Calibri" w:eastAsia="Calibri" w:hAnsi="Calibri" w:cs="Calibri"/>
                <w:b w:val="0"/>
                <w:i w:val="0"/>
                <w:color w:val="000000"/>
                <w:sz w:val="20"/>
              </w:rPr>
            </w:pPr>
          </w:p>
        </w:tc>
        <w:tc>
          <w:tcPr>
            <w:tcW w:w="45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Asthma, COPD, or Chronic Lung Disease whether or not on oxygen</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19.9%</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20.4%</w:t>
            </w:r>
          </w:p>
        </w:tc>
      </w:tr>
      <w:tr>
        <w:trPr>
          <w:cantSplit/>
        </w:trPr>
        <w:tc>
          <w:tcPr/>
          <w:p w:rsidR="00A77B3E">
            <w:pPr>
              <w:rPr>
                <w:rFonts w:ascii="Calibri" w:eastAsia="Calibri" w:hAnsi="Calibri" w:cs="Calibri"/>
                <w:b w:val="0"/>
                <w:i w:val="0"/>
                <w:color w:val="000000"/>
                <w:sz w:val="20"/>
              </w:rPr>
            </w:pPr>
          </w:p>
        </w:tc>
        <w:tc>
          <w:tcPr>
            <w:tcW w:w="45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Asthma, COPD, or Chronic Lung Disease on oxygen</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6.0%</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N/A</w:t>
            </w:r>
          </w:p>
        </w:tc>
      </w:tr>
      <w:tr>
        <w:trPr>
          <w:cantSplit/>
        </w:trPr>
        <w:tc>
          <w:tcPr/>
          <w:p w:rsidR="00A77B3E">
            <w:pPr>
              <w:rPr>
                <w:rFonts w:ascii="Calibri" w:eastAsia="Calibri" w:hAnsi="Calibri" w:cs="Calibri"/>
                <w:b w:val="0"/>
                <w:i w:val="0"/>
                <w:color w:val="000000"/>
                <w:sz w:val="20"/>
              </w:rPr>
            </w:pPr>
          </w:p>
        </w:tc>
        <w:tc>
          <w:tcPr>
            <w:tcW w:w="45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Diabetes on insulin</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20.1%</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32.4%</w:t>
            </w:r>
          </w:p>
        </w:tc>
      </w:tr>
      <w:tr>
        <w:trPr>
          <w:cantSplit/>
        </w:trPr>
        <w:tc>
          <w:tcPr/>
          <w:p w:rsidR="00A77B3E">
            <w:pPr>
              <w:rPr>
                <w:rFonts w:ascii="Calibri" w:eastAsia="Calibri" w:hAnsi="Calibri" w:cs="Calibri"/>
                <w:b w:val="0"/>
                <w:i w:val="0"/>
                <w:color w:val="000000"/>
                <w:sz w:val="20"/>
              </w:rPr>
            </w:pPr>
          </w:p>
        </w:tc>
        <w:tc>
          <w:tcPr>
            <w:tcW w:w="45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Gastroesophageal Reflux Disease (GERD) or ulcer</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29.1%</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33.9%</w:t>
            </w:r>
          </w:p>
        </w:tc>
      </w:tr>
      <w:tr>
        <w:trPr>
          <w:cantSplit/>
        </w:trPr>
        <w:tc>
          <w:tcPr/>
          <w:p w:rsidR="00A77B3E">
            <w:pPr>
              <w:rPr>
                <w:rFonts w:ascii="Calibri" w:eastAsia="Calibri" w:hAnsi="Calibri" w:cs="Calibri"/>
                <w:b w:val="0"/>
                <w:i w:val="0"/>
                <w:color w:val="000000"/>
                <w:sz w:val="20"/>
              </w:rPr>
            </w:pPr>
          </w:p>
        </w:tc>
        <w:tc>
          <w:tcPr>
            <w:tcW w:w="45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Heart Failure</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19.2%</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19.3%</w:t>
            </w:r>
          </w:p>
        </w:tc>
      </w:tr>
      <w:tr>
        <w:trPr>
          <w:cantSplit/>
        </w:trPr>
        <w:tc>
          <w:tcPr/>
          <w:p w:rsidR="00A77B3E">
            <w:pPr>
              <w:rPr>
                <w:rFonts w:ascii="Calibri" w:eastAsia="Calibri" w:hAnsi="Calibri" w:cs="Calibri"/>
                <w:b w:val="0"/>
                <w:i w:val="0"/>
                <w:color w:val="000000"/>
                <w:sz w:val="20"/>
              </w:rPr>
            </w:pPr>
          </w:p>
        </w:tc>
        <w:tc>
          <w:tcPr>
            <w:tcW w:w="45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Hypertension</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74.3%</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75.1%</w:t>
            </w:r>
          </w:p>
        </w:tc>
      </w:tr>
      <w:tr>
        <w:trPr>
          <w:cantSplit/>
        </w:trPr>
        <w:tc>
          <w:tcPr/>
          <w:p w:rsidR="00A77B3E">
            <w:pPr>
              <w:rPr>
                <w:rFonts w:ascii="Calibri" w:eastAsia="Calibri" w:hAnsi="Calibri" w:cs="Calibri"/>
                <w:b w:val="0"/>
                <w:i w:val="0"/>
                <w:color w:val="000000"/>
                <w:sz w:val="20"/>
              </w:rPr>
            </w:pPr>
          </w:p>
        </w:tc>
        <w:tc>
          <w:tcPr>
            <w:tcW w:w="45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Viral Hepatitis</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0.6%</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0.6%</w:t>
            </w:r>
          </w:p>
        </w:tc>
      </w:tr>
      <w:tr>
        <w:trPr>
          <w:cantSplit/>
        </w:trPr>
        <w:tc>
          <w:tcPr/>
          <w:p w:rsidR="00A77B3E">
            <w:pPr>
              <w:rPr>
                <w:rFonts w:ascii="Calibri" w:eastAsia="Calibri" w:hAnsi="Calibri" w:cs="Calibri"/>
                <w:b w:val="0"/>
                <w:i w:val="0"/>
                <w:color w:val="000000"/>
                <w:sz w:val="20"/>
              </w:rPr>
            </w:pPr>
          </w:p>
        </w:tc>
        <w:tc>
          <w:tcPr>
            <w:tcW w:w="45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Neurogenic bladder</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2.8%</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2.7%</w:t>
            </w:r>
          </w:p>
        </w:tc>
      </w:tr>
      <w:tr>
        <w:trPr>
          <w:cantSplit/>
        </w:trPr>
        <w:tc>
          <w:tcPr/>
          <w:p w:rsidR="00A77B3E">
            <w:pPr>
              <w:rPr>
                <w:rFonts w:ascii="Calibri" w:eastAsia="Calibri" w:hAnsi="Calibri" w:cs="Calibri"/>
                <w:b w:val="0"/>
                <w:i w:val="0"/>
                <w:color w:val="000000"/>
                <w:sz w:val="20"/>
              </w:rPr>
            </w:pPr>
          </w:p>
        </w:tc>
        <w:tc>
          <w:tcPr>
            <w:tcW w:w="45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Renal failure or insufficiency</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9.2%</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Incontinence</w:t>
            </w:r>
          </w:p>
        </w:tc>
        <w:tc>
          <w:tcPr>
            <w:tcW w:w="45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Total bowel incontinence</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34.0%</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31.4%</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Medications Received</w:t>
            </w:r>
          </w:p>
        </w:tc>
        <w:tc>
          <w:tcPr>
            <w:tcW w:w="45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Anticoagulant within 7 days prior to ARD</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16.3%</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12.3%</w:t>
            </w:r>
          </w:p>
        </w:tc>
      </w:tr>
      <w:tr>
        <w:trPr>
          <w:cantSplit/>
        </w:trPr>
        <w:tc>
          <w:tcPr/>
          <w:p w:rsidR="00A77B3E">
            <w:pPr>
              <w:rPr>
                <w:rFonts w:ascii="Calibri" w:eastAsia="Calibri" w:hAnsi="Calibri" w:cs="Calibri"/>
                <w:b w:val="0"/>
                <w:i w:val="0"/>
                <w:color w:val="000000"/>
                <w:sz w:val="20"/>
              </w:rPr>
            </w:pPr>
          </w:p>
        </w:tc>
        <w:tc>
          <w:tcPr>
            <w:tcW w:w="45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Antibiotics within 7 days prior to ARD</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11.1%</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11.0%</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Symptoms</w:t>
            </w:r>
          </w:p>
        </w:tc>
        <w:tc>
          <w:tcPr>
            <w:tcW w:w="45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Dyspnea on exertion</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7.0%</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7.5%</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Skin</w:t>
            </w:r>
          </w:p>
        </w:tc>
        <w:tc>
          <w:tcPr>
            <w:tcW w:w="45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Surgical wound(s)</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Hospice Status</w:t>
            </w:r>
          </w:p>
        </w:tc>
        <w:tc>
          <w:tcPr>
            <w:tcW w:w="45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Receiving hospice care</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4.9%</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4.7%</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Recent Treatments</w:t>
            </w:r>
          </w:p>
        </w:tc>
        <w:tc>
          <w:tcPr>
            <w:tcW w:w="45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IV fluid or meds within 7 days before last MDS</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w:t>
            </w:r>
          </w:p>
        </w:tc>
      </w:tr>
      <w:tr>
        <w:trPr>
          <w:cantSplit/>
        </w:trPr>
        <w:tc>
          <w:tcPr/>
          <w:p w:rsidR="00A77B3E">
            <w:pPr>
              <w:rPr>
                <w:rFonts w:ascii="Calibri" w:eastAsia="Calibri" w:hAnsi="Calibri" w:cs="Calibri"/>
                <w:b w:val="0"/>
                <w:i w:val="0"/>
                <w:color w:val="000000"/>
                <w:sz w:val="20"/>
              </w:rPr>
            </w:pPr>
          </w:p>
        </w:tc>
        <w:tc>
          <w:tcPr>
            <w:tcW w:w="45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Oxygen in 7 days before last MDS</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10.8%</w:t>
            </w:r>
          </w:p>
        </w:tc>
        <w:tc>
          <w:tcPr>
            <w:tcW w:w="30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11.2%</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Comparison of patient characteristics between PointRight sample used in testing and the Nation</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2a.07. If there are differences in the data or sample used for different aspects of testing (e.g., reliability, validity, exclusions, risk adjustment), identify how the data or sample are different for each aspect of testing.</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majority of measure reliability and validity testing was conducted on the measure development sample of 2,584 SNFs described above, which as noted above is national and provides a good representation of all major demographic categories and provider types, though it is not a random sample of all U.S. SNFs.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u w:val="single"/>
        </w:rPr>
        <w:t>2022 Submission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Additional validity testing used more recent national data from 2019.</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2a.08. List the social risk factors that were available and analyzed.</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For example, patient-reported data (e.g., income, education, language), proxy variables when social risk data are not collected from each patient (e.g. census tract), or patient community characteristics (e.g. percent vacant housing, crime rate) which do not have to be a proxy for patient-level data. </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We tested black/non-black, Medicaid/non-Medicaid, and the interaction between these binary variables for their relationships with long-stay hospitalization rates. We did not utilize the patient-level variable concerning occupation, because it often is not completed on the admission MDS or the admission MDS is not available for analysis; also, it is an unreliable indicator of the patient’s primary lifetime occupation. We did not use the two language-related items on the MDS, because they often are missing or unreliable.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Race/ethnicity items other than black/non-black either did not have significant patient-level effects in a fixed effects model (Hispanic/Latino) or our sample was insufficient (American Indian or Alaska Native; Native Hawaiian or Pacific Islander).</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We rejected geographically-based proxy variables for two reasons:</w:t>
      </w:r>
    </w:p>
    <w:p w:rsidR="00A77B3E">
      <w:pPr>
        <w:numPr>
          <w:ilvl w:val="0"/>
          <w:numId w:val="1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We did not want to take the risk of adjusting away true disparities in care quality that might be found comparing SNFs in poorer neighborhoods with those in richer ones.</w:t>
      </w:r>
    </w:p>
    <w:p w:rsidR="00A77B3E">
      <w:pPr>
        <w:numPr>
          <w:ilvl w:val="0"/>
          <w:numId w:val="1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Particularly for the long-stay SNF population, most of whom have the SNF as their primary residence, the ZIP code or census tract of the patient is simply that of the SNF. This may not be indicative of the patients’ socioeconomic status as it is for community-dwelling patients.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Note: If accuracy/correctness (validity) of data elements was empirically tested, separate reliability testing of data elements is not required – in 2a.07 check patient or encounter-level data; in 2a.08 enter “see validity testing section of data elements”; and enter “N/A” for 2a.09 and 2a.10.</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2a.09. Select the level of reliability testing conducted.</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Choose one or both levels.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Patient or Encounter-Level (e.g., inter-abstractor reliability; data element reliability must address ALL critical data elements)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Accountable Entity Level (e.g., signal-to-noise analysis)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2a.10. For each level of reliability testing checked above, describe the method of reliability testing and what it tests.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type of error does it test; what statistical analysis was used.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Agreement of Model Independent Variables-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For the MDS data items utilized as risk adjustment covariates, a comparison of the variables prevalence between the testing sample of 2,584 SNFs and the national population was performed. Table 2, displayed above demonstrates that the PointRight client database although not a random sample of patients, is representative of the national population.</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Reliability of Rates over Time -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To assess the reliability of the overall measure we analyzed change from quarter to quarter in the observed and adjusted long-stay hospitalization rates. We reasoned that a SNF’s underlying probability of its long-stay patients hospitalizing, and the characteristics of its long-stay patient population, are unlikely to change greatly over a 3 month period, so that most of the change from quarter to quarter will be related to limitations on measurement reliability. Some of the reliability limitations will reflect error in the measurement of the dependent variable or risk adjustment covariates on the MDS, but most is likely to reflect changes in the characteristics of the long-stay population from one snapshot date to the next. If correlation coefficients – both parametric and non-parametric – are relatively high when consecutive quarters are compared, we infer that the combination of measurement-related variability and sampling-related variability is acceptable.</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Stability of Facility Level Adjusted Rate Bootstrapping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To further test the reliability of the measure, adjusted rates for the measure period CY 2014 were recalculated for our testing sample, where a random sample of stays was drawn with replacement for each facility. We then reviewed the distribution of differences between facilities’ original adjusted rates and the rates calculated with resampling. If the distribution of differences has a small variance and a mean of 0 we can assume the measure is acceptably stable.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2a.11. For each level of reliability testing checked above, what were the statistical results from reliability testing?</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 xml:space="preserve">For example, provide the percent agreement and kappa for the critical data elements, or distribution of reliability statistics from a signal-to-noise analysis. </w:t>
      </w:r>
      <w:r>
        <w:rPr>
          <w:rFonts w:ascii="Calibri" w:eastAsia="Calibri" w:hAnsi="Calibri" w:cs="Calibri"/>
          <w:b w:val="0"/>
          <w:i/>
          <w:iCs/>
          <w:color w:val="000000"/>
          <w:sz w:val="20"/>
        </w:rPr>
        <w:t xml:space="preserve">For score-level reliability testing, when using a signal-to-noise analysis, more than just one overall statistic should be reported (i.e., to demonstrate variation in reliability across providers). If a particular method yields only one statistic, this should be explained. In addition, reporting of results stratified by sample size is preferred (pg. 18, </w:t>
      </w:r>
      <w:hyperlink r:id="rId11" w:tgtFrame="_blank" w:history="1">
        <w:r>
          <w:rPr>
            <w:rFonts w:ascii="Calibri" w:eastAsia="Calibri" w:hAnsi="Calibri" w:cs="Calibri"/>
            <w:b w:val="0"/>
            <w:i/>
            <w:iCs/>
            <w:color w:val="0000FF"/>
            <w:sz w:val="20"/>
            <w:u w:val="single" w:color="0000FF"/>
          </w:rPr>
          <w:t>NQF Measure Evaluation Criteria</w:t>
        </w:r>
      </w:hyperlink>
      <w:r>
        <w:rPr>
          <w:rFonts w:ascii="Calibri" w:eastAsia="Calibri" w:hAnsi="Calibri" w:cs="Calibri"/>
          <w:b w:val="0"/>
          <w:i/>
          <w:iCs/>
          <w:color w:val="000000"/>
          <w:sz w:val="20"/>
        </w:rPr>
        <w:t>).</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Agreement of Model Independent Variables -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Results found in Table 2 in section 2a.06.</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Reliability of Rates over Time – </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TABLE 3. Pearson Correlation Coefficients of PointRight® Pro Long Stay™ Hospitalization </w:t>
      </w:r>
      <w:r>
        <w:rPr>
          <w:rFonts w:ascii="Calibri" w:eastAsia="Calibri" w:hAnsi="Calibri" w:cs="Calibri"/>
          <w:b/>
          <w:bCs/>
          <w:i/>
          <w:iCs/>
          <w:color w:val="000000"/>
          <w:sz w:val="20"/>
        </w:rPr>
        <w:t>Risk Adjusted Rates</w:t>
      </w:r>
      <w:r>
        <w:rPr>
          <w:rFonts w:ascii="Calibri" w:eastAsia="Calibri" w:hAnsi="Calibri" w:cs="Calibri"/>
          <w:b/>
          <w:bCs/>
          <w:i w:val="0"/>
          <w:color w:val="000000"/>
          <w:sz w:val="20"/>
        </w:rPr>
        <w:t xml:space="preserve"> by Quarter</w:t>
      </w:r>
    </w:p>
    <w:tbl>
      <w:tblPr>
        <w:tblStyle w:val="TableGrid"/>
        <w:tblCaption w:val="Pearson correlation statistics between quarterly risk-adjusted hospitalization rates"/>
        <w:tblDescription w:val="Pearson correlation statistics between quarterly risk-adjusted hospitalization rate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242"/>
        <w:gridCol w:w="2287"/>
        <w:gridCol w:w="1278"/>
        <w:gridCol w:w="1278"/>
        <w:gridCol w:w="1278"/>
        <w:gridCol w:w="1278"/>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2280"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Time Period of Adjusted Rate</w:t>
            </w:r>
          </w:p>
        </w:tc>
        <w:tc>
          <w:tcPr>
            <w:tcW w:w="3030"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Pearson Statistics</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Adjusted Hospitalization Rates: Jan'14-Dec'14</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Adjusted Hospitalization Rates: Oct'13-Sep'14</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Adjusted Hospitalization Rates: Jul'13-Jun'14</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Adjusted Hospitalization Rates: Apr'13 - Mar'14</w:t>
            </w:r>
          </w:p>
        </w:tc>
      </w:tr>
      <w:tr>
        <w:trPr>
          <w:cantSplit/>
        </w:trPr>
        <w:tc>
          <w:tcPr>
            <w:tcW w:w="228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Adjusted Hospitalization Rates: Jan'14-Dec'14</w:t>
            </w: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Person Correlation</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0.888</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0.745</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0.575</w:t>
            </w:r>
          </w:p>
        </w:tc>
      </w:tr>
      <w:tr>
        <w:trPr>
          <w:cantSplit/>
        </w:trPr>
        <w:tc>
          <w:tcPr/>
          <w:p w:rsidR="00A77B3E">
            <w:pPr>
              <w:rPr>
                <w:rFonts w:ascii="Calibri" w:eastAsia="Calibri" w:hAnsi="Calibri" w:cs="Calibri"/>
                <w:b w:val="0"/>
                <w:i w:val="0"/>
                <w:color w:val="000000"/>
                <w:sz w:val="20"/>
              </w:rPr>
            </w:pP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p-value</w:t>
            </w:r>
          </w:p>
        </w:tc>
        <w:tc>
          <w:tcPr/>
          <w:p w:rsidR="00A77B3E">
            <w:pPr>
              <w:spacing w:before="0" w:after="80"/>
              <w:jc w:val="center"/>
              <w:rPr>
                <w:rFonts w:ascii="Calibri" w:eastAsia="Calibri" w:hAnsi="Calibri" w:cs="Calibri"/>
                <w:b w:val="0"/>
                <w:i w:val="0"/>
                <w:color w:val="000000"/>
                <w:sz w:val="20"/>
              </w:rPr>
            </w:pP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Pr>
        <w:tc>
          <w:tcPr/>
          <w:p w:rsidR="00A77B3E">
            <w:pPr>
              <w:rPr>
                <w:rFonts w:ascii="Calibri" w:eastAsia="Calibri" w:hAnsi="Calibri" w:cs="Calibri"/>
                <w:b w:val="0"/>
                <w:i w:val="0"/>
                <w:color w:val="000000"/>
                <w:sz w:val="20"/>
              </w:rPr>
            </w:pP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Observations</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2182</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2147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2124</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2072</w:t>
            </w:r>
          </w:p>
        </w:tc>
      </w:tr>
      <w:tr>
        <w:trPr>
          <w:cantSplit/>
        </w:trPr>
        <w:tc>
          <w:tcPr>
            <w:tcW w:w="228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Adjusted Hospitalization Rates: Oct'13-Sep'14</w:t>
            </w: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Person Correlation</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0.888</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0.889</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0.738</w:t>
            </w:r>
          </w:p>
        </w:tc>
      </w:tr>
      <w:tr>
        <w:trPr>
          <w:cantSplit/>
        </w:trPr>
        <w:tc>
          <w:tcPr/>
          <w:p w:rsidR="00A77B3E">
            <w:pPr>
              <w:rPr>
                <w:rFonts w:ascii="Calibri" w:eastAsia="Calibri" w:hAnsi="Calibri" w:cs="Calibri"/>
                <w:b w:val="0"/>
                <w:i w:val="0"/>
                <w:color w:val="000000"/>
                <w:sz w:val="20"/>
              </w:rPr>
            </w:pP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p-value</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Pr>
        <w:tc>
          <w:tcPr/>
          <w:p w:rsidR="00A77B3E">
            <w:pPr>
              <w:rPr>
                <w:rFonts w:ascii="Calibri" w:eastAsia="Calibri" w:hAnsi="Calibri" w:cs="Calibri"/>
                <w:b w:val="0"/>
                <w:i w:val="0"/>
                <w:color w:val="000000"/>
                <w:sz w:val="20"/>
              </w:rPr>
            </w:pP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Observations</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2147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2147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2120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2067</w:t>
            </w:r>
          </w:p>
        </w:tc>
      </w:tr>
      <w:tr>
        <w:trPr>
          <w:cantSplit/>
        </w:trPr>
        <w:tc>
          <w:tcPr>
            <w:tcW w:w="228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Adjusted Hospitalization Rates: Jul'13-Jun'14</w:t>
            </w: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Person Correlation</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0.745</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0.889</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0.889</w:t>
            </w:r>
          </w:p>
        </w:tc>
      </w:tr>
      <w:tr>
        <w:trPr>
          <w:cantSplit/>
        </w:trPr>
        <w:tc>
          <w:tcPr/>
          <w:p w:rsidR="00A77B3E">
            <w:pPr>
              <w:rPr>
                <w:rFonts w:ascii="Calibri" w:eastAsia="Calibri" w:hAnsi="Calibri" w:cs="Calibri"/>
                <w:b w:val="0"/>
                <w:i w:val="0"/>
                <w:color w:val="000000"/>
                <w:sz w:val="20"/>
              </w:rPr>
            </w:pP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p-value</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Pr>
        <w:tc>
          <w:tcPr/>
          <w:p w:rsidR="00A77B3E">
            <w:pPr>
              <w:rPr>
                <w:rFonts w:ascii="Calibri" w:eastAsia="Calibri" w:hAnsi="Calibri" w:cs="Calibri"/>
                <w:b w:val="0"/>
                <w:i w:val="0"/>
                <w:color w:val="000000"/>
                <w:sz w:val="20"/>
              </w:rPr>
            </w:pP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Observations</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2124</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2120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2124</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2069</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Adjusted Hospitalization Rates: Apr'13-Mar'14</w:t>
            </w: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Person Correlation</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0.575</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0.738</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0.889</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r>
      <w:tr>
        <w:trPr>
          <w:cantSplit/>
        </w:trPr>
        <w:tc>
          <w:tcPr/>
          <w:p w:rsidR="00A77B3E">
            <w:pPr>
              <w:rPr>
                <w:rFonts w:ascii="Calibri" w:eastAsia="Calibri" w:hAnsi="Calibri" w:cs="Calibri"/>
                <w:b w:val="0"/>
                <w:i w:val="0"/>
                <w:color w:val="000000"/>
                <w:sz w:val="20"/>
              </w:rPr>
            </w:pP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p-value</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p>
        </w:tc>
      </w:tr>
      <w:tr>
        <w:trPr>
          <w:cantSplit/>
        </w:trPr>
        <w:tc>
          <w:tcPr/>
          <w:p w:rsidR="00A77B3E">
            <w:pPr>
              <w:rPr>
                <w:rFonts w:ascii="Calibri" w:eastAsia="Calibri" w:hAnsi="Calibri" w:cs="Calibri"/>
                <w:b w:val="0"/>
                <w:i w:val="0"/>
                <w:color w:val="000000"/>
                <w:sz w:val="20"/>
              </w:rPr>
            </w:pP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Observations</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2072</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2067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2069</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2072</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Pearson correlation statistics between quarterly risk-adjusted hospitalization rates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TABLE 4. Pearson Correlation Coefficients of PointRight® Pro Long Stay™ Hospitalization </w:t>
      </w:r>
      <w:r>
        <w:rPr>
          <w:rFonts w:ascii="Calibri" w:eastAsia="Calibri" w:hAnsi="Calibri" w:cs="Calibri"/>
          <w:b/>
          <w:bCs/>
          <w:i/>
          <w:iCs/>
          <w:color w:val="000000"/>
          <w:sz w:val="20"/>
        </w:rPr>
        <w:t>Observed Rates</w:t>
      </w:r>
      <w:r>
        <w:rPr>
          <w:rFonts w:ascii="Calibri" w:eastAsia="Calibri" w:hAnsi="Calibri" w:cs="Calibri"/>
          <w:b/>
          <w:bCs/>
          <w:i w:val="0"/>
          <w:color w:val="000000"/>
          <w:sz w:val="20"/>
        </w:rPr>
        <w:t xml:space="preserve"> by Quarter</w:t>
      </w:r>
    </w:p>
    <w:tbl>
      <w:tblPr>
        <w:tblStyle w:val="TableGrid"/>
        <w:tblCaption w:val="Pearson correlation statistics between quarterly observed hospitalization rates"/>
        <w:tblDescription w:val="Pearson correlation statistics between quarterly observed hospitalization rate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242"/>
        <w:gridCol w:w="2287"/>
        <w:gridCol w:w="1278"/>
        <w:gridCol w:w="1278"/>
        <w:gridCol w:w="1278"/>
        <w:gridCol w:w="1278"/>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2280"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Time Period of Observed Rate</w:t>
            </w:r>
          </w:p>
        </w:tc>
        <w:tc>
          <w:tcPr>
            <w:tcW w:w="3030"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Pearson Statistics</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Observed Hospitalization Rates: Jan'14-Dec'14</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Observed Hospitalization Rates: Oct'13-Sep'14</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Observed Hospitalization Rates: Jul'13-Jun'14</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Observed Hospitalization Rates: Apr'13 - Mar'14</w:t>
            </w:r>
          </w:p>
        </w:tc>
      </w:tr>
      <w:tr>
        <w:trPr>
          <w:cantSplit/>
        </w:trPr>
        <w:tc>
          <w:tcPr>
            <w:tcW w:w="228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Observed Hospitalization Rates: Jan'14-Dec'14</w:t>
            </w: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Person Correlation</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0.934</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0.845</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0.727</w:t>
            </w:r>
          </w:p>
        </w:tc>
      </w:tr>
      <w:tr>
        <w:trPr>
          <w:cantSplit/>
        </w:trPr>
        <w:tc>
          <w:tcPr/>
          <w:p w:rsidR="00A77B3E">
            <w:pPr>
              <w:rPr>
                <w:rFonts w:ascii="Calibri" w:eastAsia="Calibri" w:hAnsi="Calibri" w:cs="Calibri"/>
                <w:b w:val="0"/>
                <w:i w:val="0"/>
                <w:color w:val="000000"/>
                <w:sz w:val="20"/>
              </w:rPr>
            </w:pP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p-value</w:t>
            </w:r>
          </w:p>
        </w:tc>
        <w:tc>
          <w:tcPr/>
          <w:p w:rsidR="00A77B3E">
            <w:pPr>
              <w:spacing w:before="0" w:after="80"/>
              <w:jc w:val="center"/>
              <w:rPr>
                <w:rFonts w:ascii="Calibri" w:eastAsia="Calibri" w:hAnsi="Calibri" w:cs="Calibri"/>
                <w:b w:val="0"/>
                <w:i w:val="0"/>
                <w:color w:val="000000"/>
                <w:sz w:val="20"/>
              </w:rPr>
            </w:pP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Pr>
        <w:tc>
          <w:tcPr/>
          <w:p w:rsidR="00A77B3E">
            <w:pPr>
              <w:rPr>
                <w:rFonts w:ascii="Calibri" w:eastAsia="Calibri" w:hAnsi="Calibri" w:cs="Calibri"/>
                <w:b w:val="0"/>
                <w:i w:val="0"/>
                <w:color w:val="000000"/>
                <w:sz w:val="20"/>
              </w:rPr>
            </w:pP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Observations</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2182</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2147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2124</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2072</w:t>
            </w:r>
          </w:p>
        </w:tc>
      </w:tr>
      <w:tr>
        <w:trPr>
          <w:cantSplit/>
        </w:trPr>
        <w:tc>
          <w:tcPr>
            <w:tcW w:w="228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Observed Hospitalization Rates: Oct'13-Sep'14</w:t>
            </w: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Person Correlation</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0.934</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0.942</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0.851</w:t>
            </w:r>
          </w:p>
        </w:tc>
      </w:tr>
      <w:tr>
        <w:trPr>
          <w:cantSplit/>
        </w:trPr>
        <w:tc>
          <w:tcPr/>
          <w:p w:rsidR="00A77B3E">
            <w:pPr>
              <w:rPr>
                <w:rFonts w:ascii="Calibri" w:eastAsia="Calibri" w:hAnsi="Calibri" w:cs="Calibri"/>
                <w:b w:val="0"/>
                <w:i w:val="0"/>
                <w:color w:val="000000"/>
                <w:sz w:val="20"/>
              </w:rPr>
            </w:pP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p-value</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Pr>
        <w:tc>
          <w:tcPr/>
          <w:p w:rsidR="00A77B3E">
            <w:pPr>
              <w:rPr>
                <w:rFonts w:ascii="Calibri" w:eastAsia="Calibri" w:hAnsi="Calibri" w:cs="Calibri"/>
                <w:b w:val="0"/>
                <w:i w:val="0"/>
                <w:color w:val="000000"/>
                <w:sz w:val="20"/>
              </w:rPr>
            </w:pP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Observations</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2147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2147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2120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2067</w:t>
            </w:r>
          </w:p>
        </w:tc>
      </w:tr>
      <w:tr>
        <w:trPr>
          <w:cantSplit/>
        </w:trPr>
        <w:tc>
          <w:tcPr>
            <w:tcW w:w="228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Observed Hospitalization Rates: Jul'13-Jun'14</w:t>
            </w: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Person Correlation</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0.845</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0.942</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0.943</w:t>
            </w:r>
          </w:p>
        </w:tc>
      </w:tr>
      <w:tr>
        <w:trPr>
          <w:cantSplit/>
        </w:trPr>
        <w:tc>
          <w:tcPr/>
          <w:p w:rsidR="00A77B3E">
            <w:pPr>
              <w:rPr>
                <w:rFonts w:ascii="Calibri" w:eastAsia="Calibri" w:hAnsi="Calibri" w:cs="Calibri"/>
                <w:b w:val="0"/>
                <w:i w:val="0"/>
                <w:color w:val="000000"/>
                <w:sz w:val="20"/>
              </w:rPr>
            </w:pP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p-value</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Pr>
        <w:tc>
          <w:tcPr/>
          <w:p w:rsidR="00A77B3E">
            <w:pPr>
              <w:rPr>
                <w:rFonts w:ascii="Calibri" w:eastAsia="Calibri" w:hAnsi="Calibri" w:cs="Calibri"/>
                <w:b w:val="0"/>
                <w:i w:val="0"/>
                <w:color w:val="000000"/>
                <w:sz w:val="20"/>
              </w:rPr>
            </w:pP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Observations</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2124</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2120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2124</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2069</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Observed Hospitalization Rates: Apr'13-Mar'14</w:t>
            </w: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Person Correlation</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0.727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0.851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0.943</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r>
      <w:tr>
        <w:trPr>
          <w:cantSplit/>
        </w:trPr>
        <w:tc>
          <w:tcPr/>
          <w:p w:rsidR="00A77B3E">
            <w:pPr>
              <w:rPr>
                <w:rFonts w:ascii="Calibri" w:eastAsia="Calibri" w:hAnsi="Calibri" w:cs="Calibri"/>
                <w:b w:val="0"/>
                <w:i w:val="0"/>
                <w:color w:val="000000"/>
                <w:sz w:val="20"/>
              </w:rPr>
            </w:pP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p-value</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p>
        </w:tc>
      </w:tr>
      <w:tr>
        <w:trPr>
          <w:cantSplit/>
        </w:trPr>
        <w:tc>
          <w:tcPr/>
          <w:p w:rsidR="00A77B3E">
            <w:pPr>
              <w:rPr>
                <w:rFonts w:ascii="Calibri" w:eastAsia="Calibri" w:hAnsi="Calibri" w:cs="Calibri"/>
                <w:b w:val="0"/>
                <w:i w:val="0"/>
                <w:color w:val="000000"/>
                <w:sz w:val="20"/>
              </w:rPr>
            </w:pP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Observations</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2072</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2067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2069</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2072</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Pearson correlation statistics between quarterly observed hospitalization rates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TABLE 5. Spearman Correlation Coefficients of PointRight® Pro Long Stay™ Hospitalization </w:t>
      </w:r>
      <w:r>
        <w:rPr>
          <w:rFonts w:ascii="Calibri" w:eastAsia="Calibri" w:hAnsi="Calibri" w:cs="Calibri"/>
          <w:b/>
          <w:bCs/>
          <w:i/>
          <w:iCs/>
          <w:color w:val="000000"/>
          <w:sz w:val="20"/>
        </w:rPr>
        <w:t>Risk Adjusted Rates</w:t>
      </w:r>
      <w:r>
        <w:rPr>
          <w:rFonts w:ascii="Calibri" w:eastAsia="Calibri" w:hAnsi="Calibri" w:cs="Calibri"/>
          <w:b/>
          <w:bCs/>
          <w:i w:val="0"/>
          <w:color w:val="000000"/>
          <w:sz w:val="20"/>
        </w:rPr>
        <w:t xml:space="preserve"> by Quarter</w:t>
      </w:r>
    </w:p>
    <w:tbl>
      <w:tblPr>
        <w:tblStyle w:val="TableGrid"/>
        <w:tblCaption w:val="Spearman correlation statistics between quarterly risk-adjusted rates"/>
        <w:tblDescription w:val="Spearman correlation statistics between quarterly risk-adjusted rate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242"/>
        <w:gridCol w:w="2287"/>
        <w:gridCol w:w="1278"/>
        <w:gridCol w:w="1278"/>
        <w:gridCol w:w="1278"/>
        <w:gridCol w:w="1278"/>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2280"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Time Period of Adjusted Rate</w:t>
            </w:r>
          </w:p>
        </w:tc>
        <w:tc>
          <w:tcPr>
            <w:tcW w:w="3030"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Spearman Statistics</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Adjusted Hospitalization Rates: Jan'14-Dec'14</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Adjusted Hospitalization Rates: Oct'13-Sep'14</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Adjusted Hospitalization Rates: Jul'13-Jun'14</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Adjusted Hospitalization Rates: Apr'13 - Mar'14</w:t>
            </w:r>
          </w:p>
        </w:tc>
      </w:tr>
      <w:tr>
        <w:trPr>
          <w:cantSplit/>
        </w:trPr>
        <w:tc>
          <w:tcPr>
            <w:tcW w:w="228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Adjusted Hospitalization Rates: Jan'14-Dec'14</w:t>
            </w: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Spearman Correlation</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0.879</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0.742</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0.582</w:t>
            </w:r>
          </w:p>
        </w:tc>
      </w:tr>
      <w:tr>
        <w:trPr>
          <w:cantSplit/>
        </w:trPr>
        <w:tc>
          <w:tcPr/>
          <w:p w:rsidR="00A77B3E">
            <w:pPr>
              <w:rPr>
                <w:rFonts w:ascii="Calibri" w:eastAsia="Calibri" w:hAnsi="Calibri" w:cs="Calibri"/>
                <w:b w:val="0"/>
                <w:i w:val="0"/>
                <w:color w:val="000000"/>
                <w:sz w:val="20"/>
              </w:rPr>
            </w:pP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p-value</w:t>
            </w:r>
          </w:p>
        </w:tc>
        <w:tc>
          <w:tcPr/>
          <w:p w:rsidR="00A77B3E">
            <w:pPr>
              <w:spacing w:before="0" w:after="80"/>
              <w:jc w:val="center"/>
              <w:rPr>
                <w:rFonts w:ascii="Calibri" w:eastAsia="Calibri" w:hAnsi="Calibri" w:cs="Calibri"/>
                <w:b w:val="0"/>
                <w:i w:val="0"/>
                <w:color w:val="000000"/>
                <w:sz w:val="20"/>
              </w:rPr>
            </w:pP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Pr>
        <w:tc>
          <w:tcPr/>
          <w:p w:rsidR="00A77B3E">
            <w:pPr>
              <w:rPr>
                <w:rFonts w:ascii="Calibri" w:eastAsia="Calibri" w:hAnsi="Calibri" w:cs="Calibri"/>
                <w:b w:val="0"/>
                <w:i w:val="0"/>
                <w:color w:val="000000"/>
                <w:sz w:val="20"/>
              </w:rPr>
            </w:pP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Observations</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2182</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2147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2124</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2072</w:t>
            </w:r>
          </w:p>
        </w:tc>
      </w:tr>
      <w:tr>
        <w:trPr>
          <w:cantSplit/>
        </w:trPr>
        <w:tc>
          <w:tcPr>
            <w:tcW w:w="228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Adjusted Hospitalization Rates: Oct'13-Sep'14</w:t>
            </w: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Spearman Correlation</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0.879</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0.885</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0.739</w:t>
            </w:r>
          </w:p>
        </w:tc>
      </w:tr>
      <w:tr>
        <w:trPr>
          <w:cantSplit/>
        </w:trPr>
        <w:tc>
          <w:tcPr/>
          <w:p w:rsidR="00A77B3E">
            <w:pPr>
              <w:rPr>
                <w:rFonts w:ascii="Calibri" w:eastAsia="Calibri" w:hAnsi="Calibri" w:cs="Calibri"/>
                <w:b w:val="0"/>
                <w:i w:val="0"/>
                <w:color w:val="000000"/>
                <w:sz w:val="20"/>
              </w:rPr>
            </w:pP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p-value</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Pr>
        <w:tc>
          <w:tcPr/>
          <w:p w:rsidR="00A77B3E">
            <w:pPr>
              <w:rPr>
                <w:rFonts w:ascii="Calibri" w:eastAsia="Calibri" w:hAnsi="Calibri" w:cs="Calibri"/>
                <w:b w:val="0"/>
                <w:i w:val="0"/>
                <w:color w:val="000000"/>
                <w:sz w:val="20"/>
              </w:rPr>
            </w:pP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Observations</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2147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2147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2120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2067</w:t>
            </w:r>
          </w:p>
        </w:tc>
      </w:tr>
      <w:tr>
        <w:trPr>
          <w:cantSplit/>
        </w:trPr>
        <w:tc>
          <w:tcPr>
            <w:tcW w:w="228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Adjusted Hospitalization Rates: Jul'13-Jun'14</w:t>
            </w: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Spearman Correlation</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0.742</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0.885</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0.882</w:t>
            </w:r>
          </w:p>
        </w:tc>
      </w:tr>
      <w:tr>
        <w:trPr>
          <w:cantSplit/>
        </w:trPr>
        <w:tc>
          <w:tcPr/>
          <w:p w:rsidR="00A77B3E">
            <w:pPr>
              <w:rPr>
                <w:rFonts w:ascii="Calibri" w:eastAsia="Calibri" w:hAnsi="Calibri" w:cs="Calibri"/>
                <w:b w:val="0"/>
                <w:i w:val="0"/>
                <w:color w:val="000000"/>
                <w:sz w:val="20"/>
              </w:rPr>
            </w:pP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p-value</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Pr>
        <w:tc>
          <w:tcPr/>
          <w:p w:rsidR="00A77B3E">
            <w:pPr>
              <w:rPr>
                <w:rFonts w:ascii="Calibri" w:eastAsia="Calibri" w:hAnsi="Calibri" w:cs="Calibri"/>
                <w:b w:val="0"/>
                <w:i w:val="0"/>
                <w:color w:val="000000"/>
                <w:sz w:val="20"/>
              </w:rPr>
            </w:pP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Observations</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2124</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2120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2124</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2069</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Adjusted Hospitalization Rates: Apr'13-Mar'14</w:t>
            </w: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Spearman Correlation</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0.582</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0.739</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0.882</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r>
      <w:tr>
        <w:trPr>
          <w:cantSplit/>
        </w:trPr>
        <w:tc>
          <w:tcPr/>
          <w:p w:rsidR="00A77B3E">
            <w:pPr>
              <w:rPr>
                <w:rFonts w:ascii="Calibri" w:eastAsia="Calibri" w:hAnsi="Calibri" w:cs="Calibri"/>
                <w:b w:val="0"/>
                <w:i w:val="0"/>
                <w:color w:val="000000"/>
                <w:sz w:val="20"/>
              </w:rPr>
            </w:pP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p-value</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p>
        </w:tc>
      </w:tr>
      <w:tr>
        <w:trPr>
          <w:cantSplit/>
        </w:trPr>
        <w:tc>
          <w:tcPr/>
          <w:p w:rsidR="00A77B3E">
            <w:pPr>
              <w:rPr>
                <w:rFonts w:ascii="Calibri" w:eastAsia="Calibri" w:hAnsi="Calibri" w:cs="Calibri"/>
                <w:b w:val="0"/>
                <w:i w:val="0"/>
                <w:color w:val="000000"/>
                <w:sz w:val="20"/>
              </w:rPr>
            </w:pP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Observations</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2072</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2067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2069</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2072</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Spearman correlation statistics between quarterly risk-adjusted rates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TABLE 6. Spearman Correlation Coefficients of PointRight® Pro Long Stay™ Hospitalization </w:t>
      </w:r>
      <w:r>
        <w:rPr>
          <w:rFonts w:ascii="Calibri" w:eastAsia="Calibri" w:hAnsi="Calibri" w:cs="Calibri"/>
          <w:b/>
          <w:bCs/>
          <w:i/>
          <w:iCs/>
          <w:color w:val="000000"/>
          <w:sz w:val="20"/>
        </w:rPr>
        <w:t>Observed Rates</w:t>
      </w:r>
      <w:r>
        <w:rPr>
          <w:rFonts w:ascii="Calibri" w:eastAsia="Calibri" w:hAnsi="Calibri" w:cs="Calibri"/>
          <w:b/>
          <w:bCs/>
          <w:i w:val="0"/>
          <w:color w:val="000000"/>
          <w:sz w:val="20"/>
        </w:rPr>
        <w:t xml:space="preserve"> by Quarter</w:t>
      </w:r>
    </w:p>
    <w:tbl>
      <w:tblPr>
        <w:tblStyle w:val="TableGrid"/>
        <w:tblCaption w:val="Spearman statistics between quarterly observed rates"/>
        <w:tblDescription w:val="Spearman statistics between quarterly observed rate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242"/>
        <w:gridCol w:w="2287"/>
        <w:gridCol w:w="1278"/>
        <w:gridCol w:w="1278"/>
        <w:gridCol w:w="1278"/>
        <w:gridCol w:w="1278"/>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2280"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Time Period of Observed Rate</w:t>
            </w:r>
          </w:p>
        </w:tc>
        <w:tc>
          <w:tcPr>
            <w:tcW w:w="3030"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Spearman Statistics</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Observed Hospitalization Rates: Jan'14-Dec'14</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Observed Hospitalization Rates: Oct'13-Sep'14</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Observed Hospitalization Rates: Jul'13-Jun'14</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Observed Hospitalization Rates: Apr'13 - Mar'14</w:t>
            </w:r>
          </w:p>
        </w:tc>
      </w:tr>
      <w:tr>
        <w:trPr>
          <w:cantSplit/>
        </w:trPr>
        <w:tc>
          <w:tcPr>
            <w:tcW w:w="228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Observed Hospitalization Rates: Jan'14-Dec'14</w:t>
            </w: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Spearman Correlation</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0.926</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0.823</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0.699</w:t>
            </w:r>
          </w:p>
        </w:tc>
      </w:tr>
      <w:tr>
        <w:trPr>
          <w:cantSplit/>
        </w:trPr>
        <w:tc>
          <w:tcPr/>
          <w:p w:rsidR="00A77B3E">
            <w:pPr>
              <w:rPr>
                <w:rFonts w:ascii="Calibri" w:eastAsia="Calibri" w:hAnsi="Calibri" w:cs="Calibri"/>
                <w:b w:val="0"/>
                <w:i w:val="0"/>
                <w:color w:val="000000"/>
                <w:sz w:val="20"/>
              </w:rPr>
            </w:pP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p-value</w:t>
            </w:r>
          </w:p>
        </w:tc>
        <w:tc>
          <w:tcPr/>
          <w:p w:rsidR="00A77B3E">
            <w:pPr>
              <w:spacing w:before="0" w:after="80"/>
              <w:jc w:val="center"/>
              <w:rPr>
                <w:rFonts w:ascii="Calibri" w:eastAsia="Calibri" w:hAnsi="Calibri" w:cs="Calibri"/>
                <w:b w:val="0"/>
                <w:i w:val="0"/>
                <w:color w:val="000000"/>
                <w:sz w:val="20"/>
              </w:rPr>
            </w:pP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Pr>
        <w:tc>
          <w:tcPr/>
          <w:p w:rsidR="00A77B3E">
            <w:pPr>
              <w:rPr>
                <w:rFonts w:ascii="Calibri" w:eastAsia="Calibri" w:hAnsi="Calibri" w:cs="Calibri"/>
                <w:b w:val="0"/>
                <w:i w:val="0"/>
                <w:color w:val="000000"/>
                <w:sz w:val="20"/>
              </w:rPr>
            </w:pP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Observations</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2182</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2147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2124</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2072</w:t>
            </w:r>
          </w:p>
        </w:tc>
      </w:tr>
      <w:tr>
        <w:trPr>
          <w:cantSplit/>
        </w:trPr>
        <w:tc>
          <w:tcPr>
            <w:tcW w:w="228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Observed Hospitalization Rates: Oct'13-Sep'14</w:t>
            </w: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Spearman Correlation</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0.926</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0.932</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0.831</w:t>
            </w:r>
          </w:p>
        </w:tc>
      </w:tr>
      <w:tr>
        <w:trPr>
          <w:cantSplit/>
        </w:trPr>
        <w:tc>
          <w:tcPr/>
          <w:p w:rsidR="00A77B3E">
            <w:pPr>
              <w:rPr>
                <w:rFonts w:ascii="Calibri" w:eastAsia="Calibri" w:hAnsi="Calibri" w:cs="Calibri"/>
                <w:b w:val="0"/>
                <w:i w:val="0"/>
                <w:color w:val="000000"/>
                <w:sz w:val="20"/>
              </w:rPr>
            </w:pP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p-value</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Pr>
        <w:tc>
          <w:tcPr/>
          <w:p w:rsidR="00A77B3E">
            <w:pPr>
              <w:rPr>
                <w:rFonts w:ascii="Calibri" w:eastAsia="Calibri" w:hAnsi="Calibri" w:cs="Calibri"/>
                <w:b w:val="0"/>
                <w:i w:val="0"/>
                <w:color w:val="000000"/>
                <w:sz w:val="20"/>
              </w:rPr>
            </w:pP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Observations</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2147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2147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2120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2067</w:t>
            </w:r>
          </w:p>
        </w:tc>
      </w:tr>
      <w:tr>
        <w:trPr>
          <w:cantSplit/>
        </w:trPr>
        <w:tc>
          <w:tcPr>
            <w:tcW w:w="228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Observed Hospitalization Rates: Jul'13-Jun'14</w:t>
            </w: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Spearman Correlation</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0.823</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0.932</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0.935</w:t>
            </w:r>
          </w:p>
        </w:tc>
      </w:tr>
      <w:tr>
        <w:trPr>
          <w:cantSplit/>
        </w:trPr>
        <w:tc>
          <w:tcPr/>
          <w:p w:rsidR="00A77B3E">
            <w:pPr>
              <w:rPr>
                <w:rFonts w:ascii="Calibri" w:eastAsia="Calibri" w:hAnsi="Calibri" w:cs="Calibri"/>
                <w:b w:val="0"/>
                <w:i w:val="0"/>
                <w:color w:val="000000"/>
                <w:sz w:val="20"/>
              </w:rPr>
            </w:pP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p-value</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Pr>
        <w:tc>
          <w:tcPr/>
          <w:p w:rsidR="00A77B3E">
            <w:pPr>
              <w:rPr>
                <w:rFonts w:ascii="Calibri" w:eastAsia="Calibri" w:hAnsi="Calibri" w:cs="Calibri"/>
                <w:b w:val="0"/>
                <w:i w:val="0"/>
                <w:color w:val="000000"/>
                <w:sz w:val="20"/>
              </w:rPr>
            </w:pP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Observations</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2124</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2120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2124</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2069</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Observed Hospitalization Rates: Apr'13-Mar'14</w:t>
            </w: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Spearman Correlation</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0.699</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0.831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0.933</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r>
      <w:tr>
        <w:trPr>
          <w:cantSplit/>
        </w:trPr>
        <w:tc>
          <w:tcPr/>
          <w:p w:rsidR="00A77B3E">
            <w:pPr>
              <w:rPr>
                <w:rFonts w:ascii="Calibri" w:eastAsia="Calibri" w:hAnsi="Calibri" w:cs="Calibri"/>
                <w:b w:val="0"/>
                <w:i w:val="0"/>
                <w:color w:val="000000"/>
                <w:sz w:val="20"/>
              </w:rPr>
            </w:pP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p-value</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p w:rsidR="00A77B3E">
            <w:pPr>
              <w:spacing w:before="0" w:after="80"/>
              <w:jc w:val="center"/>
              <w:rPr>
                <w:rFonts w:ascii="Calibri" w:eastAsia="Calibri" w:hAnsi="Calibri" w:cs="Calibri"/>
                <w:b w:val="0"/>
                <w:i w:val="0"/>
                <w:color w:val="000000"/>
                <w:sz w:val="20"/>
              </w:rPr>
            </w:pPr>
          </w:p>
        </w:tc>
      </w:tr>
      <w:tr>
        <w:trPr>
          <w:cantSplit/>
        </w:trPr>
        <w:tc>
          <w:tcPr/>
          <w:p w:rsidR="00A77B3E">
            <w:pPr>
              <w:rPr>
                <w:rFonts w:ascii="Calibri" w:eastAsia="Calibri" w:hAnsi="Calibri" w:cs="Calibri"/>
                <w:b w:val="0"/>
                <w:i w:val="0"/>
                <w:color w:val="000000"/>
                <w:sz w:val="20"/>
              </w:rPr>
            </w:pPr>
          </w:p>
        </w:tc>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Observations</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2072</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2067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2069</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2072</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Spearman statistics between quarterly observed rates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Table 7. Distribution of Differences between Facility Adjusted Rates and Resampled Adjusted Rates </w:t>
      </w:r>
    </w:p>
    <w:tbl>
      <w:tblPr>
        <w:tblStyle w:val="TableGrid"/>
        <w:tblCaption w:val="Distribution of Differences between Facility Adjusted Rates and Resampled Adjusted Rates "/>
        <w:tblDescription w:val="Distribution of Differences between Facility Adjusted Rates and Resampled Adjusted Rates "/>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046"/>
        <w:gridCol w:w="3314"/>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Quantile</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Difference in Rates: </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(Adjusted Rates - Resampled Adj Rates)</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 Max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11.8%</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99%</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5.8%</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95%</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3.5%</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2.6%</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75% Q3</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1.4%</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50% Median</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0.0%</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25% Q1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-1.3%</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-2.9%</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-3.8%</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-5.8%</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Min</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-12.7%</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Distribution of Differences between Facility Adjusted Rates and Resampled Adjusted Rates </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Figure 1. Histogram of Differences between Facility Adjusted Rates and Resampled Adjusted Rates by Facility Size</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4457700"/>
            <wp:docPr id="100013" name="" descr="Y-Axis is Percent of Facilities, X-Axis is Difference between Adjusted and Resampled Rates. Top Histogram is of facility size greater than equal to 200. Bottom Histogram is of facility size less than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
                    <pic:cNvPicPr>
                      <a:picLocks noChangeAspect="1"/>
                    </pic:cNvPicPr>
                  </pic:nvPicPr>
                  <pic:blipFill>
                    <a:blip xmlns:r="http://schemas.openxmlformats.org/officeDocument/2006/relationships" r:embed="rId12"/>
                    <a:stretch>
                      <a:fillRect/>
                    </a:stretch>
                  </pic:blipFill>
                  <pic:spPr>
                    <a:xfrm>
                      <a:off x="0" y="0"/>
                      <a:ext cx="5943600" cy="4457700"/>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Y-Axis is Percent of Facilities, X-Axis is Difference between Adjusted and Resampled Rates. Top Histogram is of facility size greater than equal to 200. Bottom Histogram is of facility size less than 200.</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2a.12. Interpret the results, in terms of how they demonstrate reliability.</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Agreement of Model Independent Variables -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45% of the risk adjustment model covariates, that were comparable, were found to have prevalence within 5% of the prevalence found in the national sample. 65% (13 out of 20) risk adjustment model covariates, that were comparable, were found to have prevalence within 10% of the prevalence found in the national sample. Although the measure testing sample is not a random sample of all U.S. SNF patients, all the model IV cohorts are sufficiently represented in our sample.</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Reliability of Rates Over Time –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Correlations from one quarter to the next ranged between .888 to .889 for the parametric statistic and .879 to .885 for the rank order statistic. The correlations suggest that the measure is adequately stable over short periods, but sufficiently variable to reflect clinically meaningful changes.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Stability of Facility Level Adjusted Rate Bootstrapping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Reviewing the distribution of facility level differences between adjusted hospitalization rates and resampled adjusted rates illustrates the PointRight Pro Long Stay Hospitalization Measure has a high level of precision. 64.8% of the PointRight sample had a difference in adjusted rates of less than 2% and only 4.6% of facilities had a difference greater than 5%. The mean difference was 0.1%.</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1,514 (70%) of the facilities in our sample had a denominator greater than 200 patient quarters. For these larger faculties we noticed, as expected, the variance of the distribution in differences shrinks. Smaller facilities will have less measure reliability, but we found the variance acceptable even for facilities with denominators between 30 and 200.</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2b.01. Select the level of validity testing that was conducted.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Patient or Encounter-Level (data element validity must address ALL critical data elements)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Empirical validity testing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Systematic assessment of face validity of performance measure score as an indicator of quality or resource use (i.e., is an accurate reflection of performance on quality or resource use and can distinguish good from poor performance)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2b.02. For each level of testing checked above, describe the method of validity testing and what it tests.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was tested, e.g., accuracy of data elements compared to authoritative source, relationship to another measure as expected; what statistical analysis was used.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Agreement of Model Dependent Variables -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For the dependent variable of acute care hospitalization we compared the identification of hospitalization events of Medicare FFS beneficiaries based on the MDS and hospitalization events based on Medicare FFS claims. Because MDS data include all payers, not just Part A Medicare patients, we restricted the MDS discharges to those where the patient was enrolled in Part A Medicare when they were discharged, and who had data in our extract of inpatient and other claims data for patients who had a SNF claim in calendar year 2012. We used 2012 MDS data, claims data and enrollment data (for Part A enrollment and dates of death) because it was the most recent in our database. We would not expect significant differences in the match rates for newer data, and those differences would likely be improvements, given CMS’s MDS focus surveys and other MDS data quality initiatives.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Performance Measure Score- Correlation with SNF Industry Measures of Quality: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To test construct validity of the PointRight Pro Long Stay Hospitalization measure we tested the relationship of the measure with the various components of the CMS Five-Star ratings for SNFs and its correlation with CMS’s long-stay Quality Measures. We hypothesized that facilities with higher star ratings would have lower adjusted long-stay hospitalization rates.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u w:val="single"/>
        </w:rPr>
        <w:t>2022 Submission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Since the original endorsement, CMS added a Medicare claims-based long-stay hospitalization measure to Care Compare (formerly Nursing Home Compare) and five star. CMS did not seek NQF endorsement for this measure. Still, we calculated the correlation between this measure and ProLongStay. Additionally, we updated the analysis on the relationship between five star and ProLongStay to account for more recent data.</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2b.03. Provide the statistical results from validity testing.</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color w:val="000000"/>
          <w:sz w:val="20"/>
        </w:rPr>
        <w:t> Examples may include correlations or t-test results.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Agreement of Model Dependent Variables – </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8. Agreement between MDS discharge status codes for long stays, and inpatient claims and death records</w:t>
      </w:r>
    </w:p>
    <w:tbl>
      <w:tblPr>
        <w:tblStyle w:val="TableGrid"/>
        <w:tblCaption w:val="Agreement between MDS discharge status codes for long stays, and inpatient claims and death records"/>
        <w:tblDescription w:val="Agreement between MDS discharge status codes for long stays, and inpatient claims and death record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210"/>
        <w:gridCol w:w="894"/>
        <w:gridCol w:w="683"/>
        <w:gridCol w:w="1482"/>
        <w:gridCol w:w="605"/>
        <w:gridCol w:w="1065"/>
        <w:gridCol w:w="605"/>
        <w:gridCol w:w="793"/>
        <w:gridCol w:w="605"/>
        <w:gridCol w:w="793"/>
        <w:gridCol w:w="605"/>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MDS Discharge Status</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Total</w:t>
            </w:r>
          </w:p>
        </w:tc>
        <w:tc>
          <w:tcPr/>
          <w:p w:rsidR="00A77B3E">
            <w:pPr>
              <w:rPr>
                <w:rFonts w:ascii="Calibri" w:eastAsia="Calibri" w:hAnsi="Calibri" w:cs="Calibri"/>
                <w:b/>
                <w:bCs/>
                <w:i w:val="0"/>
                <w:color w:val="000000"/>
                <w:sz w:val="20"/>
              </w:rPr>
            </w:pP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According to claims and the Medicare enrollment record....</w:t>
            </w: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r>
      <w:tr>
        <w:trPr>
          <w:cantSplit/>
        </w:trPr>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STACH/CAH</w:t>
            </w:r>
          </w:p>
        </w:tc>
        <w:tc>
          <w:tcPr/>
          <w:p w:rsidR="00A77B3E">
            <w:pPr>
              <w:rPr>
                <w:rFonts w:ascii="Calibri" w:eastAsia="Calibri" w:hAnsi="Calibri" w:cs="Calibri"/>
                <w:b/>
                <w:bCs/>
                <w:i w:val="0"/>
                <w:color w:val="000000"/>
                <w:sz w:val="20"/>
              </w:rPr>
            </w:pP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IRF, LTCH, Psych Hospital, or Other IP </w:t>
            </w:r>
          </w:p>
        </w:tc>
        <w:tc>
          <w:tcPr/>
          <w:p w:rsidR="00A77B3E">
            <w:pPr>
              <w:rPr>
                <w:rFonts w:ascii="Calibri" w:eastAsia="Calibri" w:hAnsi="Calibri" w:cs="Calibri"/>
                <w:b/>
                <w:bCs/>
                <w:i w:val="0"/>
                <w:color w:val="000000"/>
                <w:sz w:val="20"/>
              </w:rPr>
            </w:pP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Alive but no IP claim</w:t>
            </w:r>
          </w:p>
        </w:tc>
        <w:tc>
          <w:tcPr/>
          <w:p w:rsidR="00A77B3E">
            <w:pPr>
              <w:rPr>
                <w:rFonts w:ascii="Calibri" w:eastAsia="Calibri" w:hAnsi="Calibri" w:cs="Calibri"/>
                <w:b/>
                <w:bCs/>
                <w:i w:val="0"/>
                <w:color w:val="000000"/>
                <w:sz w:val="20"/>
              </w:rPr>
            </w:pP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Died</w:t>
            </w:r>
          </w:p>
        </w:tc>
        <w:tc>
          <w:tcPr/>
          <w:p w:rsidR="00A77B3E">
            <w:pPr>
              <w:rPr>
                <w:rFonts w:ascii="Calibri" w:eastAsia="Calibri" w:hAnsi="Calibri" w:cs="Calibri"/>
                <w:b/>
                <w:bCs/>
                <w:i w:val="0"/>
                <w:color w:val="000000"/>
                <w:sz w:val="20"/>
              </w:rPr>
            </w:pPr>
          </w:p>
        </w:tc>
      </w:tr>
      <w:tr>
        <w:trPr>
          <w:cantSplit/>
        </w:trPr>
        <w:tc>
          <w:tcPr/>
          <w:p w:rsidR="00A77B3E">
            <w:pPr>
              <w:rPr>
                <w:rFonts w:ascii="Calibri" w:eastAsia="Calibri" w:hAnsi="Calibri" w:cs="Calibri"/>
                <w:b/>
                <w:bCs/>
                <w:i w:val="0"/>
                <w:color w:val="000000"/>
                <w:sz w:val="20"/>
              </w:rPr>
            </w:pPr>
          </w:p>
        </w:tc>
        <w:tc>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N</w:t>
            </w:r>
          </w:p>
        </w:tc>
        <w:tc>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Col%</w:t>
            </w:r>
          </w:p>
        </w:tc>
        <w:tc>
          <w:tcPr>
            <w:tcW w:w="1380"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N</w:t>
            </w:r>
          </w:p>
        </w:tc>
        <w:tc>
          <w:tcPr>
            <w:tcW w:w="1380"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Row %</w:t>
            </w:r>
          </w:p>
        </w:tc>
        <w:tc>
          <w:tcPr>
            <w:tcW w:w="1380"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N</w:t>
            </w:r>
          </w:p>
        </w:tc>
        <w:tc>
          <w:tcPr>
            <w:tcW w:w="1380"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Row %</w:t>
            </w:r>
          </w:p>
        </w:tc>
        <w:tc>
          <w:tcPr>
            <w:tcW w:w="1380"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N</w:t>
            </w:r>
          </w:p>
        </w:tc>
        <w:tc>
          <w:tcPr>
            <w:tcW w:w="1380"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Row %</w:t>
            </w:r>
          </w:p>
        </w:tc>
        <w:tc>
          <w:tcPr>
            <w:tcW w:w="1380"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N</w:t>
            </w:r>
          </w:p>
        </w:tc>
        <w:tc>
          <w:tcPr>
            <w:tcW w:w="1380"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Row %</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All Long Stay MDS Discharges^</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332,919</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213,772</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64%</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14,762</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70,756</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33,629</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Acute hospital</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241,857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73%</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208,891</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86%</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6,381</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25,066</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1,519</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IRF, LTCH or Psych Hospital</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9,957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7,967</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80%</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Other setting</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48,956</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3,851</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44,128</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90%</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Died</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32,149</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31,545</w:t>
            </w:r>
          </w:p>
        </w:tc>
        <w:tc>
          <w:tcPr>
            <w:tcW w:w="13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98%</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bCs/>
          <w:i w:val="0"/>
          <w:color w:val="000000"/>
          <w:sz w:val="20"/>
        </w:rPr>
        <w:t>Agreement between MDS discharge status codes for long stays, and inpatient claims and death records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Notes: *Positive patient counts less than 11 must be blinded due to our CMS data use agreements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 long stay discharge is defined as the patient having been in the facility for 100 days from admission to discharge</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Performance Measure Score- Correlation with SNF Industry Measures of Quality: </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9. Pearson Correlation Coefficients with CMS Long Stay Quality Measures</w:t>
      </w:r>
    </w:p>
    <w:tbl>
      <w:tblPr>
        <w:tblStyle w:val="TableGrid"/>
        <w:tblCaption w:val="Pearson Correlation Coefficients with CMS Long Stay Quality Measures"/>
        <w:tblDescription w:val="Pearson Correlation Coefficients with CMS Long Stay Quality Measure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5919"/>
        <w:gridCol w:w="1464"/>
        <w:gridCol w:w="1209"/>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720"/>
          <w:tblHeader/>
        </w:trPr>
        <w:tc>
          <w:tcPr>
            <w:tcW w:w="6264"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Quality Measure</w:t>
            </w:r>
          </w:p>
        </w:tc>
        <w:tc>
          <w:tcPr>
            <w:tcW w:w="2913"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Correlation Coefficient with ProLongStay Adjusted Hospitalization Rate</w:t>
            </w:r>
          </w:p>
        </w:tc>
        <w:tc>
          <w:tcPr>
            <w:tcW w:w="1047"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p-value</w:t>
            </w:r>
          </w:p>
        </w:tc>
      </w:tr>
      <w:tr>
        <w:trPr>
          <w:cantSplit/>
        </w:trPr>
        <w:tc>
          <w:tcPr>
            <w:tcW w:w="62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High-Risk Residents with Pressure Ulcers (Long Stay)*</w:t>
            </w:r>
          </w:p>
        </w:tc>
        <w:tc>
          <w:tcPr>
            <w:tcW w:w="291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0.20</w:t>
            </w:r>
          </w:p>
        </w:tc>
        <w:tc>
          <w:tcPr>
            <w:tcW w:w="104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Pr>
        <w:tc>
          <w:tcPr>
            <w:tcW w:w="62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Low-Risk Residents Who Lose Control of Their Bowels or Bladder (Long Stay)</w:t>
            </w:r>
          </w:p>
        </w:tc>
        <w:tc>
          <w:tcPr>
            <w:tcW w:w="291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104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0.3396</w:t>
            </w:r>
          </w:p>
        </w:tc>
      </w:tr>
      <w:tr>
        <w:trPr>
          <w:cantSplit/>
        </w:trPr>
        <w:tc>
          <w:tcPr>
            <w:tcW w:w="62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Residents Assessed and Appropriately Given the Pneumococcal Vaccine (Long Stay)</w:t>
            </w:r>
          </w:p>
        </w:tc>
        <w:tc>
          <w:tcPr>
            <w:tcW w:w="291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104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0.2818</w:t>
            </w:r>
          </w:p>
        </w:tc>
      </w:tr>
      <w:tr>
        <w:trPr>
          <w:cantSplit/>
        </w:trPr>
        <w:tc>
          <w:tcPr>
            <w:tcW w:w="62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Residents Assessed and Appropriately Given the Seasonal Influenza Vaccine (Long Stay)*</w:t>
            </w:r>
          </w:p>
        </w:tc>
        <w:tc>
          <w:tcPr>
            <w:tcW w:w="291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-0.05</w:t>
            </w:r>
          </w:p>
        </w:tc>
        <w:tc>
          <w:tcPr>
            <w:tcW w:w="104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0.0265</w:t>
            </w:r>
          </w:p>
        </w:tc>
      </w:tr>
      <w:tr>
        <w:trPr>
          <w:cantSplit/>
        </w:trPr>
        <w:tc>
          <w:tcPr>
            <w:tcW w:w="62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Residents Experiencing One or More Falls with Major Injury (Long Stay)</w:t>
            </w:r>
          </w:p>
        </w:tc>
        <w:tc>
          <w:tcPr>
            <w:tcW w:w="291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0.04</w:t>
            </w:r>
          </w:p>
        </w:tc>
        <w:tc>
          <w:tcPr>
            <w:tcW w:w="104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0.078</w:t>
            </w:r>
          </w:p>
        </w:tc>
      </w:tr>
      <w:tr>
        <w:trPr>
          <w:cantSplit/>
        </w:trPr>
        <w:tc>
          <w:tcPr>
            <w:tcW w:w="62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Residents Who Have Depressive Symptoms (Long Stay)*</w:t>
            </w:r>
          </w:p>
        </w:tc>
        <w:tc>
          <w:tcPr>
            <w:tcW w:w="291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-0.04</w:t>
            </w:r>
          </w:p>
        </w:tc>
        <w:tc>
          <w:tcPr>
            <w:tcW w:w="104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0.0398</w:t>
            </w:r>
          </w:p>
        </w:tc>
      </w:tr>
      <w:tr>
        <w:trPr>
          <w:cantSplit/>
        </w:trPr>
        <w:tc>
          <w:tcPr>
            <w:tcW w:w="62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Residents Who Have/Had a Catheter Inserted and Left in Their Bladder (Long Stay)*</w:t>
            </w:r>
          </w:p>
        </w:tc>
        <w:tc>
          <w:tcPr>
            <w:tcW w:w="291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0.06</w:t>
            </w:r>
          </w:p>
        </w:tc>
        <w:tc>
          <w:tcPr>
            <w:tcW w:w="104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0.0037</w:t>
            </w:r>
          </w:p>
        </w:tc>
      </w:tr>
      <w:tr>
        <w:trPr>
          <w:cantSplit/>
        </w:trPr>
        <w:tc>
          <w:tcPr>
            <w:tcW w:w="62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Residents Who Lose Too Much Weight (Long Stay)*</w:t>
            </w:r>
          </w:p>
        </w:tc>
        <w:tc>
          <w:tcPr>
            <w:tcW w:w="291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0.10</w:t>
            </w:r>
          </w:p>
        </w:tc>
        <w:tc>
          <w:tcPr>
            <w:tcW w:w="104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Pr>
        <w:tc>
          <w:tcPr>
            <w:tcW w:w="62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Long-Stay Residents Who Received An Antipsychotic Medication</w:t>
            </w:r>
          </w:p>
        </w:tc>
        <w:tc>
          <w:tcPr>
            <w:tcW w:w="291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104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0.2582</w:t>
            </w:r>
          </w:p>
        </w:tc>
      </w:tr>
      <w:tr>
        <w:trPr>
          <w:cantSplit/>
        </w:trPr>
        <w:tc>
          <w:tcPr>
            <w:tcW w:w="62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Residents who Self-Report Moderate to Severe Pain (Long Stay)*</w:t>
            </w:r>
          </w:p>
        </w:tc>
        <w:tc>
          <w:tcPr>
            <w:tcW w:w="291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0.08</w:t>
            </w:r>
          </w:p>
        </w:tc>
        <w:tc>
          <w:tcPr>
            <w:tcW w:w="104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0.0001</w:t>
            </w:r>
          </w:p>
        </w:tc>
      </w:tr>
      <w:tr>
        <w:trPr>
          <w:cantSplit/>
        </w:trPr>
        <w:tc>
          <w:tcPr>
            <w:tcW w:w="62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Residents Who Were Physically Restrained (Long Stay)*</w:t>
            </w:r>
          </w:p>
        </w:tc>
        <w:tc>
          <w:tcPr>
            <w:tcW w:w="291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0.07</w:t>
            </w:r>
          </w:p>
        </w:tc>
        <w:tc>
          <w:tcPr>
            <w:tcW w:w="104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0.0009</w:t>
            </w:r>
          </w:p>
        </w:tc>
      </w:tr>
      <w:tr>
        <w:trPr>
          <w:cantSplit/>
        </w:trPr>
        <w:tc>
          <w:tcPr>
            <w:tcW w:w="62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Residents Whose Need for Help with Activities of Daily Living Has Increased (Long Stay)*</w:t>
            </w:r>
          </w:p>
        </w:tc>
        <w:tc>
          <w:tcPr>
            <w:tcW w:w="291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0.11</w:t>
            </w:r>
          </w:p>
        </w:tc>
        <w:tc>
          <w:tcPr>
            <w:tcW w:w="104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Pr>
        <w:tc>
          <w:tcPr>
            <w:tcW w:w="62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Residents with a Urinary Tract Infection (Long Stay)*</w:t>
            </w:r>
          </w:p>
        </w:tc>
        <w:tc>
          <w:tcPr>
            <w:tcW w:w="291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0.10</w:t>
            </w:r>
          </w:p>
        </w:tc>
        <w:tc>
          <w:tcPr>
            <w:tcW w:w="104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bCs/>
          <w:i w:val="0"/>
          <w:color w:val="000000"/>
          <w:sz w:val="20"/>
        </w:rPr>
        <w:t>Pearson Correlation Coefficients with CMS Long Stay Quality Measures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Notes: </w:t>
      </w:r>
      <w:r>
        <w:rPr>
          <w:rFonts w:ascii="Calibri" w:eastAsia="Calibri" w:hAnsi="Calibri" w:cs="Calibri"/>
          <w:b w:val="0"/>
          <w:i w:val="0"/>
          <w:color w:val="000000"/>
          <w:sz w:val="20"/>
        </w:rPr>
        <w:t>*Correlation coefficients that were found statistically significant at p &lt; 0.05</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iCs/>
          <w:color w:val="000000"/>
          <w:sz w:val="20"/>
        </w:rPr>
        <w:t>2022 Submission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10. Average Hospitalization Rate by Overall Five-Star Rating</w:t>
      </w:r>
    </w:p>
    <w:tbl>
      <w:tblPr>
        <w:tblStyle w:val="TableGrid"/>
        <w:tblCaption w:val=" Average Hospitalization Rate by Overall Five-Star Rating"/>
        <w:tblDescription w:val=" Average Hospitalization Rate by Overall Five-Star Rating"/>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789"/>
        <w:gridCol w:w="1464"/>
        <w:gridCol w:w="1709"/>
        <w:gridCol w:w="1709"/>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1818"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Overall Five-Star Rating</w:t>
            </w:r>
          </w:p>
        </w:tc>
        <w:tc>
          <w:tcPr>
            <w:tcW w:w="366"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Hospitalization </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Rate</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2014-Q4</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Hospitalization Rate</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2019-Q3</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Hospitalization Rate</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2020-Q3</w:t>
            </w:r>
          </w:p>
        </w:tc>
      </w:tr>
      <w:tr>
        <w:trPr>
          <w:cantSplit/>
        </w:trPr>
        <w:tc>
          <w:tcPr>
            <w:tcW w:w="1818"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1</w:t>
            </w:r>
          </w:p>
        </w:tc>
        <w:tc>
          <w:tcPr>
            <w:tcW w:w="3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15.5%</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16.7%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17.3%</w:t>
            </w:r>
          </w:p>
        </w:tc>
      </w:tr>
      <w:tr>
        <w:trPr>
          <w:cantSplit/>
        </w:trPr>
        <w:tc>
          <w:tcPr>
            <w:tcW w:w="1818"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2</w:t>
            </w:r>
          </w:p>
        </w:tc>
        <w:tc>
          <w:tcPr>
            <w:tcW w:w="3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14.1%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15.4%</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15.5%</w:t>
            </w:r>
          </w:p>
        </w:tc>
      </w:tr>
      <w:tr>
        <w:trPr>
          <w:cantSplit/>
        </w:trPr>
        <w:tc>
          <w:tcPr>
            <w:tcW w:w="1818"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3</w:t>
            </w:r>
          </w:p>
        </w:tc>
        <w:tc>
          <w:tcPr>
            <w:tcW w:w="3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13.8%</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14.9%</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15.0%</w:t>
            </w:r>
          </w:p>
        </w:tc>
      </w:tr>
      <w:tr>
        <w:trPr>
          <w:cantSplit/>
        </w:trPr>
        <w:tc>
          <w:tcPr>
            <w:tcW w:w="1818"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4</w:t>
            </w:r>
          </w:p>
        </w:tc>
        <w:tc>
          <w:tcPr>
            <w:tcW w:w="3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13.4%</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14.0%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14.0%</w:t>
            </w:r>
          </w:p>
        </w:tc>
      </w:tr>
      <w:tr>
        <w:trPr>
          <w:cantSplit/>
        </w:trPr>
        <w:tc>
          <w:tcPr>
            <w:tcW w:w="1818"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5</w:t>
            </w:r>
          </w:p>
        </w:tc>
        <w:tc>
          <w:tcPr>
            <w:tcW w:w="3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12.2%</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11.9%</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Pearson Correlation </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Coefficient (p-value)</w:t>
            </w:r>
          </w:p>
        </w:tc>
        <w:tc>
          <w:tcPr>
            <w:tcW w:w="18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-0.142 </w:t>
            </w:r>
          </w:p>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(p &lt; 0.001)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-0.280</w:t>
            </w:r>
          </w:p>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(p &lt; 0.001) </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-0.350 </w:t>
            </w:r>
          </w:p>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(p&lt;0.001)</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bCs/>
          <w:i w:val="0"/>
          <w:color w:val="000000"/>
          <w:sz w:val="20"/>
        </w:rPr>
        <w:t>Average Hospitalization Rate by Overall Five-Star Rating</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11. Average Hospitalization Rate by Survey Five-Star Rating</w:t>
      </w:r>
    </w:p>
    <w:tbl>
      <w:tblPr>
        <w:tblStyle w:val="TableGrid"/>
        <w:tblCaption w:val="Average Hospitalization Rate by Survey Five-Star Rating"/>
        <w:tblDescription w:val="Average Hospitalization Rate by Survey Five-Star Rating"/>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789"/>
        <w:gridCol w:w="1464"/>
        <w:gridCol w:w="1709"/>
        <w:gridCol w:w="1709"/>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1818"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Survey </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Five-Star Rating</w:t>
            </w:r>
          </w:p>
        </w:tc>
        <w:tc>
          <w:tcPr>
            <w:tcW w:w="366"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Hospitalization </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Rate</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2014-Q4</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Hospitalization Rate</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2019-Q3</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Hospitalization Rate</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2020-Q3</w:t>
            </w:r>
          </w:p>
        </w:tc>
      </w:tr>
      <w:tr>
        <w:trPr>
          <w:cantSplit/>
        </w:trPr>
        <w:tc>
          <w:tcPr>
            <w:tcW w:w="1818"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1</w:t>
            </w:r>
          </w:p>
        </w:tc>
        <w:tc>
          <w:tcPr>
            <w:tcW w:w="3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14.4%</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16.0%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16.1%</w:t>
            </w:r>
          </w:p>
        </w:tc>
      </w:tr>
      <w:tr>
        <w:trPr>
          <w:cantSplit/>
        </w:trPr>
        <w:tc>
          <w:tcPr>
            <w:tcW w:w="1818"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2</w:t>
            </w:r>
          </w:p>
        </w:tc>
        <w:tc>
          <w:tcPr>
            <w:tcW w:w="3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13.8%</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15.0%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15.1%</w:t>
            </w:r>
          </w:p>
        </w:tc>
      </w:tr>
      <w:tr>
        <w:trPr>
          <w:cantSplit/>
        </w:trPr>
        <w:tc>
          <w:tcPr>
            <w:tcW w:w="1818"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3</w:t>
            </w:r>
          </w:p>
        </w:tc>
        <w:tc>
          <w:tcPr>
            <w:tcW w:w="3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13.4%</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14.3%</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14.3%</w:t>
            </w:r>
          </w:p>
        </w:tc>
      </w:tr>
      <w:tr>
        <w:trPr>
          <w:cantSplit/>
        </w:trPr>
        <w:tc>
          <w:tcPr>
            <w:tcW w:w="1818"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4</w:t>
            </w:r>
          </w:p>
        </w:tc>
        <w:tc>
          <w:tcPr>
            <w:tcW w:w="3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13.1%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13.7%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13.5%</w:t>
            </w:r>
          </w:p>
        </w:tc>
      </w:tr>
      <w:tr>
        <w:trPr>
          <w:cantSplit/>
        </w:trPr>
        <w:tc>
          <w:tcPr>
            <w:tcW w:w="1818"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5</w:t>
            </w:r>
          </w:p>
        </w:tc>
        <w:tc>
          <w:tcPr>
            <w:tcW w:w="3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13.3%</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13.1%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12.6%</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Pearson Correlation </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Coefficient (p-value)</w:t>
            </w:r>
          </w:p>
        </w:tc>
        <w:tc>
          <w:tcPr>
            <w:tcW w:w="18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-0.080 </w:t>
            </w:r>
          </w:p>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(p &lt; 0.001)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-0.169</w:t>
            </w:r>
          </w:p>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(p &lt; 0.001) </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-0.226 </w:t>
            </w:r>
          </w:p>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(p&lt;0.001)</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bCs/>
          <w:i w:val="0"/>
          <w:color w:val="000000"/>
          <w:sz w:val="20"/>
        </w:rPr>
        <w:t>Average Hospitalization Rate by Survey Five-Star Rating</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12. Average Hospitalization Rate by Quality Five-Star Rating</w:t>
      </w:r>
    </w:p>
    <w:tbl>
      <w:tblPr>
        <w:tblStyle w:val="TableGrid"/>
        <w:tblCaption w:val="Average Hospitalization Rate by Quality Five-Star Rating"/>
        <w:tblDescription w:val="Average Hospitalization Rate by Quality Five-Star Rating"/>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789"/>
        <w:gridCol w:w="1464"/>
        <w:gridCol w:w="1709"/>
        <w:gridCol w:w="1709"/>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1818"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Quality </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Five-Star Rating</w:t>
            </w:r>
          </w:p>
        </w:tc>
        <w:tc>
          <w:tcPr>
            <w:tcW w:w="366"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Hospitalization </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Rate</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2014-Q4</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Hospitalization Rate</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2019-Q3</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Hospitalization Rate</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2020-Q3</w:t>
            </w:r>
          </w:p>
        </w:tc>
      </w:tr>
      <w:tr>
        <w:trPr>
          <w:cantSplit/>
        </w:trPr>
        <w:tc>
          <w:tcPr>
            <w:tcW w:w="1818"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1</w:t>
            </w:r>
          </w:p>
        </w:tc>
        <w:tc>
          <w:tcPr>
            <w:tcW w:w="3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17.0%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18.7%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19.7%</w:t>
            </w:r>
          </w:p>
        </w:tc>
      </w:tr>
      <w:tr>
        <w:trPr>
          <w:cantSplit/>
        </w:trPr>
        <w:tc>
          <w:tcPr>
            <w:tcW w:w="1818"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2</w:t>
            </w:r>
          </w:p>
        </w:tc>
        <w:tc>
          <w:tcPr>
            <w:tcW w:w="3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15.7%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16.9%</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17.4%</w:t>
            </w:r>
          </w:p>
        </w:tc>
      </w:tr>
      <w:tr>
        <w:trPr>
          <w:cantSplit/>
        </w:trPr>
        <w:tc>
          <w:tcPr>
            <w:tcW w:w="1818"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3</w:t>
            </w:r>
          </w:p>
        </w:tc>
        <w:tc>
          <w:tcPr>
            <w:tcW w:w="3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14.3%</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15.4%</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15.7%</w:t>
            </w:r>
          </w:p>
        </w:tc>
      </w:tr>
      <w:tr>
        <w:trPr>
          <w:cantSplit/>
        </w:trPr>
        <w:tc>
          <w:tcPr>
            <w:tcW w:w="1818"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4</w:t>
            </w:r>
          </w:p>
        </w:tc>
        <w:tc>
          <w:tcPr>
            <w:tcW w:w="3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14.1%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14.1%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14.2%</w:t>
            </w:r>
          </w:p>
        </w:tc>
      </w:tr>
      <w:tr>
        <w:trPr>
          <w:cantSplit/>
        </w:trPr>
        <w:tc>
          <w:tcPr>
            <w:tcW w:w="1818"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5</w:t>
            </w:r>
          </w:p>
        </w:tc>
        <w:tc>
          <w:tcPr>
            <w:tcW w:w="3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13.1%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12.0%</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Pearson Correlation </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Coefficient (p-value)</w:t>
            </w:r>
          </w:p>
        </w:tc>
        <w:tc>
          <w:tcPr>
            <w:tcW w:w="18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-0.127</w:t>
            </w:r>
          </w:p>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(p &lt; 0.001)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-0.367</w:t>
            </w:r>
          </w:p>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(p &lt; 0.001) </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-0.429 </w:t>
            </w:r>
          </w:p>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(p&lt;0.001)</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bCs/>
          <w:i w:val="0"/>
          <w:color w:val="000000"/>
          <w:sz w:val="20"/>
        </w:rPr>
        <w:t>Average Hospitalization Rate by Quality Five-Star Rating</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13. Average Hospitalization Rate by Staffing Five-Star Rating</w:t>
      </w:r>
    </w:p>
    <w:tbl>
      <w:tblPr>
        <w:tblStyle w:val="TableGrid"/>
        <w:tblCaption w:val="Average Hospitalization Rate by Staffing Five-Star Rating"/>
        <w:tblDescription w:val="Average Hospitalization Rate by Staffing Five-Star Rating"/>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789"/>
        <w:gridCol w:w="1464"/>
        <w:gridCol w:w="1709"/>
        <w:gridCol w:w="1709"/>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1818"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Staffing </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Five-Star Rating</w:t>
            </w:r>
          </w:p>
        </w:tc>
        <w:tc>
          <w:tcPr>
            <w:tcW w:w="366"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Hospitalization </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Rate</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2014-Q4</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Hospitalization Rate</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2019-Q3</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Hospitalization Rate</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2020-Q3</w:t>
            </w:r>
          </w:p>
        </w:tc>
      </w:tr>
      <w:tr>
        <w:trPr>
          <w:cantSplit/>
        </w:trPr>
        <w:tc>
          <w:tcPr>
            <w:tcW w:w="1818"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1</w:t>
            </w:r>
          </w:p>
        </w:tc>
        <w:tc>
          <w:tcPr>
            <w:tcW w:w="3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14.7%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15.8%</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15.8%</w:t>
            </w:r>
          </w:p>
        </w:tc>
      </w:tr>
      <w:tr>
        <w:trPr>
          <w:cantSplit/>
        </w:trPr>
        <w:tc>
          <w:tcPr>
            <w:tcW w:w="1818"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2</w:t>
            </w:r>
          </w:p>
        </w:tc>
        <w:tc>
          <w:tcPr>
            <w:tcW w:w="3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13.8%</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15.5%</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15.6%</w:t>
            </w:r>
          </w:p>
        </w:tc>
      </w:tr>
      <w:tr>
        <w:trPr>
          <w:cantSplit/>
        </w:trPr>
        <w:tc>
          <w:tcPr>
            <w:tcW w:w="1818"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3</w:t>
            </w:r>
          </w:p>
        </w:tc>
        <w:tc>
          <w:tcPr>
            <w:tcW w:w="3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14.1%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14.5%</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14.9%</w:t>
            </w:r>
          </w:p>
        </w:tc>
      </w:tr>
      <w:tr>
        <w:trPr>
          <w:cantSplit/>
        </w:trPr>
        <w:tc>
          <w:tcPr>
            <w:tcW w:w="1818"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4</w:t>
            </w:r>
          </w:p>
        </w:tc>
        <w:tc>
          <w:tcPr>
            <w:tcW w:w="3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13.3%</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13.7%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14.1%</w:t>
            </w:r>
          </w:p>
        </w:tc>
      </w:tr>
      <w:tr>
        <w:trPr>
          <w:cantSplit/>
        </w:trPr>
        <w:tc>
          <w:tcPr>
            <w:tcW w:w="1818"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5</w:t>
            </w:r>
          </w:p>
        </w:tc>
        <w:tc>
          <w:tcPr>
            <w:tcW w:w="3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11.2%</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12.3%</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Pearson Correlation </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Coefficient (p-value)</w:t>
            </w:r>
          </w:p>
        </w:tc>
        <w:tc>
          <w:tcPr>
            <w:tcW w:w="18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-0.105</w:t>
            </w:r>
          </w:p>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(p &lt; 0.001)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-0.198</w:t>
            </w:r>
          </w:p>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(p &lt; 0.001) </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-0.248 </w:t>
            </w:r>
          </w:p>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(p&lt;0.001)</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bCs/>
          <w:i w:val="0"/>
          <w:color w:val="000000"/>
          <w:sz w:val="20"/>
        </w:rPr>
        <w:t>Average Hospitalization Rate by Staffing Five-Star Rating</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14. Average Hospitalization Rate by RN Staffing Five-Star Rating</w:t>
      </w:r>
    </w:p>
    <w:tbl>
      <w:tblPr>
        <w:tblStyle w:val="TableGrid"/>
        <w:tblCaption w:val="Average Hospitalization Rate by RN Staffing Five-Star Rating"/>
        <w:tblDescription w:val="Average Hospitalization Rate by RN Staffing Five-Star Rating"/>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789"/>
        <w:gridCol w:w="1464"/>
        <w:gridCol w:w="1709"/>
        <w:gridCol w:w="1709"/>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1818"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RN Staffing</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Five-Star Rating</w:t>
            </w:r>
          </w:p>
        </w:tc>
        <w:tc>
          <w:tcPr>
            <w:tcW w:w="366"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Hospitalization </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Rate</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2014-Q4</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Hospitalization Rate</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2019-Q3</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Hospitalization Rate</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2020-Q3</w:t>
            </w:r>
          </w:p>
        </w:tc>
      </w:tr>
      <w:tr>
        <w:trPr>
          <w:cantSplit/>
        </w:trPr>
        <w:tc>
          <w:tcPr>
            <w:tcW w:w="1818"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1</w:t>
            </w:r>
          </w:p>
        </w:tc>
        <w:tc>
          <w:tcPr>
            <w:tcW w:w="3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14.7%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16.2%</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15.0%</w:t>
            </w:r>
          </w:p>
        </w:tc>
      </w:tr>
      <w:tr>
        <w:trPr>
          <w:cantSplit/>
        </w:trPr>
        <w:tc>
          <w:tcPr>
            <w:tcW w:w="1818"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2</w:t>
            </w:r>
          </w:p>
        </w:tc>
        <w:tc>
          <w:tcPr>
            <w:tcW w:w="3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14.6%</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15.4%</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14.3%</w:t>
            </w:r>
          </w:p>
        </w:tc>
      </w:tr>
      <w:tr>
        <w:trPr>
          <w:cantSplit/>
        </w:trPr>
        <w:tc>
          <w:tcPr>
            <w:tcW w:w="1818"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3</w:t>
            </w:r>
          </w:p>
        </w:tc>
        <w:tc>
          <w:tcPr>
            <w:tcW w:w="3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13.9%</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14.4%</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13.3%</w:t>
            </w:r>
          </w:p>
        </w:tc>
      </w:tr>
      <w:tr>
        <w:trPr>
          <w:cantSplit/>
        </w:trPr>
        <w:tc>
          <w:tcPr>
            <w:tcW w:w="1818"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4</w:t>
            </w:r>
          </w:p>
        </w:tc>
        <w:tc>
          <w:tcPr>
            <w:tcW w:w="3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13.7%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13.6%</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12.3%</w:t>
            </w:r>
          </w:p>
        </w:tc>
      </w:tr>
      <w:tr>
        <w:trPr>
          <w:cantSplit/>
        </w:trPr>
        <w:tc>
          <w:tcPr>
            <w:tcW w:w="1818"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5</w:t>
            </w:r>
          </w:p>
        </w:tc>
        <w:tc>
          <w:tcPr>
            <w:tcW w:w="3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12.4%</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10.2%</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Pearson Correlation </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Coefficient (p-value)</w:t>
            </w:r>
          </w:p>
        </w:tc>
        <w:tc>
          <w:tcPr>
            <w:tcW w:w="18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-0.141</w:t>
            </w:r>
          </w:p>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(p &lt; 0.001)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-0.233</w:t>
            </w:r>
          </w:p>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(p &lt; 0.001) </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-0.276 </w:t>
            </w:r>
          </w:p>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(p&lt;0.001)</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bCs/>
          <w:i w:val="0"/>
          <w:color w:val="000000"/>
          <w:sz w:val="20"/>
        </w:rPr>
        <w:t>Average Hospitalization Rate by RN Staffing Five-Star Rating</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Figure 2. Scatter Plot of ProLongStay Adjusted Hospitalization Rates and Nursing Home Compare Long-Stay Adjusted Hospitalization Rates (2020-Q3)</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4540374"/>
            <wp:docPr id="100015" name="" descr="Scatter Plot of MDS-based Adjusted ProLongStay (y-axis) and Claims-based Adjusted Nursing Home Compare Long Stay Hospitalizations (x-axis). Pearson Correlation of 0.770 significant with p&lt;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xmlns:r="http://schemas.openxmlformats.org/officeDocument/2006/relationships" r:embed="rId13"/>
                    <a:stretch>
                      <a:fillRect/>
                    </a:stretch>
                  </pic:blipFill>
                  <pic:spPr>
                    <a:xfrm>
                      <a:off x="0" y="0"/>
                      <a:ext cx="5943600" cy="4540374"/>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Scatter Plot of MDS-based Adjusted ProLongStay (y-axis) and Claims-based Adjusted Nursing Home Compare Long Stay Hospitalizations (x-axis). Pearson Correlation of 0.770 significant with p&lt;0.0001</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2b.04. Provide your interpretation of the results in terms of demonstrating validity. (i.e., what do the results mean and what are the norms for the test conducted?)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Critical Data Elements Agreement of Model Dependent Variables -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Table 8 presents a comparison of hospitalizations identified by claims and hospitalizations identified by the MDS, based on data from 241,857 long stay discharges for patients enrolled in Medicare Part A on discharge and existing in our extract of Medicare SNF patients in 2012, covering 15,091 SNFs, showed that 86% of hospitalizations of Medicare FFS patients identified by the MDS are confirmed by Medicare FFS claims; in the other direction, 98% (208,891 of 213,772) of acute inpatient claims found near an MDS discharge have an MDS discharge code of acute hospital. In other words, MDS discharge assessments appear to be overstating the rate of acute hospitalizations to a moderate degree. Independent confirmation of the accuracy of the dependent variable for patients with other payers was not feasible as there is no central repository of hospitalization data for such residents. Overall, the relatively high level of agreement between MDS discharge coding and claims supports the validity of the measure.</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Performance Measure Score- Correlation with SNF Industry Measures of Quality: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 hypothesized the PointRight Pro Long Stay Hospitalization Measure was correlated with other measures of quality. This supports using the Pro Long Stay Adjusted rates as a measure of a SNF’s quality of care.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Table 9 shows the relationship between specific long-stay quality measures and the long-stay hospitalization measure. Highlighted correlation coefficients are statistically significant at p &lt;.05. The negative correlation with depression may, given the modest p-value, be spurious, or if genuine may suggest lower hospitalization rates in facilities that do a better job of </w:t>
      </w:r>
      <w:r>
        <w:rPr>
          <w:rFonts w:ascii="Calibri" w:eastAsia="Calibri" w:hAnsi="Calibri" w:cs="Calibri"/>
          <w:b w:val="0"/>
          <w:i/>
          <w:iCs/>
          <w:color w:val="000000"/>
          <w:sz w:val="20"/>
        </w:rPr>
        <w:t xml:space="preserve">recognizing </w:t>
      </w:r>
      <w:r>
        <w:rPr>
          <w:rFonts w:ascii="Calibri" w:eastAsia="Calibri" w:hAnsi="Calibri" w:cs="Calibri"/>
          <w:b w:val="0"/>
          <w:i w:val="0"/>
          <w:color w:val="000000"/>
          <w:sz w:val="20"/>
        </w:rPr>
        <w:t>the depressive symptoms known to have a higher prevalence in SNFs in rigorous epidemiologic studies than they do in the published MDS-based CMS Quality Measures.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 Tables 10 through 14 above shows, higher star ratings are associated with lower adjusted long-stay hospitalization rates, and the relationship has become stronger over time, as shown by the larger correlation coefficients in 2020-Q3 compared to the other time periods.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ProLongStay Adjusted Hospitalization rates had a statistically significant positive relationship with the Medicare FFS claims-based long-stay hospitalization measure used in five-star and reported on Care Compare. The correlation coefficient was 0.770 (p&lt;0.001). In Figure 2 above the two measures were plotted against one another for 2020-Q3. We were expecting to see a strong correlation between the two measures, although it is still possible for a facility to perform well on one of the measures and poorly on the other.</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Validity of MDS Assessment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measure developers did not specifically conduct analysis of the validity of the MDS items upon which the long-stay hospitalization measure is based. The overall reliability and validity of MDS 3.0 assessment was shown to be satisfactory prior to its adoption by CMS. RAND Corporation, the developer of MDS 3.0 as a contractor to CMS published the results of its reliability and validity testing in 2008 (Saliba and Buchanan, 2008). Details, and confirmatory studies, then appeared in peer-reviewed articles, some of which are referenced below.</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Saliba , D., &amp; Buchanan, J. (2008). Development &amp; validation of a revised nursing facility assessment tool: MDS 3.0. RAND Health Corporation.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Saliba, D. &amp; Buchanan, J. (2012). Making the investment count: Revision of the minimum data set for nursing facility’s, MDS 3.0. J Am Med Dir Assoc. 13(7), 602-610.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Saliba, D., Buchanan, J., Eldelen, M.O., Streim, J., Ouslander, J., Berlowitz, D., &amp; Chodosh, J. (2012). MDS 3.0: Brief interview for mental status. J Am Med Dir Assoc. 13(7), 611-617.</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Saliba, D., DeFilippo, S., Edelen, M.O., Kroenke, K., Buchanan, J., &amp; Streim, J. (2012) Testing the PHQ-9 interview and observational versions (PHQ-9 OV) for MDS 3.0. J Am Dir Assoc. 13(7), 618-625.</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Saliba, D., Jones, M., Streim, J., Ouslander, J., Berlowitz, D., &amp; Buchanan, J. (2012) Overview of significant changes in the minimum data set for nursing facilities version 3.0. J Am Dir Assoc. 13(7), 595-601.</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2b.05. Describe the method for determining if statistically significant and clinically/practically meaningful differences in performance measure scores among the measured entities can be identified.</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statistical analysis was used? Do not just repeat the information provided in Importance to Measure and Report: Gap in Care/Disparities.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PointRight ProLongStay Hospitalization Measure has been reported to SNF providers quarterly through AHCA's LTC Trend Tracker tool. To determine what amount of change in risk-adjusted rates will be considered meaningful from one quarter to the next we observed the distribution of changes amongst our testing sample. We started with risk adjusted rates covering the 12 month measurement period of October 1, 2013 to September 30, 2014 and observed the quarterly changes up until the 12 month measurement period of January 1, 2014 to December 31, 2014. We bucketed our sample into deciles of change in adjusted rates and calculated the average change for each bucket. We preformed the same analysis on subsets of our sample, where we divided the sample into 3 groups based on denominator size.</w:t>
      </w:r>
    </w:p>
    <w:p w:rsidR="00A77B3E">
      <w:pPr>
        <w:numPr>
          <w:ilvl w:val="0"/>
          <w:numId w:val="1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Large: Denominator &gt; 400 patient quarters</w:t>
      </w:r>
    </w:p>
    <w:p w:rsidR="00A77B3E">
      <w:pPr>
        <w:numPr>
          <w:ilvl w:val="0"/>
          <w:numId w:val="1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Medium: 400 &gt;= Denominator &gt; 200 patient quarters</w:t>
      </w:r>
    </w:p>
    <w:p w:rsidR="00A77B3E">
      <w:pPr>
        <w:numPr>
          <w:ilvl w:val="0"/>
          <w:numId w:val="1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Small: 200 &gt;= Denominator &gt; 30 patient quarters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2b.06. Describe the statistical results from testing the ability to identify statistically significant and/or clinically/practically meaningful differences in performance measure scores across measured entities.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color w:val="000000"/>
          <w:sz w:val="20"/>
        </w:rPr>
        <w:t>Examples may include number and percentage of entities with scores that were statistically significantly different from mean or some benchmark, different from expected; how was meaningful difference defined.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Quarterly Changes in Risk Adjusted Rates (All Facilities N=2,067)</w:t>
      </w:r>
    </w:p>
    <w:tbl>
      <w:tblPr>
        <w:tblStyle w:val="TableGrid"/>
        <w:tblCaption w:val="Quarterly Changes in Risk Adjusted Rates (All Facilities N=2,067)"/>
        <w:tblDescription w:val="Quarterly Changes in Risk Adjusted Rates (All Facilities N=2,067)"/>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264"/>
        <w:gridCol w:w="3797"/>
        <w:gridCol w:w="1655"/>
        <w:gridCol w:w="1624"/>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Decile of Adjusted ProLongStay </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Rate Quarterly Changes</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Average Quarterly Differences in Adjusted ProLongStay</w:t>
            </w: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r>
      <w:tr>
        <w:trPr>
          <w:cantSplit/>
        </w:trPr>
        <w:tc>
          <w:tcPr/>
          <w:p w:rsidR="00A77B3E">
            <w:pPr>
              <w:rPr>
                <w:rFonts w:ascii="Calibri" w:eastAsia="Calibri" w:hAnsi="Calibri" w:cs="Calibri"/>
                <w:b/>
                <w:bCs/>
                <w:i w:val="0"/>
                <w:color w:val="000000"/>
                <w:sz w:val="20"/>
              </w:rPr>
            </w:pP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April 2014 to Mar 2014 </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minus</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July 2013 to June 2014</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July 2013 to June 2014</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minus</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Oct 2013 to Sept 2014</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Oct 2013 to Sept 2014</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minus</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Jan 2014 to Dec 2014</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-3.6%</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-3.8%</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-3.6%</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-0.6%</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-0.6%</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6</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0.5%</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2.6%</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2.6%</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4.4%</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bCs/>
          <w:i w:val="0"/>
          <w:color w:val="000000"/>
          <w:sz w:val="20"/>
        </w:rPr>
        <w:t>Quarterly Changes in Risk Adjusted Rates (All Facilities N=2,067)</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Quarterly Changes in Risk Adjusted Rates (Large Facilities N=291)</w:t>
      </w:r>
    </w:p>
    <w:tbl>
      <w:tblPr>
        <w:tblStyle w:val="TableGrid"/>
        <w:tblCaption w:val="Quarterly Changes in Risk Adjusted Rates (Large Facilities N=291)"/>
        <w:tblDescription w:val="Quarterly Changes in Risk Adjusted Rates (Large Facilities N=29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264"/>
        <w:gridCol w:w="3797"/>
        <w:gridCol w:w="1655"/>
        <w:gridCol w:w="1624"/>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Decile of Adjusted ProLongStay </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Rate Quarterly Changes</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Average Quarterly Differences in Adjusted ProLongStay</w:t>
            </w: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r>
      <w:tr>
        <w:trPr>
          <w:cantSplit/>
        </w:trPr>
        <w:tc>
          <w:tcPr/>
          <w:p w:rsidR="00A77B3E">
            <w:pPr>
              <w:rPr>
                <w:rFonts w:ascii="Calibri" w:eastAsia="Calibri" w:hAnsi="Calibri" w:cs="Calibri"/>
                <w:b/>
                <w:bCs/>
                <w:i w:val="0"/>
                <w:color w:val="000000"/>
                <w:sz w:val="20"/>
              </w:rPr>
            </w:pP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April 2014 to Mar 2014 </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minus</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July 2013 to June 2014</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July 2013 to June 2014</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minus</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Oct 2013 to Sept 2014</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Oct 2013 to Sept 2014</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minus</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Jan 2014 to Dec 2014</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-2.5%</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-0.8%</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-0.8%</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-0.6%</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6</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0.6%</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0.7%</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2.8%</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bCs/>
          <w:i w:val="0"/>
          <w:color w:val="000000"/>
          <w:sz w:val="20"/>
        </w:rPr>
        <w:t>Quarterly Changes in Risk Adjusted Rates (Large Facilities N=291)</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Quarterly Changes in Risk Adjusted Rates (Medium Facilities N=1,107)</w:t>
      </w:r>
    </w:p>
    <w:tbl>
      <w:tblPr>
        <w:tblStyle w:val="TableGrid"/>
        <w:tblCaption w:val="Quarterly Changes in Risk Adjusted Rates (Medium Facilities N=1,107)"/>
        <w:tblDescription w:val="Quarterly Changes in Risk Adjusted Rates (Medium Facilities N=1,107)"/>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264"/>
        <w:gridCol w:w="3797"/>
        <w:gridCol w:w="1655"/>
        <w:gridCol w:w="1624"/>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Decile of Adjusted ProLongStay </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Rate Quarterly Changes</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Average Quarterly Differences in Adjusted ProLongStay</w:t>
            </w: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r>
      <w:tr>
        <w:trPr>
          <w:cantSplit/>
        </w:trPr>
        <w:tc>
          <w:tcPr/>
          <w:p w:rsidR="00A77B3E">
            <w:pPr>
              <w:rPr>
                <w:rFonts w:ascii="Calibri" w:eastAsia="Calibri" w:hAnsi="Calibri" w:cs="Calibri"/>
                <w:b/>
                <w:bCs/>
                <w:i w:val="0"/>
                <w:color w:val="000000"/>
                <w:sz w:val="20"/>
              </w:rPr>
            </w:pP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April 2014 to Mar 2014 </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minus</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July 2013 to June 2014</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July 2013 to June 2014</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minus</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Oct 2013 to Sept 2014</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Oct 2013 to Sept 2014</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minus</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Jan 2014 to Dec 2014</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-3.6%</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-3.4%</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-0.6%</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-0.6%</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6</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0.9%</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0.8%</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2.3%</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3.9%</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bCs/>
          <w:i w:val="0"/>
          <w:color w:val="000000"/>
          <w:sz w:val="20"/>
        </w:rPr>
        <w:t>Quarterly Changes in Risk Adjusted Rates (Medium Facilities N=1,107)</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Quarterly Changes in Risk Adjusted Rates (Small Facilities N=669)</w:t>
      </w:r>
    </w:p>
    <w:tbl>
      <w:tblPr>
        <w:tblStyle w:val="TableGrid"/>
        <w:tblCaption w:val="Quarterly Changes in Risk Adjusted Rates (Small Facilities N=669)"/>
        <w:tblDescription w:val="Quarterly Changes in Risk Adjusted Rates (Small Facilities N=669)"/>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264"/>
        <w:gridCol w:w="3797"/>
        <w:gridCol w:w="1655"/>
        <w:gridCol w:w="1624"/>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Decile of Adjusted ProLongStay </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Rate Quarterly Changes</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Average Quarterly Differences in Adjusted ProLongStay</w:t>
            </w: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r>
      <w:tr>
        <w:trPr>
          <w:cantSplit/>
        </w:trPr>
        <w:tc>
          <w:tcPr/>
          <w:p w:rsidR="00A77B3E">
            <w:pPr>
              <w:rPr>
                <w:rFonts w:ascii="Calibri" w:eastAsia="Calibri" w:hAnsi="Calibri" w:cs="Calibri"/>
                <w:b/>
                <w:bCs/>
                <w:i w:val="0"/>
                <w:color w:val="000000"/>
                <w:sz w:val="20"/>
              </w:rPr>
            </w:pP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April 2014 to Mar 2014 </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minus</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July 2013 to June 2014</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July 2013 to June 2014</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minus</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Oct 2013 to Sept 2014</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Oct 2013 to Sept 2014</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minus</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Jan 2014 to Dec 2014</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-4.5%</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-2.4%</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-0.6%</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-0.5%</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6</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0.8%</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0.9%</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2.4%</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3.5%</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6.9%</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6.0%</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bCs/>
          <w:i w:val="0"/>
          <w:color w:val="000000"/>
          <w:sz w:val="20"/>
        </w:rPr>
        <w:t>Quarterly Changes in Risk Adjusted Rates (Small Facilities N=669)</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2b.07. Provide your interpretation of the results in terms of demonstrating the ability to identify statistically significant and/or clinically/practically meaningful differences in performance across measured entities.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in terms of statistical and meaningful differences?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distribution of changes in adjusted rates, for our full sample, was similar across all 4 quarters, where for each quarter the average change for deciles 2 through 8 was less than +/- 3%. Deciles 1 and 10 had average changes greater than +/-3.5%. The distribution of differences was larger for facilities with smaller denominators and this indicated that recommendations of clinically meaningful difference should be dependent upon facility size.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We made the following recommendations as we attempted to identify changes in adjusted rates that would move a facility several deciles in our sample’s distribution.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Large Facilities - 2%</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Medium Facilities - 3%</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Small Facilities - 4%</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2b.08. Describe the method of testing conducted to identify the extent and distribution of missing data (or non-response) and demonstrate that performance results are not biased due to systematic missing data (or differences between responders and non-responders). Include how the specified handling of missing data minimizes bias.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statistical analysis was used.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On occasion facilities fail to submit MDS assessments adhering to the MDS submission schedule specified by regulation. This can result in a patient being included in a quarterly denominator population but not having a known outcome during the quarter following the snapshot date. The known outcome rate for the measure period is the sum of the counts of patients over the four quarterly denominator populations that have known outcomes, divided by the measure period denominator.</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Knowing the outcome of a patient in the quarter at risk is vital the measure's accuracy. We’ve reviewed the known outcome rates across our sample to ensure that missing data is not a major factor. For this analysis we used our full sample of 2,811 PointRight clients, before excluding facilities for having known outcome rates less than 90% (N=2,584). This distribution is provided below in the table below.</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 addition to reviewing the missing data distribution across our sample, we also examined the relationship between the observed rate of hospitalizations and the known outcomes rate. For facilities with known outcomes rates between 100% and 90%, patient quarters at risk with unknown outcomes will contribute a 0.8 to the numerator. We impute 0.8 because nationally 80% of long stay patients with known outcomes are discharged to the hospital. If we are appropriately imputing the rate of hospitalization we would expect to see little to no correlation between known outcome rates and hospitalization rates. A scatter plot of the two rates is found in the figure below.</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2b.09. Provide the overall frequency of missing data, the distribution of missing data across providers, and the results from testing related to missing data.</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For example, provide results of sensitivity analysis of the effect of various rules for missing data/non-response. If no empirical sensitivity analysis was conducted, identify the approaches for handling missing data that were considered and benefits and drawbacks of each).</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Table- Distribution of Known Outcome Rates Before Exclusion</w:t>
      </w:r>
    </w:p>
    <w:tbl>
      <w:tblPr>
        <w:tblStyle w:val="TableGrid"/>
        <w:tblCaption w:val="Distribution of Known Outcome Rates Before Exclusion"/>
        <w:tblDescription w:val="Distribution of Known Outcome Rates Before Exclusion"/>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049"/>
        <w:gridCol w:w="761"/>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Quantile</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Estimate</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 Max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99%</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95%</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75% Q3</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50% Median</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25% Q1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98%</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92%</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83%</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73%</w:t>
            </w:r>
          </w:p>
        </w:tc>
      </w:tr>
      <w:tr>
        <w:trPr>
          <w:cantSplit/>
        </w:trPr>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Min</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70%</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Distribution of Known Outcome Rates Before Exclusion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Figure- Scatter Plot of Known Outcome Rates and Observed Hospitalization Rates</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4497687"/>
            <wp:docPr id="100017" name="" descr="Scatter Plot of Known Outcome Rates (x-axis) and Observed Hospitalization Rates (y-ax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
                    <pic:cNvPicPr>
                      <a:picLocks noChangeAspect="1"/>
                    </pic:cNvPicPr>
                  </pic:nvPicPr>
                  <pic:blipFill>
                    <a:blip xmlns:r="http://schemas.openxmlformats.org/officeDocument/2006/relationships" r:embed="rId14"/>
                    <a:stretch>
                      <a:fillRect/>
                    </a:stretch>
                  </pic:blipFill>
                  <pic:spPr>
                    <a:xfrm>
                      <a:off x="0" y="0"/>
                      <a:ext cx="5943600" cy="4497687"/>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Scatter Plot of Known Outcome Rates (x-axis) and Observed Hospitalization Rates (y-axis)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2b.10. Provide your interpretation of the results, in terms of demonstrating that performance results are not biased due to systematic missing data (or differences between responders and non-responders), and how the specified handling of missing data minimizes bias.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in terms of supporting the selected approach for missing data and what are the norms for the test conducted; if no empirical analysis was conducted, justify the selected approach for missing data.</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median known outcome rate in our full sample of PointRight facilities was 100%, leading us to conclude missing data was not an issue for the majority of facilities. We selected a known outcome rate of 90% to the be the minimum threshold. This threshold excluded 8% of our sample and was a good balance between the availability and utility of the measure.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 examining the relationship between known outcome rates and observed hospitalization rates we do see a very slight positive correlation. The Pearson correlation coefficient was .08 with a p-value of .0001 and the Spearman correlation coefficient was -.006 with a p-value of .7311. These results lead us to believe that there is no significant bias for facilities with known outcomes rates greater than 90%.</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Note: This item is directed to measures that are risk-adjusted (with or without social risk factors) OR to measures with more than one set of specifications/instructions (e.g., one set of specifications for how to identify and compute the measure from medical record abstraction and a different set of specifications for claims or eCQMs). It does not apply to measures that use more than one source of data in one set of specifications/instructions (e.g., claims data to identify the denominator and medical record abstraction for the numerator). Comparability is not required when comparing performance scores with and without social risk factors in the risk adjustment model. However, if comparability is not demonstrated for measures with more than one set of specifications/instructions, the different specifications (e.g., for medical records vs. claims) should be submitted as separate measures.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2b.11. Indicate whether there is more than one set of specifications for this measure.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there is only one set of specifications for this measure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2b.12. Describe the method of testing conducted to compare performance scores for the same entities across the different data sources/specifications.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Indicate what statistical analysis was used.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2b.13. Provide the statistical results from testing comparability of performance scores for the same entities when using different data sources/specifications.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Examples may include correlation, and/or rank order.</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2b.14. Provide your interpretation of the results in terms of the differences in performance measure scores for the same entities across the different data sources/specifications.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2b.15. Indicate whether the measure uses exclusions.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N/A or no exclusions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2b.16. Describe the method of testing exclusions and what was tested.</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was tested, e.g., whether exclusions affect overall performance scores; what statistical analysis was used?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There are no exclusions from the denominator; all patients in the facility on the snapshot date who meet the long stay criterion on that date are included. However, the measure will not be reported for a SNF if the denominator population over the measure period’s 4 snapshot dates is less than 30.</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2b.17. Provide the statistical results from testing exclusions.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Include overall number and percentage of individuals excluded, frequency distribution of exclusions across measured entities, and impact on performance measure scores.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table below shows that the PointRight ProLongStay Hospitalization Rates are steady across time with the exception of SNFs having small denominators. The 34 facilities with denominators less than 30 experienced changes in rates of greater than 35 percentage points. Ultimately, excluding SNFs with denominators less than 30 resulted in excluding less than 1.5% of our sample.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Table- Change in Adjusted Rates from Quarter to Quarter by Denominator Size</w:t>
      </w:r>
    </w:p>
    <w:tbl>
      <w:tblPr>
        <w:tblStyle w:val="TableGrid"/>
        <w:tblCaption w:val="Change in Adjusted Rates from Quarter to Quarter by Denominator Size"/>
        <w:tblDescription w:val="Change in Adjusted Rates from Quarter to Quarter by Denominator Size"/>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909"/>
        <w:gridCol w:w="1656"/>
        <w:gridCol w:w="2312"/>
        <w:gridCol w:w="528"/>
        <w:gridCol w:w="991"/>
        <w:gridCol w:w="571"/>
        <w:gridCol w:w="658"/>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Denominator Size</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of Facilities, CY 2014</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Variable</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Mean</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Std Deviation</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5th Pctl</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95th Pctl</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Denominator &lt;30</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34</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Adjusted Rate CY 2014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26.1%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35.8%</w:t>
            </w:r>
          </w:p>
        </w:tc>
      </w:tr>
      <w:tr>
        <w:trPr>
          <w:cantSplit/>
        </w:trPr>
        <w:tc>
          <w:tcPr/>
          <w:p w:rsidR="00A77B3E">
            <w:pP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Change in Adj Rates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July'13-Jun'14 to Apr'13-Mar'14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13.6%</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-8.9%</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12.9%</w:t>
            </w:r>
          </w:p>
        </w:tc>
      </w:tr>
      <w:tr>
        <w:trPr>
          <w:cantSplit/>
        </w:trPr>
        <w:tc>
          <w:tcPr/>
          <w:p w:rsidR="00A77B3E">
            <w:pP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Change in Adj Rates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Oct'13-Sep'14 to Jul'13-Jun'14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16.6%</w:t>
            </w:r>
          </w:p>
        </w:tc>
      </w:tr>
      <w:tr>
        <w:trPr>
          <w:cantSplit/>
        </w:trPr>
        <w:tc>
          <w:tcPr/>
          <w:p w:rsidR="00A77B3E">
            <w:pP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Change in Adj Rates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Jan'14-Dec'14 to Oct'13-Sep'14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25.7%</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30&lt;= Denominator &lt;100</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106</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Adjusted Rate CY 2014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6.9%</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25.0%</w:t>
            </w:r>
          </w:p>
        </w:tc>
      </w:tr>
      <w:tr>
        <w:trPr>
          <w:cantSplit/>
        </w:trPr>
        <w:tc>
          <w:tcPr/>
          <w:p w:rsidR="00A77B3E">
            <w:pP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Change in Adj Rates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July'13-Jun'14 to Apr'13-Mar'14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-4.9%</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8.2%</w:t>
            </w:r>
          </w:p>
        </w:tc>
      </w:tr>
      <w:tr>
        <w:trPr>
          <w:cantSplit/>
        </w:trPr>
        <w:tc>
          <w:tcPr/>
          <w:p w:rsidR="00A77B3E">
            <w:pP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Change in Adj Rates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Oct'13-Sep'14 to Jul'13-Jun'14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w:t>
            </w:r>
          </w:p>
        </w:tc>
      </w:tr>
      <w:tr>
        <w:trPr>
          <w:cantSplit/>
        </w:trPr>
        <w:tc>
          <w:tcPr/>
          <w:p w:rsidR="00A77B3E">
            <w:pP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Change in Adj Rates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Jan'14-Dec'14 to Oct'13-Sep'14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10.4%</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100&lt;= Denominator &lt; 300</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1258</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Adjusted Rate CY 2014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13.9%</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22.6%</w:t>
            </w:r>
          </w:p>
        </w:tc>
      </w:tr>
      <w:tr>
        <w:trPr>
          <w:cantSplit/>
        </w:trPr>
        <w:tc>
          <w:tcPr/>
          <w:p w:rsidR="00A77B3E">
            <w:pP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Change in Adj Rates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July'13-Jun'14 to Apr'13-Mar'14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4.2%</w:t>
            </w:r>
          </w:p>
        </w:tc>
      </w:tr>
      <w:tr>
        <w:trPr>
          <w:cantSplit/>
        </w:trPr>
        <w:tc>
          <w:tcPr/>
          <w:p w:rsidR="00A77B3E">
            <w:pP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Change in Adj Rates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Oct'13-Sep'14 to Jul'13-Jun'14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4.4%</w:t>
            </w:r>
          </w:p>
        </w:tc>
      </w:tr>
      <w:tr>
        <w:trPr>
          <w:cantSplit/>
        </w:trPr>
        <w:tc>
          <w:tcPr/>
          <w:p w:rsidR="00A77B3E">
            <w:pP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Change in Adj Rates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Jan'14-Dec'14 to Oct'13-Sep'14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5.0%</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300&lt;= Denominator &lt; 450</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506</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Adjusted Rate CY 2014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22.8%</w:t>
            </w:r>
          </w:p>
        </w:tc>
      </w:tr>
      <w:tr>
        <w:trPr>
          <w:cantSplit/>
        </w:trPr>
        <w:tc>
          <w:tcPr/>
          <w:p w:rsidR="00A77B3E">
            <w:pP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Change in Adj Rates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July'13-Jun'14 to Apr'13-Mar'14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-2.8%</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3.4%</w:t>
            </w:r>
          </w:p>
        </w:tc>
      </w:tr>
      <w:tr>
        <w:trPr>
          <w:cantSplit/>
        </w:trPr>
        <w:tc>
          <w:tcPr/>
          <w:p w:rsidR="00A77B3E">
            <w:pP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Change in Adj Rates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Oct'13-Sep'14 to Jul'13-Jun'14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3.2%</w:t>
            </w:r>
          </w:p>
        </w:tc>
      </w:tr>
      <w:tr>
        <w:trPr>
          <w:cantSplit/>
        </w:trPr>
        <w:tc>
          <w:tcPr/>
          <w:p w:rsidR="00A77B3E">
            <w:pP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Change in Adj Rates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Jan'14-Dec'14 to Oct'13-Sep'14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3.8%</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450 &lt;= Denominator</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197</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Adjusted Rate CY 2014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19.3%</w:t>
            </w:r>
          </w:p>
        </w:tc>
      </w:tr>
      <w:tr>
        <w:trPr>
          <w:cantSplit/>
        </w:trPr>
        <w:tc>
          <w:tcPr/>
          <w:p w:rsidR="00A77B3E">
            <w:pP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Change in Adj Rates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July'13-Jun'14 to Apr'13-Mar'14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2.4%</w:t>
            </w:r>
          </w:p>
        </w:tc>
      </w:tr>
      <w:tr>
        <w:trPr>
          <w:cantSplit/>
        </w:trPr>
        <w:tc>
          <w:tcPr/>
          <w:p w:rsidR="00A77B3E">
            <w:pP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Change in Adj Rates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Oct'13-Sep'14 to Jul'13-Jun'14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2.2%</w:t>
            </w:r>
          </w:p>
        </w:tc>
      </w:tr>
      <w:tr>
        <w:trPr>
          <w:cantSplit/>
        </w:trPr>
        <w:tc>
          <w:tcPr/>
          <w:p w:rsidR="00A77B3E">
            <w:pP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Change in Adj Rates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Jan'14-Dec'14 to Oct'13-Sep'14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-2.6%</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3.0%</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Change in Adjusted Rates from Quarter to Quarter by Denominator Size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2b.18. Provide your interpretation of the results, in terms of demonstrating that exclusions are needed to prevent unfair distortion of performance results.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the value outweighs the burden of increased data collection and analysis. Note: If patient preference is an exclusion, the measure must be specified so that the effect on the performance score is transparent, e.g., scores with and without exclusion.</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results show that the average change of Adjusted ProLongStay Hospitalization Rates from quarter to quarter significantly drops once a facility has a denominator greater than or equal to 30. For this reason we felt rates are unstable for SNFs with denominators less than 30 and feel validated in excluding these SNFs. This exclusion only resulted in 34 (1.5%) of facilities being excluded.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2b.19. Check all methods used to address risk factors.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Statistical risk model with risk factors (specify number of risk factors)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    [Statistical risk model with risk factors (specify number of risk factors) Please Explain]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25 risk factors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2b.20. If using statistical risk models, provide detailed risk model specifications, including the risk model method, risk factors, risk factor data sources, coefficients, equations, codes with descriptors, and definitions.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The formula for a facility’s adjusted PointRight ProLong Hospitalization Rate is: [Observed rate of all hospitalizations]/[Expected rate of all hospitalizations]*[National average rate of all hospitalizations].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A"/>
          <w:sz w:val="20"/>
        </w:rPr>
        <w:t>Procedure for calculating the adjusted rate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 xml:space="preserve">1) Calculate the observed rate.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The observed PointRight Pro Long Stay Hospitalization Rate is the sum of the four quarterly numerators divided by the sum of the four quarterly denominators.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 The denominator for a quarter is the number of residents present in the facility on the first day of a calendar quarter who qualify as long stay on that day</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 xml:space="preserve">• The numerator for a quarter is number of hospitalizations of residents in the denominator population for that quarter, where hospitalization means discharge from the SNF directly to an acute care hospital, either with no return to the SNF or with return to the SNF after at least one midnight outside the SNF.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2) Calculate the expected rate.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 Calculate the expected number of first hospitalizations of the quarterly denominator population for each of the four quarters in the measure period and sum them; multiply the sum by 1.25248 to obtain the expected number of total hospitalizations for the 12-month measurement period. Divide this number by the sum of the quarterly denominators to get the expected rate for the measure period.</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risk factors and coefficients are found in Table 17 below</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 xml:space="preserve">3) Calculate the national benchmark rate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 xml:space="preserve">• The national benchmark rate is the observed PointRight Pro Long Stay Hospitalization Rate for a denominator population consisting of the denominator populations for all SNFs in the largest available national sample that have complete non-discharge MDS data for all of their patients for all four quarters in the measurement period and have 100% known outcomes for all patients in their denominator populations for all four quarters in the measure period.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For a given member of a quarterly denominator population a known outcome means either that the patient had a discharge MDS submitted with a discharge date within the quarter and a discharge destination filled in, that the patient was readmitted from an acute care hospital during the quarter, or that the patient had a quarterly or other MDS submitted in the 100 days following the end of the quarter that gave an admission date prior to the snapshot date for the given quarter.</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2b.21. If an outcome or resource use measure is not risk-adjusted or stratified, provide rationale and analyses to demonstrate that controlling for differences in patient characteristics (i.e., case mix) is not needed to achieve fair comparisons across measured entities.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2b.22. Select all applicable resources and methods used to develop the conceptual model of how social risk impacts this outcome.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Published literature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Internal data analysis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2b.23. Describe the conceptual and statistical methods and criteria used to test and select patient-level risk factors (e.g., clinical factors, social risk factors) used in the statistical risk model or for stratification by risk.</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Please be sure to address the following: potential factors identified in the literature and/or expert panel; regression analysis; statistical significance of p&lt;0.10 or other statistical tests; correlation of x or higher. Patient factors should be present at the start of care, if applicable. Also discuss any “ordering” of risk factor inclusion; note whether social risk factors are added after all clinical factors. Discuss any considerations regarding data sources (e.g., availability, specificity).</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risk adjustment model employed in the PointRight Pro Long Stay Hospitalization Rate utilizes four logistic regression models applied to four discrete subgroups of the denominator population to estimate risk of any hospitalization during a quarter at risk. This risk estimate is multiplied by a fixed factor to estimate the expected number of total hospitalization during the quarter.</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Calculation of a patient’s risk of any hospitalization (or equivalently, the risk of a first hospitalization) during a quarter at risk begins by assigning the patient to one of four subgroups of the denominator population based on the duration of the patient’s current stay in the SNF as of the snapshot date. For each group the risk of one or more discharges from the SNF directly to an acute care hospital during the quarter is estimated by a logistic regression. The independent variables in each logistic regression model come from the patient’s most recent MDS 3.0 assessment prior to the snapshot date that has the variable; most of the independent variables are common to the four models.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Our 4 logistic regression models will estimate a patient’s risk of one or more hospitalizations. In order to estimate the patient’s expected number of hospitalizations we multiply the risk estimate by a fixed factor. The factor was determined by modeling the relationships between the rate of first hospitalizations to the rate of all hospitalizations for a sample of 1,116 SNFs that had 100% complete reporting of their outcomes.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decision to first segment the denominator population and then estimate logistic regression models was based on findings that the continuous length of stay at the beginning of a period at risk was the single most powerful predictor of hospitalization risk. (See Table 16). Estimating risk within strata defined by continuous length of stay gave greater predictive power than estimating a similar model without stratification, in part because risk factors operate somewhat differently within different LOS strata. The decision to estimate the risk of any hospitalization and then multiply it to get the expected rate of total hospitalizations was based on two considerations: (1) Models of binary dependent variables are much more widely known by clinical end-users of performance measures than models of dependent variables that can take multiple discrete values; this makes them more accessible and useful; (2) The relationship between SNFs’ rates for first hospitalizations and their rates of all hospitalizations for their long-stay residents is extremely tight, with a linear equation accounting for 99% of the variance. Thus, modeling the risk of first hospitalizations is a rational approach to modeling of risk of all hospitalizations.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selection of risk factors (independent variables) involved an iterative process. A panel of clinicians with extensive SNF experience recommended potential risk adjusters. These, and a full set of sociodemographic and contextual factors were tested for univariate relationships with hospitalizations. The variables with the strongest univariate correlations were then used to build multivariate models. The multivariate models (logistic regressions for each stratum of LOS) were reviewed by a larger panel of clinicians and potential users of the measure. Variables were rejected and replaced if their coefficients were opposite to their univariate correlation with the hospitalization, or if they were viewed as potentially under the control of the SNF – i.e., creating a risk of over-adjustment.</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2b.24. Detail the statistical results of the analyses used to test and select risk factors for inclusion in or exclusion from the risk model/stratification.</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initial stratification of the denominator population reflects the following analysis of the relationship of LOS on the snapshot date to the risk of a first hospitalization:</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Table 16. Average Hospitalization Rates of Any (First) Hospitalization by Long Stay Groups </w:t>
      </w:r>
    </w:p>
    <w:tbl>
      <w:tblPr>
        <w:tblStyle w:val="TableGrid"/>
        <w:tblCaption w:val="Average Hospitalization Rates of Any (First) Hospitalization by Long Stay Groups"/>
        <w:tblDescription w:val="Average Hospitalization Rates of Any (First) Hospitalization by Long Stay Group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737"/>
        <w:gridCol w:w="1411"/>
        <w:gridCol w:w="1448"/>
        <w:gridCol w:w="1722"/>
        <w:gridCol w:w="1417"/>
        <w:gridCol w:w="181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407"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Long Stay Group</w:t>
            </w:r>
          </w:p>
        </w:tc>
        <w:tc>
          <w:tcPr>
            <w:tcW w:w="831"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Continuous days form</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most recent admission to snapshot date</w:t>
            </w:r>
          </w:p>
        </w:tc>
        <w:tc>
          <w:tcPr>
            <w:tcW w:w="850"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Denominator Population </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July 1, 2013 to </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June 30, 2014 </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of total sample)</w:t>
            </w:r>
          </w:p>
        </w:tc>
        <w:tc>
          <w:tcPr>
            <w:tcW w:w="1013"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Observed Rate of First Long Stay Hospitalization </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(patient level)</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July 1, 2013 to </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June 30, 2014</w:t>
            </w:r>
          </w:p>
        </w:tc>
        <w:tc>
          <w:tcPr>
            <w:tcW w:w="831"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Denominator Population </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July 1, 2014 to </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June 30, 2015</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of total sample)</w:t>
            </w:r>
          </w:p>
        </w:tc>
        <w:tc>
          <w:tcPr>
            <w:tcW w:w="1068"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Observed Rate of First Long Stay Hospitalization </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(patient level)</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July 1, 2014 to </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June 30, 2015</w:t>
            </w:r>
          </w:p>
        </w:tc>
      </w:tr>
      <w:tr>
        <w:trPr>
          <w:cantSplit/>
          <w:trHeight w:val="1140"/>
        </w:trPr>
        <w:tc>
          <w:tcPr>
            <w:tcW w:w="407"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831"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current LOS ≤ 100 days but cumulative days in SNF &gt;100 days</w:t>
            </w:r>
          </w:p>
        </w:tc>
        <w:tc>
          <w:tcPr>
            <w:tcW w:w="850"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68,222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(9.6%)</w:t>
            </w:r>
          </w:p>
        </w:tc>
        <w:tc>
          <w:tcPr>
            <w:tcW w:w="1013"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26.5%</w:t>
            </w:r>
          </w:p>
        </w:tc>
        <w:tc>
          <w:tcPr>
            <w:tcW w:w="831"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58,805</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(10.2%)</w:t>
            </w:r>
          </w:p>
        </w:tc>
        <w:tc>
          <w:tcPr>
            <w:tcW w:w="1068"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26.9%</w:t>
            </w:r>
          </w:p>
        </w:tc>
      </w:tr>
      <w:tr>
        <w:trPr>
          <w:cantSplit/>
          <w:trHeight w:val="570"/>
        </w:trPr>
        <w:tc>
          <w:tcPr>
            <w:tcW w:w="407"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831"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 days &lt; LOS ≤ 181 days</w:t>
            </w:r>
          </w:p>
        </w:tc>
        <w:tc>
          <w:tcPr>
            <w:tcW w:w="850"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100,682</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(14.1%)</w:t>
            </w:r>
          </w:p>
        </w:tc>
        <w:tc>
          <w:tcPr>
            <w:tcW w:w="1013"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16.2%</w:t>
            </w:r>
          </w:p>
        </w:tc>
        <w:tc>
          <w:tcPr>
            <w:tcW w:w="831"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78,058</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(13.5%)</w:t>
            </w:r>
          </w:p>
        </w:tc>
        <w:tc>
          <w:tcPr>
            <w:tcW w:w="1068"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17.2%</w:t>
            </w:r>
          </w:p>
        </w:tc>
      </w:tr>
      <w:tr>
        <w:trPr>
          <w:cantSplit/>
          <w:trHeight w:val="60"/>
        </w:trPr>
        <w:tc>
          <w:tcPr>
            <w:tcW w:w="407"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w:t>
            </w:r>
          </w:p>
        </w:tc>
        <w:tc>
          <w:tcPr>
            <w:tcW w:w="831"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181 days &lt; LOS ≤ 364 days</w:t>
            </w:r>
          </w:p>
        </w:tc>
        <w:tc>
          <w:tcPr>
            <w:tcW w:w="850"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144,749</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(20.6%)</w:t>
            </w:r>
          </w:p>
        </w:tc>
        <w:tc>
          <w:tcPr>
            <w:tcW w:w="1013"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11.7%</w:t>
            </w:r>
          </w:p>
        </w:tc>
        <w:tc>
          <w:tcPr>
            <w:tcW w:w="831"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116,052</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(20.1%)</w:t>
            </w:r>
          </w:p>
        </w:tc>
        <w:tc>
          <w:tcPr>
            <w:tcW w:w="1068"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12.8%</w:t>
            </w:r>
          </w:p>
        </w:tc>
      </w:tr>
      <w:tr>
        <w:trPr>
          <w:cantSplit/>
          <w:trHeight w:val="585"/>
        </w:trPr>
        <w:tc>
          <w:tcPr>
            <w:tcW w:w="407"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w:t>
            </w:r>
          </w:p>
        </w:tc>
        <w:tc>
          <w:tcPr>
            <w:tcW w:w="831"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LOS &gt; 364 days</w:t>
            </w:r>
          </w:p>
        </w:tc>
        <w:tc>
          <w:tcPr>
            <w:tcW w:w="850"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399,614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(55.7%)</w:t>
            </w:r>
          </w:p>
        </w:tc>
        <w:tc>
          <w:tcPr>
            <w:tcW w:w="1013"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7.1%</w:t>
            </w:r>
          </w:p>
        </w:tc>
        <w:tc>
          <w:tcPr>
            <w:tcW w:w="831"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323,445</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(56.1%)</w:t>
            </w:r>
          </w:p>
        </w:tc>
        <w:tc>
          <w:tcPr>
            <w:tcW w:w="1068" w:type="pct"/>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7.7%</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bCs/>
          <w:i w:val="0"/>
          <w:color w:val="000000"/>
          <w:sz w:val="20"/>
        </w:rPr>
        <w:t>Average Hospitalization Rates of Any (First) Hospitalization by Long Stay Groups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models applicable to each of the subgroups of the denominator population are displayed in table 17. The table also shows the prevalence of the IV in population used to estimate the models, and indicates the model C-statistic.</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17. PointRight ProLongStay Hospitalization Measure Logistic Regression Models</w:t>
      </w:r>
    </w:p>
    <w:tbl>
      <w:tblPr>
        <w:tblStyle w:val="TableGrid"/>
        <w:tblCaption w:val="PointRight ProLongStay Hospitalization Measure Logistic Regression Models"/>
        <w:tblDescription w:val="PointRight ProLongStay Hospitalization Measure Logistic Regression Model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169"/>
        <w:gridCol w:w="1295"/>
        <w:gridCol w:w="889"/>
        <w:gridCol w:w="1025"/>
        <w:gridCol w:w="632"/>
        <w:gridCol w:w="1025"/>
        <w:gridCol w:w="632"/>
        <w:gridCol w:w="1025"/>
        <w:gridCol w:w="632"/>
        <w:gridCol w:w="1026"/>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Type of Independent Variable</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Independent Variable</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Long Stay Group 1 (Current stay LOS &lt;100 days but cumulative days in SNF &gt;100)</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C-statistic = 0.63</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Long Stay Group 1 Prevalence </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of Independent Variable</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Long Stay Group 2 (100 days &lt; LOS &lt;=181 days) C-statistic = 0.63</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Long Stay Group 2 Prevalence </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of Independent Variable</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Long Stay Group 3 (181 days &lt; LOS &lt;=364 days) C-statistic = 0.62</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Long Stay Group 3 Prevalence </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of Independent Variable</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Long Stay Group 4 (LOS &gt; 364 days) </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C-statistic = 0.63</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Long Stay Group 4 Prevalence </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of Independent Variable</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Constant</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Intercept</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-1.37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-1.99</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-1.19</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-1.09</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Active Diagnoses</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Anemia</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0.13</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37.3%</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0.20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29.2%</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0.21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27.8%</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0.12</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26.7%</w:t>
            </w:r>
          </w:p>
        </w:tc>
      </w:tr>
      <w:tr>
        <w:trPr>
          <w:cantSplit/>
        </w:trPr>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Asthma, COPD, or Chronic Lung Disease on Oxygen</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0.14</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27.6%</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0.20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21.5%</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0.20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19.7%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0.17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16.1%</w:t>
            </w:r>
          </w:p>
        </w:tc>
      </w:tr>
      <w:tr>
        <w:trPr>
          <w:cantSplit/>
        </w:trPr>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Diabetes on Insulin</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0.27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6.3%</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r>
      <w:tr>
        <w:trPr>
          <w:cantSplit/>
        </w:trPr>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Gastroesopheal Reflux Diseas (GERD) or ulcer</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0.12</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22.7%</w:t>
            </w:r>
          </w:p>
        </w:tc>
      </w:tr>
      <w:tr>
        <w:trPr>
          <w:cantSplit/>
        </w:trPr>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Heart Failure</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0.14</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26.7%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0.21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0.27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18.7%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0.18</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16.2%</w:t>
            </w:r>
          </w:p>
        </w:tc>
      </w:tr>
      <w:tr>
        <w:trPr>
          <w:cantSplit/>
        </w:trPr>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Hypertension</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0.23</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68.6%</w:t>
            </w:r>
          </w:p>
        </w:tc>
      </w:tr>
      <w:tr>
        <w:trPr>
          <w:cantSplit/>
        </w:trPr>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Viral Hepatitis</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0.30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0.9%</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r>
      <w:tr>
        <w:trPr>
          <w:cantSplit/>
        </w:trPr>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Neurogenic bladder</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0.20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4.5%</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0.43</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2.6%</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0.27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2.3%</w:t>
            </w:r>
          </w:p>
        </w:tc>
      </w:tr>
      <w:tr>
        <w:trPr>
          <w:cantSplit/>
        </w:trPr>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Renal failure, insufficiency, ESRD</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0.18</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9.3%</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0.17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7.6%</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0.10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6.2%</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Incontinence</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Total Bowel Incontinence</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0.21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27.7%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0.22</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29.0%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0.13</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35.0%</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Demographics</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Age 90 or over</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-0.23</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16.1%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-0.13</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15.9%</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-0.12</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16.8%</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-0.08</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14.7%</w:t>
            </w:r>
          </w:p>
        </w:tc>
      </w:tr>
      <w:tr>
        <w:trPr>
          <w:cantSplit/>
        </w:trPr>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0.14</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37.8%</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0.25</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0.21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31.5%</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0.26</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26.2%</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Medications Received</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Anticoagulan within 7 days prior to ARD</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0.16</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23.7%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0.06</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18.3</w:t>
            </w:r>
          </w:p>
        </w:tc>
      </w:tr>
      <w:tr>
        <w:trPr>
          <w:cantSplit/>
        </w:trPr>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Antibiotics within 7 days prior to ARD</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0.27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Stay History</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Admitted from hospital (current stay)</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0.40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96.4%</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0.39</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83.6%</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0.26</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82.4%</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0.26</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81.8%</w:t>
            </w:r>
          </w:p>
        </w:tc>
      </w:tr>
      <w:tr>
        <w:trPr>
          <w:cantSplit/>
        </w:trPr>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 this SNF 6 months before snapshot date (any stay)</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-0.33</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54.4%</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r>
      <w:tr>
        <w:trPr>
          <w:cantSplit/>
        </w:trPr>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 this SNF 12 months before snapshot date (any stay)</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-0.39</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31.5%</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r>
      <w:tr>
        <w:trPr>
          <w:cantSplit/>
        </w:trPr>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Natural log of (length of current stay minus 100)*prevalence is LOS</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-0.12</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-0.30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-0.35</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Symptoms</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Dyspnea on exertion</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0.18</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13.8%</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0.19</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5.0%</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Skin</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Surgical wound(s)</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0.38</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0.38</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0.5%</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Hospice Status</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Receiving hospice care</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-1.31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4.7%</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-1.16</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5.2%</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5.2%</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-1.04</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4.6%</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Recent Treatments</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IV fluid or meds within 7 days before last MDS</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0.20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5.4%</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0.56</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1.5%</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0.38</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0.9%</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0.40</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0.5%</w:t>
            </w:r>
          </w:p>
        </w:tc>
      </w:tr>
      <w:tr>
        <w:trPr>
          <w:cantSplit/>
        </w:trPr>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Oxygen in 7 days before last MDS</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0.38</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13.8%</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0.22</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7.3</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Socioeconomic Status</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Medicaid</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x</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0.09</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71.1%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0.11</w:t>
            </w:r>
          </w:p>
        </w:tc>
        <w:tc>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79.7%</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bCs/>
          <w:i w:val="0"/>
          <w:color w:val="000000"/>
          <w:sz w:val="20"/>
        </w:rPr>
        <w:t>PointRight ProLongStay Hospitalization Measure Logistic Regression Models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scatter plot below displays facility level linear regression model.</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Figure 3. Scatter Plot of All Hospitalization Rates by First Hospitalization Rates</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4462637"/>
            <wp:docPr id="100019" name="" descr="Scatter Plot of All Hospitalization Rates by First Hospitalization R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
                    <pic:cNvPicPr>
                      <a:picLocks noChangeAspect="1"/>
                    </pic:cNvPicPr>
                  </pic:nvPicPr>
                  <pic:blipFill>
                    <a:blip xmlns:r="http://schemas.openxmlformats.org/officeDocument/2006/relationships" r:embed="rId15"/>
                    <a:stretch>
                      <a:fillRect/>
                    </a:stretch>
                  </pic:blipFill>
                  <pic:spPr>
                    <a:xfrm>
                      <a:off x="0" y="0"/>
                      <a:ext cx="5943600" cy="4462637"/>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bCs/>
          <w:i w:val="0"/>
          <w:color w:val="000000"/>
          <w:sz w:val="20"/>
        </w:rPr>
        <w:t>Scatter Plot of All Hospitalization Rates by First Hospitalization Rates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2b.25. Describe the analyses and interpretation resulting in the decision to select or not select social risk factors.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Examples may include prevalence of the factor across measured entities, availability of the data source, empirical association with the outcome, contribution of unique variation in the outcome, or assessment of between-unit effects and within-unit effects. Also describe the impact of adjusting for risk (or making no adjustment) on providers at high or low extremes of risk. </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Our overall approach was to begin with reliable and rarely-missing patient-level SDS variables nominated by our clinical experts: Medicaid status (as a proxy for financial assets and income), black versus non-black, Hispanic/Latino versus non-Hispanic/Latino, and the interactions of Medicaid status and race. The significance of these variables in predicting hospitalization rates was tested in fixed-effects logistic regression models. We reasoned that patient-level effects that were significant in models that included facility-specific constant terms probably reflected otherwise-unmeasured differences in baseline health status. Our final risk adjustment models were single-level logistic regression models in which the coefficients on the SDS variables were forced to be the same as in the fixed-effects model. Essentially this approach adjusts for the </w:t>
      </w:r>
      <w:r>
        <w:rPr>
          <w:rFonts w:ascii="Calibri" w:eastAsia="Calibri" w:hAnsi="Calibri" w:cs="Calibri"/>
          <w:b w:val="0"/>
          <w:i/>
          <w:iCs/>
          <w:color w:val="000000"/>
          <w:sz w:val="20"/>
        </w:rPr>
        <w:t xml:space="preserve">within-facility </w:t>
      </w:r>
      <w:r>
        <w:rPr>
          <w:rFonts w:ascii="Calibri" w:eastAsia="Calibri" w:hAnsi="Calibri" w:cs="Calibri"/>
          <w:b w:val="0"/>
          <w:i w:val="0"/>
          <w:color w:val="000000"/>
          <w:sz w:val="20"/>
        </w:rPr>
        <w:t xml:space="preserve">differences in long stay hospitalization rates associated with the SDS factor, but does not adjust for the </w:t>
      </w:r>
      <w:r>
        <w:rPr>
          <w:rFonts w:ascii="Calibri" w:eastAsia="Calibri" w:hAnsi="Calibri" w:cs="Calibri"/>
          <w:b w:val="0"/>
          <w:i/>
          <w:iCs/>
          <w:color w:val="000000"/>
          <w:sz w:val="20"/>
        </w:rPr>
        <w:t xml:space="preserve">between-facility </w:t>
      </w:r>
      <w:r>
        <w:rPr>
          <w:rFonts w:ascii="Calibri" w:eastAsia="Calibri" w:hAnsi="Calibri" w:cs="Calibri"/>
          <w:b w:val="0"/>
          <w:i w:val="0"/>
          <w:color w:val="000000"/>
          <w:sz w:val="20"/>
        </w:rPr>
        <w:t>differences in long stay hospitalization rates associated with the SDS factor. The within-facility effects are essentially those beyond those associated with facility quality differences. In all cases this made the effect of the SDS variables smaller than it would be in a single-level logistic regression that did not account for facility effects. We did not want to adjust away facility-level effects related to worse care at SNFs with large minority populations.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Both black and Medicaid status were found to be significant in at least one of the fixed effects models on our four long stay strata. Despite being significant, black and Medicaid status had minimal impact on the overall performance of the models as measured by the c-statistic. Inclusion of one or both SDS variables did not impact the overall c-statistic of the models by more than .001.</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During a review with a panel of the All-Cause Admissions and Readmissions Standing Committee, the panel recommended exclusion of black from the final model. The impact of this change on the overall metrics was minimal as illustrated in table 18. Here we compare our CY 2014 sample of facilities using risk adjustment with and without black as a risk adjustor. No facilities in our sample of 2,180 SNFs moved more than 1 decile between the two models and only 5% of the sample moved 1 decile.</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18 Decile Ranking of Pro Long Stay Adjusted Rates with and without Black as a Covariate</w:t>
      </w:r>
    </w:p>
    <w:tbl>
      <w:tblPr>
        <w:tblStyle w:val="TableGrid"/>
        <w:tblCaption w:val="Decile Ranking of Pro Long Stay Adjusted Rates with and without Black as a Covariate"/>
        <w:tblDescription w:val="Decile Ranking of Pro Long Stay Adjusted Rates with and without Black as a Covariate"/>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87"/>
        <w:gridCol w:w="1032"/>
        <w:gridCol w:w="660"/>
        <w:gridCol w:w="660"/>
        <w:gridCol w:w="660"/>
        <w:gridCol w:w="660"/>
        <w:gridCol w:w="660"/>
        <w:gridCol w:w="660"/>
        <w:gridCol w:w="660"/>
        <w:gridCol w:w="660"/>
        <w:gridCol w:w="660"/>
        <w:gridCol w:w="784"/>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Model without Black as Covariate</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Model with Black as Covariate</w:t>
            </w: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Total</w:t>
            </w:r>
          </w:p>
        </w:tc>
      </w:tr>
      <w:tr>
        <w:trPr>
          <w:cantSplit/>
        </w:trPr>
        <w:tc>
          <w:tcPr>
            <w:tcW w:w="2960" w:type="dxa"/>
          </w:tcPr>
          <w:p w:rsidR="00A77B3E">
            <w:pPr>
              <w:spacing w:before="0" w:after="80"/>
              <w:jc w:val="left"/>
              <w:rPr>
                <w:rFonts w:ascii="Calibri" w:eastAsia="Calibri" w:hAnsi="Calibri" w:cs="Calibri"/>
                <w:b w:val="0"/>
                <w:i w:val="0"/>
                <w:color w:val="000000"/>
                <w:sz w:val="20"/>
              </w:rPr>
            </w:pP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iCs/>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iCs/>
                <w:color w:val="000000"/>
                <w:sz w:val="20"/>
              </w:rPr>
              <w:t>1</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iCs/>
                <w:color w:val="000000"/>
                <w:sz w:val="20"/>
              </w:rPr>
              <w:t>2</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iCs/>
                <w:color w:val="000000"/>
                <w:sz w:val="20"/>
              </w:rPr>
              <w:t>3</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iCs/>
                <w:color w:val="000000"/>
                <w:sz w:val="20"/>
              </w:rPr>
              <w:t>4</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iCs/>
                <w:color w:val="000000"/>
                <w:sz w:val="20"/>
              </w:rPr>
              <w:t>5</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iCs/>
                <w:color w:val="000000"/>
                <w:sz w:val="20"/>
              </w:rPr>
              <w:t>6</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iCs/>
                <w:color w:val="000000"/>
                <w:sz w:val="20"/>
              </w:rPr>
              <w:t>7</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iCs/>
                <w:color w:val="000000"/>
                <w:sz w:val="20"/>
              </w:rPr>
              <w:t>8</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iCs/>
                <w:color w:val="000000"/>
                <w:sz w:val="20"/>
              </w:rPr>
              <w:t>9</w:t>
            </w:r>
          </w:p>
        </w:tc>
        <w:tc>
          <w:tcPr>
            <w:tcW w:w="922" w:type="dxa"/>
          </w:tcPr>
          <w:p w:rsidR="00A77B3E">
            <w:pPr>
              <w:spacing w:before="0" w:after="80"/>
              <w:jc w:val="left"/>
              <w:rPr>
                <w:rFonts w:ascii="Calibri" w:eastAsia="Calibri" w:hAnsi="Calibri" w:cs="Calibri"/>
                <w:b w:val="0"/>
                <w:i w:val="0"/>
                <w:color w:val="000000"/>
                <w:sz w:val="20"/>
              </w:rPr>
            </w:pPr>
          </w:p>
        </w:tc>
      </w:tr>
      <w:tr>
        <w:trPr>
          <w:cantSplit/>
        </w:trPr>
        <w:tc>
          <w:tcPr>
            <w:tcW w:w="296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iCs/>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215</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92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218</w:t>
            </w:r>
          </w:p>
        </w:tc>
      </w:tr>
      <w:tr>
        <w:trPr>
          <w:cantSplit/>
        </w:trPr>
        <w:tc>
          <w:tcPr>
            <w:tcW w:w="296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iCs/>
                <w:color w:val="000000"/>
                <w:sz w:val="20"/>
              </w:rPr>
              <w:t>1</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209</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92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218</w:t>
            </w:r>
          </w:p>
        </w:tc>
      </w:tr>
      <w:tr>
        <w:trPr>
          <w:cantSplit/>
        </w:trPr>
        <w:tc>
          <w:tcPr>
            <w:tcW w:w="296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iCs/>
                <w:color w:val="000000"/>
                <w:sz w:val="20"/>
              </w:rPr>
              <w:t>2</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203</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92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218</w:t>
            </w:r>
          </w:p>
        </w:tc>
      </w:tr>
      <w:tr>
        <w:trPr>
          <w:cantSplit/>
        </w:trPr>
        <w:tc>
          <w:tcPr>
            <w:tcW w:w="296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iCs/>
                <w:color w:val="000000"/>
                <w:sz w:val="20"/>
              </w:rPr>
              <w:t>3</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202</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92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218</w:t>
            </w:r>
          </w:p>
        </w:tc>
      </w:tr>
      <w:tr>
        <w:trPr>
          <w:cantSplit/>
        </w:trPr>
        <w:tc>
          <w:tcPr>
            <w:tcW w:w="296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iCs/>
                <w:color w:val="000000"/>
                <w:sz w:val="20"/>
              </w:rPr>
              <w:t>4</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202</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92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218</w:t>
            </w:r>
          </w:p>
        </w:tc>
      </w:tr>
      <w:tr>
        <w:trPr>
          <w:cantSplit/>
        </w:trPr>
        <w:tc>
          <w:tcPr>
            <w:tcW w:w="296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iCs/>
                <w:color w:val="000000"/>
                <w:sz w:val="20"/>
              </w:rPr>
              <w:t>5</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201</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92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218</w:t>
            </w:r>
          </w:p>
        </w:tc>
      </w:tr>
      <w:tr>
        <w:trPr>
          <w:cantSplit/>
        </w:trPr>
        <w:tc>
          <w:tcPr>
            <w:tcW w:w="296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iCs/>
                <w:color w:val="000000"/>
                <w:sz w:val="20"/>
              </w:rPr>
              <w:t>6</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202</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92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218</w:t>
            </w:r>
          </w:p>
        </w:tc>
      </w:tr>
      <w:tr>
        <w:trPr>
          <w:cantSplit/>
        </w:trPr>
        <w:tc>
          <w:tcPr>
            <w:tcW w:w="296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iCs/>
                <w:color w:val="000000"/>
                <w:sz w:val="20"/>
              </w:rPr>
              <w:t>7</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206</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92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218</w:t>
            </w:r>
          </w:p>
        </w:tc>
      </w:tr>
      <w:tr>
        <w:trPr>
          <w:cantSplit/>
        </w:trPr>
        <w:tc>
          <w:tcPr>
            <w:tcW w:w="296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iCs/>
                <w:color w:val="000000"/>
                <w:sz w:val="20"/>
              </w:rPr>
              <w:t>8</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209</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w:t>
            </w:r>
          </w:p>
        </w:tc>
        <w:tc>
          <w:tcPr>
            <w:tcW w:w="92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218</w:t>
            </w:r>
          </w:p>
        </w:tc>
      </w:tr>
      <w:tr>
        <w:trPr>
          <w:cantSplit/>
        </w:trPr>
        <w:tc>
          <w:tcPr>
            <w:tcW w:w="296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iCs/>
                <w:color w:val="000000"/>
                <w:sz w:val="20"/>
              </w:rPr>
              <w:t>9</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213</w:t>
            </w:r>
          </w:p>
        </w:tc>
        <w:tc>
          <w:tcPr>
            <w:tcW w:w="92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218</w:t>
            </w:r>
          </w:p>
        </w:tc>
      </w:tr>
      <w:tr>
        <w:trPr>
          <w:cantSplit/>
        </w:trPr>
        <w:tc>
          <w:tcPr>
            <w:tcW w:w="296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Total</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218</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218</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218</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218</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218</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218</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218</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218</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218</w:t>
            </w:r>
          </w:p>
        </w:tc>
        <w:tc>
          <w:tcPr>
            <w:tcW w:w="7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218</w:t>
            </w:r>
          </w:p>
        </w:tc>
        <w:tc>
          <w:tcPr>
            <w:tcW w:w="92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2180</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bCs/>
          <w:i w:val="0"/>
          <w:color w:val="000000"/>
          <w:sz w:val="20"/>
        </w:rPr>
        <w:t>Decile Ranking of Pro Long Stay Adjusted Rates with and without Black as a Covariate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2b.26. Describe the method of testing/analysis used to develop and validate the adequacy of the statistical model or stratification approach (describe the steps―do not just name a method; what statistical analysis was used). Provide the statistical results from testing the approach to control for differences in patient characteristics (i.e., case mix) below. If stratified ONLY, enter “N/A” for questions about the statistical risk model discrimination and calibration statistics.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color w:val="000000"/>
          <w:sz w:val="20"/>
        </w:rPr>
        <w:t>Validation testing should be conducted in a data set that is separate from the one used to develop the model.</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We compared our model coefficients to the mean coefficients from bootstrap analysis, expressed as actual values, standard deviation (S.D.) and percentage. Our sampling distribution consisted of 100 draws with replacement from our modeling data set.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majority of covariates have less than 5% variation from the bootstrap mean, making the absolute value and/or the number of standard deviations clinically acceptable.</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19. Bootstrap Analysis Long Stay Group 1 current LOS &lt;= 100 days but cumulative days in SNF &gt;100 days</w:t>
      </w:r>
    </w:p>
    <w:tbl>
      <w:tblPr>
        <w:tblStyle w:val="TableGrid"/>
        <w:tblCaption w:val="Bootstrap Analysis Long Stay Group 1 current LOS &amp;lt;= 100 days but cumulative days in SNF &amp;gt;100 days"/>
        <w:tblDescription w:val="Bootstrap Analysis Long Stay Group 1 current LOS &amp;lt;= 100 days but cumulative days in SNF &amp;gt;100 day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442"/>
        <w:gridCol w:w="2786"/>
        <w:gridCol w:w="1116"/>
        <w:gridCol w:w="1039"/>
        <w:gridCol w:w="1082"/>
        <w:gridCol w:w="108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915"/>
          <w:tblHeader/>
        </w:trPr>
        <w:tc>
          <w:tcPr>
            <w:tcW w:w="792"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Variable Type</w:t>
            </w:r>
          </w:p>
        </w:tc>
        <w:tc>
          <w:tcPr>
            <w:tcW w:w="2378"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Independent Variable</w:t>
            </w:r>
          </w:p>
        </w:tc>
        <w:tc>
          <w:tcPr>
            <w:tcW w:w="438"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Long Stay Group 1 Coefficient</w:t>
            </w:r>
          </w:p>
        </w:tc>
        <w:tc>
          <w:tcPr>
            <w:tcW w:w="408"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Bootstrap Mean</w:t>
            </w:r>
          </w:p>
        </w:tc>
        <w:tc>
          <w:tcPr>
            <w:tcW w:w="425"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Difference</w:t>
            </w:r>
          </w:p>
        </w:tc>
        <w:tc>
          <w:tcPr>
            <w:tcW w:w="560"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Difference in %</w:t>
            </w:r>
          </w:p>
        </w:tc>
      </w:tr>
      <w:tr>
        <w:trPr>
          <w:cantSplit/>
          <w:trHeight w:val="300"/>
        </w:trPr>
        <w:tc>
          <w:tcPr>
            <w:tcW w:w="792"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Constant</w:t>
            </w:r>
          </w:p>
        </w:tc>
        <w:tc>
          <w:tcPr>
            <w:tcW w:w="237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Intercept</w:t>
            </w:r>
          </w:p>
        </w:tc>
        <w:tc>
          <w:tcPr>
            <w:tcW w:w="43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-1.367</w:t>
            </w:r>
          </w:p>
        </w:tc>
        <w:tc>
          <w:tcPr>
            <w:tcW w:w="40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-1.370</w:t>
            </w:r>
          </w:p>
        </w:tc>
        <w:tc>
          <w:tcPr>
            <w:tcW w:w="42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0.003</w:t>
            </w:r>
          </w:p>
        </w:tc>
        <w:tc>
          <w:tcPr>
            <w:tcW w:w="560"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-0.20%</w:t>
            </w:r>
          </w:p>
        </w:tc>
      </w:tr>
      <w:tr>
        <w:trPr>
          <w:cantSplit/>
          <w:trHeight w:val="300"/>
        </w:trPr>
        <w:tc>
          <w:tcPr>
            <w:tcW w:w="792"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Active Diagnoses</w:t>
            </w:r>
          </w:p>
        </w:tc>
        <w:tc>
          <w:tcPr>
            <w:tcW w:w="237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Anemia</w:t>
            </w:r>
          </w:p>
        </w:tc>
        <w:tc>
          <w:tcPr>
            <w:tcW w:w="43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0.128</w:t>
            </w:r>
          </w:p>
        </w:tc>
        <w:tc>
          <w:tcPr>
            <w:tcW w:w="40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0.129</w:t>
            </w:r>
          </w:p>
        </w:tc>
        <w:tc>
          <w:tcPr>
            <w:tcW w:w="42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0.000</w:t>
            </w:r>
          </w:p>
        </w:tc>
        <w:tc>
          <w:tcPr>
            <w:tcW w:w="560"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-0.33%</w:t>
            </w:r>
          </w:p>
        </w:tc>
      </w:tr>
      <w:tr>
        <w:trPr>
          <w:cantSplit/>
          <w:trHeight w:val="300"/>
        </w:trPr>
        <w:tc>
          <w:tcPr>
            <w:tcW w:w="792"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Active Diagnoses</w:t>
            </w:r>
          </w:p>
        </w:tc>
        <w:tc>
          <w:tcPr>
            <w:tcW w:w="237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Asthma, COPD, or Chronic Lung Disease whether or not on oxygen</w:t>
            </w:r>
          </w:p>
        </w:tc>
        <w:tc>
          <w:tcPr>
            <w:tcW w:w="43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0.148</w:t>
            </w:r>
          </w:p>
        </w:tc>
        <w:tc>
          <w:tcPr>
            <w:tcW w:w="40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0.149</w:t>
            </w:r>
          </w:p>
        </w:tc>
        <w:tc>
          <w:tcPr>
            <w:tcW w:w="42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-0.001</w:t>
            </w:r>
          </w:p>
        </w:tc>
        <w:tc>
          <w:tcPr>
            <w:tcW w:w="560"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-0.51%</w:t>
            </w:r>
          </w:p>
        </w:tc>
      </w:tr>
      <w:tr>
        <w:trPr>
          <w:cantSplit/>
          <w:trHeight w:val="300"/>
        </w:trPr>
        <w:tc>
          <w:tcPr>
            <w:tcW w:w="792"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Active Diagnoses</w:t>
            </w:r>
          </w:p>
        </w:tc>
        <w:tc>
          <w:tcPr>
            <w:tcW w:w="237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Diabetes on insulin</w:t>
            </w:r>
          </w:p>
        </w:tc>
        <w:tc>
          <w:tcPr>
            <w:tcW w:w="43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0.202</w:t>
            </w:r>
          </w:p>
        </w:tc>
        <w:tc>
          <w:tcPr>
            <w:tcW w:w="40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0.202</w:t>
            </w:r>
          </w:p>
        </w:tc>
        <w:tc>
          <w:tcPr>
            <w:tcW w:w="42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0.000</w:t>
            </w:r>
          </w:p>
        </w:tc>
        <w:tc>
          <w:tcPr>
            <w:tcW w:w="560"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-0.02%</w:t>
            </w:r>
          </w:p>
        </w:tc>
      </w:tr>
      <w:tr>
        <w:trPr>
          <w:cantSplit/>
          <w:trHeight w:val="300"/>
        </w:trPr>
        <w:tc>
          <w:tcPr>
            <w:tcW w:w="792"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Active Diagnoses</w:t>
            </w:r>
          </w:p>
        </w:tc>
        <w:tc>
          <w:tcPr>
            <w:tcW w:w="237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Heart Failure</w:t>
            </w:r>
          </w:p>
        </w:tc>
        <w:tc>
          <w:tcPr>
            <w:tcW w:w="43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0.137</w:t>
            </w:r>
          </w:p>
        </w:tc>
        <w:tc>
          <w:tcPr>
            <w:tcW w:w="40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0.136</w:t>
            </w:r>
          </w:p>
        </w:tc>
        <w:tc>
          <w:tcPr>
            <w:tcW w:w="42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0.001</w:t>
            </w:r>
          </w:p>
        </w:tc>
        <w:tc>
          <w:tcPr>
            <w:tcW w:w="560"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0.86%</w:t>
            </w:r>
          </w:p>
        </w:tc>
      </w:tr>
      <w:tr>
        <w:trPr>
          <w:cantSplit/>
          <w:trHeight w:val="300"/>
        </w:trPr>
        <w:tc>
          <w:tcPr>
            <w:tcW w:w="792"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Active Diagnoses</w:t>
            </w:r>
          </w:p>
        </w:tc>
        <w:tc>
          <w:tcPr>
            <w:tcW w:w="237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Viral Hepatitis</w:t>
            </w:r>
          </w:p>
        </w:tc>
        <w:tc>
          <w:tcPr>
            <w:tcW w:w="43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0.293</w:t>
            </w:r>
          </w:p>
        </w:tc>
        <w:tc>
          <w:tcPr>
            <w:tcW w:w="40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0.308</w:t>
            </w:r>
          </w:p>
        </w:tc>
        <w:tc>
          <w:tcPr>
            <w:tcW w:w="42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-0.014</w:t>
            </w:r>
          </w:p>
        </w:tc>
        <w:tc>
          <w:tcPr>
            <w:tcW w:w="560"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-4.85%</w:t>
            </w:r>
          </w:p>
        </w:tc>
      </w:tr>
      <w:tr>
        <w:trPr>
          <w:cantSplit/>
          <w:trHeight w:val="300"/>
        </w:trPr>
        <w:tc>
          <w:tcPr>
            <w:tcW w:w="792"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Active Diagnoses</w:t>
            </w:r>
          </w:p>
        </w:tc>
        <w:tc>
          <w:tcPr>
            <w:tcW w:w="237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Neurogenic bladder </w:t>
            </w:r>
          </w:p>
        </w:tc>
        <w:tc>
          <w:tcPr>
            <w:tcW w:w="43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0.204</w:t>
            </w:r>
          </w:p>
        </w:tc>
        <w:tc>
          <w:tcPr>
            <w:tcW w:w="40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0.206</w:t>
            </w:r>
          </w:p>
        </w:tc>
        <w:tc>
          <w:tcPr>
            <w:tcW w:w="42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-0.002</w:t>
            </w:r>
          </w:p>
        </w:tc>
        <w:tc>
          <w:tcPr>
            <w:tcW w:w="560"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-1.06%</w:t>
            </w:r>
          </w:p>
        </w:tc>
      </w:tr>
      <w:tr>
        <w:trPr>
          <w:cantSplit/>
          <w:trHeight w:val="300"/>
        </w:trPr>
        <w:tc>
          <w:tcPr>
            <w:tcW w:w="792"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Demographics</w:t>
            </w:r>
          </w:p>
        </w:tc>
        <w:tc>
          <w:tcPr>
            <w:tcW w:w="237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Age 90 or over</w:t>
            </w:r>
          </w:p>
        </w:tc>
        <w:tc>
          <w:tcPr>
            <w:tcW w:w="43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-0.235</w:t>
            </w:r>
          </w:p>
        </w:tc>
        <w:tc>
          <w:tcPr>
            <w:tcW w:w="40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-0.240</w:t>
            </w:r>
          </w:p>
        </w:tc>
        <w:tc>
          <w:tcPr>
            <w:tcW w:w="42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0.005</w:t>
            </w:r>
          </w:p>
        </w:tc>
        <w:tc>
          <w:tcPr>
            <w:tcW w:w="560"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-2.21%</w:t>
            </w:r>
          </w:p>
        </w:tc>
      </w:tr>
      <w:tr>
        <w:trPr>
          <w:cantSplit/>
          <w:trHeight w:val="300"/>
        </w:trPr>
        <w:tc>
          <w:tcPr>
            <w:tcW w:w="792"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Demographics</w:t>
            </w:r>
          </w:p>
        </w:tc>
        <w:tc>
          <w:tcPr>
            <w:tcW w:w="237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43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0.139</w:t>
            </w:r>
          </w:p>
        </w:tc>
        <w:tc>
          <w:tcPr>
            <w:tcW w:w="40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0.137</w:t>
            </w:r>
          </w:p>
        </w:tc>
        <w:tc>
          <w:tcPr>
            <w:tcW w:w="42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0.002</w:t>
            </w:r>
          </w:p>
        </w:tc>
        <w:tc>
          <w:tcPr>
            <w:tcW w:w="560"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1.32%</w:t>
            </w:r>
          </w:p>
        </w:tc>
      </w:tr>
      <w:tr>
        <w:trPr>
          <w:cantSplit/>
          <w:trHeight w:val="300"/>
        </w:trPr>
        <w:tc>
          <w:tcPr>
            <w:tcW w:w="792"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Medications Received</w:t>
            </w:r>
          </w:p>
        </w:tc>
        <w:tc>
          <w:tcPr>
            <w:tcW w:w="237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Anticoagulant within 7 days prior to ARD</w:t>
            </w:r>
          </w:p>
        </w:tc>
        <w:tc>
          <w:tcPr>
            <w:tcW w:w="43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0.159</w:t>
            </w:r>
          </w:p>
        </w:tc>
        <w:tc>
          <w:tcPr>
            <w:tcW w:w="40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0.161</w:t>
            </w:r>
          </w:p>
        </w:tc>
        <w:tc>
          <w:tcPr>
            <w:tcW w:w="42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-0.002</w:t>
            </w:r>
          </w:p>
        </w:tc>
        <w:tc>
          <w:tcPr>
            <w:tcW w:w="560"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-1.11%</w:t>
            </w:r>
          </w:p>
        </w:tc>
      </w:tr>
      <w:tr>
        <w:trPr>
          <w:cantSplit/>
          <w:trHeight w:val="300"/>
        </w:trPr>
        <w:tc>
          <w:tcPr>
            <w:tcW w:w="792"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Stay History</w:t>
            </w:r>
          </w:p>
        </w:tc>
        <w:tc>
          <w:tcPr>
            <w:tcW w:w="237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Admitted from hospital (current stay)</w:t>
            </w:r>
          </w:p>
        </w:tc>
        <w:tc>
          <w:tcPr>
            <w:tcW w:w="43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0.397</w:t>
            </w:r>
          </w:p>
        </w:tc>
        <w:tc>
          <w:tcPr>
            <w:tcW w:w="40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0.401</w:t>
            </w:r>
          </w:p>
        </w:tc>
        <w:tc>
          <w:tcPr>
            <w:tcW w:w="42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-0.004</w:t>
            </w:r>
          </w:p>
        </w:tc>
        <w:tc>
          <w:tcPr>
            <w:tcW w:w="560"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-1.06%</w:t>
            </w:r>
          </w:p>
        </w:tc>
      </w:tr>
      <w:tr>
        <w:trPr>
          <w:cantSplit/>
          <w:trHeight w:val="300"/>
        </w:trPr>
        <w:tc>
          <w:tcPr>
            <w:tcW w:w="792"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Stay History</w:t>
            </w:r>
          </w:p>
        </w:tc>
        <w:tc>
          <w:tcPr>
            <w:tcW w:w="237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 this SNF 6 months before snapshot date (any stay)</w:t>
            </w:r>
          </w:p>
        </w:tc>
        <w:tc>
          <w:tcPr>
            <w:tcW w:w="43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-0.385</w:t>
            </w:r>
          </w:p>
        </w:tc>
        <w:tc>
          <w:tcPr>
            <w:tcW w:w="40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-0.385</w:t>
            </w:r>
          </w:p>
        </w:tc>
        <w:tc>
          <w:tcPr>
            <w:tcW w:w="42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0.000</w:t>
            </w:r>
          </w:p>
        </w:tc>
        <w:tc>
          <w:tcPr>
            <w:tcW w:w="560"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0.08%</w:t>
            </w:r>
          </w:p>
        </w:tc>
      </w:tr>
      <w:tr>
        <w:trPr>
          <w:cantSplit/>
          <w:trHeight w:val="300"/>
        </w:trPr>
        <w:tc>
          <w:tcPr>
            <w:tcW w:w="792"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Stay History</w:t>
            </w:r>
          </w:p>
        </w:tc>
        <w:tc>
          <w:tcPr>
            <w:tcW w:w="237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 this SNF 12 months before snapshot date (any stay)</w:t>
            </w:r>
          </w:p>
        </w:tc>
        <w:tc>
          <w:tcPr>
            <w:tcW w:w="43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-0.330</w:t>
            </w:r>
          </w:p>
        </w:tc>
        <w:tc>
          <w:tcPr>
            <w:tcW w:w="40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-0.330</w:t>
            </w:r>
          </w:p>
        </w:tc>
        <w:tc>
          <w:tcPr>
            <w:tcW w:w="42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0.000</w:t>
            </w:r>
          </w:p>
        </w:tc>
        <w:tc>
          <w:tcPr>
            <w:tcW w:w="560"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792"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Symptoms</w:t>
            </w:r>
          </w:p>
        </w:tc>
        <w:tc>
          <w:tcPr>
            <w:tcW w:w="237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Dyspnea on exertion </w:t>
            </w:r>
          </w:p>
        </w:tc>
        <w:tc>
          <w:tcPr>
            <w:tcW w:w="43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0.169</w:t>
            </w:r>
          </w:p>
        </w:tc>
        <w:tc>
          <w:tcPr>
            <w:tcW w:w="40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0.171</w:t>
            </w:r>
          </w:p>
        </w:tc>
        <w:tc>
          <w:tcPr>
            <w:tcW w:w="42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-0.002</w:t>
            </w:r>
          </w:p>
        </w:tc>
        <w:tc>
          <w:tcPr>
            <w:tcW w:w="560"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-0.95%</w:t>
            </w:r>
          </w:p>
        </w:tc>
      </w:tr>
      <w:tr>
        <w:trPr>
          <w:cantSplit/>
          <w:trHeight w:val="300"/>
        </w:trPr>
        <w:tc>
          <w:tcPr>
            <w:tcW w:w="792"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Hospice Status</w:t>
            </w:r>
          </w:p>
        </w:tc>
        <w:tc>
          <w:tcPr>
            <w:tcW w:w="237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Receiving hospice care</w:t>
            </w:r>
          </w:p>
        </w:tc>
        <w:tc>
          <w:tcPr>
            <w:tcW w:w="43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-1.353</w:t>
            </w:r>
          </w:p>
        </w:tc>
        <w:tc>
          <w:tcPr>
            <w:tcW w:w="40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-1.357</w:t>
            </w:r>
          </w:p>
        </w:tc>
        <w:tc>
          <w:tcPr>
            <w:tcW w:w="42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0.005</w:t>
            </w:r>
          </w:p>
        </w:tc>
        <w:tc>
          <w:tcPr>
            <w:tcW w:w="560"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-0.35%</w:t>
            </w:r>
          </w:p>
        </w:tc>
      </w:tr>
      <w:tr>
        <w:trPr>
          <w:cantSplit/>
          <w:trHeight w:val="315"/>
        </w:trPr>
        <w:tc>
          <w:tcPr>
            <w:tcW w:w="792"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Recent Treatments</w:t>
            </w:r>
          </w:p>
        </w:tc>
        <w:tc>
          <w:tcPr>
            <w:tcW w:w="237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IV fluid or meds within 7 days before last MDS</w:t>
            </w:r>
          </w:p>
        </w:tc>
        <w:tc>
          <w:tcPr>
            <w:tcW w:w="43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0.200</w:t>
            </w:r>
          </w:p>
        </w:tc>
        <w:tc>
          <w:tcPr>
            <w:tcW w:w="40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0.201</w:t>
            </w:r>
          </w:p>
        </w:tc>
        <w:tc>
          <w:tcPr>
            <w:tcW w:w="42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-0.002</w:t>
            </w:r>
          </w:p>
        </w:tc>
        <w:tc>
          <w:tcPr>
            <w:tcW w:w="560"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-0.77%</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bCs/>
          <w:i w:val="0"/>
          <w:color w:val="000000"/>
          <w:sz w:val="20"/>
        </w:rPr>
        <w:t>Bootstrap Analysis Long Stay Group 1 current LOS &lt;= 100 days but cumulative days in SNF &gt;100 days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20. Bootstrap Analysis Long Stay Group 2 100 days &lt; LOS &lt;= 181 days</w:t>
      </w:r>
    </w:p>
    <w:tbl>
      <w:tblPr>
        <w:tblStyle w:val="TableGrid"/>
        <w:tblCaption w:val=" Bootstrap Analysis Long Stay Group 2 100 days &amp;lt; LOS &amp;lt;= 181 days"/>
        <w:tblDescription w:val=" Bootstrap Analysis Long Stay Group 2 100 days &amp;lt; LOS &amp;lt;= 181 day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442"/>
        <w:gridCol w:w="2628"/>
        <w:gridCol w:w="1268"/>
        <w:gridCol w:w="1044"/>
        <w:gridCol w:w="1082"/>
        <w:gridCol w:w="108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915"/>
          <w:tblHeader/>
        </w:trPr>
        <w:tc>
          <w:tcPr>
            <w:tcW w:w="810"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Variable Type</w:t>
            </w:r>
          </w:p>
        </w:tc>
        <w:tc>
          <w:tcPr>
            <w:tcW w:w="1598"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Independent Variable</w:t>
            </w:r>
          </w:p>
        </w:tc>
        <w:tc>
          <w:tcPr>
            <w:tcW w:w="749"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Long Stay Group 2 Coefficient</w:t>
            </w:r>
          </w:p>
        </w:tc>
        <w:tc>
          <w:tcPr>
            <w:tcW w:w="611"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Bootstrap Mean</w:t>
            </w:r>
          </w:p>
        </w:tc>
        <w:tc>
          <w:tcPr>
            <w:tcW w:w="611"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Difference</w:t>
            </w:r>
          </w:p>
        </w:tc>
        <w:tc>
          <w:tcPr>
            <w:tcW w:w="620"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Difference in %</w:t>
            </w:r>
          </w:p>
        </w:tc>
      </w:tr>
      <w:tr>
        <w:trPr>
          <w:cantSplit/>
          <w:trHeight w:val="300"/>
        </w:trPr>
        <w:tc>
          <w:tcPr>
            <w:tcW w:w="810"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Constant</w:t>
            </w:r>
          </w:p>
        </w:tc>
        <w:tc>
          <w:tcPr>
            <w:tcW w:w="159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Intercept</w:t>
            </w:r>
          </w:p>
        </w:tc>
        <w:tc>
          <w:tcPr>
            <w:tcW w:w="749"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-2.012</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-2.006</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-0.006</w:t>
            </w:r>
          </w:p>
        </w:tc>
        <w:tc>
          <w:tcPr>
            <w:tcW w:w="620"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0.29%</w:t>
            </w:r>
          </w:p>
        </w:tc>
      </w:tr>
      <w:tr>
        <w:trPr>
          <w:cantSplit/>
          <w:trHeight w:val="300"/>
        </w:trPr>
        <w:tc>
          <w:tcPr>
            <w:tcW w:w="810"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Active Diagnoses</w:t>
            </w:r>
          </w:p>
        </w:tc>
        <w:tc>
          <w:tcPr>
            <w:tcW w:w="159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Anemia</w:t>
            </w:r>
          </w:p>
        </w:tc>
        <w:tc>
          <w:tcPr>
            <w:tcW w:w="749"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0.209</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0.205</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0.004</w:t>
            </w:r>
          </w:p>
        </w:tc>
        <w:tc>
          <w:tcPr>
            <w:tcW w:w="620"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1.96%</w:t>
            </w:r>
          </w:p>
        </w:tc>
      </w:tr>
      <w:tr>
        <w:trPr>
          <w:cantSplit/>
          <w:trHeight w:val="300"/>
        </w:trPr>
        <w:tc>
          <w:tcPr>
            <w:tcW w:w="810"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Active Diagnoses</w:t>
            </w:r>
          </w:p>
        </w:tc>
        <w:tc>
          <w:tcPr>
            <w:tcW w:w="159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Asthma, COPD, or Chronic Lung Disease whether or not on oxygen</w:t>
            </w:r>
          </w:p>
        </w:tc>
        <w:tc>
          <w:tcPr>
            <w:tcW w:w="749"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0.204</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0.198</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0.005</w:t>
            </w:r>
          </w:p>
        </w:tc>
        <w:tc>
          <w:tcPr>
            <w:tcW w:w="620"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2.70%</w:t>
            </w:r>
          </w:p>
        </w:tc>
      </w:tr>
      <w:tr>
        <w:trPr>
          <w:cantSplit/>
          <w:trHeight w:val="300"/>
        </w:trPr>
        <w:tc>
          <w:tcPr>
            <w:tcW w:w="810"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Active Diagnoses</w:t>
            </w:r>
          </w:p>
        </w:tc>
        <w:tc>
          <w:tcPr>
            <w:tcW w:w="159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Diabetes on insulin</w:t>
            </w:r>
          </w:p>
        </w:tc>
        <w:tc>
          <w:tcPr>
            <w:tcW w:w="749"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0.304</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0.303</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0.002</w:t>
            </w:r>
          </w:p>
        </w:tc>
        <w:tc>
          <w:tcPr>
            <w:tcW w:w="620"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0.55%</w:t>
            </w:r>
          </w:p>
        </w:tc>
      </w:tr>
      <w:tr>
        <w:trPr>
          <w:cantSplit/>
          <w:trHeight w:val="300"/>
        </w:trPr>
        <w:tc>
          <w:tcPr>
            <w:tcW w:w="810"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Active Diagnoses</w:t>
            </w:r>
          </w:p>
        </w:tc>
        <w:tc>
          <w:tcPr>
            <w:tcW w:w="159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Heart Failure</w:t>
            </w:r>
          </w:p>
        </w:tc>
        <w:tc>
          <w:tcPr>
            <w:tcW w:w="749"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0.211</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0.211</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0.000</w:t>
            </w:r>
          </w:p>
        </w:tc>
        <w:tc>
          <w:tcPr>
            <w:tcW w:w="620"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0.14%</w:t>
            </w:r>
          </w:p>
        </w:tc>
      </w:tr>
      <w:tr>
        <w:trPr>
          <w:cantSplit/>
          <w:trHeight w:val="300"/>
        </w:trPr>
        <w:tc>
          <w:tcPr>
            <w:tcW w:w="810"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Active Diagnoses</w:t>
            </w:r>
          </w:p>
        </w:tc>
        <w:tc>
          <w:tcPr>
            <w:tcW w:w="159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Renal failure, insufficiency, or ESRD</w:t>
            </w:r>
          </w:p>
        </w:tc>
        <w:tc>
          <w:tcPr>
            <w:tcW w:w="749"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0.187</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0.187</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0.000</w:t>
            </w:r>
          </w:p>
        </w:tc>
        <w:tc>
          <w:tcPr>
            <w:tcW w:w="620"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w:t>
            </w:r>
          </w:p>
        </w:tc>
      </w:tr>
      <w:tr>
        <w:trPr>
          <w:cantSplit/>
          <w:trHeight w:val="300"/>
        </w:trPr>
        <w:tc>
          <w:tcPr>
            <w:tcW w:w="810"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Incontinence</w:t>
            </w:r>
          </w:p>
        </w:tc>
        <w:tc>
          <w:tcPr>
            <w:tcW w:w="159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Total bowel incontinence</w:t>
            </w:r>
          </w:p>
        </w:tc>
        <w:tc>
          <w:tcPr>
            <w:tcW w:w="749"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0.207</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0.209</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-0.002</w:t>
            </w:r>
          </w:p>
        </w:tc>
        <w:tc>
          <w:tcPr>
            <w:tcW w:w="620"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-1.02%</w:t>
            </w:r>
          </w:p>
        </w:tc>
      </w:tr>
      <w:tr>
        <w:trPr>
          <w:cantSplit/>
          <w:trHeight w:val="300"/>
        </w:trPr>
        <w:tc>
          <w:tcPr>
            <w:tcW w:w="810"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Demographics</w:t>
            </w:r>
          </w:p>
        </w:tc>
        <w:tc>
          <w:tcPr>
            <w:tcW w:w="159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Age 90 or over</w:t>
            </w:r>
          </w:p>
        </w:tc>
        <w:tc>
          <w:tcPr>
            <w:tcW w:w="749"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-0.131</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-0.132</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0.001</w:t>
            </w:r>
          </w:p>
        </w:tc>
        <w:tc>
          <w:tcPr>
            <w:tcW w:w="620"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-0.76%</w:t>
            </w:r>
          </w:p>
        </w:tc>
      </w:tr>
      <w:tr>
        <w:trPr>
          <w:cantSplit/>
          <w:trHeight w:val="300"/>
        </w:trPr>
        <w:tc>
          <w:tcPr>
            <w:tcW w:w="810"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Demographics</w:t>
            </w:r>
          </w:p>
        </w:tc>
        <w:tc>
          <w:tcPr>
            <w:tcW w:w="159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749"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0.251</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0.249</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0.002</w:t>
            </w:r>
          </w:p>
        </w:tc>
        <w:tc>
          <w:tcPr>
            <w:tcW w:w="620"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0.61%</w:t>
            </w:r>
          </w:p>
        </w:tc>
      </w:tr>
      <w:tr>
        <w:trPr>
          <w:cantSplit/>
          <w:trHeight w:val="300"/>
        </w:trPr>
        <w:tc>
          <w:tcPr>
            <w:tcW w:w="810"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Medications Received</w:t>
            </w:r>
          </w:p>
        </w:tc>
        <w:tc>
          <w:tcPr>
            <w:tcW w:w="159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Antibiotics within 7 days prior to ARD</w:t>
            </w:r>
          </w:p>
        </w:tc>
        <w:tc>
          <w:tcPr>
            <w:tcW w:w="749"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0.290</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0.280</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0.010</w:t>
            </w:r>
          </w:p>
        </w:tc>
        <w:tc>
          <w:tcPr>
            <w:tcW w:w="620"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3.35%</w:t>
            </w:r>
          </w:p>
        </w:tc>
      </w:tr>
      <w:tr>
        <w:trPr>
          <w:cantSplit/>
          <w:trHeight w:val="300"/>
        </w:trPr>
        <w:tc>
          <w:tcPr>
            <w:tcW w:w="810"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Stay History</w:t>
            </w:r>
          </w:p>
        </w:tc>
        <w:tc>
          <w:tcPr>
            <w:tcW w:w="159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Admitted from hospital (current stay)</w:t>
            </w:r>
          </w:p>
        </w:tc>
        <w:tc>
          <w:tcPr>
            <w:tcW w:w="749"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0.400</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0.399</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0.001</w:t>
            </w:r>
          </w:p>
        </w:tc>
        <w:tc>
          <w:tcPr>
            <w:tcW w:w="620"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0.18%</w:t>
            </w:r>
          </w:p>
        </w:tc>
      </w:tr>
      <w:tr>
        <w:trPr>
          <w:cantSplit/>
          <w:trHeight w:val="300"/>
        </w:trPr>
        <w:tc>
          <w:tcPr>
            <w:tcW w:w="810"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Stay History</w:t>
            </w:r>
          </w:p>
        </w:tc>
        <w:tc>
          <w:tcPr>
            <w:tcW w:w="159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Natural log of (Length of current stay minus 100) *prevalence is of LOS</w:t>
            </w:r>
          </w:p>
        </w:tc>
        <w:tc>
          <w:tcPr>
            <w:tcW w:w="749"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-0.121</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-0.121</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0.001</w:t>
            </w:r>
          </w:p>
        </w:tc>
        <w:tc>
          <w:tcPr>
            <w:tcW w:w="620"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-0.58%</w:t>
            </w:r>
          </w:p>
        </w:tc>
      </w:tr>
      <w:tr>
        <w:trPr>
          <w:cantSplit/>
          <w:trHeight w:val="300"/>
        </w:trPr>
        <w:tc>
          <w:tcPr>
            <w:tcW w:w="810"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Hospice Status</w:t>
            </w:r>
          </w:p>
        </w:tc>
        <w:tc>
          <w:tcPr>
            <w:tcW w:w="159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Receiving hospice care</w:t>
            </w:r>
          </w:p>
        </w:tc>
        <w:tc>
          <w:tcPr>
            <w:tcW w:w="749"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-1.175</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-1.174</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-0.001</w:t>
            </w:r>
          </w:p>
        </w:tc>
        <w:tc>
          <w:tcPr>
            <w:tcW w:w="620"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0.08%</w:t>
            </w:r>
          </w:p>
        </w:tc>
      </w:tr>
      <w:tr>
        <w:trPr>
          <w:cantSplit/>
          <w:trHeight w:val="300"/>
        </w:trPr>
        <w:tc>
          <w:tcPr>
            <w:tcW w:w="810"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Recent Treatments</w:t>
            </w:r>
          </w:p>
        </w:tc>
        <w:tc>
          <w:tcPr>
            <w:tcW w:w="159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IV fluid or meds within 7 days before last MDS</w:t>
            </w:r>
          </w:p>
        </w:tc>
        <w:tc>
          <w:tcPr>
            <w:tcW w:w="749"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0.548</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0.548</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0.000</w:t>
            </w:r>
          </w:p>
        </w:tc>
        <w:tc>
          <w:tcPr>
            <w:tcW w:w="620"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-0.06%</w:t>
            </w:r>
          </w:p>
        </w:tc>
      </w:tr>
      <w:tr>
        <w:trPr>
          <w:cantSplit/>
          <w:trHeight w:val="315"/>
        </w:trPr>
        <w:tc>
          <w:tcPr>
            <w:tcW w:w="810"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Recent Treatments</w:t>
            </w:r>
          </w:p>
        </w:tc>
        <w:tc>
          <w:tcPr>
            <w:tcW w:w="159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Oxygen in 7 days before last MDS</w:t>
            </w:r>
          </w:p>
        </w:tc>
        <w:tc>
          <w:tcPr>
            <w:tcW w:w="749"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0.383</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0.386</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-0.003</w:t>
            </w:r>
          </w:p>
        </w:tc>
        <w:tc>
          <w:tcPr>
            <w:tcW w:w="620"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-0.80%</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bCs/>
          <w:i w:val="0"/>
          <w:color w:val="000000"/>
          <w:sz w:val="20"/>
        </w:rPr>
        <w:t>Bootstrap Analysis Long Stay Group 2 100 days &lt; LOS &lt;= 181 days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21. Bootstrap Analysis Long Stay Group 3 181 days &lt; LOS &lt;= 364 days</w:t>
      </w:r>
    </w:p>
    <w:tbl>
      <w:tblPr>
        <w:tblStyle w:val="TableGrid"/>
        <w:tblCaption w:val="Bootstrap Analysis Long Stay Group 3 181 days &amp;lt; LOS &amp;lt;= 364 days"/>
        <w:tblDescription w:val="Bootstrap Analysis Long Stay Group 3 181 days &amp;lt; LOS &amp;lt;= 364 day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442"/>
        <w:gridCol w:w="2583"/>
        <w:gridCol w:w="1124"/>
        <w:gridCol w:w="1185"/>
        <w:gridCol w:w="1082"/>
        <w:gridCol w:w="1131"/>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915"/>
          <w:tblHeader/>
        </w:trPr>
        <w:tc>
          <w:tcPr>
            <w:tcW w:w="737"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Variable Type</w:t>
            </w:r>
          </w:p>
        </w:tc>
        <w:tc>
          <w:tcPr>
            <w:tcW w:w="1622"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Independent Variable</w:t>
            </w:r>
          </w:p>
        </w:tc>
        <w:tc>
          <w:tcPr>
            <w:tcW w:w="658"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Long Stay Group 3 Coefficient</w:t>
            </w:r>
          </w:p>
        </w:tc>
        <w:tc>
          <w:tcPr>
            <w:tcW w:w="706"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Bootstrap Mean</w:t>
            </w:r>
          </w:p>
        </w:tc>
        <w:tc>
          <w:tcPr>
            <w:tcW w:w="611"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Difference</w:t>
            </w:r>
          </w:p>
        </w:tc>
        <w:tc>
          <w:tcPr>
            <w:tcW w:w="666"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Difference in %</w:t>
            </w:r>
          </w:p>
        </w:tc>
      </w:tr>
      <w:tr>
        <w:trPr>
          <w:cantSplit/>
          <w:trHeight w:val="300"/>
        </w:trPr>
        <w:tc>
          <w:tcPr>
            <w:tcW w:w="737"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Constant</w:t>
            </w:r>
          </w:p>
        </w:tc>
        <w:tc>
          <w:tcPr>
            <w:tcW w:w="1622"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Intercept</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-1.193</w:t>
            </w:r>
          </w:p>
        </w:tc>
        <w:tc>
          <w:tcPr>
            <w:tcW w:w="706"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-1.209</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0.016</w:t>
            </w:r>
          </w:p>
        </w:tc>
        <w:tc>
          <w:tcPr>
            <w:tcW w:w="666"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-1.36%</w:t>
            </w:r>
          </w:p>
        </w:tc>
      </w:tr>
      <w:tr>
        <w:trPr>
          <w:cantSplit/>
          <w:trHeight w:val="300"/>
        </w:trPr>
        <w:tc>
          <w:tcPr>
            <w:tcW w:w="737"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Active Diagnoses</w:t>
            </w:r>
          </w:p>
        </w:tc>
        <w:tc>
          <w:tcPr>
            <w:tcW w:w="1622"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Anemia</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0.215</w:t>
            </w:r>
          </w:p>
        </w:tc>
        <w:tc>
          <w:tcPr>
            <w:tcW w:w="706"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0.215</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0.000</w:t>
            </w:r>
          </w:p>
        </w:tc>
        <w:tc>
          <w:tcPr>
            <w:tcW w:w="666"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-0.09%</w:t>
            </w:r>
          </w:p>
        </w:tc>
      </w:tr>
      <w:tr>
        <w:trPr>
          <w:cantSplit/>
          <w:trHeight w:val="300"/>
        </w:trPr>
        <w:tc>
          <w:tcPr>
            <w:tcW w:w="737"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Active Diagnoses</w:t>
            </w:r>
          </w:p>
        </w:tc>
        <w:tc>
          <w:tcPr>
            <w:tcW w:w="1622"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Asthma, COPD, or Chronic Lung Disease whether or not on oxygen</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0.204</w:t>
            </w:r>
          </w:p>
        </w:tc>
        <w:tc>
          <w:tcPr>
            <w:tcW w:w="706"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0.201</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0.003</w:t>
            </w:r>
          </w:p>
        </w:tc>
        <w:tc>
          <w:tcPr>
            <w:tcW w:w="666"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1.33%</w:t>
            </w:r>
          </w:p>
        </w:tc>
      </w:tr>
      <w:tr>
        <w:trPr>
          <w:cantSplit/>
          <w:trHeight w:val="300"/>
        </w:trPr>
        <w:tc>
          <w:tcPr>
            <w:tcW w:w="737"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Active Diagnoses</w:t>
            </w:r>
          </w:p>
        </w:tc>
        <w:tc>
          <w:tcPr>
            <w:tcW w:w="1622"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Asthma, COPD, or Chronic Lung Disease on oxygen</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0.279</w:t>
            </w:r>
          </w:p>
        </w:tc>
        <w:tc>
          <w:tcPr>
            <w:tcW w:w="706"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0.281</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-0.002</w:t>
            </w:r>
          </w:p>
        </w:tc>
        <w:tc>
          <w:tcPr>
            <w:tcW w:w="666"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-0.76%</w:t>
            </w:r>
          </w:p>
        </w:tc>
      </w:tr>
      <w:tr>
        <w:trPr>
          <w:cantSplit/>
          <w:trHeight w:val="300"/>
        </w:trPr>
        <w:tc>
          <w:tcPr>
            <w:tcW w:w="737"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Active Diagnoses</w:t>
            </w:r>
          </w:p>
        </w:tc>
        <w:tc>
          <w:tcPr>
            <w:tcW w:w="1622"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Diabetes on insulin</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0.346</w:t>
            </w:r>
          </w:p>
        </w:tc>
        <w:tc>
          <w:tcPr>
            <w:tcW w:w="706"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0.347</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-0.001</w:t>
            </w:r>
          </w:p>
        </w:tc>
        <w:tc>
          <w:tcPr>
            <w:tcW w:w="666"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-0.30%</w:t>
            </w:r>
          </w:p>
        </w:tc>
      </w:tr>
      <w:tr>
        <w:trPr>
          <w:cantSplit/>
          <w:trHeight w:val="300"/>
        </w:trPr>
        <w:tc>
          <w:tcPr>
            <w:tcW w:w="737"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Active Diagnoses</w:t>
            </w:r>
          </w:p>
        </w:tc>
        <w:tc>
          <w:tcPr>
            <w:tcW w:w="1622"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Heart Failure</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0.271</w:t>
            </w:r>
          </w:p>
        </w:tc>
        <w:tc>
          <w:tcPr>
            <w:tcW w:w="706"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0.270</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0.001</w:t>
            </w:r>
          </w:p>
        </w:tc>
        <w:tc>
          <w:tcPr>
            <w:tcW w:w="666"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0.38%</w:t>
            </w:r>
          </w:p>
        </w:tc>
      </w:tr>
      <w:tr>
        <w:trPr>
          <w:cantSplit/>
          <w:trHeight w:val="300"/>
        </w:trPr>
        <w:tc>
          <w:tcPr>
            <w:tcW w:w="737"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Active Diagnoses</w:t>
            </w:r>
          </w:p>
        </w:tc>
        <w:tc>
          <w:tcPr>
            <w:tcW w:w="1622"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Neurogenic bladder </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0.434</w:t>
            </w:r>
          </w:p>
        </w:tc>
        <w:tc>
          <w:tcPr>
            <w:tcW w:w="706"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0.436</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-0.002</w:t>
            </w:r>
          </w:p>
        </w:tc>
        <w:tc>
          <w:tcPr>
            <w:tcW w:w="666"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-0.49%</w:t>
            </w:r>
          </w:p>
        </w:tc>
      </w:tr>
      <w:tr>
        <w:trPr>
          <w:cantSplit/>
          <w:trHeight w:val="300"/>
        </w:trPr>
        <w:tc>
          <w:tcPr>
            <w:tcW w:w="737"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Active Diagnoses</w:t>
            </w:r>
          </w:p>
        </w:tc>
        <w:tc>
          <w:tcPr>
            <w:tcW w:w="1622"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Renal failure, insufficiency, or ESRD</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0.172</w:t>
            </w:r>
          </w:p>
        </w:tc>
        <w:tc>
          <w:tcPr>
            <w:tcW w:w="706"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0.171</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0.001</w:t>
            </w:r>
          </w:p>
        </w:tc>
        <w:tc>
          <w:tcPr>
            <w:tcW w:w="666"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0.45%</w:t>
            </w:r>
          </w:p>
        </w:tc>
      </w:tr>
      <w:tr>
        <w:trPr>
          <w:cantSplit/>
          <w:trHeight w:val="300"/>
        </w:trPr>
        <w:tc>
          <w:tcPr>
            <w:tcW w:w="737"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Incontinence</w:t>
            </w:r>
          </w:p>
        </w:tc>
        <w:tc>
          <w:tcPr>
            <w:tcW w:w="1622"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Total bowel incontinence</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0.215</w:t>
            </w:r>
          </w:p>
        </w:tc>
        <w:tc>
          <w:tcPr>
            <w:tcW w:w="706"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0.213</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0.002</w:t>
            </w:r>
          </w:p>
        </w:tc>
        <w:tc>
          <w:tcPr>
            <w:tcW w:w="666"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0.92%</w:t>
            </w:r>
          </w:p>
        </w:tc>
      </w:tr>
      <w:tr>
        <w:trPr>
          <w:cantSplit/>
          <w:trHeight w:val="300"/>
        </w:trPr>
        <w:tc>
          <w:tcPr>
            <w:tcW w:w="737"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Demographics</w:t>
            </w:r>
          </w:p>
        </w:tc>
        <w:tc>
          <w:tcPr>
            <w:tcW w:w="1622"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Age 90 or over</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-0.126</w:t>
            </w:r>
          </w:p>
        </w:tc>
        <w:tc>
          <w:tcPr>
            <w:tcW w:w="706"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-0.124</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-0.002</w:t>
            </w:r>
          </w:p>
        </w:tc>
        <w:tc>
          <w:tcPr>
            <w:tcW w:w="666"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1.91%</w:t>
            </w:r>
          </w:p>
        </w:tc>
      </w:tr>
      <w:tr>
        <w:trPr>
          <w:cantSplit/>
          <w:trHeight w:val="300"/>
        </w:trPr>
        <w:tc>
          <w:tcPr>
            <w:tcW w:w="737"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Demographics</w:t>
            </w:r>
          </w:p>
        </w:tc>
        <w:tc>
          <w:tcPr>
            <w:tcW w:w="1622"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0.212</w:t>
            </w:r>
          </w:p>
        </w:tc>
        <w:tc>
          <w:tcPr>
            <w:tcW w:w="706"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0.209</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0.003</w:t>
            </w:r>
          </w:p>
        </w:tc>
        <w:tc>
          <w:tcPr>
            <w:tcW w:w="666"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1.51%</w:t>
            </w:r>
          </w:p>
        </w:tc>
      </w:tr>
      <w:tr>
        <w:trPr>
          <w:cantSplit/>
          <w:trHeight w:val="300"/>
        </w:trPr>
        <w:tc>
          <w:tcPr>
            <w:tcW w:w="737"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Stay History</w:t>
            </w:r>
          </w:p>
        </w:tc>
        <w:tc>
          <w:tcPr>
            <w:tcW w:w="1622"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Admitted from hospital (current stay)</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0.261</w:t>
            </w:r>
          </w:p>
        </w:tc>
        <w:tc>
          <w:tcPr>
            <w:tcW w:w="706"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0.261</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0.000</w:t>
            </w:r>
          </w:p>
        </w:tc>
        <w:tc>
          <w:tcPr>
            <w:tcW w:w="666"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0.14%</w:t>
            </w:r>
          </w:p>
        </w:tc>
      </w:tr>
      <w:tr>
        <w:trPr>
          <w:cantSplit/>
          <w:trHeight w:val="300"/>
        </w:trPr>
        <w:tc>
          <w:tcPr>
            <w:tcW w:w="737"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Stay History</w:t>
            </w:r>
          </w:p>
        </w:tc>
        <w:tc>
          <w:tcPr>
            <w:tcW w:w="1622"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Natural log of (Length of current stay minus 100) *prevalence is of LOS</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-0.296</w:t>
            </w:r>
          </w:p>
        </w:tc>
        <w:tc>
          <w:tcPr>
            <w:tcW w:w="706"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-0.293</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-0.004</w:t>
            </w:r>
          </w:p>
        </w:tc>
        <w:tc>
          <w:tcPr>
            <w:tcW w:w="666"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1.19%</w:t>
            </w:r>
          </w:p>
        </w:tc>
      </w:tr>
      <w:tr>
        <w:trPr>
          <w:cantSplit/>
          <w:trHeight w:val="300"/>
        </w:trPr>
        <w:tc>
          <w:tcPr>
            <w:tcW w:w="737"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Skin</w:t>
            </w:r>
          </w:p>
        </w:tc>
        <w:tc>
          <w:tcPr>
            <w:tcW w:w="1622"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Surgical wound(s)</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0.375</w:t>
            </w:r>
          </w:p>
        </w:tc>
        <w:tc>
          <w:tcPr>
            <w:tcW w:w="706"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0.380</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-0.005</w:t>
            </w:r>
          </w:p>
        </w:tc>
        <w:tc>
          <w:tcPr>
            <w:tcW w:w="666"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-1.35%</w:t>
            </w:r>
          </w:p>
        </w:tc>
      </w:tr>
      <w:tr>
        <w:trPr>
          <w:cantSplit/>
          <w:trHeight w:val="300"/>
        </w:trPr>
        <w:tc>
          <w:tcPr>
            <w:tcW w:w="737"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Hospice Status</w:t>
            </w:r>
          </w:p>
        </w:tc>
        <w:tc>
          <w:tcPr>
            <w:tcW w:w="1622"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Receiving hospice care</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-1.203</w:t>
            </w:r>
          </w:p>
        </w:tc>
        <w:tc>
          <w:tcPr>
            <w:tcW w:w="706"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-1.207</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0.004</w:t>
            </w:r>
          </w:p>
        </w:tc>
        <w:tc>
          <w:tcPr>
            <w:tcW w:w="666"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-0.32%</w:t>
            </w:r>
          </w:p>
        </w:tc>
      </w:tr>
      <w:tr>
        <w:trPr>
          <w:cantSplit/>
          <w:trHeight w:val="315"/>
        </w:trPr>
        <w:tc>
          <w:tcPr>
            <w:tcW w:w="737"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Recent Treatments</w:t>
            </w:r>
          </w:p>
        </w:tc>
        <w:tc>
          <w:tcPr>
            <w:tcW w:w="1622"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IV fluid or meds within 7 days before last MDS</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0.386</w:t>
            </w:r>
          </w:p>
        </w:tc>
        <w:tc>
          <w:tcPr>
            <w:tcW w:w="706"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0.387</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-0.001</w:t>
            </w:r>
          </w:p>
        </w:tc>
        <w:tc>
          <w:tcPr>
            <w:tcW w:w="666"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-0.26%</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bCs/>
          <w:i w:val="0"/>
          <w:color w:val="000000"/>
          <w:sz w:val="20"/>
        </w:rPr>
        <w:t>Bootstrap Analysis Long Stay Group 3 181 days &lt; LOS &lt;= 364 days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22. Bootstrap Analysis Long Stay Group 4 LOS &gt; 364 days</w:t>
      </w:r>
    </w:p>
    <w:tbl>
      <w:tblPr>
        <w:tblStyle w:val="TableGrid"/>
        <w:tblCaption w:val="Bootstrap Analysis Long Stay Group 4 LOS &amp;gt; 364 days"/>
        <w:tblDescription w:val="Bootstrap Analysis Long Stay Group 4 LOS &amp;gt; 364 day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442"/>
        <w:gridCol w:w="2571"/>
        <w:gridCol w:w="1124"/>
        <w:gridCol w:w="1192"/>
        <w:gridCol w:w="1082"/>
        <w:gridCol w:w="1136"/>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915"/>
          <w:tblHeader/>
        </w:trPr>
        <w:tc>
          <w:tcPr>
            <w:tcW w:w="811"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Variable Type</w:t>
            </w:r>
          </w:p>
        </w:tc>
        <w:tc>
          <w:tcPr>
            <w:tcW w:w="1548"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Independent Variable</w:t>
            </w:r>
          </w:p>
        </w:tc>
        <w:tc>
          <w:tcPr>
            <w:tcW w:w="658"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Long Stay Group 4 Coefficient</w:t>
            </w:r>
          </w:p>
        </w:tc>
        <w:tc>
          <w:tcPr>
            <w:tcW w:w="705"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Bootstrap Mean</w:t>
            </w:r>
          </w:p>
        </w:tc>
        <w:tc>
          <w:tcPr>
            <w:tcW w:w="611"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Difference</w:t>
            </w:r>
          </w:p>
        </w:tc>
        <w:tc>
          <w:tcPr>
            <w:tcW w:w="667" w:type="pct"/>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Difference in %</w:t>
            </w:r>
          </w:p>
        </w:tc>
      </w:tr>
      <w:tr>
        <w:trPr>
          <w:cantSplit/>
          <w:trHeight w:val="300"/>
        </w:trPr>
        <w:tc>
          <w:tcPr>
            <w:tcW w:w="811"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Constant</w:t>
            </w:r>
          </w:p>
        </w:tc>
        <w:tc>
          <w:tcPr>
            <w:tcW w:w="154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Intercept</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-1.140</w:t>
            </w:r>
          </w:p>
        </w:tc>
        <w:tc>
          <w:tcPr>
            <w:tcW w:w="70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-1.105</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-0.035</w:t>
            </w:r>
          </w:p>
        </w:tc>
        <w:tc>
          <w:tcPr>
            <w:tcW w:w="667"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3.10%</w:t>
            </w:r>
          </w:p>
        </w:tc>
      </w:tr>
      <w:tr>
        <w:trPr>
          <w:cantSplit/>
          <w:trHeight w:val="300"/>
        </w:trPr>
        <w:tc>
          <w:tcPr>
            <w:tcW w:w="811"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Active Diagnoses</w:t>
            </w:r>
          </w:p>
        </w:tc>
        <w:tc>
          <w:tcPr>
            <w:tcW w:w="154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Anemia</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0.117</w:t>
            </w:r>
          </w:p>
        </w:tc>
        <w:tc>
          <w:tcPr>
            <w:tcW w:w="70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0.121</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-0.004</w:t>
            </w:r>
          </w:p>
        </w:tc>
        <w:tc>
          <w:tcPr>
            <w:tcW w:w="667"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-3.48%</w:t>
            </w:r>
          </w:p>
        </w:tc>
      </w:tr>
      <w:tr>
        <w:trPr>
          <w:cantSplit/>
          <w:trHeight w:val="300"/>
        </w:trPr>
        <w:tc>
          <w:tcPr>
            <w:tcW w:w="811"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Active Diagnoses</w:t>
            </w:r>
          </w:p>
        </w:tc>
        <w:tc>
          <w:tcPr>
            <w:tcW w:w="154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Asthma, COPD, or Chronic Lung Disease whether or not on oxygen</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0.163</w:t>
            </w:r>
          </w:p>
        </w:tc>
        <w:tc>
          <w:tcPr>
            <w:tcW w:w="70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0.172</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-0.009</w:t>
            </w:r>
          </w:p>
        </w:tc>
        <w:tc>
          <w:tcPr>
            <w:tcW w:w="667"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-5.23%</w:t>
            </w:r>
          </w:p>
        </w:tc>
      </w:tr>
      <w:tr>
        <w:trPr>
          <w:cantSplit/>
          <w:trHeight w:val="300"/>
        </w:trPr>
        <w:tc>
          <w:tcPr>
            <w:tcW w:w="811"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Active Diagnoses</w:t>
            </w:r>
          </w:p>
        </w:tc>
        <w:tc>
          <w:tcPr>
            <w:tcW w:w="154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Gastroesophageal Reflux Disease (GERD) or ulcer</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0.117</w:t>
            </w:r>
          </w:p>
        </w:tc>
        <w:tc>
          <w:tcPr>
            <w:tcW w:w="70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0.122</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-0.006</w:t>
            </w:r>
          </w:p>
        </w:tc>
        <w:tc>
          <w:tcPr>
            <w:tcW w:w="667"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-4.89%</w:t>
            </w:r>
          </w:p>
        </w:tc>
      </w:tr>
      <w:tr>
        <w:trPr>
          <w:cantSplit/>
          <w:trHeight w:val="300"/>
        </w:trPr>
        <w:tc>
          <w:tcPr>
            <w:tcW w:w="811"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Active Diagnoses</w:t>
            </w:r>
          </w:p>
        </w:tc>
        <w:tc>
          <w:tcPr>
            <w:tcW w:w="154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Diabetes on insulin</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0.289</w:t>
            </w:r>
          </w:p>
        </w:tc>
        <w:tc>
          <w:tcPr>
            <w:tcW w:w="70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0.298</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-0.009</w:t>
            </w:r>
          </w:p>
        </w:tc>
        <w:tc>
          <w:tcPr>
            <w:tcW w:w="667"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-2.97%</w:t>
            </w:r>
          </w:p>
        </w:tc>
      </w:tr>
      <w:tr>
        <w:trPr>
          <w:cantSplit/>
          <w:trHeight w:val="300"/>
        </w:trPr>
        <w:tc>
          <w:tcPr>
            <w:tcW w:w="811"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Active Diagnoses</w:t>
            </w:r>
          </w:p>
        </w:tc>
        <w:tc>
          <w:tcPr>
            <w:tcW w:w="154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Heart Failure</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0.176</w:t>
            </w:r>
          </w:p>
        </w:tc>
        <w:tc>
          <w:tcPr>
            <w:tcW w:w="70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0.175</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0.000</w:t>
            </w:r>
          </w:p>
        </w:tc>
        <w:tc>
          <w:tcPr>
            <w:tcW w:w="667"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0.10%</w:t>
            </w:r>
          </w:p>
        </w:tc>
      </w:tr>
      <w:tr>
        <w:trPr>
          <w:cantSplit/>
          <w:trHeight w:val="300"/>
        </w:trPr>
        <w:tc>
          <w:tcPr>
            <w:tcW w:w="811"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Active Diagnoses</w:t>
            </w:r>
          </w:p>
        </w:tc>
        <w:tc>
          <w:tcPr>
            <w:tcW w:w="154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Hypertension</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0.214</w:t>
            </w:r>
          </w:p>
        </w:tc>
        <w:tc>
          <w:tcPr>
            <w:tcW w:w="70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0.233</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-0.019</w:t>
            </w:r>
          </w:p>
        </w:tc>
        <w:tc>
          <w:tcPr>
            <w:tcW w:w="667"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-8.68%</w:t>
            </w:r>
          </w:p>
        </w:tc>
      </w:tr>
      <w:tr>
        <w:trPr>
          <w:cantSplit/>
          <w:trHeight w:val="300"/>
        </w:trPr>
        <w:tc>
          <w:tcPr>
            <w:tcW w:w="811"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Active Diagnoses</w:t>
            </w:r>
          </w:p>
        </w:tc>
        <w:tc>
          <w:tcPr>
            <w:tcW w:w="154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Neurogenic bladder </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0.267</w:t>
            </w:r>
          </w:p>
        </w:tc>
        <w:tc>
          <w:tcPr>
            <w:tcW w:w="70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0.268</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-0.001</w:t>
            </w:r>
          </w:p>
        </w:tc>
        <w:tc>
          <w:tcPr>
            <w:tcW w:w="667"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-0.52%</w:t>
            </w:r>
          </w:p>
        </w:tc>
      </w:tr>
      <w:tr>
        <w:trPr>
          <w:cantSplit/>
          <w:trHeight w:val="300"/>
        </w:trPr>
        <w:tc>
          <w:tcPr>
            <w:tcW w:w="811"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Active Diagnoses</w:t>
            </w:r>
          </w:p>
        </w:tc>
        <w:tc>
          <w:tcPr>
            <w:tcW w:w="154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Renal failure, insufficiency, or ESRD</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0.101</w:t>
            </w:r>
          </w:p>
        </w:tc>
        <w:tc>
          <w:tcPr>
            <w:tcW w:w="70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0.107</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-0.005</w:t>
            </w:r>
          </w:p>
        </w:tc>
        <w:tc>
          <w:tcPr>
            <w:tcW w:w="667"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-5.30%</w:t>
            </w:r>
          </w:p>
        </w:tc>
      </w:tr>
      <w:tr>
        <w:trPr>
          <w:cantSplit/>
          <w:trHeight w:val="300"/>
        </w:trPr>
        <w:tc>
          <w:tcPr>
            <w:tcW w:w="811"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Incontinence</w:t>
            </w:r>
          </w:p>
        </w:tc>
        <w:tc>
          <w:tcPr>
            <w:tcW w:w="154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Total bowel incontinence</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0.121</w:t>
            </w:r>
          </w:p>
        </w:tc>
        <w:tc>
          <w:tcPr>
            <w:tcW w:w="70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0.129</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-0.008</w:t>
            </w:r>
          </w:p>
        </w:tc>
        <w:tc>
          <w:tcPr>
            <w:tcW w:w="667"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-6.47%</w:t>
            </w:r>
          </w:p>
        </w:tc>
      </w:tr>
      <w:tr>
        <w:trPr>
          <w:cantSplit/>
          <w:trHeight w:val="300"/>
        </w:trPr>
        <w:tc>
          <w:tcPr>
            <w:tcW w:w="811"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Demographics</w:t>
            </w:r>
          </w:p>
        </w:tc>
        <w:tc>
          <w:tcPr>
            <w:tcW w:w="154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Age 90 or over</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-0.066</w:t>
            </w:r>
          </w:p>
        </w:tc>
        <w:tc>
          <w:tcPr>
            <w:tcW w:w="70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-0.073</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0.007</w:t>
            </w:r>
          </w:p>
        </w:tc>
        <w:tc>
          <w:tcPr>
            <w:tcW w:w="667"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-10.57%</w:t>
            </w:r>
          </w:p>
        </w:tc>
      </w:tr>
      <w:tr>
        <w:trPr>
          <w:cantSplit/>
          <w:trHeight w:val="300"/>
        </w:trPr>
        <w:tc>
          <w:tcPr>
            <w:tcW w:w="811"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Demographics</w:t>
            </w:r>
          </w:p>
        </w:tc>
        <w:tc>
          <w:tcPr>
            <w:tcW w:w="154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0.260</w:t>
            </w:r>
          </w:p>
        </w:tc>
        <w:tc>
          <w:tcPr>
            <w:tcW w:w="70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0.262</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-0.002</w:t>
            </w:r>
          </w:p>
        </w:tc>
        <w:tc>
          <w:tcPr>
            <w:tcW w:w="667"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-0.76%</w:t>
            </w:r>
          </w:p>
        </w:tc>
      </w:tr>
      <w:tr>
        <w:trPr>
          <w:cantSplit/>
          <w:trHeight w:val="300"/>
        </w:trPr>
        <w:tc>
          <w:tcPr>
            <w:tcW w:w="811"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Medications Received</w:t>
            </w:r>
          </w:p>
        </w:tc>
        <w:tc>
          <w:tcPr>
            <w:tcW w:w="154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Anticoagulant within 7 days prior to ARD</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0.096</w:t>
            </w:r>
          </w:p>
        </w:tc>
        <w:tc>
          <w:tcPr>
            <w:tcW w:w="70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0.069</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0.026</w:t>
            </w:r>
          </w:p>
        </w:tc>
        <w:tc>
          <w:tcPr>
            <w:tcW w:w="667"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27.62%</w:t>
            </w:r>
          </w:p>
        </w:tc>
      </w:tr>
      <w:tr>
        <w:trPr>
          <w:cantSplit/>
          <w:trHeight w:val="300"/>
        </w:trPr>
        <w:tc>
          <w:tcPr>
            <w:tcW w:w="811"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Stay History</w:t>
            </w:r>
          </w:p>
        </w:tc>
        <w:tc>
          <w:tcPr>
            <w:tcW w:w="154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Admitted from hospital (current stay)</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0.253</w:t>
            </w:r>
          </w:p>
        </w:tc>
        <w:tc>
          <w:tcPr>
            <w:tcW w:w="70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0.258</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-0.005</w:t>
            </w:r>
          </w:p>
        </w:tc>
        <w:tc>
          <w:tcPr>
            <w:tcW w:w="667"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-1.91%</w:t>
            </w:r>
          </w:p>
        </w:tc>
      </w:tr>
      <w:tr>
        <w:trPr>
          <w:cantSplit/>
          <w:trHeight w:val="300"/>
        </w:trPr>
        <w:tc>
          <w:tcPr>
            <w:tcW w:w="811"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Stay History</w:t>
            </w:r>
          </w:p>
        </w:tc>
        <w:tc>
          <w:tcPr>
            <w:tcW w:w="154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Natural log of (Length of current stay minus 100) *prevalence is of LOS</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-0.350</w:t>
            </w:r>
          </w:p>
        </w:tc>
        <w:tc>
          <w:tcPr>
            <w:tcW w:w="70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-0.343</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-0.007</w:t>
            </w:r>
          </w:p>
        </w:tc>
        <w:tc>
          <w:tcPr>
            <w:tcW w:w="667"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2.06%</w:t>
            </w:r>
          </w:p>
        </w:tc>
      </w:tr>
      <w:tr>
        <w:trPr>
          <w:cantSplit/>
          <w:trHeight w:val="300"/>
        </w:trPr>
        <w:tc>
          <w:tcPr>
            <w:tcW w:w="811"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Symptoms</w:t>
            </w:r>
          </w:p>
        </w:tc>
        <w:tc>
          <w:tcPr>
            <w:tcW w:w="154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Dyspnea on exertion </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0.289</w:t>
            </w:r>
          </w:p>
        </w:tc>
        <w:tc>
          <w:tcPr>
            <w:tcW w:w="70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0.298</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-0.009</w:t>
            </w:r>
          </w:p>
        </w:tc>
        <w:tc>
          <w:tcPr>
            <w:tcW w:w="667"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-2.97%</w:t>
            </w:r>
          </w:p>
        </w:tc>
      </w:tr>
      <w:tr>
        <w:trPr>
          <w:cantSplit/>
          <w:trHeight w:val="300"/>
        </w:trPr>
        <w:tc>
          <w:tcPr>
            <w:tcW w:w="811"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Skin</w:t>
            </w:r>
          </w:p>
        </w:tc>
        <w:tc>
          <w:tcPr>
            <w:tcW w:w="154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Surgical wound(s)</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0.379</w:t>
            </w:r>
          </w:p>
        </w:tc>
        <w:tc>
          <w:tcPr>
            <w:tcW w:w="70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0.366</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0.012</w:t>
            </w:r>
          </w:p>
        </w:tc>
        <w:tc>
          <w:tcPr>
            <w:tcW w:w="667"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3.28%</w:t>
            </w:r>
          </w:p>
        </w:tc>
      </w:tr>
      <w:tr>
        <w:trPr>
          <w:cantSplit/>
          <w:trHeight w:val="300"/>
        </w:trPr>
        <w:tc>
          <w:tcPr>
            <w:tcW w:w="811"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Hospice Status</w:t>
            </w:r>
          </w:p>
        </w:tc>
        <w:tc>
          <w:tcPr>
            <w:tcW w:w="154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Receiving hospice care</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-1.044</w:t>
            </w:r>
          </w:p>
        </w:tc>
        <w:tc>
          <w:tcPr>
            <w:tcW w:w="70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-1.050</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0.006</w:t>
            </w:r>
          </w:p>
        </w:tc>
        <w:tc>
          <w:tcPr>
            <w:tcW w:w="667"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-0.61%</w:t>
            </w:r>
          </w:p>
        </w:tc>
      </w:tr>
      <w:tr>
        <w:trPr>
          <w:cantSplit/>
          <w:trHeight w:val="300"/>
        </w:trPr>
        <w:tc>
          <w:tcPr>
            <w:tcW w:w="811"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Recent Treatments</w:t>
            </w:r>
          </w:p>
        </w:tc>
        <w:tc>
          <w:tcPr>
            <w:tcW w:w="154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IV fluid or meds within 7 days before last MDS</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0.391</w:t>
            </w:r>
          </w:p>
        </w:tc>
        <w:tc>
          <w:tcPr>
            <w:tcW w:w="70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0.398</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-0.007</w:t>
            </w:r>
          </w:p>
        </w:tc>
        <w:tc>
          <w:tcPr>
            <w:tcW w:w="667"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-1.73%</w:t>
            </w:r>
          </w:p>
        </w:tc>
      </w:tr>
      <w:tr>
        <w:trPr>
          <w:cantSplit/>
          <w:trHeight w:val="315"/>
        </w:trPr>
        <w:tc>
          <w:tcPr>
            <w:tcW w:w="811"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Recent Treatments</w:t>
            </w:r>
          </w:p>
        </w:tc>
        <w:tc>
          <w:tcPr>
            <w:tcW w:w="1548" w:type="pct"/>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Oxygen in 7 days before last MDS</w:t>
            </w:r>
          </w:p>
        </w:tc>
        <w:tc>
          <w:tcPr>
            <w:tcW w:w="658"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0.218</w:t>
            </w:r>
          </w:p>
        </w:tc>
        <w:tc>
          <w:tcPr>
            <w:tcW w:w="705"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0.221</w:t>
            </w:r>
          </w:p>
        </w:tc>
        <w:tc>
          <w:tcPr>
            <w:tcW w:w="611"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-0.003</w:t>
            </w:r>
          </w:p>
        </w:tc>
        <w:tc>
          <w:tcPr>
            <w:tcW w:w="667" w:type="pct"/>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-1.35%</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bCs/>
          <w:i w:val="0"/>
          <w:color w:val="000000"/>
          <w:sz w:val="20"/>
        </w:rPr>
        <w:t>Bootstrap Analysis Long Stay Group 4 LOS &gt; 364 days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2b.27. Provide risk model discrimination statistics.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 For example, provide c-statistics or R-squared values.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Provided below are the c-statistics and r-squared values for the 5 models in the PointRight Pro Long Stay Hospitalization Measure.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Logistic Regression Model Long Stay Group 1 c-statistic = .63</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Logistic Regression Model Long Stay Group 2, c-statistic = .63</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Logistic Regression Model Long Stay Group 3, c-statistic = .62</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Logistic Regression Model Long Stay Group 4, c-statistic = .63</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Linear Regression Model Rate of all Hospitalizations, R-squared = .99</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2b.28. Provide the statistical risk model calibration statistics (e.g., Hosmer-Lemeshow statistic).</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23. Hosmer-Lemeshow Statistic Long Stay Group 1 (current LOS &lt;= 100 days but cumulative days in SNF &gt;100 days)</w:t>
      </w:r>
    </w:p>
    <w:tbl>
      <w:tblPr>
        <w:tblStyle w:val="TableGrid"/>
        <w:tblCaption w:val="Hosmer-Lemeshow Statistic Long Stay Group 1 (current LOS &amp;lt;= 100 days but cumulative days in SNF &amp;gt;100 days)"/>
        <w:tblDescription w:val="Hosmer-Lemeshow Statistic Long Stay Group 1 (current LOS &amp;lt;= 100 days but cumulative days in SNF &amp;gt;100 day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4467"/>
        <w:gridCol w:w="660"/>
        <w:gridCol w:w="3219"/>
        <w:gridCol w:w="994"/>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15"/>
          <w:tblHeader/>
        </w:trPr>
        <w:tc>
          <w:tcPr>
            <w:tcW w:w="6823"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Partition for the Hosmer and Lemeshow Test</w:t>
            </w: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r>
      <w:tr>
        <w:trPr>
          <w:cantSplit/>
          <w:trHeight w:val="315"/>
        </w:trPr>
        <w:tc>
          <w:tcPr>
            <w:tcW w:w="1603"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Group</w:t>
            </w:r>
          </w:p>
        </w:tc>
        <w:tc>
          <w:tcPr>
            <w:tcW w:w="1333"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Total</w:t>
            </w:r>
          </w:p>
        </w:tc>
        <w:tc>
          <w:tcPr>
            <w:tcW w:w="4339"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First Hospitalization Occur = Yes</w:t>
            </w:r>
          </w:p>
        </w:tc>
        <w:tc>
          <w:tcPr/>
          <w:p w:rsidR="00A77B3E">
            <w:pPr>
              <w:rPr>
                <w:rFonts w:ascii="Calibri" w:eastAsia="Calibri" w:hAnsi="Calibri" w:cs="Calibri"/>
                <w:b/>
                <w:bCs/>
                <w:i w:val="0"/>
                <w:color w:val="000000"/>
                <w:sz w:val="20"/>
              </w:rPr>
            </w:pPr>
          </w:p>
        </w:tc>
      </w:tr>
      <w:tr>
        <w:trPr>
          <w:cantSplit/>
          <w:trHeight w:val="315"/>
        </w:trPr>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tcW w:w="2321"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Observed</w:t>
            </w:r>
          </w:p>
        </w:tc>
        <w:tc>
          <w:tcPr>
            <w:tcW w:w="2244"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Expected</w:t>
            </w:r>
          </w:p>
        </w:tc>
      </w:tr>
      <w:tr>
        <w:trPr>
          <w:cantSplit/>
          <w:trHeight w:val="315"/>
        </w:trPr>
        <w:tc>
          <w:tcPr>
            <w:tcW w:w="1603"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333"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6056</w:t>
            </w:r>
          </w:p>
        </w:tc>
        <w:tc>
          <w:tcPr>
            <w:tcW w:w="232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709</w:t>
            </w:r>
          </w:p>
        </w:tc>
        <w:tc>
          <w:tcPr>
            <w:tcW w:w="224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672</w:t>
            </w:r>
          </w:p>
        </w:tc>
      </w:tr>
      <w:tr>
        <w:trPr>
          <w:cantSplit/>
          <w:trHeight w:val="315"/>
        </w:trPr>
        <w:tc>
          <w:tcPr>
            <w:tcW w:w="1603"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333"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7038</w:t>
            </w:r>
          </w:p>
        </w:tc>
        <w:tc>
          <w:tcPr>
            <w:tcW w:w="232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1126</w:t>
            </w:r>
          </w:p>
        </w:tc>
        <w:tc>
          <w:tcPr>
            <w:tcW w:w="224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1174</w:t>
            </w:r>
          </w:p>
        </w:tc>
      </w:tr>
      <w:tr>
        <w:trPr>
          <w:cantSplit/>
          <w:trHeight w:val="315"/>
        </w:trPr>
        <w:tc>
          <w:tcPr>
            <w:tcW w:w="1603"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w:t>
            </w:r>
          </w:p>
        </w:tc>
        <w:tc>
          <w:tcPr>
            <w:tcW w:w="1333"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7414</w:t>
            </w:r>
          </w:p>
        </w:tc>
        <w:tc>
          <w:tcPr>
            <w:tcW w:w="232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1455</w:t>
            </w:r>
          </w:p>
        </w:tc>
        <w:tc>
          <w:tcPr>
            <w:tcW w:w="224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1442</w:t>
            </w:r>
          </w:p>
        </w:tc>
      </w:tr>
      <w:tr>
        <w:trPr>
          <w:cantSplit/>
          <w:trHeight w:val="315"/>
        </w:trPr>
        <w:tc>
          <w:tcPr>
            <w:tcW w:w="1603"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w:t>
            </w:r>
          </w:p>
        </w:tc>
        <w:tc>
          <w:tcPr>
            <w:tcW w:w="1333"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6824</w:t>
            </w:r>
          </w:p>
        </w:tc>
        <w:tc>
          <w:tcPr>
            <w:tcW w:w="232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1485</w:t>
            </w:r>
          </w:p>
        </w:tc>
        <w:tc>
          <w:tcPr>
            <w:tcW w:w="224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1517</w:t>
            </w:r>
          </w:p>
        </w:tc>
      </w:tr>
      <w:tr>
        <w:trPr>
          <w:cantSplit/>
          <w:trHeight w:val="315"/>
        </w:trPr>
        <w:tc>
          <w:tcPr>
            <w:tcW w:w="1603"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w:t>
            </w:r>
          </w:p>
        </w:tc>
        <w:tc>
          <w:tcPr>
            <w:tcW w:w="1333"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6907</w:t>
            </w:r>
          </w:p>
        </w:tc>
        <w:tc>
          <w:tcPr>
            <w:tcW w:w="232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1727</w:t>
            </w:r>
          </w:p>
        </w:tc>
        <w:tc>
          <w:tcPr>
            <w:tcW w:w="224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1729</w:t>
            </w:r>
          </w:p>
        </w:tc>
      </w:tr>
      <w:tr>
        <w:trPr>
          <w:cantSplit/>
          <w:trHeight w:val="315"/>
        </w:trPr>
        <w:tc>
          <w:tcPr>
            <w:tcW w:w="1603"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w:t>
            </w:r>
          </w:p>
        </w:tc>
        <w:tc>
          <w:tcPr>
            <w:tcW w:w="1333"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6843</w:t>
            </w:r>
          </w:p>
        </w:tc>
        <w:tc>
          <w:tcPr>
            <w:tcW w:w="232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1896</w:t>
            </w:r>
          </w:p>
        </w:tc>
        <w:tc>
          <w:tcPr>
            <w:tcW w:w="224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1912</w:t>
            </w:r>
          </w:p>
        </w:tc>
      </w:tr>
      <w:tr>
        <w:trPr>
          <w:cantSplit/>
          <w:trHeight w:val="315"/>
        </w:trPr>
        <w:tc>
          <w:tcPr>
            <w:tcW w:w="1603"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w:t>
            </w:r>
          </w:p>
        </w:tc>
        <w:tc>
          <w:tcPr>
            <w:tcW w:w="1333"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6636</w:t>
            </w:r>
          </w:p>
        </w:tc>
        <w:tc>
          <w:tcPr>
            <w:tcW w:w="232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2046</w:t>
            </w:r>
          </w:p>
        </w:tc>
        <w:tc>
          <w:tcPr>
            <w:tcW w:w="224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2021</w:t>
            </w:r>
          </w:p>
        </w:tc>
      </w:tr>
      <w:tr>
        <w:trPr>
          <w:cantSplit/>
          <w:trHeight w:val="315"/>
        </w:trPr>
        <w:tc>
          <w:tcPr>
            <w:tcW w:w="1603"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w:t>
            </w:r>
          </w:p>
        </w:tc>
        <w:tc>
          <w:tcPr>
            <w:tcW w:w="1333"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7087</w:t>
            </w:r>
          </w:p>
        </w:tc>
        <w:tc>
          <w:tcPr>
            <w:tcW w:w="232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2431</w:t>
            </w:r>
          </w:p>
        </w:tc>
        <w:tc>
          <w:tcPr>
            <w:tcW w:w="224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2351</w:t>
            </w:r>
          </w:p>
        </w:tc>
      </w:tr>
      <w:tr>
        <w:trPr>
          <w:cantSplit/>
          <w:trHeight w:val="315"/>
        </w:trPr>
        <w:tc>
          <w:tcPr>
            <w:tcW w:w="1603"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w:t>
            </w:r>
          </w:p>
        </w:tc>
        <w:tc>
          <w:tcPr>
            <w:tcW w:w="1333"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6828</w:t>
            </w:r>
          </w:p>
        </w:tc>
        <w:tc>
          <w:tcPr>
            <w:tcW w:w="232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2490</w:t>
            </w:r>
          </w:p>
        </w:tc>
        <w:tc>
          <w:tcPr>
            <w:tcW w:w="224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2489</w:t>
            </w:r>
          </w:p>
        </w:tc>
      </w:tr>
      <w:tr>
        <w:trPr>
          <w:cantSplit/>
          <w:trHeight w:val="315"/>
        </w:trPr>
        <w:tc>
          <w:tcPr>
            <w:tcW w:w="1603"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w:t>
            </w:r>
          </w:p>
        </w:tc>
        <w:tc>
          <w:tcPr>
            <w:tcW w:w="1333"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6589</w:t>
            </w:r>
          </w:p>
        </w:tc>
        <w:tc>
          <w:tcPr>
            <w:tcW w:w="232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2751</w:t>
            </w:r>
          </w:p>
        </w:tc>
        <w:tc>
          <w:tcPr>
            <w:tcW w:w="224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2809</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bCs/>
          <w:i w:val="0"/>
          <w:color w:val="000000"/>
          <w:sz w:val="20"/>
        </w:rPr>
        <w:t>Hosmer-Lemeshow Statistic Long Stay Group 1 (current LOS &lt;= 100 days but cumulative days in SNF &gt;100 days)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24. Homer-Lemeshow Statistic Long Stay Group 2 (100 days &lt; LOS &lt;= 181 days)</w:t>
      </w:r>
    </w:p>
    <w:tbl>
      <w:tblPr>
        <w:tblStyle w:val="TableGrid"/>
        <w:tblCaption w:val="Homer-Lemeshow Statistic Long Stay Group 2 (100 days &amp;lt; LOS &amp;lt;= 181 days)"/>
        <w:tblDescription w:val="Homer-Lemeshow Statistic Long Stay Group 2 (100 days &amp;lt; LOS &amp;lt;= 181 day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4467"/>
        <w:gridCol w:w="743"/>
        <w:gridCol w:w="3136"/>
        <w:gridCol w:w="994"/>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15"/>
          <w:tblHeader/>
        </w:trPr>
        <w:tc>
          <w:tcPr>
            <w:tcW w:w="6921"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Partition for the Hosmer and Lemeshow Test</w:t>
            </w: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r>
      <w:tr>
        <w:trPr>
          <w:cantSplit/>
          <w:trHeight w:val="315"/>
        </w:trPr>
        <w:tc>
          <w:tcPr>
            <w:tcW w:w="1571"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Group</w:t>
            </w:r>
          </w:p>
        </w:tc>
        <w:tc>
          <w:tcPr>
            <w:tcW w:w="1561"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Total</w:t>
            </w:r>
          </w:p>
        </w:tc>
        <w:tc>
          <w:tcPr>
            <w:tcW w:w="4241"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First Hospitalization Occur = Yes</w:t>
            </w:r>
          </w:p>
        </w:tc>
        <w:tc>
          <w:tcPr/>
          <w:p w:rsidR="00A77B3E">
            <w:pPr>
              <w:rPr>
                <w:rFonts w:ascii="Calibri" w:eastAsia="Calibri" w:hAnsi="Calibri" w:cs="Calibri"/>
                <w:b/>
                <w:bCs/>
                <w:i w:val="0"/>
                <w:color w:val="000000"/>
                <w:sz w:val="20"/>
              </w:rPr>
            </w:pPr>
          </w:p>
        </w:tc>
      </w:tr>
      <w:tr>
        <w:trPr>
          <w:cantSplit/>
          <w:trHeight w:val="315"/>
        </w:trPr>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tcW w:w="2271"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Observed</w:t>
            </w:r>
          </w:p>
        </w:tc>
        <w:tc>
          <w:tcPr>
            <w:tcW w:w="2196"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Expected</w:t>
            </w:r>
          </w:p>
        </w:tc>
      </w:tr>
      <w:tr>
        <w:trPr>
          <w:cantSplit/>
          <w:trHeight w:val="315"/>
        </w:trPr>
        <w:tc>
          <w:tcPr>
            <w:tcW w:w="15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5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10068</w:t>
            </w:r>
          </w:p>
        </w:tc>
        <w:tc>
          <w:tcPr>
            <w:tcW w:w="22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709</w:t>
            </w:r>
          </w:p>
        </w:tc>
        <w:tc>
          <w:tcPr>
            <w:tcW w:w="2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706</w:t>
            </w:r>
          </w:p>
        </w:tc>
      </w:tr>
      <w:tr>
        <w:trPr>
          <w:cantSplit/>
          <w:trHeight w:val="315"/>
        </w:trPr>
        <w:tc>
          <w:tcPr>
            <w:tcW w:w="15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5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10096</w:t>
            </w:r>
          </w:p>
        </w:tc>
        <w:tc>
          <w:tcPr>
            <w:tcW w:w="22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860</w:t>
            </w:r>
          </w:p>
        </w:tc>
        <w:tc>
          <w:tcPr>
            <w:tcW w:w="2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1044</w:t>
            </w:r>
          </w:p>
        </w:tc>
      </w:tr>
      <w:tr>
        <w:trPr>
          <w:cantSplit/>
          <w:trHeight w:val="315"/>
        </w:trPr>
        <w:tc>
          <w:tcPr>
            <w:tcW w:w="15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w:t>
            </w:r>
          </w:p>
        </w:tc>
        <w:tc>
          <w:tcPr>
            <w:tcW w:w="15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10068</w:t>
            </w:r>
          </w:p>
        </w:tc>
        <w:tc>
          <w:tcPr>
            <w:tcW w:w="22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1041</w:t>
            </w:r>
          </w:p>
        </w:tc>
        <w:tc>
          <w:tcPr>
            <w:tcW w:w="2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1171</w:t>
            </w:r>
          </w:p>
        </w:tc>
      </w:tr>
      <w:tr>
        <w:trPr>
          <w:cantSplit/>
          <w:trHeight w:val="315"/>
        </w:trPr>
        <w:tc>
          <w:tcPr>
            <w:tcW w:w="15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w:t>
            </w:r>
          </w:p>
        </w:tc>
        <w:tc>
          <w:tcPr>
            <w:tcW w:w="15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10067</w:t>
            </w:r>
          </w:p>
        </w:tc>
        <w:tc>
          <w:tcPr>
            <w:tcW w:w="22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1334</w:t>
            </w:r>
          </w:p>
        </w:tc>
        <w:tc>
          <w:tcPr>
            <w:tcW w:w="2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1311</w:t>
            </w:r>
          </w:p>
        </w:tc>
      </w:tr>
      <w:tr>
        <w:trPr>
          <w:cantSplit/>
          <w:trHeight w:val="315"/>
        </w:trPr>
        <w:tc>
          <w:tcPr>
            <w:tcW w:w="15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w:t>
            </w:r>
          </w:p>
        </w:tc>
        <w:tc>
          <w:tcPr>
            <w:tcW w:w="15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10070</w:t>
            </w:r>
          </w:p>
        </w:tc>
        <w:tc>
          <w:tcPr>
            <w:tcW w:w="22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1549</w:t>
            </w:r>
          </w:p>
        </w:tc>
        <w:tc>
          <w:tcPr>
            <w:tcW w:w="2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1436</w:t>
            </w:r>
          </w:p>
        </w:tc>
      </w:tr>
      <w:tr>
        <w:trPr>
          <w:cantSplit/>
          <w:trHeight w:val="315"/>
        </w:trPr>
        <w:tc>
          <w:tcPr>
            <w:tcW w:w="15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w:t>
            </w:r>
          </w:p>
        </w:tc>
        <w:tc>
          <w:tcPr>
            <w:tcW w:w="15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10077</w:t>
            </w:r>
          </w:p>
        </w:tc>
        <w:tc>
          <w:tcPr>
            <w:tcW w:w="22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1690</w:t>
            </w:r>
          </w:p>
        </w:tc>
        <w:tc>
          <w:tcPr>
            <w:tcW w:w="2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1594</w:t>
            </w:r>
          </w:p>
        </w:tc>
      </w:tr>
      <w:tr>
        <w:trPr>
          <w:cantSplit/>
          <w:trHeight w:val="315"/>
        </w:trPr>
        <w:tc>
          <w:tcPr>
            <w:tcW w:w="15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w:t>
            </w:r>
          </w:p>
        </w:tc>
        <w:tc>
          <w:tcPr>
            <w:tcW w:w="15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10067</w:t>
            </w:r>
          </w:p>
        </w:tc>
        <w:tc>
          <w:tcPr>
            <w:tcW w:w="22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1863</w:t>
            </w:r>
          </w:p>
        </w:tc>
        <w:tc>
          <w:tcPr>
            <w:tcW w:w="2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1756</w:t>
            </w:r>
          </w:p>
        </w:tc>
      </w:tr>
      <w:tr>
        <w:trPr>
          <w:cantSplit/>
          <w:trHeight w:val="315"/>
        </w:trPr>
        <w:tc>
          <w:tcPr>
            <w:tcW w:w="15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w:t>
            </w:r>
          </w:p>
        </w:tc>
        <w:tc>
          <w:tcPr>
            <w:tcW w:w="15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10067</w:t>
            </w:r>
          </w:p>
        </w:tc>
        <w:tc>
          <w:tcPr>
            <w:tcW w:w="22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2023</w:t>
            </w:r>
          </w:p>
        </w:tc>
        <w:tc>
          <w:tcPr>
            <w:tcW w:w="2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1972</w:t>
            </w:r>
          </w:p>
        </w:tc>
      </w:tr>
      <w:tr>
        <w:trPr>
          <w:cantSplit/>
          <w:trHeight w:val="315"/>
        </w:trPr>
        <w:tc>
          <w:tcPr>
            <w:tcW w:w="15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w:t>
            </w:r>
          </w:p>
        </w:tc>
        <w:tc>
          <w:tcPr>
            <w:tcW w:w="15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10066</w:t>
            </w:r>
          </w:p>
        </w:tc>
        <w:tc>
          <w:tcPr>
            <w:tcW w:w="22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2328</w:t>
            </w:r>
          </w:p>
        </w:tc>
        <w:tc>
          <w:tcPr>
            <w:tcW w:w="2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2278</w:t>
            </w:r>
          </w:p>
        </w:tc>
      </w:tr>
      <w:tr>
        <w:trPr>
          <w:cantSplit/>
          <w:trHeight w:val="315"/>
        </w:trPr>
        <w:tc>
          <w:tcPr>
            <w:tcW w:w="15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w:t>
            </w:r>
          </w:p>
        </w:tc>
        <w:tc>
          <w:tcPr>
            <w:tcW w:w="15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10036</w:t>
            </w:r>
          </w:p>
        </w:tc>
        <w:tc>
          <w:tcPr>
            <w:tcW w:w="22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2881</w:t>
            </w:r>
          </w:p>
        </w:tc>
        <w:tc>
          <w:tcPr>
            <w:tcW w:w="2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3010</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bCs/>
          <w:i w:val="0"/>
          <w:color w:val="000000"/>
          <w:sz w:val="20"/>
        </w:rPr>
        <w:t>Homer-Lemeshow Statistic Long Stay Group 2 (100 days &lt; LOS &lt;= 181 days)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25. Homer-Lemeshow Statistic Long Stay Group 3 (181 days &lt; LOS &lt;= 364 days)</w:t>
      </w:r>
    </w:p>
    <w:tbl>
      <w:tblPr>
        <w:tblStyle w:val="TableGrid"/>
        <w:tblCaption w:val="Homer-Lemeshow Statistic Long Stay Group 3 (181 days &amp;lt; LOS &amp;lt;= 364 days)"/>
        <w:tblDescription w:val="Homer-Lemeshow Statistic Long Stay Group 3 (181 days &amp;lt; LOS &amp;lt;= 364 day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4467"/>
        <w:gridCol w:w="743"/>
        <w:gridCol w:w="3136"/>
        <w:gridCol w:w="994"/>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15"/>
          <w:tblHeader/>
        </w:trPr>
        <w:tc>
          <w:tcPr>
            <w:tcW w:w="6921"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Partition for the Hosmer and Lemeshow Test</w:t>
            </w: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r>
      <w:tr>
        <w:trPr>
          <w:cantSplit/>
          <w:trHeight w:val="315"/>
        </w:trPr>
        <w:tc>
          <w:tcPr>
            <w:tcW w:w="1571"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Group</w:t>
            </w:r>
          </w:p>
        </w:tc>
        <w:tc>
          <w:tcPr>
            <w:tcW w:w="1561"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Total</w:t>
            </w:r>
          </w:p>
        </w:tc>
        <w:tc>
          <w:tcPr>
            <w:tcW w:w="4241"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First Hospitalization Occur = Yes</w:t>
            </w:r>
          </w:p>
        </w:tc>
        <w:tc>
          <w:tcPr/>
          <w:p w:rsidR="00A77B3E">
            <w:pPr>
              <w:rPr>
                <w:rFonts w:ascii="Calibri" w:eastAsia="Calibri" w:hAnsi="Calibri" w:cs="Calibri"/>
                <w:b/>
                <w:bCs/>
                <w:i w:val="0"/>
                <w:color w:val="000000"/>
                <w:sz w:val="20"/>
              </w:rPr>
            </w:pPr>
          </w:p>
        </w:tc>
      </w:tr>
      <w:tr>
        <w:trPr>
          <w:cantSplit/>
          <w:trHeight w:val="315"/>
        </w:trPr>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tcW w:w="2271"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Observed</w:t>
            </w:r>
          </w:p>
        </w:tc>
        <w:tc>
          <w:tcPr>
            <w:tcW w:w="2196"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Expected</w:t>
            </w:r>
          </w:p>
        </w:tc>
      </w:tr>
      <w:tr>
        <w:trPr>
          <w:cantSplit/>
          <w:trHeight w:val="315"/>
        </w:trPr>
        <w:tc>
          <w:tcPr>
            <w:tcW w:w="15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5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14769</w:t>
            </w:r>
          </w:p>
        </w:tc>
        <w:tc>
          <w:tcPr>
            <w:tcW w:w="22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732</w:t>
            </w:r>
          </w:p>
        </w:tc>
        <w:tc>
          <w:tcPr>
            <w:tcW w:w="2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761</w:t>
            </w:r>
          </w:p>
        </w:tc>
      </w:tr>
      <w:tr>
        <w:trPr>
          <w:cantSplit/>
          <w:trHeight w:val="315"/>
        </w:trPr>
        <w:tc>
          <w:tcPr>
            <w:tcW w:w="15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5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14742</w:t>
            </w:r>
          </w:p>
        </w:tc>
        <w:tc>
          <w:tcPr>
            <w:tcW w:w="22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1020</w:t>
            </w:r>
          </w:p>
        </w:tc>
        <w:tc>
          <w:tcPr>
            <w:tcW w:w="2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1106</w:t>
            </w:r>
          </w:p>
        </w:tc>
      </w:tr>
      <w:tr>
        <w:trPr>
          <w:cantSplit/>
          <w:trHeight w:val="315"/>
        </w:trPr>
        <w:tc>
          <w:tcPr>
            <w:tcW w:w="15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w:t>
            </w:r>
          </w:p>
        </w:tc>
        <w:tc>
          <w:tcPr>
            <w:tcW w:w="15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14775</w:t>
            </w:r>
          </w:p>
        </w:tc>
        <w:tc>
          <w:tcPr>
            <w:tcW w:w="22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1175</w:t>
            </w:r>
          </w:p>
        </w:tc>
        <w:tc>
          <w:tcPr>
            <w:tcW w:w="2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1246</w:t>
            </w:r>
          </w:p>
        </w:tc>
      </w:tr>
      <w:tr>
        <w:trPr>
          <w:cantSplit/>
          <w:trHeight w:val="315"/>
        </w:trPr>
        <w:tc>
          <w:tcPr>
            <w:tcW w:w="15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w:t>
            </w:r>
          </w:p>
        </w:tc>
        <w:tc>
          <w:tcPr>
            <w:tcW w:w="15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14770</w:t>
            </w:r>
          </w:p>
        </w:tc>
        <w:tc>
          <w:tcPr>
            <w:tcW w:w="22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1335</w:t>
            </w:r>
          </w:p>
        </w:tc>
        <w:tc>
          <w:tcPr>
            <w:tcW w:w="2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1381</w:t>
            </w:r>
          </w:p>
        </w:tc>
      </w:tr>
      <w:tr>
        <w:trPr>
          <w:cantSplit/>
          <w:trHeight w:val="315"/>
        </w:trPr>
        <w:tc>
          <w:tcPr>
            <w:tcW w:w="15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w:t>
            </w:r>
          </w:p>
        </w:tc>
        <w:tc>
          <w:tcPr>
            <w:tcW w:w="15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14775</w:t>
            </w:r>
          </w:p>
        </w:tc>
        <w:tc>
          <w:tcPr>
            <w:tcW w:w="22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1556</w:t>
            </w:r>
          </w:p>
        </w:tc>
        <w:tc>
          <w:tcPr>
            <w:tcW w:w="2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1516</w:t>
            </w:r>
          </w:p>
        </w:tc>
      </w:tr>
      <w:tr>
        <w:trPr>
          <w:cantSplit/>
          <w:trHeight w:val="315"/>
        </w:trPr>
        <w:tc>
          <w:tcPr>
            <w:tcW w:w="15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w:t>
            </w:r>
          </w:p>
        </w:tc>
        <w:tc>
          <w:tcPr>
            <w:tcW w:w="15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14776</w:t>
            </w:r>
          </w:p>
        </w:tc>
        <w:tc>
          <w:tcPr>
            <w:tcW w:w="22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1728</w:t>
            </w:r>
          </w:p>
        </w:tc>
        <w:tc>
          <w:tcPr>
            <w:tcW w:w="2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1679</w:t>
            </w:r>
          </w:p>
        </w:tc>
      </w:tr>
      <w:tr>
        <w:trPr>
          <w:cantSplit/>
          <w:trHeight w:val="315"/>
        </w:trPr>
        <w:tc>
          <w:tcPr>
            <w:tcW w:w="15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w:t>
            </w:r>
          </w:p>
        </w:tc>
        <w:tc>
          <w:tcPr>
            <w:tcW w:w="15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14773</w:t>
            </w:r>
          </w:p>
        </w:tc>
        <w:tc>
          <w:tcPr>
            <w:tcW w:w="22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1951</w:t>
            </w:r>
          </w:p>
        </w:tc>
        <w:tc>
          <w:tcPr>
            <w:tcW w:w="2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1853</w:t>
            </w:r>
          </w:p>
        </w:tc>
      </w:tr>
      <w:tr>
        <w:trPr>
          <w:cantSplit/>
          <w:trHeight w:val="315"/>
        </w:trPr>
        <w:tc>
          <w:tcPr>
            <w:tcW w:w="15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w:t>
            </w:r>
          </w:p>
        </w:tc>
        <w:tc>
          <w:tcPr>
            <w:tcW w:w="15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14775</w:t>
            </w:r>
          </w:p>
        </w:tc>
        <w:tc>
          <w:tcPr>
            <w:tcW w:w="22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2149</w:t>
            </w:r>
          </w:p>
        </w:tc>
        <w:tc>
          <w:tcPr>
            <w:tcW w:w="2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2087</w:t>
            </w:r>
          </w:p>
        </w:tc>
      </w:tr>
      <w:tr>
        <w:trPr>
          <w:cantSplit/>
          <w:trHeight w:val="315"/>
        </w:trPr>
        <w:tc>
          <w:tcPr>
            <w:tcW w:w="15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w:t>
            </w:r>
          </w:p>
        </w:tc>
        <w:tc>
          <w:tcPr>
            <w:tcW w:w="15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14775</w:t>
            </w:r>
          </w:p>
        </w:tc>
        <w:tc>
          <w:tcPr>
            <w:tcW w:w="22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2451</w:t>
            </w:r>
          </w:p>
        </w:tc>
        <w:tc>
          <w:tcPr>
            <w:tcW w:w="2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2424</w:t>
            </w:r>
          </w:p>
        </w:tc>
      </w:tr>
      <w:tr>
        <w:trPr>
          <w:cantSplit/>
          <w:trHeight w:val="315"/>
        </w:trPr>
        <w:tc>
          <w:tcPr>
            <w:tcW w:w="15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w:t>
            </w:r>
          </w:p>
        </w:tc>
        <w:tc>
          <w:tcPr>
            <w:tcW w:w="15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14819</w:t>
            </w:r>
          </w:p>
        </w:tc>
        <w:tc>
          <w:tcPr>
            <w:tcW w:w="22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3236</w:t>
            </w:r>
          </w:p>
        </w:tc>
        <w:tc>
          <w:tcPr>
            <w:tcW w:w="2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3279</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bCs/>
          <w:i w:val="0"/>
          <w:color w:val="000000"/>
          <w:sz w:val="20"/>
        </w:rPr>
        <w:t>Homer-Lemeshow Statistic Long Stay Group 3 (181 days &lt; LOS &lt;= 364 days)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26. Hosmer-Lemeshow Statistic Long Stay Group 4 (LOS &gt; 364 days)</w:t>
      </w:r>
    </w:p>
    <w:tbl>
      <w:tblPr>
        <w:tblStyle w:val="TableGrid"/>
        <w:tblCaption w:val="Hosmer-Lemeshow Statistic Long Stay Group 4 (LOS &amp;gt; 364 days)"/>
        <w:tblDescription w:val="Hosmer-Lemeshow Statistic Long Stay Group 4 (LOS &amp;gt; 364 day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4467"/>
        <w:gridCol w:w="743"/>
        <w:gridCol w:w="3136"/>
        <w:gridCol w:w="994"/>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15"/>
          <w:tblHeader/>
        </w:trPr>
        <w:tc>
          <w:tcPr>
            <w:tcW w:w="6921"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Partition for the Hosmer and Lemeshow Test</w:t>
            </w: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r>
      <w:tr>
        <w:trPr>
          <w:cantSplit/>
          <w:trHeight w:val="315"/>
        </w:trPr>
        <w:tc>
          <w:tcPr>
            <w:tcW w:w="1571"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Group</w:t>
            </w:r>
          </w:p>
        </w:tc>
        <w:tc>
          <w:tcPr>
            <w:tcW w:w="1561"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Total</w:t>
            </w:r>
          </w:p>
        </w:tc>
        <w:tc>
          <w:tcPr>
            <w:tcW w:w="4241"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First Hospitalization Occur = Yes</w:t>
            </w:r>
          </w:p>
        </w:tc>
        <w:tc>
          <w:tcPr/>
          <w:p w:rsidR="00A77B3E">
            <w:pPr>
              <w:rPr>
                <w:rFonts w:ascii="Calibri" w:eastAsia="Calibri" w:hAnsi="Calibri" w:cs="Calibri"/>
                <w:b/>
                <w:bCs/>
                <w:i w:val="0"/>
                <w:color w:val="000000"/>
                <w:sz w:val="20"/>
              </w:rPr>
            </w:pPr>
          </w:p>
        </w:tc>
      </w:tr>
      <w:tr>
        <w:trPr>
          <w:cantSplit/>
          <w:trHeight w:val="315"/>
        </w:trPr>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tcW w:w="2271"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Observed</w:t>
            </w:r>
          </w:p>
        </w:tc>
        <w:tc>
          <w:tcPr>
            <w:tcW w:w="2196"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Expected</w:t>
            </w:r>
          </w:p>
        </w:tc>
      </w:tr>
      <w:tr>
        <w:trPr>
          <w:cantSplit/>
          <w:trHeight w:val="315"/>
        </w:trPr>
        <w:tc>
          <w:tcPr>
            <w:tcW w:w="15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5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39961</w:t>
            </w:r>
          </w:p>
        </w:tc>
        <w:tc>
          <w:tcPr>
            <w:tcW w:w="22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1085</w:t>
            </w:r>
          </w:p>
        </w:tc>
        <w:tc>
          <w:tcPr>
            <w:tcW w:w="2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1134</w:t>
            </w:r>
          </w:p>
        </w:tc>
      </w:tr>
      <w:tr>
        <w:trPr>
          <w:cantSplit/>
          <w:trHeight w:val="315"/>
        </w:trPr>
        <w:tc>
          <w:tcPr>
            <w:tcW w:w="15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5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39961</w:t>
            </w:r>
          </w:p>
        </w:tc>
        <w:tc>
          <w:tcPr>
            <w:tcW w:w="22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1557</w:t>
            </w:r>
          </w:p>
        </w:tc>
        <w:tc>
          <w:tcPr>
            <w:tcW w:w="2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1645</w:t>
            </w:r>
          </w:p>
        </w:tc>
      </w:tr>
      <w:tr>
        <w:trPr>
          <w:cantSplit/>
          <w:trHeight w:val="315"/>
        </w:trPr>
        <w:tc>
          <w:tcPr>
            <w:tcW w:w="15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w:t>
            </w:r>
          </w:p>
        </w:tc>
        <w:tc>
          <w:tcPr>
            <w:tcW w:w="15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39961</w:t>
            </w:r>
          </w:p>
        </w:tc>
        <w:tc>
          <w:tcPr>
            <w:tcW w:w="22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1969</w:t>
            </w:r>
          </w:p>
        </w:tc>
        <w:tc>
          <w:tcPr>
            <w:tcW w:w="2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1945</w:t>
            </w:r>
          </w:p>
        </w:tc>
      </w:tr>
      <w:tr>
        <w:trPr>
          <w:cantSplit/>
          <w:trHeight w:val="315"/>
        </w:trPr>
        <w:tc>
          <w:tcPr>
            <w:tcW w:w="15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w:t>
            </w:r>
          </w:p>
        </w:tc>
        <w:tc>
          <w:tcPr>
            <w:tcW w:w="15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39963</w:t>
            </w:r>
          </w:p>
        </w:tc>
        <w:tc>
          <w:tcPr>
            <w:tcW w:w="22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2135</w:t>
            </w:r>
          </w:p>
        </w:tc>
        <w:tc>
          <w:tcPr>
            <w:tcW w:w="2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2211</w:t>
            </w:r>
          </w:p>
        </w:tc>
      </w:tr>
      <w:tr>
        <w:trPr>
          <w:cantSplit/>
          <w:trHeight w:val="315"/>
        </w:trPr>
        <w:tc>
          <w:tcPr>
            <w:tcW w:w="15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w:t>
            </w:r>
          </w:p>
        </w:tc>
        <w:tc>
          <w:tcPr>
            <w:tcW w:w="15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39977</w:t>
            </w:r>
          </w:p>
        </w:tc>
        <w:tc>
          <w:tcPr>
            <w:tcW w:w="22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2475</w:t>
            </w:r>
          </w:p>
        </w:tc>
        <w:tc>
          <w:tcPr>
            <w:tcW w:w="2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2469</w:t>
            </w:r>
          </w:p>
        </w:tc>
      </w:tr>
      <w:tr>
        <w:trPr>
          <w:cantSplit/>
          <w:trHeight w:val="315"/>
        </w:trPr>
        <w:tc>
          <w:tcPr>
            <w:tcW w:w="15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w:t>
            </w:r>
          </w:p>
        </w:tc>
        <w:tc>
          <w:tcPr>
            <w:tcW w:w="15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39965</w:t>
            </w:r>
          </w:p>
        </w:tc>
        <w:tc>
          <w:tcPr>
            <w:tcW w:w="22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2830</w:t>
            </w:r>
          </w:p>
        </w:tc>
        <w:tc>
          <w:tcPr>
            <w:tcW w:w="2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2758</w:t>
            </w:r>
          </w:p>
        </w:tc>
      </w:tr>
      <w:tr>
        <w:trPr>
          <w:cantSplit/>
          <w:trHeight w:val="315"/>
        </w:trPr>
        <w:tc>
          <w:tcPr>
            <w:tcW w:w="15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w:t>
            </w:r>
          </w:p>
        </w:tc>
        <w:tc>
          <w:tcPr>
            <w:tcW w:w="15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39966</w:t>
            </w:r>
          </w:p>
        </w:tc>
        <w:tc>
          <w:tcPr>
            <w:tcW w:w="22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3113</w:t>
            </w:r>
          </w:p>
        </w:tc>
        <w:tc>
          <w:tcPr>
            <w:tcW w:w="2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3094</w:t>
            </w:r>
          </w:p>
        </w:tc>
      </w:tr>
      <w:tr>
        <w:trPr>
          <w:cantSplit/>
          <w:trHeight w:val="315"/>
        </w:trPr>
        <w:tc>
          <w:tcPr>
            <w:tcW w:w="15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w:t>
            </w:r>
          </w:p>
        </w:tc>
        <w:tc>
          <w:tcPr>
            <w:tcW w:w="15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39962</w:t>
            </w:r>
          </w:p>
        </w:tc>
        <w:tc>
          <w:tcPr>
            <w:tcW w:w="22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3656</w:t>
            </w:r>
          </w:p>
        </w:tc>
        <w:tc>
          <w:tcPr>
            <w:tcW w:w="2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3506</w:t>
            </w:r>
          </w:p>
        </w:tc>
      </w:tr>
      <w:tr>
        <w:trPr>
          <w:cantSplit/>
          <w:trHeight w:val="315"/>
        </w:trPr>
        <w:tc>
          <w:tcPr>
            <w:tcW w:w="15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w:t>
            </w:r>
          </w:p>
        </w:tc>
        <w:tc>
          <w:tcPr>
            <w:tcW w:w="15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39961</w:t>
            </w:r>
          </w:p>
        </w:tc>
        <w:tc>
          <w:tcPr>
            <w:tcW w:w="22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4155</w:t>
            </w:r>
          </w:p>
        </w:tc>
        <w:tc>
          <w:tcPr>
            <w:tcW w:w="2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4099</w:t>
            </w:r>
          </w:p>
        </w:tc>
      </w:tr>
      <w:tr>
        <w:trPr>
          <w:cantSplit/>
          <w:trHeight w:val="315"/>
        </w:trPr>
        <w:tc>
          <w:tcPr>
            <w:tcW w:w="15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w:t>
            </w:r>
          </w:p>
        </w:tc>
        <w:tc>
          <w:tcPr>
            <w:tcW w:w="15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39937</w:t>
            </w:r>
          </w:p>
        </w:tc>
        <w:tc>
          <w:tcPr>
            <w:tcW w:w="22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5483</w:t>
            </w:r>
          </w:p>
        </w:tc>
        <w:tc>
          <w:tcPr>
            <w:tcW w:w="2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5596</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bCs/>
          <w:i w:val="0"/>
          <w:color w:val="000000"/>
          <w:sz w:val="20"/>
        </w:rPr>
        <w:t>Hosmer-Lemeshow Statistic Long Stay Group 4 (LOS &gt; 364 days)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Table 27. Linear Regression of All Hospitalizations by Decile of Expected Rates </w:t>
      </w:r>
    </w:p>
    <w:tbl>
      <w:tblPr>
        <w:tblStyle w:val="TableGrid"/>
        <w:tblCaption w:val="Linear Regression of All Hospitalizations by Decile of Expected Rates "/>
        <w:tblDescription w:val="Linear Regression of All Hospitalizations by Decile of Expected Rates "/>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6213"/>
        <w:gridCol w:w="1564"/>
        <w:gridCol w:w="1564"/>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15"/>
          <w:tblHeader/>
        </w:trPr>
        <w:tc>
          <w:tcPr>
            <w:tcW w:w="9276"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Partition for the Hosmer and Lemeshow Test</w:t>
            </w: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r>
      <w:tr>
        <w:trPr>
          <w:cantSplit/>
          <w:trHeight w:val="315"/>
        </w:trPr>
        <w:tc>
          <w:tcPr>
            <w:tcW w:w="1196"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Group</w:t>
            </w:r>
          </w:p>
        </w:tc>
        <w:tc>
          <w:tcPr>
            <w:tcW w:w="4286"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Observed Rate of Total Hospitalizations</w:t>
            </w:r>
          </w:p>
        </w:tc>
        <w:tc>
          <w:tcPr>
            <w:tcW w:w="4246"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Expected Rate of Total Hospitalizations</w:t>
            </w:r>
          </w:p>
        </w:tc>
      </w:tr>
      <w:tr>
        <w:trPr>
          <w:cantSplit/>
          <w:trHeight w:val="315"/>
        </w:trPr>
        <w:tc>
          <w:tcPr>
            <w:tcW w:w="1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42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3.9%</w:t>
            </w:r>
          </w:p>
        </w:tc>
        <w:tc>
          <w:tcPr>
            <w:tcW w:w="42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8.4%</w:t>
            </w:r>
          </w:p>
        </w:tc>
      </w:tr>
      <w:tr>
        <w:trPr>
          <w:cantSplit/>
          <w:trHeight w:val="315"/>
        </w:trPr>
        <w:tc>
          <w:tcPr>
            <w:tcW w:w="1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42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8.0%</w:t>
            </w:r>
          </w:p>
        </w:tc>
        <w:tc>
          <w:tcPr>
            <w:tcW w:w="42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11.0%</w:t>
            </w:r>
          </w:p>
        </w:tc>
      </w:tr>
      <w:tr>
        <w:trPr>
          <w:cantSplit/>
          <w:trHeight w:val="315"/>
        </w:trPr>
        <w:tc>
          <w:tcPr>
            <w:tcW w:w="1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w:t>
            </w:r>
          </w:p>
        </w:tc>
        <w:tc>
          <w:tcPr>
            <w:tcW w:w="42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9.7%</w:t>
            </w:r>
          </w:p>
        </w:tc>
        <w:tc>
          <w:tcPr>
            <w:tcW w:w="42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12.3%</w:t>
            </w:r>
          </w:p>
        </w:tc>
      </w:tr>
      <w:tr>
        <w:trPr>
          <w:cantSplit/>
          <w:trHeight w:val="315"/>
        </w:trPr>
        <w:tc>
          <w:tcPr>
            <w:tcW w:w="1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w:t>
            </w:r>
          </w:p>
        </w:tc>
        <w:tc>
          <w:tcPr>
            <w:tcW w:w="42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10.9%</w:t>
            </w:r>
          </w:p>
        </w:tc>
        <w:tc>
          <w:tcPr>
            <w:tcW w:w="42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13.1%</w:t>
            </w:r>
          </w:p>
        </w:tc>
      </w:tr>
      <w:tr>
        <w:trPr>
          <w:cantSplit/>
          <w:trHeight w:val="315"/>
        </w:trPr>
        <w:tc>
          <w:tcPr>
            <w:tcW w:w="1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w:t>
            </w:r>
          </w:p>
        </w:tc>
        <w:tc>
          <w:tcPr>
            <w:tcW w:w="42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12.1%</w:t>
            </w:r>
          </w:p>
        </w:tc>
        <w:tc>
          <w:tcPr>
            <w:tcW w:w="42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13.8%</w:t>
            </w:r>
          </w:p>
        </w:tc>
      </w:tr>
      <w:tr>
        <w:trPr>
          <w:cantSplit/>
          <w:trHeight w:val="315"/>
        </w:trPr>
        <w:tc>
          <w:tcPr>
            <w:tcW w:w="1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w:t>
            </w:r>
          </w:p>
        </w:tc>
        <w:tc>
          <w:tcPr>
            <w:tcW w:w="42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13.3%</w:t>
            </w:r>
          </w:p>
        </w:tc>
        <w:tc>
          <w:tcPr>
            <w:tcW w:w="42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14.4%</w:t>
            </w:r>
          </w:p>
        </w:tc>
      </w:tr>
      <w:tr>
        <w:trPr>
          <w:cantSplit/>
          <w:trHeight w:val="315"/>
        </w:trPr>
        <w:tc>
          <w:tcPr>
            <w:tcW w:w="1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w:t>
            </w:r>
          </w:p>
        </w:tc>
        <w:tc>
          <w:tcPr>
            <w:tcW w:w="42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15.3%</w:t>
            </w:r>
          </w:p>
        </w:tc>
        <w:tc>
          <w:tcPr>
            <w:tcW w:w="42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15.1%</w:t>
            </w:r>
          </w:p>
        </w:tc>
      </w:tr>
      <w:tr>
        <w:trPr>
          <w:cantSplit/>
          <w:trHeight w:val="315"/>
        </w:trPr>
        <w:tc>
          <w:tcPr>
            <w:tcW w:w="1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w:t>
            </w:r>
          </w:p>
        </w:tc>
        <w:tc>
          <w:tcPr>
            <w:tcW w:w="42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16.3%</w:t>
            </w:r>
          </w:p>
        </w:tc>
        <w:tc>
          <w:tcPr>
            <w:tcW w:w="42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15.9%</w:t>
            </w:r>
          </w:p>
        </w:tc>
      </w:tr>
      <w:tr>
        <w:trPr>
          <w:cantSplit/>
          <w:trHeight w:val="315"/>
        </w:trPr>
        <w:tc>
          <w:tcPr>
            <w:tcW w:w="1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w:t>
            </w:r>
          </w:p>
        </w:tc>
        <w:tc>
          <w:tcPr>
            <w:tcW w:w="42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18.8%</w:t>
            </w:r>
          </w:p>
        </w:tc>
        <w:tc>
          <w:tcPr>
            <w:tcW w:w="42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16.8%</w:t>
            </w:r>
          </w:p>
        </w:tc>
      </w:tr>
      <w:tr>
        <w:trPr>
          <w:cantSplit/>
          <w:trHeight w:val="315"/>
        </w:trPr>
        <w:tc>
          <w:tcPr>
            <w:tcW w:w="11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w:t>
            </w:r>
          </w:p>
        </w:tc>
        <w:tc>
          <w:tcPr>
            <w:tcW w:w="42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23.3%</w:t>
            </w:r>
          </w:p>
        </w:tc>
        <w:tc>
          <w:tcPr>
            <w:tcW w:w="42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18.9%</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Linear Regression of All Hospitalizations by Decile of Expected Rates </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2b.29. Provide the risk decile plots or calibration curves used in calibrating the statistical risk model.</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The preferred file format is .png, but most image formats are acceptable.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Figure 4. Calibration Plot Long Stay Group 1</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438775" cy="4362450"/>
            <wp:docPr id="100021" name="" descr="Calibration plot of long-stay group 1 (Current Stay LOS &lt;= 100 days but cumulative days in SNF&gt;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
                    <pic:cNvPicPr>
                      <a:picLocks noChangeAspect="1"/>
                    </pic:cNvPicPr>
                  </pic:nvPicPr>
                  <pic:blipFill>
                    <a:blip xmlns:r="http://schemas.openxmlformats.org/officeDocument/2006/relationships" r:embed="rId16"/>
                    <a:stretch>
                      <a:fillRect/>
                    </a:stretch>
                  </pic:blipFill>
                  <pic:spPr>
                    <a:xfrm>
                      <a:off x="0" y="0"/>
                      <a:ext cx="5438775" cy="4362450"/>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Calibration plot of long-stay group 1 (Current Stay LOS &lt;= 100 days but cumulative days in SNF &gt; 100)</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Figure 5. Calibration Plot Long Stay Group 2</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438775" cy="4171950"/>
            <wp:docPr id="100023" name="" descr="Calibration plot of long-stay group 2 (LOS between 100 and 181 da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
                    <pic:cNvPicPr>
                      <a:picLocks noChangeAspect="1"/>
                    </pic:cNvPicPr>
                  </pic:nvPicPr>
                  <pic:blipFill>
                    <a:blip xmlns:r="http://schemas.openxmlformats.org/officeDocument/2006/relationships" r:embed="rId17"/>
                    <a:stretch>
                      <a:fillRect/>
                    </a:stretch>
                  </pic:blipFill>
                  <pic:spPr>
                    <a:xfrm>
                      <a:off x="0" y="0"/>
                      <a:ext cx="5438775" cy="4171950"/>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Calibration plot of long-stay group 2 (LOS between 100 and 181 days)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Figure 6. Calibration Plot Long Stay Group 3</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781675" cy="4914900"/>
            <wp:docPr id="100025" name="" descr="Calibration plot of long-stay group 3 (LOS between 181 and 364 da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
                    <pic:cNvPicPr>
                      <a:picLocks noChangeAspect="1"/>
                    </pic:cNvPicPr>
                  </pic:nvPicPr>
                  <pic:blipFill>
                    <a:blip xmlns:r="http://schemas.openxmlformats.org/officeDocument/2006/relationships" r:embed="rId18"/>
                    <a:stretch>
                      <a:fillRect/>
                    </a:stretch>
                  </pic:blipFill>
                  <pic:spPr>
                    <a:xfrm>
                      <a:off x="0" y="0"/>
                      <a:ext cx="5781675" cy="4914900"/>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Calibration plot of long-stay group 3 (LOS between 181 and 364 days)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Figure 7. Calibration Plot Long Stay Group 4</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781675" cy="4514850"/>
            <wp:docPr id="100027" name="" descr="Calibration plot of long-stay group 4 (LOS greater than 364 da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
                    <pic:cNvPicPr>
                      <a:picLocks noChangeAspect="1"/>
                    </pic:cNvPicPr>
                  </pic:nvPicPr>
                  <pic:blipFill>
                    <a:blip xmlns:r="http://schemas.openxmlformats.org/officeDocument/2006/relationships" r:embed="rId19"/>
                    <a:stretch>
                      <a:fillRect/>
                    </a:stretch>
                  </pic:blipFill>
                  <pic:spPr>
                    <a:xfrm>
                      <a:off x="0" y="0"/>
                      <a:ext cx="5781675" cy="4514850"/>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Calibration plot of long-stay group 4 (LOS greater than 364 days)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Figure 8. Calibration Plot Linear Regression of All Hospitalizations </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4590201"/>
            <wp:docPr id="100029" name="" descr="Calibration plot of all hospitaliz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
                    <pic:cNvPicPr>
                      <a:picLocks noChangeAspect="1"/>
                    </pic:cNvPicPr>
                  </pic:nvPicPr>
                  <pic:blipFill>
                    <a:blip xmlns:r="http://schemas.openxmlformats.org/officeDocument/2006/relationships" r:embed="rId20"/>
                    <a:stretch>
                      <a:fillRect/>
                    </a:stretch>
                  </pic:blipFill>
                  <pic:spPr>
                    <a:xfrm>
                      <a:off x="0" y="0"/>
                      <a:ext cx="5943600" cy="4590201"/>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Calibration plot of all hospitalizations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2b.30. Provide the results of the risk stratification analysis.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2b.31. Provide your interpretation of the results, in terms of demonstrating adequacy of controlling for differences in patient characteristics (i.e., case mix).</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2b.32. Describe any additional testing conducted to justify the risk adjustment approach used in specifying the measure.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Not required but would provide additional support of adequacy of the risk model, e.g., testing of risk model in another data set; sensitivity analysis for missing data; other methods that were assessed.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jc w:val="left"/>
        <w:rPr>
          <w:rFonts w:ascii="Calibri" w:eastAsia="Calibri" w:hAnsi="Calibri" w:cs="Calibri"/>
          <w:b/>
          <w:i w:val="0"/>
          <w:color w:val="FFFFFF"/>
          <w:sz w:val="30"/>
        </w:rPr>
      </w:pPr>
      <w:r>
        <w:rPr>
          <w:rFonts w:ascii="Calibri" w:eastAsia="Calibri" w:hAnsi="Calibri" w:cs="Calibri"/>
          <w:b/>
          <w:i w:val="0"/>
          <w:color w:val="FFFFFF"/>
          <w:sz w:val="30"/>
        </w:rPr>
        <w:t>3. Feasibility</w:t>
      </w:r>
    </w:p>
    <w:p w:rsidR="00A77B3E">
      <w:pPr>
        <w:spacing w:before="0" w:after="8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the specifications including measure logic, require data that are readily available or could be captured without undue burden and can be implemented for performance measurement.</w:t>
      </w:r>
      <w:r>
        <w:pict>
          <v:rect id="_x0000_i1031" style="width:468pt;height:1pt" o:hrpct="1000" o:hralign="center" o:hrstd="t" o:hrnoshade="t" o:hr="t" filled="t" fillcolor="black" stroked="f">
            <v:path strokeok="f"/>
          </v:rect>
        </w:pic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3.01. Check all methods below that are used to generate the data elements needed to compute the measure score.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Generated or collected by and used by healthcare personnel during the provision of care (e.g., blood pressure, lab value, diagnosis, depression score)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3.02. Detail to what extent the specified data elements are available electronically in defined fields.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color w:val="000000"/>
          <w:sz w:val="20"/>
        </w:rPr>
        <w:t>In other words, indicate whether data elements that are needed to compute the performance measure score are in defined, computer-readable fields.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ALL data elements are in defined fields in electronic clinical data (e.g., clinical registry, nursing home MDS, home health OASIS)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3.03. If ALL the data elements needed to compute the performance measure score are not from electronic sources, specify a credible, near-term path to electronic capture, OR provide a rationale for using data elements not from electronic sources.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3.04. Describe any efforts to develop an eCQM.</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3.06. Describe difficulties (as a result of testing and/or operational use of the measure) regarding data collection, availability of data, missing data, timing and frequency of data collection, sampling, patient confidentiality, time and cost of data collection, other feasibility/implementation issues.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Several of the decisions made in measure development were based on the objective of creating a measure that would be reliable and valid, readily computable based on data available to providers, and comprehensible and credible to providers, so that they will adopt it in their quality improvement efforts. These decisions are described in several sections above. The following specific decisions are emphasized:</w:t>
      </w:r>
    </w:p>
    <w:p w:rsidR="00A77B3E">
      <w:pPr>
        <w:numPr>
          <w:ilvl w:val="0"/>
          <w:numId w:val="1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A"/>
          <w:sz w:val="20"/>
        </w:rPr>
        <w:t>A one year rolling measure period was selected to ensure adequate denominators (&gt;30) for virtually all SNFs that have long-stay patients at all.</w:t>
      </w:r>
    </w:p>
    <w:p w:rsidR="00A77B3E">
      <w:pPr>
        <w:numPr>
          <w:ilvl w:val="0"/>
          <w:numId w:val="1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A"/>
          <w:sz w:val="20"/>
        </w:rPr>
        <w:t xml:space="preserve">A “snapshot” approach was adopted rather than a complex survival model to make the measure more comprehensible to users. </w:t>
      </w:r>
    </w:p>
    <w:p w:rsidR="00A77B3E">
      <w:pPr>
        <w:numPr>
          <w:ilvl w:val="0"/>
          <w:numId w:val="1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A"/>
          <w:sz w:val="20"/>
        </w:rPr>
        <w:t>Simple logistic regressions were selected for risk adjustment because more complex models did not perform better at the individual resident level, and we did not want to adjust for facility effects via a multilevel model.</w:t>
      </w:r>
    </w:p>
    <w:p w:rsidR="00A77B3E">
      <w:pPr>
        <w:numPr>
          <w:ilvl w:val="0"/>
          <w:numId w:val="1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A"/>
          <w:sz w:val="20"/>
        </w:rPr>
        <w:t>Variability in hospitalization explained by race and Medicaid beneficiary status was divided into between and within facility effects, with adjustment of outcomes only for the latter. The aim was to get facilities to take responsibility for the part of sociodemographic disparities more likely to be under their control than due to otherwise unmeasured differences in baseline health status.</w:t>
      </w:r>
    </w:p>
    <w:p w:rsidR="00A77B3E">
      <w:pPr>
        <w:numPr>
          <w:ilvl w:val="0"/>
          <w:numId w:val="1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A"/>
          <w:sz w:val="20"/>
        </w:rPr>
        <w:t>Observation of the rates of unknown outcomes in PointRight client population motivated us to exclude facilities with more than 10% unknown outcomes, and to impute hospitalization for facilities with less than 100% but 90% or more known outcomes. Doing so implies that rates will be available for 91% of all facilities. Insisting a 95% rate of known outcomes would imply that rates would not be reported for 14% of all SNFs – a problem that would limit its value for quality improvement. With 10% unknown outcomes, the maximum potential for overestimating the measure is 8% and the maximum potential for underestimating the measure is 2%. Clinically, the problem with underestimation is erroneously identifying a poor-performing facility as a good-performing facility, and then either referring more patients there or otherwise supporting the facility’s status quo. Given the distribution of the measure, a 2% improvement will not bring a facility in the worst quartile of performance to better than median performance. Thus, the 10% threshold appears to be an acceptable compromise between availability and utility of the measure.</w:t>
      </w:r>
    </w:p>
    <w:p w:rsidR="00A77B3E">
      <w:pPr>
        <w:numPr>
          <w:ilvl w:val="0"/>
          <w:numId w:val="1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A"/>
          <w:sz w:val="20"/>
        </w:rPr>
        <w:t>Observation of the very high correlation of the rate of first hospitalizations with the rate of all hospitalizations led us to base our risk adjustment on modeling of first hospitalizations and subsequent multiplication of the results by a conversion factor. This approach is much more comprehensible to many end users than use of models with non-binary dependent variables.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Consider implications for both individuals providing data (patients, service recipients, respondents) and those whose performance is being measured.</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3.07. Detail any fees, licensing, or other requirements to use any aspect of the measure as specified (e.g., value/code set, risk model, programming code, algorithm),</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Attach the fee schedule here, if applicable.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Computation of the measure requires a license to use software for large-scale data management and calculation of risk estimates using logistic regression models. These are capabilities of all typical analytics software packages used by healthcare organizations (e.g., SAS, SPSS, Stata, and R). Healthcare organizations would thus not incur additional expense to implement the measure. Utilization of the measure specifications does not require a fee. However, there is a requirement that display, disclosure or publication of the measure include the measure’s trademark (viz., PointRight</w:t>
      </w:r>
      <w:r>
        <w:rPr>
          <w:rFonts w:ascii="Calibri" w:eastAsia="Calibri" w:hAnsi="Calibri" w:cs="Calibri"/>
          <w:b w:val="0"/>
          <w:i w:val="0"/>
          <w:color w:val="00000A"/>
          <w:sz w:val="20"/>
        </w:rPr>
        <w:t>® Pro Long Stay Hospitalization Measure) and that it is indicated that the measure specifications are copyrighted by PointRight</w:t>
      </w:r>
      <w:r>
        <w:rPr>
          <w:rFonts w:ascii="Calibri" w:eastAsia="Calibri" w:hAnsi="Calibri" w:cs="Calibri"/>
          <w:b w:val="0"/>
          <w:i w:val="0"/>
          <w:color w:val="00000A"/>
          <w:sz w:val="20"/>
        </w:rPr>
        <w:t>®.</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jc w:val="left"/>
        <w:rPr>
          <w:rFonts w:ascii="Calibri" w:eastAsia="Calibri" w:hAnsi="Calibri" w:cs="Calibri"/>
          <w:b/>
          <w:i w:val="0"/>
          <w:color w:val="FFFFFF"/>
          <w:sz w:val="30"/>
        </w:rPr>
      </w:pPr>
      <w:r>
        <w:rPr>
          <w:rFonts w:ascii="Calibri" w:eastAsia="Calibri" w:hAnsi="Calibri" w:cs="Calibri"/>
          <w:b/>
          <w:i w:val="0"/>
          <w:color w:val="FFFFFF"/>
          <w:sz w:val="30"/>
        </w:rPr>
        <w:t>4. Usability and Use</w:t>
      </w:r>
    </w:p>
    <w:p w:rsidR="00A77B3E">
      <w:pPr>
        <w:spacing w:before="0" w:after="8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potential audiences (e.g., consumers, purchasers, providers, policy makers) are using or could use performance results for both accountability and performance improvement to achieve the goal of high-quality, efficient healthcare for individuals or populations.</w:t>
      </w:r>
      <w:r>
        <w:pict>
          <v:rect id="_x0000_i1032"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Extent to which intended audiences (e.g., consumers, purchasers, providers, policy makers) can understand the results of the measure and are likely to find them useful for decision making.</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NQF-endorsed measures are expected to be used in at least one accountability application within 3 years and publicly reported within 6 years of initial endorsement, in addition to demonstrating performance improvement.</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4a.01. Check all current uses. For each current use checked, please provide: </w:t>
      </w:r>
    </w:p>
    <w:p w:rsidR="00A77B3E">
      <w:pPr>
        <w:pStyle w:val="Heading2a"/>
        <w:numPr>
          <w:ilvl w:val="0"/>
          <w:numId w:val="17"/>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Name of program and sponsor</w:t>
      </w:r>
    </w:p>
    <w:p w:rsidR="00A77B3E">
      <w:pPr>
        <w:pStyle w:val="Heading2a"/>
        <w:numPr>
          <w:ilvl w:val="0"/>
          <w:numId w:val="17"/>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URL</w:t>
      </w:r>
    </w:p>
    <w:p w:rsidR="00A77B3E">
      <w:pPr>
        <w:pStyle w:val="Heading2a"/>
        <w:numPr>
          <w:ilvl w:val="0"/>
          <w:numId w:val="17"/>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Purpose</w:t>
      </w:r>
    </w:p>
    <w:p w:rsidR="00A77B3E">
      <w:pPr>
        <w:pStyle w:val="Heading2a"/>
        <w:numPr>
          <w:ilvl w:val="0"/>
          <w:numId w:val="17"/>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Geographic area and number and percentage of accountable entities and patients included</w:t>
      </w:r>
    </w:p>
    <w:p w:rsidR="00A77B3E">
      <w:pPr>
        <w:pStyle w:val="Heading2a"/>
        <w:numPr>
          <w:ilvl w:val="0"/>
          <w:numId w:val="17"/>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Level of measurement and setting</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Payment Program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    [Payment Program Please Explain]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Several state Medicaid value-based purchasing and pay for performance programs utilize ProLongStay. Specific examples include: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New Mexico Nursing Facility Value-Based Payment (VBP)</w:t>
      </w:r>
    </w:p>
    <w:p w:rsidR="00A77B3E">
      <w:pPr>
        <w:numPr>
          <w:ilvl w:val="0"/>
          <w:numId w:val="1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Purpose – Transition from a traditional fee-for-service Medicaid reimbursement to a value-based payment model that connects payment to outcomes and quality. ProLongStay is one of the measures used in the program.</w:t>
      </w:r>
    </w:p>
    <w:p w:rsidR="00A77B3E">
      <w:pPr>
        <w:numPr>
          <w:ilvl w:val="0"/>
          <w:numId w:val="1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Geographic Area – New Mexico nursing facilities</w:t>
      </w:r>
    </w:p>
    <w:p w:rsidR="00A77B3E">
      <w:pPr>
        <w:numPr>
          <w:ilvl w:val="0"/>
          <w:numId w:val="1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Reference URL - </w:t>
      </w:r>
      <w:hyperlink r:id="rId21" w:tgtFrame="_blank" w:history="1">
        <w:r>
          <w:rPr>
            <w:rFonts w:ascii="Calibri" w:eastAsia="Calibri" w:hAnsi="Calibri" w:cs="Calibri"/>
            <w:b w:val="0"/>
            <w:i w:val="0"/>
            <w:color w:val="0000FF"/>
            <w:sz w:val="20"/>
            <w:u w:val="single" w:color="0000FF"/>
          </w:rPr>
          <w:t>https://content.nethealth.com/New_Mexico_Nursing_Facility_Value_Based_Payment</w:t>
        </w:r>
      </w:hyperlink>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Colorado Medicaid Nursing Facilities Pay for Performance </w:t>
      </w:r>
    </w:p>
    <w:p w:rsidR="00A77B3E">
      <w:pPr>
        <w:numPr>
          <w:ilvl w:val="0"/>
          <w:numId w:val="1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Purpose – Incentivize quality improvement. ProLongStay is one of the acceptable measures to use for reporting long-stay hospitalization performance. </w:t>
      </w:r>
    </w:p>
    <w:p w:rsidR="00A77B3E">
      <w:pPr>
        <w:numPr>
          <w:ilvl w:val="0"/>
          <w:numId w:val="1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Geographic Area – Colorado nursing facilities</w:t>
      </w:r>
    </w:p>
    <w:p w:rsidR="00A77B3E">
      <w:pPr>
        <w:numPr>
          <w:ilvl w:val="0"/>
          <w:numId w:val="1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Reference URL - </w:t>
      </w:r>
      <w:hyperlink r:id="rId22" w:tgtFrame="_blank" w:history="1">
        <w:r>
          <w:rPr>
            <w:rFonts w:ascii="Calibri" w:eastAsia="Calibri" w:hAnsi="Calibri" w:cs="Calibri"/>
            <w:b w:val="0"/>
            <w:i w:val="0"/>
            <w:color w:val="0000FF"/>
            <w:sz w:val="20"/>
            <w:u w:val="single" w:color="0000FF"/>
          </w:rPr>
          <w:t>https://hcpf.colorado.gov/nursing-facilities</w:t>
        </w:r>
      </w:hyperlink>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Hawaii Nursing Facility Pay for Performance </w:t>
      </w:r>
    </w:p>
    <w:p w:rsidR="00A77B3E">
      <w:pPr>
        <w:numPr>
          <w:ilvl w:val="0"/>
          <w:numId w:val="2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Purpose – Incentivize quality improvement. ProLongStay is one of six quality measures in the program. </w:t>
      </w:r>
    </w:p>
    <w:p w:rsidR="00A77B3E">
      <w:pPr>
        <w:numPr>
          <w:ilvl w:val="0"/>
          <w:numId w:val="2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Geographic Area – Hawaii nursing facilities</w:t>
      </w:r>
    </w:p>
    <w:p w:rsidR="00A77B3E">
      <w:pPr>
        <w:numPr>
          <w:ilvl w:val="0"/>
          <w:numId w:val="2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Reference URL - </w:t>
      </w:r>
      <w:hyperlink r:id="rId23" w:tgtFrame="_blank" w:history="1">
        <w:r>
          <w:rPr>
            <w:rFonts w:ascii="Calibri" w:eastAsia="Calibri" w:hAnsi="Calibri" w:cs="Calibri"/>
            <w:b w:val="0"/>
            <w:i w:val="0"/>
            <w:color w:val="0000FF"/>
            <w:sz w:val="20"/>
            <w:u w:val="single" w:color="0000FF"/>
          </w:rPr>
          <w:t>https://www.ahcancal.org/Data-and-Research/Center-for-HPE/Documents/CHPE-Report-A%20Review%20of%20NH%20Medicaid%20VBP%20Programs%2002.23.2022.pdf</w:t>
        </w:r>
      </w:hyperlink>
      <w:r>
        <w:rPr>
          <w:rFonts w:ascii="Calibri" w:eastAsia="Calibri" w:hAnsi="Calibri" w:cs="Calibri"/>
          <w:b w:val="0"/>
          <w:i w:val="0"/>
          <w:color w:val="000000"/>
          <w:sz w:val="20"/>
        </w:rPr>
        <w:t> </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Quality Improvement with Benchmarking (external benchmarking to multiple organizations)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    [Quality Improvement with Benchmarking (external benchmarking to multiple organizations) Please Explain]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As the largest trade association for nursing homes with over 9,000 nursing home members, the American Health Care Association (AHCA) launched a multi-year quality initiative to improve nursing home quality. In the latest iteration of this quality initiative, which was launched in 2018, there was a goal for every facility to reduce long-stay hospitalizations by 10 percent, or maintain a high performance rate of 10 percent or less, by March 2021 as measured by ProLongStay. As part of the initiative, facility members and state affiliates receive routine performance reports. AHCA Quality Initiative Issue Brief - </w:t>
      </w:r>
      <w:hyperlink r:id="rId24" w:anchor="search=quality%20initiative" w:tgtFrame="_blank" w:history="1">
        <w:r>
          <w:rPr>
            <w:rFonts w:ascii="Calibri" w:eastAsia="Calibri" w:hAnsi="Calibri" w:cs="Calibri"/>
            <w:b w:val="0"/>
            <w:i w:val="0"/>
            <w:color w:val="0000FF"/>
            <w:sz w:val="20"/>
            <w:u w:val="single" w:color="0000FF"/>
          </w:rPr>
          <w:t>https://www.ahcancal.org/Advocacy/IssueBriefs/Issue%20Brief%20AHCA%20QI%202018-2021.pdf#search=quality%20initiative</w:t>
        </w:r>
      </w:hyperlink>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Quality Improvement (Internal to the specific organization)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    [Quality Improvement (Internal to the specific organization) Please Explain]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On a quarterly basis, ProLongStay rates are updated on AHCA’s LTC Trend Tracker tool for members. Independently owned members, as well as corporate members, can track and benchmark their organization’s ProLongStay performance via LTC Trend Tracker.</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Additionally, non-members and the public can download facility-level rates on a quarterly basis from AHCA’s website - </w:t>
      </w:r>
      <w:hyperlink r:id="rId25" w:tgtFrame="_blank" w:history="1">
        <w:r>
          <w:rPr>
            <w:rFonts w:ascii="Calibri" w:eastAsia="Calibri" w:hAnsi="Calibri" w:cs="Calibri"/>
            <w:b w:val="0"/>
            <w:i w:val="0"/>
            <w:color w:val="0000FF"/>
            <w:sz w:val="20"/>
            <w:u w:val="single" w:color="0000FF"/>
          </w:rPr>
          <w:t>https://www.ahcancal.org/Data-and-Research/Pages/PointRight-Downloads.aspx</w:t>
        </w:r>
      </w:hyperlink>
      <w:r>
        <w:rPr>
          <w:rFonts w:ascii="Calibri" w:eastAsia="Calibri" w:hAnsi="Calibri" w:cs="Calibri"/>
          <w:b w:val="0"/>
          <w:i w:val="0"/>
          <w:color w:val="000000"/>
          <w:sz w:val="20"/>
        </w:rPr>
        <w:t> </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4a.02. Check all planned uses.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Payment Program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Quality Improvement with Benchmarking (external benchmarking to multiple organizations)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Quality Improvement (internal to the specific organization)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4a.03. If not currently publicly reported OR used in at least one other accountability application (e.g., payment program, certification, licensing), explain why the measure is not in use.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For example, do policies or actions of the developer/steward or accountable entities restrict access to performance results or block implementation?</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American Health Care Association (AHCA) is currently implementing the PointRight® Long Stay Hospitalization measure on national MDS data, which it will then publish on its website for free public use, and also in its member data profiling and tracking tool, LTC Trend Tracker®. Once published, the measure developer and measure steward would like to see the measure adopted for regulatory and payment purposes, rather than a measure based on Fee-for-Service Medicare claims; with the increasing penetration of managed care for Medicare, Medicaid and dual eligible programs, and the significant proportion of private pay and commercial LTC insurance financing of long-term SNF care, a measure based on Medicare FFS claims alone could mischaracterize the performance of many SNFs.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4a.04. If not currently publicly reported OR used in at least one other accountability application, provide a credible plan for implementation within the expected timeframes: used in any accountability application within 3 years, and publicly reported within 6 years of initial endorsement.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A credible plan includes the specific program, purpose, intended audience, and timeline for implementing the measure within the specified timeframes. A plan for accountability applications addresses mechanisms for data aggregation and reporting.</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PointRight intends to provide the PointRight Pro Long Stay Hospitalization Measure to its customers beginning in the second half of 2016; AHCA intends to make the measure available to its members (and to other selected stakeholders) on its website in the second half of 2016. If the measure is endorsed by the NQF, AHCA and PointRight will advocate for its adoption by CMS as a publicly reported quality measure that contributes to CMS’s evaluation of SNFs’ clinical performance.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4a.05. Describe how performance results, data, and assistance with interpretation have been provided to those being measured or other users during development or implementation.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Detail how many and which types of measured entities and/or others were included. If only a sample of measured entities were included, describe the full population and how the sample was selected.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PointRight® Pro Long Stay™ hospitalization measure is available in three Net Health PointRight solutions, Quality Measures, ScoreCard, and New Mexico VBP. These solutions are available to all Net Health customers who subscribe to them as part of the PointRight product that is delivered as a web-based software application. The measure is provided as part of a comprehensive quality measure feature set at the Skilled Nursing Facility (SNF) level, with comparisons to other facilities in the customer’s organization, benchmarks (national average of all Net Health customer facilities), trending, and drill-down capabilities to patient-level rehospitalization information.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Over 2,000 Skilled Nursing Facilities submit MDS data to Net Health for results in the Quality Measures solution. Results for all facilities in the nation are presented in the PointRight ScoreCard solution.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measure is used in the New Mexico Nursing Facility Value Based Purchasing (VBP) Program, a value-based payment program that incentivizes Nursing Facilities to implement quality improvement programs focused on a core set of performance metrics. All Nursing Facilities in the state that qualify for the program use the measure as part of the Pay-for-Performance (P4P) Scorecard.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4a.06. Describe the process for providing measure results, including when/how often results were provided, what data were provided, what educational/explanatory efforts were made, etc.</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Within the Net Health Quality Measures and NM VBP solutions, results are updated on an ongoing basis, daily in near real-time and based on the most recent MDS data submitted to Net Health by the facility. In the PointRight ScoreCard solution, where information is available for all the facilities in the nation, results are updated quarterly (long-stay resident hospitalization data for all facilities in the nation are provided by the American Health Care Association).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Educational materials are available on-demand for users of the Net Health solutions. These resources include short video tutorials explaining the measure and how it is used in the applications, and Frequently Asked Questions related to the measure calculation, its population, and data elements. In addition, clinical help desk consultation is available for clients who have specific questions.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4a.07. Summarize the feedback on measure performance and implementation from the measured entities and others. Describe how feedback was obtained.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Net Health customers share feedback about the measure in direct conversations with Analytics, Product Management, Sales, and Client Services team members. They also submit feedback through in-application messaging, via email, and in conjunction with their responses to Net Promoter Score (NPS) customer satisfaction surveys.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4a.08. Summarize the feedback obtained from those being measured.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Net Health PointRight customers use PointRight® Pro Long Stay™ to monitor and manage their hospitalization outcomes. By evaluating their performance on long-stay resident hospitalization, they are able to conduct data-driven quality assessment and performance improvement.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Nursing Facilities have shared with Net Health that using the measure has enabled them to:</w:t>
      </w:r>
    </w:p>
    <w:p w:rsidR="00A77B3E">
      <w:pPr>
        <w:numPr>
          <w:ilvl w:val="0"/>
          <w:numId w:val="2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Understand patterns and trends in long-stay resident hospitalization. </w:t>
      </w:r>
    </w:p>
    <w:p w:rsidR="00A77B3E">
      <w:pPr>
        <w:numPr>
          <w:ilvl w:val="0"/>
          <w:numId w:val="2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Identify residents with repeated hospitalizations and plan specific care interventions to avoid future occurrences. </w:t>
      </w:r>
    </w:p>
    <w:p w:rsidR="00A77B3E">
      <w:pPr>
        <w:numPr>
          <w:ilvl w:val="0"/>
          <w:numId w:val="2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Decrease the rate of hospitalization for their long-stay residents and thereby, improve the quality of their lives. </w:t>
      </w:r>
    </w:p>
    <w:p w:rsidR="00A77B3E">
      <w:pPr>
        <w:numPr>
          <w:ilvl w:val="0"/>
          <w:numId w:val="2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Avoid loss of reimbursement from uncompensated care during hospitalizations that exceed payer bed days caps. </w:t>
      </w:r>
    </w:p>
    <w:p w:rsidR="00A77B3E">
      <w:pPr>
        <w:numPr>
          <w:ilvl w:val="0"/>
          <w:numId w:val="2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Inform clinical and operational decision-making to succeed in value-based care.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 the New Mexico VBP program, relevant and actionable analytics, including the PointRight® Pro Long Stay™ hospitalization measure, have been the key to improving patient care and driving better patient outcomes through successful collaboration, communication and transparency among provider and payer stakeholders. A case study can be accessed here: </w:t>
      </w:r>
      <w:hyperlink r:id="rId26" w:tgtFrame="_blank" w:history="1">
        <w:r>
          <w:rPr>
            <w:rFonts w:ascii="Calibri" w:eastAsia="Calibri" w:hAnsi="Calibri" w:cs="Calibri"/>
            <w:b w:val="0"/>
            <w:i w:val="0"/>
            <w:color w:val="0000FF"/>
            <w:sz w:val="20"/>
            <w:u w:val="single" w:color="0000FF"/>
          </w:rPr>
          <w:t>https://go.pointright.com/new-mexico-nursing-facility-value-based-payment</w:t>
        </w:r>
      </w:hyperlink>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4a.09. Summarize the feedback obtained from other users.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4a.10. Describe how the feedback described has been considered when developing or revising the measure specifications or implementation, including whether the measure was modified and why or why not.</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4b.01. You may refer to data provided in </w:t>
      </w:r>
      <w:r>
        <w:rPr>
          <w:rFonts w:ascii="Calibri" w:eastAsia="Calibri" w:hAnsi="Calibri" w:cs="Calibri"/>
          <w:b/>
          <w:i w:val="0"/>
          <w:color w:val="000000"/>
          <w:sz w:val="20"/>
        </w:rPr>
        <w:t>Importance to Measure and Report: Gap in Care/Disparities, but do not repeat here. Discuss any progress on improvement (trends in performance results, number and percentage of people receiving high-quality healthcare; Geographic area and number and percentage of accountable entities and patients included). If no improvement was demonstrated, provide an explanation. If not in use for performance improvement at the time of initial endorsement, provide a credible rationale that describes how the performance results could be used to further the goal of high-quality, efficient healthcare for individuals or populations.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New Mexico Nursing Facilities have demonstrated consistent improvement in their hospitalization rates, from an average of 15.27% and median rate of 15.08% in 2020 Q1 to an average rate of 7.81% and median rate of 7.01% in 2021 Q4. A chart showing the average and median rates across all Nursing Facility participants (approximately 63 facilities) for the first two program years (CY 2020 and 2021) appears below.</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3353942"/>
            <wp:docPr id="10003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
                    <pic:cNvPicPr>
                      <a:picLocks noChangeAspect="1"/>
                    </pic:cNvPicPr>
                  </pic:nvPicPr>
                  <pic:blipFill>
                    <a:blip xmlns:r="http://schemas.openxmlformats.org/officeDocument/2006/relationships" r:embed="rId27"/>
                    <a:stretch>
                      <a:fillRect/>
                    </a:stretch>
                  </pic:blipFill>
                  <pic:spPr>
                    <a:xfrm>
                      <a:off x="0" y="0"/>
                      <a:ext cx="5943600" cy="3353942"/>
                    </a:xfrm>
                    <a:prstGeom prst="rect">
                      <a:avLst/>
                    </a:prstGeom>
                  </pic:spPr>
                </pic:pic>
              </a:graphicData>
            </a:graphic>
          </wp:inline>
        </w:drawing>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results from the New Mexico VBP program are encouraging and highlight that when payment and quality are aligned, quality can improve. Currently, there is no national value-based or pay for performance incentives tied to reducing long-stay hospitalizations. Medicare’s national Skilled Nursing Value-Based Purchasing program currently only accounts for short-stay rehospitalizations. This lack of focus on long-stay hospitalizations from a national perspective could help explain why there has been no substantial improvement in the national ProLongStay rate from 2014 to 2020.</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4b.02. Explain any unexpected findings (positive or negative) during implementation of this measure, including unintended impacts on patients.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No unintended consequences have been identified or are anticipated to occur as a result of this measure.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4b.03. Explain any unexpected benefits realized from implementation of this measure.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No unexpected benefits have been identified.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jc w:val="left"/>
        <w:rPr>
          <w:rFonts w:ascii="Calibri" w:eastAsia="Calibri" w:hAnsi="Calibri" w:cs="Calibri"/>
          <w:b/>
          <w:i w:val="0"/>
          <w:color w:val="FFFFFF"/>
          <w:sz w:val="30"/>
        </w:rPr>
      </w:pPr>
      <w:r>
        <w:rPr>
          <w:rFonts w:ascii="Calibri" w:eastAsia="Calibri" w:hAnsi="Calibri" w:cs="Calibri"/>
          <w:b/>
          <w:i w:val="0"/>
          <w:color w:val="FFFFFF"/>
          <w:sz w:val="30"/>
        </w:rPr>
        <w:t>5. Comparison to Related or Competing Measures</w:t>
      </w:r>
    </w:p>
    <w:p w:rsidR="00A77B3E">
      <w:pPr>
        <w:spacing w:before="0" w:after="80"/>
        <w:jc w:val="left"/>
        <w:rPr>
          <w:rFonts w:ascii="Calibri" w:eastAsia="Calibri" w:hAnsi="Calibri" w:cs="Calibri"/>
          <w:b w:val="0"/>
          <w:i w:val="0"/>
          <w:color w:val="000000"/>
          <w:sz w:val="2"/>
        </w:rPr>
      </w:pPr>
      <w:r>
        <w:rPr>
          <w:rFonts w:ascii="Calibri" w:eastAsia="Calibri" w:hAnsi="Calibri" w:cs="Calibri"/>
          <w:b w:val="0"/>
          <w:i w:val="0"/>
          <w:color w:val="000000"/>
          <w:sz w:val="20"/>
        </w:rPr>
        <w:t>If a measure meets the above criteria and there are endorsed or new related measures (either the same measure focus or the same target population) or competing measures (both the same measure focus and the same target population), the measures are compared to address harmonization and/or selection of the best measure.</w:t>
      </w:r>
      <w:r>
        <w:pict>
          <v:rect id="_x0000_i1033"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If you are updating a maintenance measure submission for the first time in MIMS, please note that the previous related and competing data appearing in question 5.03 may need to be entered in to 5.01 and 5.02, if the measures are NQF endorsed. Please review and update questions 5.01, 5.02, and 5.03 accordingly.</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5.01. </w:t>
      </w:r>
      <w:r>
        <w:rPr>
          <w:rFonts w:ascii="Calibri" w:eastAsia="Calibri" w:hAnsi="Calibri" w:cs="Calibri"/>
          <w:b/>
          <w:i w:val="0"/>
          <w:color w:val="000000"/>
          <w:sz w:val="20"/>
        </w:rPr>
        <w:t>Search and select all NQF-endorsed related measures (conceptually, either same measure focus or target population).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color w:val="000000"/>
          <w:sz w:val="20"/>
        </w:rPr>
        <w:t>(Can search and select measures.)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2375: PointRight ® Pro 30™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2510: Skilled Nursing Facility 30-Day All-Cause Readmission Measure (SNFRM)</w:t>
      </w:r>
    </w:p>
    <w:p w:rsidR="00A77B3E">
      <w:pPr>
        <w:spacing w:before="0" w:after="80"/>
        <w:jc w:val="left"/>
        <w:rPr>
          <w:rFonts w:ascii="Calibri" w:eastAsia="Calibri" w:hAnsi="Calibri" w:cs="Calibri"/>
          <w:b w:val="0"/>
          <w:i w:val="0"/>
          <w:color w:val="000000"/>
          <w:sz w:val="20"/>
        </w:rPr>
      </w:pPr>
      <w:r>
        <w:rPr>
          <w:rFonts w:ascii="Calibri" w:eastAsia="Calibri" w:hAnsi="Calibri" w:cs="Calibri"/>
          <w:b/>
          <w:i w:val="0"/>
          <w:color w:val="000000"/>
          <w:sz w:val="20"/>
        </w:rPr>
        <w:t>[Response Ends]</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5.02. </w:t>
      </w:r>
      <w:r>
        <w:rPr>
          <w:rFonts w:ascii="Calibri" w:eastAsia="Calibri" w:hAnsi="Calibri" w:cs="Calibri"/>
          <w:b/>
          <w:i w:val="0"/>
          <w:color w:val="000000"/>
          <w:sz w:val="20"/>
        </w:rPr>
        <w:t>Search and select all NQF-endorsed competing measures (conceptually, the measures have both the same measure focus or target population).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color w:val="000000"/>
          <w:sz w:val="20"/>
        </w:rPr>
        <w:t>(Can search and select measures.)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i w:val="0"/>
          <w:color w:val="000000"/>
          <w:sz w:val="20"/>
        </w:rPr>
        <w:t>[Response Ends]</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5.03. If there are related or competing measures to this measure, but they are not NQF-endorsed, please indicate the measure title and steward.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Number of Hospitalizations per 1,000 Long-Stay Resident Days by CMS and Abt Associates (Reference - https://www.cms.gov/Medicare/Provider-Enrollment-and-Certification/CertificationandComplianc/Downloads/Nursing-Home-Compare-Claims-based-Measures-Technical-Specifications-April-2019.pdf)</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5.04. If this measure conceptually addresses EITHER the same measure focus OR the same target population as NQF-endorsed measure(s), indicate whether the measure specifications are harmonized to the extent possible.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Yes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5.05. If the measure specifications are not completely harmonized, identify the differences, rationale, and impact on interpretability and data collection burden.</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Currently there are no NQF-endorsed measures of hospitalizations for long stay nursing home residents. The only related NQF-endorsed measures (Pro30 and SNFRM) are for rehospitalizations of short stay nursing home patients.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Abt Associates developed and calculates a Medicare claims-based long stay hospitalization measure that CMS uses on Care Compare and in Five-Star ratings, but is not NQF-endorsed. Because this measure relies on Medicare claims, it can not capture all of the hospitalizations that ProLongStay can using all-payer MDS data. Because MDS and claims are required for reimbursement and federal regulatory compliance, these measures add no additional data collection burden to providers.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5.06. Describe why this measure is superior to competing measures (e.g., a more valid or efficient way to measure quality). Alternatively, justify endorsing an additional measure.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Provide analyses when possible.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There is no competing NQF-endorsed measure at this time.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With regards to the non-NQF-endorsed Abt Associates measure of long stay hospitalizations, there are two primary reasons ProLongStay is superior. The first is the use of all-payer MDS data in ProLongStay. Using MDS data allows for a wider perspective of a facility's performance, because it can capture hospitalizations that Medicare claims will miss.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second reason ProLongStay is superior is in its ability to be more easily understood by providers and the public. ProLongStay calculates rates as percentages, while the Abt Associate measure calculates rates per 1,000 long-stay resident days. Per 1,000 resident day measures are harder for providers and the public to conceptually understand, particularly in terms of what is a bad or good rate.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pStyle w:val="BlueGrayHeading"/>
        <w:spacing w:before="0" w:after="80"/>
        <w:jc w:val="left"/>
        <w:rPr>
          <w:rFonts w:ascii="Calibri" w:eastAsia="Calibri" w:hAnsi="Calibri" w:cs="Calibri"/>
          <w:b/>
          <w:i w:val="0"/>
          <w:color w:val="FFFFFF"/>
          <w:sz w:val="30"/>
        </w:rPr>
      </w:pPr>
      <w:r>
        <w:rPr>
          <w:rFonts w:ascii="Calibri" w:eastAsia="Calibri" w:hAnsi="Calibri" w:cs="Calibri"/>
          <w:b/>
          <w:i w:val="0"/>
          <w:color w:val="FFFFFF"/>
          <w:sz w:val="30"/>
        </w:rPr>
        <w:t>Appendix</w:t>
      </w:r>
    </w:p>
    <w:p w:rsidR="00A77B3E">
      <w:pPr>
        <w:spacing w:before="0" w:after="80"/>
        <w:jc w:val="left"/>
        <w:rPr>
          <w:rFonts w:ascii="Calibri" w:eastAsia="Calibri" w:hAnsi="Calibri" w:cs="Calibri"/>
          <w:b w:val="0"/>
          <w:i w:val="0"/>
          <w:color w:val="000000"/>
          <w:sz w:val="20"/>
        </w:rPr>
      </w:pPr>
      <w:r>
        <w:rPr>
          <w:rFonts w:ascii="Calibri" w:eastAsia="Calibri" w:hAnsi="Calibri" w:cs="Calibri"/>
          <w:b/>
          <w:i w:val="0"/>
          <w:color w:val="000000"/>
          <w:sz w:val="20"/>
        </w:rPr>
        <w:t xml:space="preserve">Supplemental materials may be provided in an appendix.: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w:t>
      </w:r>
      <w:r>
        <w:rPr>
          <w:rFonts w:ascii="Calibri" w:eastAsia="Calibri" w:hAnsi="Calibri" w:cs="Calibri"/>
          <w:b w:val="0"/>
          <w:i w:val="0"/>
          <w:color w:val="000000"/>
          <w:sz w:val="20"/>
        </w:rPr>
        <w:t>No appendix</w:t>
      </w:r>
    </w:p>
    <w:p w:rsidR="00A77B3E">
      <w:pPr>
        <w:spacing w:before="0" w:after="80"/>
        <w:jc w:val="left"/>
        <w:rPr>
          <w:rFonts w:ascii="Calibri" w:eastAsia="Calibri" w:hAnsi="Calibri" w:cs="Calibri"/>
          <w:b w:val="0"/>
          <w:i w:val="0"/>
          <w:color w:val="000000"/>
          <w:sz w:val="20"/>
        </w:rPr>
      </w:pPr>
    </w:p>
    <w:p w:rsidR="00A77B3E">
      <w:pPr>
        <w:pStyle w:val="BlueGrayHeading"/>
        <w:spacing w:before="0" w:after="80"/>
        <w:jc w:val="left"/>
        <w:rPr>
          <w:rFonts w:ascii="Calibri" w:eastAsia="Calibri" w:hAnsi="Calibri" w:cs="Calibri"/>
          <w:b/>
          <w:i w:val="0"/>
          <w:color w:val="FFFFFF"/>
          <w:sz w:val="30"/>
        </w:rPr>
      </w:pPr>
      <w:r>
        <w:rPr>
          <w:rFonts w:ascii="Calibri" w:eastAsia="Calibri" w:hAnsi="Calibri" w:cs="Calibri"/>
          <w:b/>
          <w:i w:val="0"/>
          <w:color w:val="FFFFFF"/>
          <w:sz w:val="30"/>
        </w:rPr>
        <w:t>Contact Information</w:t>
      </w:r>
    </w:p>
    <w:p w:rsidR="00A77B3E">
      <w:pPr>
        <w:spacing w:before="0" w:after="8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Steward (Intellectual Property Owner): </w:t>
      </w:r>
      <w:r>
        <w:rPr>
          <w:rFonts w:ascii="Calibri" w:eastAsia="Calibri" w:hAnsi="Calibri" w:cs="Calibri"/>
          <w:b w:val="0"/>
          <w:i w:val="0"/>
          <w:color w:val="000000"/>
          <w:sz w:val="20"/>
        </w:rPr>
        <w:t>American Health Care Association</w:t>
      </w:r>
    </w:p>
    <w:p w:rsidR="00A77B3E">
      <w:pPr>
        <w:spacing w:before="0" w:after="8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Steward Point of Contact: </w:t>
      </w:r>
      <w:r>
        <w:rPr>
          <w:rFonts w:ascii="Calibri" w:eastAsia="Calibri" w:hAnsi="Calibri" w:cs="Calibri"/>
          <w:b w:val="0"/>
          <w:i w:val="0"/>
          <w:color w:val="000000"/>
          <w:sz w:val="20"/>
        </w:rPr>
        <w:t>Sreenivas, Kiran, ksreenivas@ahca.org</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Domi, Marsida, mdomi@ahca.org</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Developer if different from Measure Steward: </w:t>
      </w:r>
      <w:r>
        <w:rPr>
          <w:rFonts w:ascii="Calibri" w:eastAsia="Calibri" w:hAnsi="Calibri" w:cs="Calibri"/>
          <w:b w:val="0"/>
          <w:i w:val="0"/>
          <w:color w:val="000000"/>
          <w:sz w:val="20"/>
        </w:rPr>
        <w:t>PointRight Inc.</w:t>
      </w:r>
    </w:p>
    <w:p w:rsidR="00A77B3E">
      <w:pPr>
        <w:spacing w:before="0" w:after="8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Developer Point(s) of Contact: </w:t>
      </w:r>
      <w:r>
        <w:rPr>
          <w:rFonts w:ascii="Calibri" w:eastAsia="Calibri" w:hAnsi="Calibri" w:cs="Calibri"/>
          <w:b w:val="0"/>
          <w:i w:val="0"/>
          <w:color w:val="000000"/>
          <w:sz w:val="20"/>
        </w:rPr>
        <w:t>Angelidou, Konstantia, nadia.angelidou@nethealth.com</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Savage, Janine, Janine.Savage@nethealth.com</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jc w:val="left"/>
        <w:rPr>
          <w:rFonts w:ascii="Calibri" w:eastAsia="Calibri" w:hAnsi="Calibri" w:cs="Calibri"/>
          <w:b/>
          <w:i w:val="0"/>
          <w:color w:val="FFFFFF"/>
          <w:sz w:val="30"/>
        </w:rPr>
      </w:pPr>
      <w:r>
        <w:rPr>
          <w:rFonts w:ascii="Calibri" w:eastAsia="Calibri" w:hAnsi="Calibri" w:cs="Calibri"/>
          <w:b/>
          <w:i w:val="0"/>
          <w:color w:val="FFFFFF"/>
          <w:sz w:val="30"/>
        </w:rPr>
        <w:t>Additional Information</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 Provide any supplemental materials, if needed, as an appendix. All supplemental materials (such as data collection instrument or methodology reports) should be collated one file with a table of contents or bookmarks. If material pertains to a specific criterion, that should be indicated.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appendix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 List the workgroup/panel members' names and organizations.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color w:val="000000"/>
          <w:sz w:val="20"/>
        </w:rPr>
        <w:t>Describe the members' role in measure development.</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following is a list of members who served on the post acute care workgroup. This workgroup reviewed the measure specifications and provided PointRight advice on how to construct the measure for most of the different steps; numerator, denominator, risk adjustment and exclusions.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Barry Lazarus - HCR ManorCare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Holly Harmon - American Health Care Association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James Muller - American Health Care Association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Barbara Yody - Genesis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Tami Johnson - Kindred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Joanne Wisely - Genesis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Vincent Mor - Brown University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Bill Goulding - Aegis Therapies </w:t>
      </w:r>
      <w:r>
        <w:rPr>
          <w:rFonts w:ascii="Calibri" w:eastAsia="Calibri" w:hAnsi="Calibri" w:cs="Calibri"/>
          <w:b w:val="0"/>
          <w:i w:val="0"/>
          <w:color w:val="000000"/>
          <w:sz w:val="20"/>
        </w:rPr>
        <w:br/>
      </w:r>
      <w:r>
        <w:rPr>
          <w:rFonts w:ascii="Calibri" w:eastAsia="Calibri" w:hAnsi="Calibri" w:cs="Calibri"/>
          <w:b w:val="0"/>
          <w:i w:val="0"/>
          <w:color w:val="000000"/>
          <w:sz w:val="20"/>
        </w:rPr>
        <w:t>Douglas Burr - Health Care Navigator</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3. Indicate the year the measure was first released.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2016</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 Indicate the month and year of the most recent revision.</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October 2021</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5. Indicate the frequency of review, or an update schedule, for this measure.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Annual</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6. Indicate the next scheduled update or review of this measure.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October 2022</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7. Provide a copyright statement, if applicable. Otherwise, indicate “N/A”.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Copyright Notice: </w:t>
      </w:r>
      <w:r>
        <w:rPr>
          <w:rFonts w:ascii="Calibri" w:eastAsia="Calibri" w:hAnsi="Calibri" w:cs="Calibri"/>
          <w:b w:val="0"/>
          <w:i w:val="0"/>
          <w:color w:val="000000"/>
          <w:sz w:val="20"/>
        </w:rPr>
        <w:br/>
      </w:r>
      <w:r>
        <w:rPr>
          <w:rFonts w:ascii="Calibri" w:eastAsia="Calibri" w:hAnsi="Calibri" w:cs="Calibri"/>
          <w:b w:val="0"/>
          <w:i w:val="0"/>
          <w:color w:val="000000"/>
          <w:sz w:val="20"/>
        </w:rPr>
        <w:t>Copyright © PointRight Inc. 2016. All Rights Reserved.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8. State any disclaimers, if applicable. Otherwise, indicate “N/A”.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products and services provided by PointRight, including without limitation, feedback on data integrity or quality (clinical or otherwise), are not intended to give, and shall not be construed as, specific recommendations for the diagnosis or treatment of any medical condition or placement of the patient in any particular care environment. The products and services provided by PointRight are intended for the purpose of helping to promote a more accurate assessment, indicating where there may be errors or omissions requiring correction, and prompting more complete and accurate documentation of assessments performed by the Customer and its employees and contractors. The services provided by PointRight do not include any direct assessment of any resident or patient– either on-site or via electronic communication – nor the rendering of any opinion regarding the clinical diagnosis or treatment of any resident or patient. All patient care and activities resulting from decisions of the medical and social services community, are the sole responsibility of these groups for such care.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All medical practice management, patient care and placement decisions made in which the Services may be utilized, and the consequences thereof, will be exclusively the responsibility of the Customer, as well as physicians, other clinical practitioners with privileges at the Customers licensed facility(ies) and social services workers related to such patient care, transition and placement.”</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9. Provide any additional information or comments, if applicable. Otherwise, indicate “N/A”.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sectPr>
      <w:headerReference w:type="default" r:id="rId28"/>
      <w:footerReference w:type="default" r:id="rId29"/>
      <w:pgSz w:w="12240" w:h="15840"/>
      <w:pgMar w:top="1440" w:right="1440" w:bottom="1440" w:left="1440" w:header="480" w:footer="600" w:gutter="0"/>
      <w:cols w:space="720"/>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left" w:pos="3960"/>
        <w:tab w:val="left" w:pos="7920"/>
      </w:tabs>
      <w:spacing w:before="0" w:after="0"/>
      <w:jc w:val="center"/>
      <w:rPr>
        <w:rFonts w:ascii="Arial" w:eastAsia="Arial" w:hAnsi="Arial" w:cs="Arial"/>
        <w:b/>
        <w:color w:val="1F497D"/>
        <w:sz w:val="20"/>
      </w:rPr>
    </w:pPr>
    <w:r>
      <w:rPr>
        <w:rFonts w:ascii="Arial" w:eastAsia="Arial" w:hAnsi="Arial" w:cs="Arial"/>
        <w:b/>
        <w:color w:val="1F497D"/>
        <w:sz w:val="20"/>
      </w:rPr>
      <w:t>NATIONAL QUALITY FORUM</w:t>
    </w:r>
    <w:r>
      <w:rPr>
        <w:rFonts w:ascii="Calibri (Body)" w:eastAsia="Calibri (Body)" w:hAnsi="Calibri (Body)" w:cs="Calibri (Body)"/>
        <w:b w:val="0"/>
        <w:color w:val="000000"/>
        <w:sz w:val="22"/>
      </w:rPr>
      <w:tab/>
      <w:t>Form version Quality Measure Form: 8.0</w:t>
    </w:r>
    <w:r>
      <w:rPr>
        <w:rFonts w:ascii="Arial" w:eastAsia="Arial" w:hAnsi="Arial" w:cs="Arial"/>
        <w:b/>
        <w:color w:val="1F497D"/>
        <w:sz w:val="20"/>
      </w:rPr>
      <w:tab/>
      <w:t xml:space="preserve">PAGE </w:t>
    </w:r>
    <w:r>
      <w:rPr>
        <w:rFonts w:ascii="Arial" w:eastAsia="Arial" w:hAnsi="Arial" w:cs="Arial"/>
        <w:b/>
        <w:color w:val="1F497D"/>
        <w:sz w:val="20"/>
      </w:rPr>
      <w:fldChar w:fldCharType="begin"/>
    </w:r>
    <w:r>
      <w:rPr>
        <w:rFonts w:ascii="Arial" w:eastAsia="Arial" w:hAnsi="Arial" w:cs="Arial"/>
        <w:b/>
        <w:color w:val="1F497D"/>
        <w:sz w:val="20"/>
      </w:rPr>
      <w:instrText>PAGE</w:instrText>
    </w:r>
    <w:r>
      <w:rPr>
        <w:rFonts w:ascii="Arial" w:eastAsia="Arial" w:hAnsi="Arial" w:cs="Arial"/>
        <w:b/>
        <w:color w:val="1F497D"/>
        <w:sz w:val="20"/>
      </w:rPr>
      <w:fldChar w:fldCharType="separate"/>
    </w:r>
    <w:r>
      <w:rPr>
        <w:rFonts w:ascii="Arial" w:eastAsia="Arial" w:hAnsi="Arial" w:cs="Arial"/>
        <w:b/>
        <w:color w:val="1F497D"/>
        <w:sz w:val="20"/>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spacing w:after="80"/>
      <w:jc w:val="center"/>
      <w:rPr>
        <w:rFonts w:ascii="Calibri" w:eastAsia="Calibri" w:hAnsi="Calibri" w:cs="Calibri"/>
        <w:b w:val="0"/>
        <w:color w:val="000000"/>
        <w:sz w:val="22"/>
      </w:rPr>
    </w:pPr>
    <w:r>
      <w:rPr>
        <w:rFonts w:ascii="Calibri" w:eastAsia="Calibri" w:hAnsi="Calibri" w:cs="Calibri"/>
        <w:b w:val="0"/>
        <w:color w:val="000000"/>
        <w:sz w:val="22"/>
      </w:rPr>
      <w:t>#2827 PointRight® Pro Long Stay(TM) Hospitalization Measure, Submission Last Updated: Dec 12,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multilevel"/>
    <w:tmpl w:val="00000001"/>
    <w:lvl w:ilvl="0">
      <w:start w:val="1"/>
      <w:numFmt w:val="upp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hybridMultilevel"/>
    <w:tmpl w:val="0000000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5"/>
    <w:multiLevelType w:val="hybridMultilevel"/>
    <w:tmpl w:val="00000005"/>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6"/>
    <w:multiLevelType w:val="multilevel"/>
    <w:tmpl w:val="00000006"/>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0000007"/>
    <w:multiLevelType w:val="multilevel"/>
    <w:tmpl w:val="00000007"/>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0000008"/>
    <w:multiLevelType w:val="hybridMultilevel"/>
    <w:tmpl w:val="00000008"/>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
    <w:nsid w:val="00000009"/>
    <w:multiLevelType w:val="hybridMultilevel"/>
    <w:tmpl w:val="00000009"/>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A"/>
    <w:multiLevelType w:val="multilevel"/>
    <w:tmpl w:val="0000000A"/>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000000B"/>
    <w:multiLevelType w:val="hybridMultilevel"/>
    <w:tmpl w:val="0000000B"/>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1">
    <w:nsid w:val="0000000C"/>
    <w:multiLevelType w:val="hybridMultilevel"/>
    <w:tmpl w:val="0000000C"/>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2">
    <w:nsid w:val="0000000D"/>
    <w:multiLevelType w:val="hybridMultilevel"/>
    <w:tmpl w:val="0000000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3">
    <w:nsid w:val="0000000E"/>
    <w:multiLevelType w:val="multilevel"/>
    <w:tmpl w:val="0000000E"/>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000000F"/>
    <w:multiLevelType w:val="hybridMultilevel"/>
    <w:tmpl w:val="0000000F"/>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5">
    <w:nsid w:val="00000010"/>
    <w:multiLevelType w:val="multilevel"/>
    <w:tmpl w:val="00000010"/>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00000011"/>
    <w:multiLevelType w:val="hybridMultilevel"/>
    <w:tmpl w:val="00000011"/>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7">
    <w:nsid w:val="00000012"/>
    <w:multiLevelType w:val="hybridMultilevel"/>
    <w:tmpl w:val="0000001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8">
    <w:nsid w:val="00000013"/>
    <w:multiLevelType w:val="hybridMultilevel"/>
    <w:tmpl w:val="0000001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9">
    <w:nsid w:val="00000014"/>
    <w:multiLevelType w:val="hybridMultilevel"/>
    <w:tmpl w:val="0000001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0">
    <w:nsid w:val="00000015"/>
    <w:multiLevelType w:val="hybridMultilevel"/>
    <w:tmpl w:val="00000015"/>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rsid w:val="00EF7B96"/>
    <w:pPr>
      <w:pBdr>
        <w:bottom w:val="single" w:sz="8" w:space="0" w:color="476173"/>
      </w:pBdr>
      <w:spacing w:before="120" w:after="300" w:line="480" w:lineRule="exact"/>
      <w:jc w:val="left"/>
      <w:outlineLvl w:val="0"/>
    </w:pPr>
    <w:rPr>
      <w:rFonts w:ascii="Calibri" w:eastAsia="Calibri" w:hAnsi="Calibri" w:cs="Calibri"/>
      <w:b w:val="0"/>
      <w:bCs/>
      <w:color w:val="476173"/>
      <w:kern w:val="28"/>
      <w:sz w:val="40"/>
      <w:szCs w:val="32"/>
    </w:rPr>
  </w:style>
  <w:style w:type="paragraph" w:customStyle="1" w:styleId="BlueGrayHeading">
    <w:name w:val="Blue Gray Heading"/>
    <w:basedOn w:val="Normal"/>
    <w:next w:val="Normal"/>
    <w:qFormat/>
    <w:rsid w:val="00EF7B96"/>
    <w:pPr>
      <w:keepNext/>
      <w:pBdr>
        <w:top w:val="single" w:sz="24" w:space="0" w:color="476173"/>
        <w:left w:val="single" w:sz="24" w:space="0" w:color="476173"/>
        <w:bottom w:val="single" w:sz="24" w:space="0" w:color="476173"/>
        <w:right w:val="single" w:sz="24" w:space="0" w:color="476173"/>
        <w:between w:val="single" w:sz="24" w:space="0" w:color="476173"/>
        <w:bar w:val="single" w:sz="24" w:space="0" w:color="476173"/>
      </w:pBdr>
      <w:shd w:val="clear" w:color="auto" w:fill="476173"/>
      <w:spacing w:before="120" w:after="120"/>
      <w:jc w:val="left"/>
      <w:outlineLvl w:val="0"/>
    </w:pPr>
    <w:rPr>
      <w:rFonts w:ascii="Calibri" w:eastAsia="Calibri" w:hAnsi="Calibri" w:cs="Calibri"/>
      <w:b/>
      <w:bCs/>
      <w:color w:val="FFFFFF"/>
      <w:kern w:val="32"/>
      <w:sz w:val="30"/>
      <w:szCs w:val="32"/>
    </w:rPr>
  </w:style>
  <w:style w:type="paragraph" w:customStyle="1" w:styleId="OrangeHeading">
    <w:name w:val="Orange Heading"/>
    <w:qFormat/>
    <w:pPr>
      <w:pBdr>
        <w:top w:val="single" w:sz="24" w:space="0" w:color="C8411E"/>
        <w:left w:val="single" w:sz="24" w:space="0" w:color="C8411E"/>
        <w:bottom w:val="single" w:sz="24" w:space="0" w:color="C8411E"/>
        <w:right w:val="single" w:sz="24" w:space="0" w:color="C8411E"/>
        <w:between w:val="single" w:sz="24" w:space="0" w:color="C8411E"/>
        <w:bar w:val="single" w:sz="24" w:space="0" w:color="C8411E"/>
      </w:pBdr>
      <w:shd w:val="clear" w:color="auto" w:fill="C8411E"/>
      <w:spacing w:before="120" w:after="120"/>
      <w:jc w:val="left"/>
      <w:outlineLvl w:val="0"/>
    </w:pPr>
    <w:rPr>
      <w:rFonts w:ascii="Calibri" w:eastAsia="Calibri" w:hAnsi="Calibri" w:cs="Calibri"/>
      <w:b/>
      <w:color w:val="FFFFFF"/>
      <w:sz w:val="30"/>
    </w:rPr>
  </w:style>
  <w:style w:type="paragraph" w:customStyle="1" w:styleId="LightBlueHeading">
    <w:name w:val="Light Blue Heading"/>
    <w:qFormat/>
    <w:pPr>
      <w:pBdr>
        <w:top w:val="single" w:sz="24" w:space="0" w:color="E1F0FF"/>
        <w:left w:val="single" w:sz="24" w:space="0" w:color="E1F0FF"/>
        <w:bottom w:val="single" w:sz="24" w:space="0" w:color="E1F0FF"/>
        <w:right w:val="single" w:sz="24" w:space="0" w:color="E1F0FF"/>
        <w:between w:val="single" w:sz="24" w:space="0" w:color="E1F0FF"/>
        <w:bar w:val="single" w:sz="24" w:space="0" w:color="E1F0FF"/>
      </w:pBdr>
      <w:shd w:val="clear" w:color="auto" w:fill="E1F0FF"/>
      <w:spacing w:before="120" w:after="120"/>
      <w:jc w:val="left"/>
      <w:outlineLvl w:val="0"/>
    </w:pPr>
    <w:rPr>
      <w:rFonts w:ascii="Calibri" w:eastAsia="Calibri" w:hAnsi="Calibri" w:cs="Calibri"/>
      <w:b w:val="0"/>
      <w:color w:val="000000"/>
      <w:sz w:val="28"/>
    </w:rPr>
  </w:style>
  <w:style w:type="paragraph" w:customStyle="1" w:styleId="UnderlineHeading">
    <w:name w:val="Underline Heading"/>
    <w:qFormat/>
    <w:pPr>
      <w:pBdr>
        <w:bottom w:val="single" w:sz="8" w:space="0" w:color="476173"/>
      </w:pBdr>
      <w:spacing w:before="600" w:after="120" w:line="360" w:lineRule="exact"/>
      <w:jc w:val="left"/>
      <w:outlineLvl w:val="1"/>
    </w:pPr>
    <w:rPr>
      <w:rFonts w:ascii="Calibri" w:eastAsia="Calibri" w:hAnsi="Calibri" w:cs="Calibri"/>
      <w:b/>
      <w:color w:val="476173"/>
      <w:sz w:val="30"/>
    </w:rPr>
  </w:style>
  <w:style w:type="paragraph" w:customStyle="1" w:styleId="Heading2a">
    <w:name w:val="Heading 2a"/>
    <w:pPr>
      <w:numPr>
        <w:ilvl w:val="2"/>
      </w:numPr>
      <w:spacing w:before="200" w:after="200"/>
      <w:jc w:val="left"/>
      <w:outlineLvl w:val="1"/>
    </w:pPr>
    <w:rPr>
      <w:rFonts w:ascii="Calibri" w:eastAsia="Calibri" w:hAnsi="Calibri" w:cs="Calibri"/>
      <w:b/>
      <w:color w:val="000000"/>
      <w:sz w:val="20"/>
    </w:rPr>
  </w:style>
  <w:style w:type="paragraph" w:customStyle="1" w:styleId="HyperLinkFoo">
    <w:name w:val="HyperLink Foo"/>
    <w:qFormat/>
    <w:rPr>
      <w:rFonts w:ascii="Calibri" w:eastAsia="Calibri" w:hAnsi="Calibri" w:cs="Calibri"/>
      <w:b w:val="0"/>
      <w:color w:val="0000FF"/>
      <w:sz w:val="16"/>
    </w:rPr>
  </w:style>
  <w:style w:type="table" w:styleId="TableGrid">
    <w:name w:val="Table Grid"/>
    <w:basedOn w:val="TableNormal"/>
    <w:rsid w:val="007E75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qualityforum.org/Measuring_Performance/Submitting_Standards.aspx" TargetMode="External" /><Relationship Id="rId11" Type="http://schemas.openxmlformats.org/officeDocument/2006/relationships/hyperlink" Target="https://www.qualityforum.org/WorkArea/linkit.aspx?LinkIdentifier=id&amp;ItemID=88439" TargetMode="External" /><Relationship Id="rId12" Type="http://schemas.openxmlformats.org/officeDocument/2006/relationships/image" Target="media/image4.png" /><Relationship Id="rId13" Type="http://schemas.openxmlformats.org/officeDocument/2006/relationships/image" Target="media/image5.png" /><Relationship Id="rId14" Type="http://schemas.openxmlformats.org/officeDocument/2006/relationships/image" Target="media/image6.png" /><Relationship Id="rId15" Type="http://schemas.openxmlformats.org/officeDocument/2006/relationships/image" Target="media/image7.png" /><Relationship Id="rId16" Type="http://schemas.openxmlformats.org/officeDocument/2006/relationships/image" Target="media/image8.png" /><Relationship Id="rId17" Type="http://schemas.openxmlformats.org/officeDocument/2006/relationships/image" Target="media/image9.png" /><Relationship Id="rId18" Type="http://schemas.openxmlformats.org/officeDocument/2006/relationships/image" Target="media/image10.png" /><Relationship Id="rId19" Type="http://schemas.openxmlformats.org/officeDocument/2006/relationships/image" Target="media/image11.png" /><Relationship Id="rId2" Type="http://schemas.openxmlformats.org/officeDocument/2006/relationships/webSettings" Target="webSettings.xml" /><Relationship Id="rId20" Type="http://schemas.openxmlformats.org/officeDocument/2006/relationships/image" Target="media/image12.png" /><Relationship Id="rId21" Type="http://schemas.openxmlformats.org/officeDocument/2006/relationships/hyperlink" Target="https://content.nethealth.com/New_Mexico_Nursing_Facility_Value_Based_Payment" TargetMode="External" /><Relationship Id="rId22" Type="http://schemas.openxmlformats.org/officeDocument/2006/relationships/hyperlink" Target="https://hcpf.colorado.gov/nursing-facilities" TargetMode="External" /><Relationship Id="rId23" Type="http://schemas.openxmlformats.org/officeDocument/2006/relationships/hyperlink" Target="https://www.ahcancal.org/Data-and-Research/Center-for-HPE/Documents/CHPE-Report-A%20Review%20of%20NH%20Medicaid%20VBP%20Programs%2002.23.2022.pdf" TargetMode="External" /><Relationship Id="rId24" Type="http://schemas.openxmlformats.org/officeDocument/2006/relationships/hyperlink" Target="https://www.ahcancal.org/Advocacy/IssueBriefs/Issue%20Brief%20AHCA%20QI%202018-2021.pdf" TargetMode="External" /><Relationship Id="rId25" Type="http://schemas.openxmlformats.org/officeDocument/2006/relationships/hyperlink" Target="https://www.ahcancal.org/Data-and-Research/Pages/PointRight-Downloads.aspx" TargetMode="External" /><Relationship Id="rId26" Type="http://schemas.openxmlformats.org/officeDocument/2006/relationships/hyperlink" Target="https://go.pointright.com/new-mexico-nursing-facility-value-based-payment" TargetMode="External" /><Relationship Id="rId27" Type="http://schemas.openxmlformats.org/officeDocument/2006/relationships/image" Target="media/image13.png" /><Relationship Id="rId28" Type="http://schemas.openxmlformats.org/officeDocument/2006/relationships/header" Target="header1.xml" /><Relationship Id="rId29" Type="http://schemas.openxmlformats.org/officeDocument/2006/relationships/footer" Target="footer1.xml" /><Relationship Id="rId3" Type="http://schemas.openxmlformats.org/officeDocument/2006/relationships/fontTable" Target="fontTable.xml" /><Relationship Id="rId30" Type="http://schemas.openxmlformats.org/officeDocument/2006/relationships/theme" Target="theme/theme1.xml" /><Relationship Id="rId31" Type="http://schemas.openxmlformats.org/officeDocument/2006/relationships/numbering" Target="numbering.xml" /><Relationship Id="rId32" Type="http://schemas.openxmlformats.org/officeDocument/2006/relationships/styles" Target="styles.xml" /><Relationship Id="rId4" Type="http://schemas.openxmlformats.org/officeDocument/2006/relationships/image" Target="media/image1.emf" /><Relationship Id="rId5" Type="http://schemas.openxmlformats.org/officeDocument/2006/relationships/image" Target="media/image2.png" /><Relationship Id="rId6" Type="http://schemas.openxmlformats.org/officeDocument/2006/relationships/hyperlink" Target="http://www.uptodate.com/contents/advance-care-planning-and-advance-directives" TargetMode="External" /><Relationship Id="rId7" Type="http://schemas.openxmlformats.org/officeDocument/2006/relationships/image" Target="media/image3.png" /><Relationship Id="rId8" Type="http://schemas.openxmlformats.org/officeDocument/2006/relationships/hyperlink" Target="http://www.qualityforum.org/WorkArea/linkit.aspx?LinkIdentifier=id&amp;ItemID=73367" TargetMode="External" /><Relationship Id="rId9" Type="http://schemas.openxmlformats.org/officeDocument/2006/relationships/hyperlink" Target="mailto:measuremaintenance@qualityforum.or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#2827 PointRight® Pro Long Stay(TM) Hospitalization Measure</dc:title>
  <dc:creator>CMS</dc:creator>
  <cp:keywords>NQF Measure #2827 MIF</cp:keywords>
  <cp:revision>1</cp:revision>
</cp:coreProperties>
</file>