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FF0843">
      <w:pPr>
        <w:pStyle w:val="Heading2"/>
        <w:rPr>
          <w:noProof/>
        </w:rPr>
      </w:pPr>
      <w:r>
        <w:rPr>
          <w:smallCaps/>
          <w:noProof/>
          <w:sz w:val="24"/>
          <w:szCs w:val="24"/>
        </w:rPr>
        <w:t>N</w:t>
      </w:r>
      <w:r w:rsidRPr="001A6D05">
        <w:rPr>
          <w:smallCaps/>
          <w:noProof/>
          <w:sz w:val="24"/>
          <w:szCs w:val="24"/>
        </w:rPr>
        <w:t>ational Quality Forum</w:t>
      </w:r>
      <w:r w:rsidRPr="001A6D05">
        <w:rPr>
          <w:noProof/>
          <w:sz w:val="24"/>
          <w:szCs w:val="24"/>
        </w:rPr>
        <w:t>—</w:t>
      </w:r>
      <w:r w:rsidR="00927027">
        <w:rPr>
          <w:noProof/>
        </w:rPr>
        <w:t>Measure Te</w:t>
      </w:r>
      <w:r>
        <w:rPr>
          <w:noProof/>
        </w:rPr>
        <w:t>sting (subcriteria 2a2, 2b</w:t>
      </w:r>
      <w:r w:rsidR="00651D44">
        <w:rPr>
          <w:noProof/>
        </w:rPr>
        <w:t>1</w:t>
      </w:r>
      <w:r>
        <w:rPr>
          <w:noProof/>
        </w:rPr>
        <w:t>-2b</w:t>
      </w:r>
      <w:r w:rsidR="00651D44">
        <w:rPr>
          <w:noProof/>
        </w:rPr>
        <w:t>6</w:t>
      </w:r>
      <w:r>
        <w:rPr>
          <w:noProof/>
        </w:rPr>
        <w:t>)</w:t>
      </w:r>
    </w:p>
    <w:p w14:paraId="0CABCF54" w14:textId="77777777" w:rsidR="00797624" w:rsidRDefault="00797624" w:rsidP="00105D8B">
      <w:pPr>
        <w:contextualSpacing/>
        <w:rPr>
          <w:rFonts w:cstheme="minorHAnsi"/>
          <w:b/>
          <w:noProof/>
        </w:rPr>
      </w:pPr>
    </w:p>
    <w:p w14:paraId="0CABCF55" w14:textId="23A11B08" w:rsidR="00927027" w:rsidRPr="00B23543"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795F47">
            <w:rPr>
              <w:rStyle w:val="Style1"/>
              <w:color w:val="auto"/>
            </w:rPr>
            <w:t>2872e</w:t>
          </w:r>
        </w:sdtContent>
      </w:sdt>
    </w:p>
    <w:p w14:paraId="0CABCF56" w14:textId="38B5F0C3" w:rsidR="00105D8B" w:rsidRPr="00B23543" w:rsidRDefault="00105D8B" w:rsidP="00105D8B">
      <w:pPr>
        <w:contextualSpacing/>
        <w:rPr>
          <w:rFonts w:cstheme="minorHAnsi"/>
          <w:noProof/>
        </w:rPr>
      </w:pPr>
      <w:r w:rsidRPr="00B23543">
        <w:rPr>
          <w:rFonts w:cstheme="minorHAnsi"/>
          <w:b/>
          <w:noProof/>
        </w:rPr>
        <w:t>Measure Title</w:t>
      </w:r>
      <w:r w:rsidRPr="00B23543">
        <w:rPr>
          <w:rFonts w:cstheme="minorHAnsi"/>
          <w:noProof/>
        </w:rPr>
        <w:t xml:space="preserve">:  </w:t>
      </w:r>
      <w:bookmarkStart w:id="0" w:name="_Hlk511139406"/>
      <w:sdt>
        <w:sdtPr>
          <w:rPr>
            <w:rStyle w:val="Style1"/>
            <w:rFonts w:cstheme="minorHAnsi"/>
            <w:color w:val="auto"/>
          </w:rPr>
          <w:id w:val="-882640736"/>
          <w:placeholder>
            <w:docPart w:val="00949831315D4E1BAFC508BD77E32A40"/>
          </w:placeholder>
        </w:sdtPr>
        <w:sdtEndPr>
          <w:rPr>
            <w:rStyle w:val="DefaultParagraphFont"/>
            <w:noProof/>
          </w:rPr>
        </w:sdtEndPr>
        <w:sdtContent>
          <w:bookmarkEnd w:id="0"/>
          <w:r w:rsidR="00795F47">
            <w:rPr>
              <w:rStyle w:val="Style1"/>
              <w:rFonts w:cstheme="minorHAnsi"/>
              <w:color w:val="auto"/>
            </w:rPr>
            <w:t>Dementia: Cognitive Assessment</w:t>
          </w:r>
        </w:sdtContent>
      </w:sdt>
    </w:p>
    <w:p w14:paraId="0CABCF57" w14:textId="69BE447E" w:rsidR="005C73CA" w:rsidRPr="00B23543" w:rsidRDefault="00105D8B" w:rsidP="009E1846">
      <w:pPr>
        <w:spacing w:after="0"/>
        <w:rPr>
          <w:rStyle w:val="Style2"/>
          <w:rFonts w:cstheme="minorHAnsi"/>
          <w:color w:val="auto"/>
        </w:rPr>
      </w:pPr>
      <w:r w:rsidRPr="00B23543">
        <w:rPr>
          <w:rFonts w:cstheme="minorHAnsi"/>
          <w:b/>
          <w:noProof/>
        </w:rPr>
        <w:t>Date of Submission</w:t>
      </w:r>
      <w:r w:rsidR="00923170">
        <w:rPr>
          <w:rFonts w:cstheme="minorHAnsi"/>
          <w:b/>
          <w:noProof/>
        </w:rPr>
        <w:t xml:space="preserve">: </w:t>
      </w:r>
      <w:r w:rsidR="000F4ED8">
        <w:rPr>
          <w:rFonts w:cstheme="minorHAnsi"/>
          <w:noProof/>
        </w:rPr>
        <w:t>5/7</w:t>
      </w:r>
      <w:r w:rsidR="00CA2671">
        <w:rPr>
          <w:rFonts w:cstheme="minorHAnsi"/>
          <w:noProof/>
        </w:rPr>
        <w:t>/201</w:t>
      </w:r>
      <w:r w:rsidR="00795F47">
        <w:rPr>
          <w:rFonts w:cstheme="minorHAnsi"/>
          <w:noProof/>
        </w:rPr>
        <w:t>9</w:t>
      </w:r>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FF0843"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FF0843"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FF0843"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FF0843"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FF0843"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FF0843"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FF0843"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FF0843"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FF0843"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FF0843"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FF0843"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FF0843"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FF0843"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63FAFC16" w:rsidR="00A01494" w:rsidRPr="000F1B7A" w:rsidRDefault="00FF0843"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294A5706" w:rsidR="00A01494" w:rsidRPr="000F1B7A" w:rsidRDefault="00FF0843"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52CEE65" w:rsidR="00A01494" w:rsidRPr="000F1B7A" w:rsidRDefault="00FF0843"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Content>
                <w:r w:rsidR="00A422A6">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00A8386F" w:rsidR="00A01494" w:rsidRPr="000F1B7A" w:rsidRDefault="00FF0843"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Content>
                <w:r w:rsidR="00A422A6">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FF0843"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FF0843"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660F098" w14:textId="77777777" w:rsidR="00B31688" w:rsidRPr="008A7596" w:rsidRDefault="00B31688" w:rsidP="00A422A6">
      <w:pPr>
        <w:autoSpaceDE w:val="0"/>
        <w:autoSpaceDN w:val="0"/>
        <w:adjustRightInd w:val="0"/>
        <w:spacing w:after="0" w:line="240" w:lineRule="auto"/>
        <w:rPr>
          <w:b/>
          <w:color w:val="0000FF"/>
          <w:szCs w:val="20"/>
          <w:u w:val="single"/>
        </w:rPr>
      </w:pPr>
    </w:p>
    <w:p w14:paraId="30F9EFEB" w14:textId="77777777" w:rsidR="009828F7" w:rsidRDefault="009828F7" w:rsidP="009828F7">
      <w:pPr>
        <w:autoSpaceDE w:val="0"/>
        <w:autoSpaceDN w:val="0"/>
        <w:adjustRightInd w:val="0"/>
        <w:spacing w:after="0" w:line="240" w:lineRule="auto"/>
        <w:rPr>
          <w:color w:val="C00000"/>
        </w:rPr>
      </w:pPr>
      <w:r w:rsidRPr="00CC4774">
        <w:rPr>
          <w:color w:val="C00000"/>
        </w:rPr>
        <w:t xml:space="preserve">The data source is 2016 EHR data from the PQRS program, provided by the Center for Medicare &amp; Medicaid Services (CMS), and includes data reported from </w:t>
      </w:r>
      <w:proofErr w:type="gramStart"/>
      <w:r w:rsidRPr="00CC4774">
        <w:rPr>
          <w:color w:val="C00000"/>
        </w:rPr>
        <w:t>a large number of</w:t>
      </w:r>
      <w:proofErr w:type="gramEnd"/>
      <w:r w:rsidRPr="00CC4774">
        <w:rPr>
          <w:color w:val="C00000"/>
        </w:rPr>
        <w:t xml:space="preserve"> certified EHR vendors. These vendors include several of the major EHR solutions used by inpatient and outpatient care practices. For example: Allscripts, Epic, MEDITECH, Cerner, GE Healthcare, Nextgen, eClinicalWorks, and other smaller EHR vendors.</w:t>
      </w:r>
    </w:p>
    <w:p w14:paraId="7F75C543" w14:textId="77777777" w:rsidR="009828F7" w:rsidRDefault="009828F7" w:rsidP="009828F7">
      <w:pPr>
        <w:autoSpaceDE w:val="0"/>
        <w:autoSpaceDN w:val="0"/>
        <w:adjustRightInd w:val="0"/>
        <w:spacing w:after="0" w:line="240" w:lineRule="auto"/>
        <w:rPr>
          <w:rFonts w:cstheme="minorHAnsi"/>
          <w:b/>
        </w:rPr>
      </w:pPr>
    </w:p>
    <w:p w14:paraId="641D92B3" w14:textId="77777777" w:rsidR="009828F7" w:rsidRPr="00CC4774" w:rsidRDefault="009828F7" w:rsidP="009828F7">
      <w:pPr>
        <w:rPr>
          <w:color w:val="C00000"/>
        </w:rPr>
      </w:pPr>
      <w:r w:rsidRPr="00CC4774">
        <w:rPr>
          <w:color w:val="C00000"/>
        </w:rPr>
        <w:t>In 2016 there were six participation options for submitting measure data to PQRS. Of those, the following can be used to submit EHR data:</w:t>
      </w:r>
    </w:p>
    <w:p w14:paraId="5D91C480" w14:textId="77777777" w:rsidR="009828F7" w:rsidRPr="00CC4774" w:rsidRDefault="009828F7" w:rsidP="009828F7">
      <w:pPr>
        <w:pStyle w:val="ListParagraph"/>
        <w:numPr>
          <w:ilvl w:val="0"/>
          <w:numId w:val="39"/>
        </w:numPr>
        <w:spacing w:after="0" w:line="240" w:lineRule="auto"/>
        <w:contextualSpacing w:val="0"/>
        <w:rPr>
          <w:rFonts w:eastAsia="Times New Roman"/>
          <w:color w:val="C00000"/>
        </w:rPr>
      </w:pPr>
      <w:r w:rsidRPr="00CC4774">
        <w:rPr>
          <w:rFonts w:eastAsia="Times New Roman"/>
          <w:color w:val="C00000"/>
        </w:rPr>
        <w:t xml:space="preserve">Eligible Providers (EPs) could submit data directly through a qualified EHR product or through a qualified data submission vendor that is Certified EHR Technology. </w:t>
      </w:r>
    </w:p>
    <w:p w14:paraId="3C2C5CC9" w14:textId="77777777" w:rsidR="009828F7" w:rsidRPr="00CC4774" w:rsidRDefault="009828F7" w:rsidP="009828F7">
      <w:pPr>
        <w:pStyle w:val="ListParagraph"/>
        <w:numPr>
          <w:ilvl w:val="0"/>
          <w:numId w:val="39"/>
        </w:numPr>
        <w:spacing w:after="0" w:line="240" w:lineRule="auto"/>
        <w:contextualSpacing w:val="0"/>
        <w:rPr>
          <w:rFonts w:eastAsia="Times New Roman"/>
          <w:color w:val="C00000"/>
        </w:rPr>
      </w:pPr>
      <w:r w:rsidRPr="00CC4774">
        <w:rPr>
          <w:rFonts w:eastAsia="Times New Roman"/>
          <w:color w:val="C00000"/>
        </w:rPr>
        <w:t xml:space="preserve">Group practices with 2 or more EPs can participate through the group practice reporting option (GPRO) using an EHR direct submission or qualified data submission vendor that is Certified EHR Technology. </w:t>
      </w:r>
    </w:p>
    <w:p w14:paraId="0CF04F48" w14:textId="77777777" w:rsidR="009828F7" w:rsidRPr="00CC4774" w:rsidRDefault="009828F7" w:rsidP="009828F7">
      <w:pPr>
        <w:rPr>
          <w:rFonts w:eastAsiaTheme="minorHAnsi"/>
          <w:color w:val="C00000"/>
        </w:rPr>
      </w:pPr>
    </w:p>
    <w:p w14:paraId="7A1E42D6" w14:textId="77777777" w:rsidR="009828F7" w:rsidRPr="00CC4774" w:rsidRDefault="009828F7" w:rsidP="009828F7">
      <w:pPr>
        <w:rPr>
          <w:color w:val="C00000"/>
        </w:rPr>
      </w:pPr>
      <w:r w:rsidRPr="00CC4774">
        <w:rPr>
          <w:color w:val="C00000"/>
        </w:rPr>
        <w:t>To participate, EPs and Group practices submit performance data such as number of eligible instances (denominator), instances of quality service performed (numerator), number</w:t>
      </w:r>
      <w:r>
        <w:rPr>
          <w:color w:val="C00000"/>
        </w:rPr>
        <w:t xml:space="preserve"> of performance exclusions,</w:t>
      </w:r>
      <w:r w:rsidRPr="00CC4774">
        <w:rPr>
          <w:color w:val="C00000"/>
        </w:rPr>
        <w:t xml:space="preserve"> reporting rates, and performance rates—in a file format specified by CMS. Data is then summarized at the practice level and includes both EPs participating individually as well as group practices participating through GPRO. </w:t>
      </w:r>
    </w:p>
    <w:p w14:paraId="77D52C90" w14:textId="77777777" w:rsidR="00A422A6" w:rsidRDefault="00A422A6" w:rsidP="00DB3627">
      <w:pPr>
        <w:autoSpaceDE w:val="0"/>
        <w:autoSpaceDN w:val="0"/>
        <w:adjustRightInd w:val="0"/>
        <w:spacing w:after="0" w:line="240" w:lineRule="auto"/>
        <w:rPr>
          <w:rFonts w:cstheme="minorHAnsi"/>
          <w:b/>
        </w:rPr>
      </w:pPr>
    </w:p>
    <w:p w14:paraId="0CABCFB0" w14:textId="3DB78F17" w:rsidR="0004593A" w:rsidRPr="00A25024" w:rsidRDefault="002B5016" w:rsidP="00DB3627">
      <w:pPr>
        <w:autoSpaceDE w:val="0"/>
        <w:autoSpaceDN w:val="0"/>
        <w:adjustRightInd w:val="0"/>
        <w:spacing w:after="0" w:line="240" w:lineRule="auto"/>
        <w:rPr>
          <w:rFonts w:cstheme="minorHAnsi"/>
          <w:bCs/>
        </w:rPr>
      </w:pPr>
      <w:r>
        <w:rPr>
          <w:rFonts w:cstheme="minorHAnsi"/>
          <w:b/>
        </w:rPr>
        <w:lastRenderedPageBreak/>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3304AC39" w14:textId="77777777" w:rsidR="00A422A6" w:rsidRDefault="00A422A6" w:rsidP="00A422A6">
      <w:pPr>
        <w:autoSpaceDE w:val="0"/>
        <w:autoSpaceDN w:val="0"/>
        <w:adjustRightInd w:val="0"/>
        <w:spacing w:after="0" w:line="240" w:lineRule="auto"/>
        <w:rPr>
          <w:rFonts w:cstheme="minorHAnsi"/>
          <w:bCs/>
        </w:rPr>
      </w:pPr>
    </w:p>
    <w:p w14:paraId="554FE783" w14:textId="631B0061" w:rsidR="00A422A6" w:rsidRPr="00BE225D" w:rsidRDefault="00FF0843"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Content>
          <w:r w:rsidR="000A1997" w:rsidRPr="000A1997">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1271C8C8" w14:textId="6A0FCAE6" w:rsidR="00A422A6" w:rsidRDefault="00A422A6" w:rsidP="00DB3627">
      <w:pPr>
        <w:autoSpaceDE w:val="0"/>
        <w:autoSpaceDN w:val="0"/>
        <w:adjustRightInd w:val="0"/>
        <w:spacing w:after="0" w:line="240" w:lineRule="auto"/>
        <w:rPr>
          <w:rFonts w:cstheme="minorHAnsi"/>
          <w:bCs/>
        </w:rPr>
      </w:pPr>
    </w:p>
    <w:p w14:paraId="7AE7CD3E" w14:textId="77777777" w:rsidR="00A422A6" w:rsidRDefault="00A422A6"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FF0843"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FF0843"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47C11C5" w:rsidR="000414E8" w:rsidRPr="00A01494" w:rsidRDefault="00FF0843"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0781C788" w:rsidR="000414E8" w:rsidRPr="00A01494" w:rsidRDefault="00FF0843"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FF0843"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FF0843"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FF0843"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FF0843"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FF0843"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FF0843"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5D8A9D62" w14:textId="77777777" w:rsidR="00862904" w:rsidRDefault="00862904" w:rsidP="00A422A6">
      <w:pPr>
        <w:spacing w:after="0" w:line="240" w:lineRule="auto"/>
        <w:rPr>
          <w:b/>
          <w:color w:val="0000FF"/>
          <w:szCs w:val="20"/>
          <w:u w:val="single"/>
        </w:rPr>
      </w:pPr>
    </w:p>
    <w:p w14:paraId="54A01672" w14:textId="177FE0D7" w:rsidR="00A422A6" w:rsidRPr="00FF0843" w:rsidRDefault="00D632F5" w:rsidP="00FF0843">
      <w:pPr>
        <w:spacing w:after="0" w:line="240" w:lineRule="auto"/>
        <w:rPr>
          <w:rFonts w:ascii="Times New Roman" w:hAnsi="Times New Roman" w:cs="Times New Roman"/>
          <w:sz w:val="24"/>
          <w:szCs w:val="24"/>
        </w:rPr>
      </w:pPr>
      <w:r>
        <w:rPr>
          <w:color w:val="C00000"/>
          <w:szCs w:val="20"/>
        </w:rPr>
        <w:t xml:space="preserve">We received data from </w:t>
      </w:r>
      <w:r w:rsidR="00795F47">
        <w:rPr>
          <w:color w:val="C00000"/>
          <w:szCs w:val="20"/>
        </w:rPr>
        <w:t>511</w:t>
      </w:r>
      <w:r>
        <w:rPr>
          <w:color w:val="C00000"/>
          <w:szCs w:val="20"/>
        </w:rPr>
        <w:t xml:space="preserve"> </w:t>
      </w:r>
      <w:r w:rsidR="006E2ACC">
        <w:rPr>
          <w:color w:val="C00000"/>
          <w:szCs w:val="20"/>
        </w:rPr>
        <w:t>provider</w:t>
      </w:r>
      <w:r>
        <w:rPr>
          <w:color w:val="C00000"/>
          <w:szCs w:val="20"/>
        </w:rPr>
        <w:t>s reporting on this measure through the EHR</w:t>
      </w:r>
      <w:r w:rsidR="00795F47">
        <w:rPr>
          <w:color w:val="C00000"/>
          <w:szCs w:val="20"/>
        </w:rPr>
        <w:t xml:space="preserve"> QRDA3</w:t>
      </w:r>
      <w:r>
        <w:rPr>
          <w:color w:val="C00000"/>
          <w:szCs w:val="20"/>
        </w:rPr>
        <w:t xml:space="preserve"> reporting option for CMS’s PQRS in 2016.</w:t>
      </w:r>
      <w:r w:rsidR="005A4D7A">
        <w:rPr>
          <w:color w:val="C00000"/>
          <w:szCs w:val="20"/>
        </w:rPr>
        <w:t xml:space="preserve"> </w:t>
      </w:r>
      <w:r w:rsidR="005A4D7A" w:rsidRPr="002F55B2">
        <w:rPr>
          <w:color w:val="C00000"/>
          <w:szCs w:val="20"/>
        </w:rPr>
        <w:t xml:space="preserve">This data set reflects a combination of individual provider data and group data and our analysis of the data </w:t>
      </w:r>
      <w:proofErr w:type="gramStart"/>
      <w:r w:rsidR="005A4D7A" w:rsidRPr="002F55B2">
        <w:rPr>
          <w:color w:val="C00000"/>
          <w:szCs w:val="20"/>
        </w:rPr>
        <w:t>as a whole is</w:t>
      </w:r>
      <w:proofErr w:type="gramEnd"/>
      <w:r w:rsidR="005A4D7A" w:rsidRPr="002F55B2">
        <w:rPr>
          <w:color w:val="C00000"/>
          <w:szCs w:val="20"/>
        </w:rPr>
        <w:t xml:space="preserve"> reflected throughout this submission.</w:t>
      </w:r>
      <w:r w:rsidR="00A422A6" w:rsidRPr="00BE225D">
        <w:rPr>
          <w:color w:val="C00000"/>
          <w:szCs w:val="20"/>
        </w:rPr>
        <w:t xml:space="preserve"> Of those, </w:t>
      </w:r>
      <w:r w:rsidR="000F4ED8">
        <w:rPr>
          <w:color w:val="C00000"/>
          <w:szCs w:val="20"/>
        </w:rPr>
        <w:t>511</w:t>
      </w:r>
      <w:r w:rsidR="000F4ED8" w:rsidRPr="00BE225D">
        <w:rPr>
          <w:color w:val="C00000"/>
          <w:szCs w:val="20"/>
        </w:rPr>
        <w:t xml:space="preserve"> </w:t>
      </w:r>
      <w:r w:rsidR="006E2ACC">
        <w:rPr>
          <w:color w:val="C00000"/>
          <w:szCs w:val="20"/>
        </w:rPr>
        <w:t>provider</w:t>
      </w:r>
      <w:r w:rsidR="00A422A6" w:rsidRPr="00BE225D">
        <w:rPr>
          <w:color w:val="C00000"/>
          <w:szCs w:val="20"/>
        </w:rPr>
        <w:t xml:space="preserve">s had all the required data </w:t>
      </w:r>
      <w:r w:rsidR="000F4ED8">
        <w:rPr>
          <w:color w:val="C00000"/>
          <w:szCs w:val="20"/>
        </w:rPr>
        <w:t>elements and at least one quality reporting event for a total of 19,209 quality events</w:t>
      </w:r>
      <w:r w:rsidR="00A422A6" w:rsidRPr="00BE225D">
        <w:rPr>
          <w:color w:val="C00000"/>
          <w:szCs w:val="20"/>
        </w:rPr>
        <w:t>.</w:t>
      </w:r>
      <w:r w:rsidR="0017749C">
        <w:rPr>
          <w:color w:val="C00000"/>
          <w:szCs w:val="20"/>
        </w:rPr>
        <w:t xml:space="preserve"> A quality reporting event is an event that qualifies for the denominator and is not an exclusion or an exception.</w:t>
      </w:r>
      <w:r w:rsidR="00D16605">
        <w:rPr>
          <w:color w:val="C00000"/>
          <w:szCs w:val="20"/>
        </w:rPr>
        <w:t xml:space="preserve"> In this case, a quality reporting event is a patient.</w:t>
      </w:r>
      <w:r w:rsidR="0017749C">
        <w:rPr>
          <w:rFonts w:ascii="Times New Roman" w:hAnsi="Times New Roman" w:cs="Times New Roman"/>
          <w:sz w:val="24"/>
          <w:szCs w:val="24"/>
        </w:rPr>
        <w:t xml:space="preserve"> </w:t>
      </w:r>
      <w:r w:rsidR="00A422A6" w:rsidRPr="00BE225D">
        <w:rPr>
          <w:color w:val="C00000"/>
          <w:szCs w:val="20"/>
        </w:rPr>
        <w:t xml:space="preserve">For this measure, </w:t>
      </w:r>
      <w:r w:rsidR="000F4ED8">
        <w:rPr>
          <w:color w:val="C00000"/>
          <w:szCs w:val="20"/>
        </w:rPr>
        <w:t>100</w:t>
      </w:r>
      <w:r w:rsidR="000F4ED8" w:rsidRPr="00BE225D">
        <w:rPr>
          <w:color w:val="C00000"/>
          <w:szCs w:val="20"/>
        </w:rPr>
        <w:t xml:space="preserve"> </w:t>
      </w:r>
      <w:r w:rsidR="00A422A6" w:rsidRPr="00BE225D">
        <w:rPr>
          <w:color w:val="C00000"/>
          <w:szCs w:val="20"/>
        </w:rPr>
        <w:t xml:space="preserve">percent of </w:t>
      </w:r>
      <w:r w:rsidR="006E2ACC">
        <w:rPr>
          <w:color w:val="C00000"/>
          <w:szCs w:val="20"/>
        </w:rPr>
        <w:t>provider</w:t>
      </w:r>
      <w:r w:rsidR="00A422A6" w:rsidRPr="00BE225D">
        <w:rPr>
          <w:color w:val="C00000"/>
          <w:szCs w:val="20"/>
        </w:rPr>
        <w:t>s are included in the analysis</w:t>
      </w:r>
      <w:r w:rsidR="000F4ED8">
        <w:rPr>
          <w:color w:val="C00000"/>
          <w:szCs w:val="20"/>
        </w:rPr>
        <w:t xml:space="preserve">, and the average number of quality reporting events are 38 for the </w:t>
      </w:r>
      <w:r w:rsidR="00D16605">
        <w:rPr>
          <w:color w:val="C00000"/>
          <w:szCs w:val="20"/>
        </w:rPr>
        <w:t>511 providers</w:t>
      </w:r>
      <w:r w:rsidR="000F4ED8">
        <w:rPr>
          <w:color w:val="C00000"/>
          <w:szCs w:val="20"/>
        </w:rPr>
        <w:t>.</w:t>
      </w:r>
      <w:r w:rsidR="00A422A6" w:rsidRPr="00BE225D">
        <w:rPr>
          <w:color w:val="C00000"/>
          <w:szCs w:val="20"/>
        </w:rPr>
        <w:t xml:space="preserve"> The range of quality reporting events for </w:t>
      </w:r>
      <w:r w:rsidR="000F4ED8">
        <w:rPr>
          <w:color w:val="C00000"/>
          <w:szCs w:val="20"/>
        </w:rPr>
        <w:t>511</w:t>
      </w:r>
      <w:r w:rsidR="000F4ED8" w:rsidRPr="00BE225D">
        <w:rPr>
          <w:color w:val="C00000"/>
          <w:szCs w:val="20"/>
        </w:rPr>
        <w:t xml:space="preserve"> </w:t>
      </w:r>
      <w:r w:rsidR="006E2ACC">
        <w:rPr>
          <w:color w:val="C00000"/>
          <w:szCs w:val="20"/>
        </w:rPr>
        <w:t>provider</w:t>
      </w:r>
      <w:r w:rsidR="00A422A6" w:rsidRPr="00BE225D">
        <w:rPr>
          <w:color w:val="C00000"/>
          <w:szCs w:val="20"/>
        </w:rPr>
        <w:t xml:space="preserve">s included is from 1 to </w:t>
      </w:r>
      <w:r w:rsidR="00795F47">
        <w:rPr>
          <w:color w:val="C00000"/>
          <w:szCs w:val="20"/>
        </w:rPr>
        <w:t>1,235</w:t>
      </w:r>
      <w:r w:rsidR="00A422A6" w:rsidRPr="00BE225D">
        <w:rPr>
          <w:color w:val="C00000"/>
          <w:szCs w:val="20"/>
        </w:rPr>
        <w:t xml:space="preserve">. </w:t>
      </w:r>
    </w:p>
    <w:p w14:paraId="4B41BDAC" w14:textId="509505FE" w:rsidR="00A422A6" w:rsidRDefault="00A422A6" w:rsidP="00DB3627">
      <w:pPr>
        <w:autoSpaceDE w:val="0"/>
        <w:autoSpaceDN w:val="0"/>
        <w:adjustRightInd w:val="0"/>
        <w:spacing w:after="0" w:line="240" w:lineRule="auto"/>
        <w:rPr>
          <w:rFonts w:cstheme="minorHAnsi"/>
          <w:bCs/>
        </w:rPr>
      </w:pPr>
    </w:p>
    <w:p w14:paraId="0013CE39" w14:textId="77777777" w:rsidR="00A422A6" w:rsidRPr="00A25024" w:rsidRDefault="00A422A6" w:rsidP="00DB3627">
      <w:pPr>
        <w:autoSpaceDE w:val="0"/>
        <w:autoSpaceDN w:val="0"/>
        <w:adjustRightInd w:val="0"/>
        <w:spacing w:after="0" w:line="240" w:lineRule="auto"/>
        <w:rPr>
          <w:rFonts w:cstheme="minorHAnsi"/>
          <w:bCs/>
        </w:rPr>
      </w:pPr>
    </w:p>
    <w:p w14:paraId="54A042D0" w14:textId="3D2173C1" w:rsidR="0004664A"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0C9FCA48" w14:textId="682A2FAB" w:rsidR="00A422A6" w:rsidRDefault="00A422A6" w:rsidP="00DB3627">
      <w:pPr>
        <w:autoSpaceDE w:val="0"/>
        <w:autoSpaceDN w:val="0"/>
        <w:adjustRightInd w:val="0"/>
        <w:spacing w:after="0" w:line="240" w:lineRule="auto"/>
        <w:rPr>
          <w:color w:val="C00000"/>
          <w:szCs w:val="20"/>
        </w:rPr>
      </w:pPr>
      <w:r w:rsidRPr="00BE225D">
        <w:rPr>
          <w:color w:val="C00000"/>
          <w:szCs w:val="20"/>
        </w:rPr>
        <w:t xml:space="preserve">There were </w:t>
      </w:r>
      <w:r w:rsidR="0017749C">
        <w:rPr>
          <w:color w:val="C00000"/>
          <w:szCs w:val="20"/>
        </w:rPr>
        <w:t>19,209</w:t>
      </w:r>
      <w:r w:rsidRPr="00BE225D">
        <w:rPr>
          <w:color w:val="C00000"/>
          <w:szCs w:val="20"/>
        </w:rPr>
        <w:t xml:space="preserve"> </w:t>
      </w:r>
      <w:r w:rsidR="0017749C">
        <w:rPr>
          <w:color w:val="C00000"/>
          <w:szCs w:val="20"/>
        </w:rPr>
        <w:t>quality events</w:t>
      </w:r>
      <w:r w:rsidR="0017749C" w:rsidRPr="00BE225D">
        <w:rPr>
          <w:color w:val="C00000"/>
          <w:szCs w:val="20"/>
        </w:rPr>
        <w:t xml:space="preserve"> </w:t>
      </w:r>
      <w:r w:rsidRPr="00BE225D">
        <w:rPr>
          <w:color w:val="C00000"/>
          <w:szCs w:val="20"/>
        </w:rPr>
        <w:t xml:space="preserve">included in this reliability testing and analysis.  </w:t>
      </w:r>
      <w:r w:rsidR="0017749C">
        <w:rPr>
          <w:color w:val="C00000"/>
          <w:szCs w:val="20"/>
        </w:rPr>
        <w:t>These were the quality events that were associated with providers who had all the required data elements and at least one quality reporting event.</w:t>
      </w:r>
      <w:r w:rsidR="0017749C">
        <w:rPr>
          <w:rFonts w:cstheme="minorHAnsi"/>
          <w:bCs/>
        </w:rPr>
        <w:br/>
      </w:r>
    </w:p>
    <w:p w14:paraId="1984F73A" w14:textId="77777777" w:rsidR="00A422A6" w:rsidRPr="00A422A6" w:rsidRDefault="00A422A6"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32E1F13" w14:textId="628E21CB" w:rsidR="00A422A6" w:rsidRDefault="00A422A6" w:rsidP="00E37E1B">
      <w:pPr>
        <w:autoSpaceDE w:val="0"/>
        <w:autoSpaceDN w:val="0"/>
        <w:adjustRightInd w:val="0"/>
        <w:spacing w:after="0" w:line="240" w:lineRule="auto"/>
        <w:rPr>
          <w:rFonts w:cstheme="minorHAnsi"/>
          <w:bCs/>
        </w:rPr>
      </w:pPr>
    </w:p>
    <w:p w14:paraId="01B352B3" w14:textId="77777777" w:rsidR="00B31688" w:rsidRDefault="00B31688" w:rsidP="00E37E1B">
      <w:pPr>
        <w:autoSpaceDE w:val="0"/>
        <w:autoSpaceDN w:val="0"/>
        <w:adjustRightInd w:val="0"/>
        <w:spacing w:after="0" w:line="240" w:lineRule="auto"/>
        <w:rPr>
          <w:rFonts w:cstheme="minorHAnsi"/>
          <w:bCs/>
        </w:rPr>
      </w:pPr>
    </w:p>
    <w:p w14:paraId="024EE0EE" w14:textId="715433CA" w:rsidR="005A4D7A" w:rsidRDefault="00A422A6" w:rsidP="00A422A6">
      <w:pPr>
        <w:rPr>
          <w:color w:val="C00000"/>
          <w:szCs w:val="20"/>
        </w:rPr>
      </w:pPr>
      <w:r w:rsidRPr="00BE225D">
        <w:rPr>
          <w:color w:val="C00000"/>
          <w:szCs w:val="20"/>
        </w:rPr>
        <w:t>The same data samples were used for reliability testing and exceptions analysis.</w:t>
      </w:r>
    </w:p>
    <w:p w14:paraId="54E9F158" w14:textId="5E819317" w:rsidR="005A4D7A" w:rsidRPr="00A422A6" w:rsidRDefault="005A4D7A" w:rsidP="005A4D7A">
      <w:pPr>
        <w:spacing w:line="240" w:lineRule="auto"/>
        <w:rPr>
          <w:color w:val="C00000"/>
          <w:szCs w:val="20"/>
        </w:rPr>
      </w:pPr>
      <w:bookmarkStart w:id="12" w:name="_Hlk534372826"/>
      <w:r>
        <w:rPr>
          <w:color w:val="C00000"/>
          <w:szCs w:val="20"/>
        </w:rPr>
        <w:t xml:space="preserve">Empirical validity correlation testing was conducted using </w:t>
      </w:r>
      <w:r w:rsidRPr="005A4D7A">
        <w:rPr>
          <w:color w:val="C00000"/>
          <w:szCs w:val="20"/>
        </w:rPr>
        <w:t>Depression Utilization of the PHQ-9 Tool (PQRS #371) and Adult Major Depressive Disorder (MDD): Suicide Risk Assessment (PQRS #107)</w:t>
      </w:r>
      <w:r>
        <w:rPr>
          <w:color w:val="C00000"/>
          <w:szCs w:val="20"/>
        </w:rPr>
        <w:t>.</w:t>
      </w:r>
    </w:p>
    <w:bookmarkEnd w:id="12"/>
    <w:p w14:paraId="0CABCFCB" w14:textId="77777777" w:rsidR="00E37E1B" w:rsidRDefault="00E37E1B" w:rsidP="00E37E1B">
      <w:pPr>
        <w:autoSpaceDE w:val="0"/>
        <w:autoSpaceDN w:val="0"/>
        <w:adjustRightInd w:val="0"/>
        <w:spacing w:after="0" w:line="240" w:lineRule="auto"/>
        <w:rPr>
          <w:rFonts w:cstheme="minorHAnsi"/>
          <w:bCs/>
        </w:rPr>
      </w:pPr>
    </w:p>
    <w:p w14:paraId="0CABCFCC" w14:textId="3B61C4B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30C46E08" w14:textId="754020F0" w:rsidR="00A422A6" w:rsidRDefault="00A422A6" w:rsidP="00E37E1B">
      <w:pPr>
        <w:autoSpaceDE w:val="0"/>
        <w:autoSpaceDN w:val="0"/>
        <w:adjustRightInd w:val="0"/>
        <w:spacing w:after="0" w:line="240" w:lineRule="auto"/>
        <w:rPr>
          <w:rFonts w:cstheme="minorHAnsi"/>
          <w:bCs/>
        </w:rPr>
      </w:pPr>
    </w:p>
    <w:p w14:paraId="3E524769" w14:textId="15ACDF71" w:rsidR="00A422A6" w:rsidRPr="005A4D7A" w:rsidRDefault="00A422A6" w:rsidP="005A4D7A">
      <w:pPr>
        <w:rPr>
          <w:color w:val="C00000"/>
          <w:szCs w:val="20"/>
        </w:rPr>
      </w:pPr>
      <w:bookmarkStart w:id="13" w:name="_Hlk534372869"/>
      <w:r w:rsidRPr="00BE225D">
        <w:rPr>
          <w:color w:val="C00000"/>
          <w:szCs w:val="20"/>
        </w:rPr>
        <w:t>Patient-level socio-demographic (SDS) variables were not captured as part of the testing</w:t>
      </w:r>
      <w:r w:rsidR="005A4D7A">
        <w:rPr>
          <w:color w:val="C00000"/>
          <w:szCs w:val="20"/>
        </w:rPr>
        <w:t xml:space="preserve"> as that information was not provided in the CMS data used for analysis.</w:t>
      </w:r>
    </w:p>
    <w:bookmarkEnd w:id="13"/>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095C9D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BA80B14" w14:textId="77777777" w:rsidR="00A422A6" w:rsidRDefault="00A422A6" w:rsidP="00A422A6">
      <w:pPr>
        <w:autoSpaceDE w:val="0"/>
        <w:autoSpaceDN w:val="0"/>
        <w:adjustRightInd w:val="0"/>
        <w:spacing w:after="0" w:line="240" w:lineRule="auto"/>
        <w:rPr>
          <w:rFonts w:cstheme="minorHAnsi"/>
          <w:bCs/>
        </w:rPr>
      </w:pPr>
    </w:p>
    <w:p w14:paraId="28BDF913" w14:textId="77777777" w:rsidR="00A422A6" w:rsidRDefault="00A422A6" w:rsidP="00A422A6">
      <w:pPr>
        <w:autoSpaceDE w:val="0"/>
        <w:autoSpaceDN w:val="0"/>
        <w:adjustRightInd w:val="0"/>
        <w:spacing w:after="0" w:line="240" w:lineRule="auto"/>
        <w:rPr>
          <w:rFonts w:cstheme="minorHAnsi"/>
          <w:bCs/>
        </w:rPr>
      </w:pPr>
    </w:p>
    <w:p w14:paraId="1B091CA8" w14:textId="08F889FB" w:rsidR="00A422A6" w:rsidRPr="00BE225D" w:rsidRDefault="00A422A6" w:rsidP="00A422A6">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that can be explained by real differences in </w:t>
      </w:r>
      <w:r w:rsidR="006E2ACC">
        <w:rPr>
          <w:color w:val="C00000"/>
          <w:szCs w:val="20"/>
        </w:rPr>
        <w:t>provider</w:t>
      </w:r>
      <w:r w:rsidRPr="00BE225D">
        <w:rPr>
          <w:color w:val="C00000"/>
          <w:szCs w:val="20"/>
        </w:rPr>
        <w:t xml:space="preserve"> performance</w:t>
      </w:r>
      <w:r w:rsidR="00D632F5">
        <w:rPr>
          <w:color w:val="C00000"/>
          <w:szCs w:val="20"/>
        </w:rPr>
        <w:t xml:space="preserve"> </w:t>
      </w:r>
      <w:r w:rsidR="00D632F5" w:rsidRPr="00105573">
        <w:rPr>
          <w:color w:val="C00000"/>
          <w:szCs w:val="20"/>
        </w:rPr>
        <w:t>and the noise is the total variability in measured performance</w:t>
      </w:r>
      <w:r w:rsidRPr="00BE225D">
        <w:rPr>
          <w:color w:val="C00000"/>
          <w:szCs w:val="20"/>
        </w:rPr>
        <w:t xml:space="preserve">.  Reliability at the level of the specific </w:t>
      </w:r>
      <w:r w:rsidR="006E2ACC">
        <w:rPr>
          <w:color w:val="C00000"/>
          <w:szCs w:val="20"/>
        </w:rPr>
        <w:t>provider</w:t>
      </w:r>
      <w:r w:rsidRPr="00BE225D">
        <w:rPr>
          <w:color w:val="C00000"/>
          <w:szCs w:val="20"/>
        </w:rPr>
        <w:t xml:space="preserve"> is given by:</w:t>
      </w:r>
    </w:p>
    <w:p w14:paraId="479D08D6" w14:textId="047D8594" w:rsidR="00A422A6" w:rsidRPr="00BE225D" w:rsidRDefault="00A422A6" w:rsidP="00A422A6">
      <w:pPr>
        <w:rPr>
          <w:color w:val="C00000"/>
          <w:szCs w:val="20"/>
        </w:rPr>
      </w:pPr>
      <w:r w:rsidRPr="00BE225D">
        <w:rPr>
          <w:color w:val="C00000"/>
          <w:szCs w:val="20"/>
        </w:rPr>
        <w:t>Reliability = Variance (</w:t>
      </w:r>
      <w:r w:rsidR="006E2ACC">
        <w:rPr>
          <w:color w:val="C00000"/>
          <w:szCs w:val="20"/>
        </w:rPr>
        <w:t>provider</w:t>
      </w:r>
      <w:r w:rsidRPr="00BE225D">
        <w:rPr>
          <w:color w:val="C00000"/>
          <w:szCs w:val="20"/>
        </w:rPr>
        <w:t>-to-</w:t>
      </w:r>
      <w:r w:rsidR="006E2ACC">
        <w:rPr>
          <w:color w:val="C00000"/>
          <w:szCs w:val="20"/>
        </w:rPr>
        <w:t>provider</w:t>
      </w:r>
      <w:r w:rsidRPr="00BE225D">
        <w:rPr>
          <w:color w:val="C00000"/>
          <w:szCs w:val="20"/>
        </w:rPr>
        <w:t>) / [Variance (</w:t>
      </w:r>
      <w:r w:rsidR="006E2ACC">
        <w:rPr>
          <w:color w:val="C00000"/>
          <w:szCs w:val="20"/>
        </w:rPr>
        <w:t>provider</w:t>
      </w:r>
      <w:r w:rsidRPr="00BE225D">
        <w:rPr>
          <w:color w:val="C00000"/>
          <w:szCs w:val="20"/>
        </w:rPr>
        <w:t>-to-</w:t>
      </w:r>
      <w:r w:rsidR="006E2ACC">
        <w:rPr>
          <w:color w:val="C00000"/>
          <w:szCs w:val="20"/>
        </w:rPr>
        <w:t>provider</w:t>
      </w:r>
      <w:r w:rsidRPr="00BE225D">
        <w:rPr>
          <w:color w:val="C00000"/>
          <w:szCs w:val="20"/>
        </w:rPr>
        <w:t>) + Variance (</w:t>
      </w:r>
      <w:r w:rsidR="006E2ACC">
        <w:rPr>
          <w:color w:val="C00000"/>
          <w:szCs w:val="20"/>
        </w:rPr>
        <w:t>provider</w:t>
      </w:r>
      <w:r w:rsidRPr="00BE225D">
        <w:rPr>
          <w:color w:val="C00000"/>
          <w:szCs w:val="20"/>
        </w:rPr>
        <w:t>-specific-error]</w:t>
      </w:r>
    </w:p>
    <w:p w14:paraId="6E68CF3C" w14:textId="120C861D" w:rsidR="00A422A6" w:rsidRPr="00BE225D" w:rsidRDefault="00A422A6" w:rsidP="00A422A6">
      <w:pPr>
        <w:rPr>
          <w:color w:val="C00000"/>
          <w:szCs w:val="20"/>
        </w:rPr>
      </w:pPr>
      <w:r w:rsidRPr="00BE225D">
        <w:rPr>
          <w:color w:val="C00000"/>
          <w:szCs w:val="20"/>
        </w:rPr>
        <w:t xml:space="preserve">Reliability is the ratio of the </w:t>
      </w:r>
      <w:r w:rsidR="006E2ACC">
        <w:rPr>
          <w:color w:val="C00000"/>
          <w:szCs w:val="20"/>
        </w:rPr>
        <w:t>provider</w:t>
      </w:r>
      <w:r w:rsidRPr="00BE225D">
        <w:rPr>
          <w:color w:val="C00000"/>
          <w:szCs w:val="20"/>
        </w:rPr>
        <w:t>-to-</w:t>
      </w:r>
      <w:r w:rsidR="006E2ACC">
        <w:rPr>
          <w:color w:val="C00000"/>
          <w:szCs w:val="20"/>
        </w:rPr>
        <w:t>provider</w:t>
      </w:r>
      <w:r w:rsidRPr="00BE225D">
        <w:rPr>
          <w:color w:val="C00000"/>
          <w:szCs w:val="20"/>
        </w:rPr>
        <w:t xml:space="preserve"> variance divided by the sum of the </w:t>
      </w:r>
      <w:r w:rsidR="006E2ACC">
        <w:rPr>
          <w:color w:val="C00000"/>
          <w:szCs w:val="20"/>
        </w:rPr>
        <w:t>provider</w:t>
      </w:r>
      <w:r w:rsidRPr="00BE225D">
        <w:rPr>
          <w:color w:val="C00000"/>
          <w:szCs w:val="20"/>
        </w:rPr>
        <w:t>-to-</w:t>
      </w:r>
      <w:r w:rsidR="006E2ACC">
        <w:rPr>
          <w:color w:val="C00000"/>
          <w:szCs w:val="20"/>
        </w:rPr>
        <w:t>provider</w:t>
      </w:r>
      <w:r w:rsidRPr="00BE225D">
        <w:rPr>
          <w:color w:val="C00000"/>
          <w:szCs w:val="20"/>
        </w:rPr>
        <w:t xml:space="preserve"> variance plus the error variance specific to a </w:t>
      </w:r>
      <w:r w:rsidR="006E2ACC">
        <w:rPr>
          <w:color w:val="C00000"/>
          <w:szCs w:val="20"/>
        </w:rPr>
        <w:t>provider</w:t>
      </w:r>
      <w:r w:rsidRPr="00BE225D">
        <w:rPr>
          <w:color w:val="C00000"/>
          <w:szCs w:val="20"/>
        </w:rPr>
        <w:t xml:space="preserve">.  A reliability of zero implies that all the variability in a measure is attributable to measurement error. A reliability of one implies that all the variability is attributable to real differences in </w:t>
      </w:r>
      <w:r w:rsidR="006E2ACC">
        <w:rPr>
          <w:color w:val="C00000"/>
          <w:szCs w:val="20"/>
        </w:rPr>
        <w:t>provider</w:t>
      </w:r>
      <w:r w:rsidRPr="00BE225D">
        <w:rPr>
          <w:color w:val="C00000"/>
          <w:szCs w:val="20"/>
        </w:rPr>
        <w:t xml:space="preserve"> performance.</w:t>
      </w:r>
    </w:p>
    <w:p w14:paraId="74C571AD" w14:textId="77777777" w:rsidR="00435F32" w:rsidRDefault="00435F32" w:rsidP="00435F32">
      <w:pPr>
        <w:rPr>
          <w:color w:val="C00000"/>
          <w:szCs w:val="20"/>
        </w:rPr>
      </w:pPr>
      <w:bookmarkStart w:id="14" w:name="_Hlk7602642"/>
      <w:r>
        <w:rPr>
          <w:color w:val="C00000"/>
          <w:szCs w:val="20"/>
        </w:rPr>
        <w:t>Variance (provider-to-provider) = p(1-p)/n where p is the passing rate for a provider and n is the number of qualifying reporting events for that provider</w:t>
      </w:r>
    </w:p>
    <w:p w14:paraId="55A70211" w14:textId="77777777" w:rsidR="00435F32" w:rsidRPr="00B45104" w:rsidRDefault="00435F32" w:rsidP="00435F32">
      <w:pPr>
        <w:rPr>
          <w:color w:val="C00000"/>
          <w:szCs w:val="20"/>
        </w:rPr>
      </w:pPr>
      <w:r>
        <w:rPr>
          <w:color w:val="C00000"/>
          <w:szCs w:val="20"/>
        </w:rPr>
        <w:lastRenderedPageBreak/>
        <w:t xml:space="preserve">Variance (provider-specific-error) = alpha*beta/((alpha + beta + 1)*(alpha + beta)^2) </w:t>
      </w:r>
    </w:p>
    <w:bookmarkEnd w:id="14"/>
    <w:p w14:paraId="030728B6" w14:textId="77777777" w:rsidR="00435F32" w:rsidRPr="00B45104" w:rsidRDefault="00435F32" w:rsidP="00435F32">
      <w:pPr>
        <w:rPr>
          <w:color w:val="C00000"/>
          <w:szCs w:val="20"/>
        </w:rPr>
      </w:pPr>
      <w:r w:rsidRPr="00B45104">
        <w:rPr>
          <w:color w:val="C00000"/>
          <w:szCs w:val="20"/>
        </w:rPr>
        <w:t xml:space="preserve">Reliability testing was performed by using a beta-binomial model. The beta-binomial model assumes the </w:t>
      </w:r>
      <w:r>
        <w:rPr>
          <w:color w:val="C00000"/>
          <w:szCs w:val="20"/>
        </w:rPr>
        <w:t>provider</w:t>
      </w:r>
      <w:r w:rsidRPr="00B45104">
        <w:rPr>
          <w:color w:val="C00000"/>
          <w:szCs w:val="20"/>
        </w:rPr>
        <w:t xml:space="preserve"> performance score is a binomial random variable conditional on the </w:t>
      </w:r>
      <w:r>
        <w:rPr>
          <w:color w:val="C00000"/>
          <w:szCs w:val="20"/>
        </w:rPr>
        <w:t>provider</w:t>
      </w:r>
      <w:r w:rsidRPr="00B45104">
        <w:rPr>
          <w:color w:val="C00000"/>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44B17C20" w14:textId="7532AB72" w:rsidR="00435F32" w:rsidRDefault="00435F32" w:rsidP="00435F32">
      <w:pPr>
        <w:rPr>
          <w:color w:val="C00000"/>
          <w:szCs w:val="20"/>
        </w:rPr>
      </w:pPr>
      <w:bookmarkStart w:id="15" w:name="_Hlk7602657"/>
      <w:r>
        <w:rPr>
          <w:color w:val="C00000"/>
          <w:szCs w:val="20"/>
        </w:rPr>
        <w:t>For this analysis Alpha = 1.1411 and Beta = 0.5262. These parameters are used to calculate the variance (provider-specific-error) which is approximately equal to 0.03. Reliability is then calculated for each provider using this value and the variance (provider-to-provider). Average reliability is reported by averaging reliability for each provider with at least 1 quality reporting event for the measure.</w:t>
      </w:r>
    </w:p>
    <w:bookmarkEnd w:id="15"/>
    <w:p w14:paraId="0A0404E4" w14:textId="2C2F9A3D"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sidR="006E2ACC">
        <w:rPr>
          <w:color w:val="C00000"/>
          <w:szCs w:val="20"/>
        </w:rPr>
        <w:t>provider</w:t>
      </w:r>
      <w:r w:rsidRPr="00A647D0">
        <w:rPr>
          <w:color w:val="C00000"/>
          <w:szCs w:val="20"/>
        </w:rPr>
        <w:t xml:space="preserve"> performance. A reliability of 0.70 – 0.80 is generally considered the acceptable threshold for reliability, 0.80 – 0.90 is considered high reliability, and 0.90 – 1.0 is considered very high. </w:t>
      </w:r>
      <w:r w:rsidRPr="00A647D0">
        <w:rPr>
          <w:color w:val="C00000"/>
          <w:szCs w:val="20"/>
          <w:vertAlign w:val="superscript"/>
        </w:rPr>
        <w:t>1</w:t>
      </w:r>
    </w:p>
    <w:p w14:paraId="573C4484" w14:textId="77777777" w:rsidR="00D632F5" w:rsidRDefault="00D632F5" w:rsidP="00D632F5">
      <w:pPr>
        <w:autoSpaceDE w:val="0"/>
        <w:autoSpaceDN w:val="0"/>
        <w:adjustRightInd w:val="0"/>
        <w:spacing w:after="0" w:line="240" w:lineRule="auto"/>
        <w:rPr>
          <w:rFonts w:cstheme="minorHAnsi"/>
          <w:bCs/>
          <w:vertAlign w:val="superscript"/>
        </w:rPr>
      </w:pPr>
    </w:p>
    <w:p w14:paraId="3E1D63CE" w14:textId="77777777" w:rsidR="00D632F5" w:rsidRDefault="00D632F5" w:rsidP="00D632F5">
      <w:pPr>
        <w:autoSpaceDE w:val="0"/>
        <w:autoSpaceDN w:val="0"/>
        <w:adjustRightInd w:val="0"/>
        <w:spacing w:after="0" w:line="240" w:lineRule="auto"/>
        <w:rPr>
          <w:rFonts w:cstheme="minorHAnsi"/>
          <w:bCs/>
          <w:vertAlign w:val="superscript"/>
        </w:rPr>
      </w:pPr>
    </w:p>
    <w:p w14:paraId="088AA63D" w14:textId="77777777" w:rsidR="00D632F5" w:rsidRPr="00A647D0" w:rsidRDefault="00D632F5" w:rsidP="00D632F5">
      <w:pPr>
        <w:autoSpaceDE w:val="0"/>
        <w:autoSpaceDN w:val="0"/>
        <w:adjustRightInd w:val="0"/>
        <w:spacing w:after="0" w:line="240" w:lineRule="auto"/>
        <w:rPr>
          <w:color w:val="C00000"/>
          <w:sz w:val="18"/>
          <w:szCs w:val="20"/>
        </w:rPr>
      </w:pPr>
      <w:r w:rsidRPr="00A647D0">
        <w:rPr>
          <w:color w:val="C00000"/>
          <w:szCs w:val="20"/>
        </w:rPr>
        <w:t xml:space="preserve">1. </w:t>
      </w:r>
      <w:r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p w14:paraId="34CBFB2D" w14:textId="77777777" w:rsidR="00A422A6" w:rsidRPr="00A25024" w:rsidRDefault="00A422A6" w:rsidP="008C54A9">
      <w:pPr>
        <w:autoSpaceDE w:val="0"/>
        <w:autoSpaceDN w:val="0"/>
        <w:adjustRightInd w:val="0"/>
        <w:spacing w:after="0" w:line="240" w:lineRule="auto"/>
        <w:rPr>
          <w:rFonts w:cstheme="minorHAnsi"/>
          <w:bCs/>
        </w:rPr>
      </w:pPr>
    </w:p>
    <w:p w14:paraId="0CABCFD3" w14:textId="14F61878"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5633DC4A" w14:textId="6515DDF3" w:rsidR="00435F32" w:rsidRDefault="0017749C" w:rsidP="00435F32">
      <w:pPr>
        <w:autoSpaceDE w:val="0"/>
        <w:autoSpaceDN w:val="0"/>
        <w:adjustRightInd w:val="0"/>
        <w:spacing w:after="0" w:line="240" w:lineRule="auto"/>
        <w:rPr>
          <w:color w:val="C00000"/>
          <w:szCs w:val="20"/>
        </w:rPr>
      </w:pPr>
      <w:r>
        <w:rPr>
          <w:color w:val="C00000"/>
          <w:szCs w:val="20"/>
        </w:rPr>
        <w:t xml:space="preserve">The average reliability for providers with at least one quality reporting event is </w:t>
      </w:r>
      <w:bookmarkStart w:id="16" w:name="_Hlk501538076"/>
      <w:r w:rsidR="00E009FE">
        <w:rPr>
          <w:color w:val="C00000"/>
          <w:szCs w:val="20"/>
        </w:rPr>
        <w:t>0.90.</w:t>
      </w:r>
      <w:r w:rsidR="00435F32">
        <w:rPr>
          <w:color w:val="C00000"/>
          <w:szCs w:val="20"/>
        </w:rPr>
        <w:t xml:space="preserve"> We also evaluated the reliability at each decile.</w:t>
      </w:r>
    </w:p>
    <w:p w14:paraId="52C39A8B" w14:textId="1B819B69" w:rsidR="00E009FE" w:rsidRDefault="00E009FE" w:rsidP="00E009FE">
      <w:pPr>
        <w:autoSpaceDE w:val="0"/>
        <w:autoSpaceDN w:val="0"/>
        <w:adjustRightInd w:val="0"/>
        <w:spacing w:after="0" w:line="240" w:lineRule="auto"/>
        <w:rPr>
          <w:color w:val="C00000"/>
          <w:szCs w:val="20"/>
        </w:rPr>
      </w:pPr>
    </w:p>
    <w:p w14:paraId="7E01832F" w14:textId="77777777" w:rsidR="0017749C" w:rsidRDefault="0017749C" w:rsidP="00A422A6">
      <w:pPr>
        <w:autoSpaceDE w:val="0"/>
        <w:autoSpaceDN w:val="0"/>
        <w:adjustRightInd w:val="0"/>
        <w:spacing w:after="0" w:line="240" w:lineRule="auto"/>
        <w:rPr>
          <w:rFonts w:cstheme="minorHAnsi"/>
          <w:bCs/>
          <w:color w:val="C00000"/>
        </w:rPr>
      </w:pPr>
    </w:p>
    <w:p w14:paraId="338F4659" w14:textId="6B7B8DF3" w:rsidR="005A7E1E" w:rsidRDefault="0017749C" w:rsidP="00A422A6">
      <w:pPr>
        <w:autoSpaceDE w:val="0"/>
        <w:autoSpaceDN w:val="0"/>
        <w:adjustRightInd w:val="0"/>
        <w:spacing w:after="0" w:line="240" w:lineRule="auto"/>
        <w:rPr>
          <w:color w:val="C00000"/>
          <w:szCs w:val="20"/>
        </w:rPr>
      </w:pPr>
      <w:r w:rsidRPr="00A23185">
        <w:rPr>
          <w:rFonts w:cstheme="minorHAnsi"/>
          <w:bCs/>
          <w:color w:val="C00000"/>
        </w:rPr>
        <w:t>Table 1:</w:t>
      </w:r>
      <w:r>
        <w:rPr>
          <w:rFonts w:cstheme="minorHAnsi"/>
          <w:bCs/>
          <w:color w:val="C00000"/>
        </w:rPr>
        <w:t xml:space="preserve"> Average</w:t>
      </w:r>
      <w:r w:rsidRPr="00A23185">
        <w:rPr>
          <w:rFonts w:cstheme="minorHAnsi"/>
          <w:bCs/>
          <w:color w:val="C00000"/>
        </w:rPr>
        <w:t xml:space="preserve"> Reliability Results</w:t>
      </w:r>
    </w:p>
    <w:tbl>
      <w:tblPr>
        <w:tblW w:w="2500" w:type="dxa"/>
        <w:tblLook w:val="04A0" w:firstRow="1" w:lastRow="0" w:firstColumn="1" w:lastColumn="0" w:noHBand="0" w:noVBand="1"/>
      </w:tblPr>
      <w:tblGrid>
        <w:gridCol w:w="960"/>
        <w:gridCol w:w="1540"/>
      </w:tblGrid>
      <w:tr w:rsidR="00435F32" w:rsidRPr="00435F32" w14:paraId="75DB5EF7" w14:textId="77777777" w:rsidTr="00435F32">
        <w:trPr>
          <w:trHeight w:val="300"/>
        </w:trPr>
        <w:tc>
          <w:tcPr>
            <w:tcW w:w="960" w:type="dxa"/>
            <w:tcBorders>
              <w:top w:val="single" w:sz="4" w:space="0" w:color="5B9BD5"/>
              <w:left w:val="single" w:sz="4" w:space="0" w:color="5B9BD5"/>
              <w:bottom w:val="nil"/>
              <w:right w:val="nil"/>
            </w:tcBorders>
            <w:shd w:val="clear" w:color="5B9BD5" w:fill="5B9BD5"/>
            <w:noWrap/>
            <w:vAlign w:val="center"/>
            <w:hideMark/>
          </w:tcPr>
          <w:bookmarkEnd w:id="16"/>
          <w:p w14:paraId="77F4F723" w14:textId="77777777" w:rsidR="00435F32" w:rsidRPr="00435F32" w:rsidRDefault="00435F32" w:rsidP="00435F32">
            <w:pPr>
              <w:spacing w:after="0" w:line="240" w:lineRule="auto"/>
              <w:jc w:val="center"/>
              <w:rPr>
                <w:rFonts w:ascii="Calibri" w:eastAsia="Times New Roman" w:hAnsi="Calibri" w:cs="Calibri"/>
                <w:b/>
                <w:bCs/>
                <w:color w:val="FFFFFF"/>
              </w:rPr>
            </w:pPr>
            <w:r w:rsidRPr="00435F32">
              <w:rPr>
                <w:rFonts w:ascii="Calibri" w:eastAsia="Times New Roman" w:hAnsi="Calibri" w:cs="Calibri"/>
                <w:b/>
                <w:bCs/>
                <w:color w:val="FFFFFF"/>
              </w:rPr>
              <w:t>Decile</w:t>
            </w:r>
          </w:p>
        </w:tc>
        <w:tc>
          <w:tcPr>
            <w:tcW w:w="1540" w:type="dxa"/>
            <w:tcBorders>
              <w:top w:val="single" w:sz="4" w:space="0" w:color="5B9BD5"/>
              <w:left w:val="nil"/>
              <w:bottom w:val="nil"/>
              <w:right w:val="single" w:sz="4" w:space="0" w:color="5B9BD5"/>
            </w:tcBorders>
            <w:shd w:val="clear" w:color="5B9BD5" w:fill="5B9BD5"/>
            <w:noWrap/>
            <w:vAlign w:val="center"/>
            <w:hideMark/>
          </w:tcPr>
          <w:p w14:paraId="0BB9E6E4" w14:textId="290A2D55" w:rsidR="00435F32" w:rsidRPr="00435F32" w:rsidRDefault="00435F32" w:rsidP="00435F32">
            <w:pPr>
              <w:spacing w:after="0" w:line="240" w:lineRule="auto"/>
              <w:jc w:val="center"/>
              <w:rPr>
                <w:rFonts w:ascii="Calibri" w:eastAsia="Times New Roman" w:hAnsi="Calibri" w:cs="Calibri"/>
                <w:b/>
                <w:bCs/>
                <w:color w:val="FFFFFF"/>
              </w:rPr>
            </w:pPr>
            <w:r>
              <w:rPr>
                <w:rFonts w:ascii="Calibri" w:eastAsia="Times New Roman" w:hAnsi="Calibri" w:cs="Calibri"/>
                <w:b/>
                <w:bCs/>
                <w:color w:val="FFFFFF"/>
              </w:rPr>
              <w:t>Reliability</w:t>
            </w:r>
          </w:p>
        </w:tc>
      </w:tr>
      <w:tr w:rsidR="00435F32" w:rsidRPr="00435F32" w14:paraId="314D851B" w14:textId="77777777" w:rsidTr="00435F32">
        <w:trPr>
          <w:trHeight w:val="300"/>
        </w:trPr>
        <w:tc>
          <w:tcPr>
            <w:tcW w:w="960" w:type="dxa"/>
            <w:tcBorders>
              <w:top w:val="single" w:sz="4" w:space="0" w:color="5B9BD5"/>
              <w:left w:val="single" w:sz="4" w:space="0" w:color="5B9BD5"/>
              <w:bottom w:val="nil"/>
              <w:right w:val="nil"/>
            </w:tcBorders>
            <w:shd w:val="clear" w:color="auto" w:fill="auto"/>
            <w:noWrap/>
            <w:vAlign w:val="center"/>
            <w:hideMark/>
          </w:tcPr>
          <w:p w14:paraId="7BD71506"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w:t>
            </w:r>
          </w:p>
        </w:tc>
        <w:tc>
          <w:tcPr>
            <w:tcW w:w="1540" w:type="dxa"/>
            <w:tcBorders>
              <w:top w:val="single" w:sz="4" w:space="0" w:color="5B9BD5"/>
              <w:left w:val="nil"/>
              <w:bottom w:val="nil"/>
              <w:right w:val="single" w:sz="4" w:space="0" w:color="5B9BD5"/>
            </w:tcBorders>
            <w:shd w:val="clear" w:color="auto" w:fill="auto"/>
            <w:noWrap/>
            <w:vAlign w:val="center"/>
            <w:hideMark/>
          </w:tcPr>
          <w:p w14:paraId="054E8B95"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0.66</w:t>
            </w:r>
          </w:p>
        </w:tc>
      </w:tr>
      <w:tr w:rsidR="00435F32" w:rsidRPr="00435F32" w14:paraId="51A4B092" w14:textId="77777777" w:rsidTr="00435F32">
        <w:trPr>
          <w:trHeight w:val="300"/>
        </w:trPr>
        <w:tc>
          <w:tcPr>
            <w:tcW w:w="960" w:type="dxa"/>
            <w:tcBorders>
              <w:top w:val="single" w:sz="4" w:space="0" w:color="5B9BD5"/>
              <w:left w:val="single" w:sz="4" w:space="0" w:color="5B9BD5"/>
              <w:bottom w:val="nil"/>
              <w:right w:val="nil"/>
            </w:tcBorders>
            <w:shd w:val="clear" w:color="auto" w:fill="auto"/>
            <w:noWrap/>
            <w:vAlign w:val="center"/>
            <w:hideMark/>
          </w:tcPr>
          <w:p w14:paraId="05F83C92"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2</w:t>
            </w:r>
          </w:p>
        </w:tc>
        <w:tc>
          <w:tcPr>
            <w:tcW w:w="1540" w:type="dxa"/>
            <w:tcBorders>
              <w:top w:val="single" w:sz="4" w:space="0" w:color="5B9BD5"/>
              <w:left w:val="nil"/>
              <w:bottom w:val="nil"/>
              <w:right w:val="single" w:sz="4" w:space="0" w:color="5B9BD5"/>
            </w:tcBorders>
            <w:shd w:val="clear" w:color="auto" w:fill="auto"/>
            <w:noWrap/>
            <w:vAlign w:val="center"/>
            <w:hideMark/>
          </w:tcPr>
          <w:p w14:paraId="1F3865C3"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0.82</w:t>
            </w:r>
          </w:p>
        </w:tc>
      </w:tr>
      <w:tr w:rsidR="00435F32" w:rsidRPr="00435F32" w14:paraId="4EAB1A4B" w14:textId="77777777" w:rsidTr="00435F32">
        <w:trPr>
          <w:trHeight w:val="300"/>
        </w:trPr>
        <w:tc>
          <w:tcPr>
            <w:tcW w:w="960" w:type="dxa"/>
            <w:tcBorders>
              <w:top w:val="single" w:sz="4" w:space="0" w:color="5B9BD5"/>
              <w:left w:val="single" w:sz="4" w:space="0" w:color="5B9BD5"/>
              <w:bottom w:val="nil"/>
              <w:right w:val="nil"/>
            </w:tcBorders>
            <w:shd w:val="clear" w:color="auto" w:fill="auto"/>
            <w:noWrap/>
            <w:vAlign w:val="center"/>
            <w:hideMark/>
          </w:tcPr>
          <w:p w14:paraId="3616BCDD"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3</w:t>
            </w:r>
          </w:p>
        </w:tc>
        <w:tc>
          <w:tcPr>
            <w:tcW w:w="1540" w:type="dxa"/>
            <w:tcBorders>
              <w:top w:val="single" w:sz="4" w:space="0" w:color="5B9BD5"/>
              <w:left w:val="nil"/>
              <w:bottom w:val="nil"/>
              <w:right w:val="single" w:sz="4" w:space="0" w:color="5B9BD5"/>
            </w:tcBorders>
            <w:shd w:val="clear" w:color="auto" w:fill="auto"/>
            <w:noWrap/>
            <w:vAlign w:val="center"/>
            <w:hideMark/>
          </w:tcPr>
          <w:p w14:paraId="21582C60"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0.89</w:t>
            </w:r>
          </w:p>
        </w:tc>
      </w:tr>
      <w:tr w:rsidR="00435F32" w:rsidRPr="00435F32" w14:paraId="3BA21CDA" w14:textId="77777777" w:rsidTr="00435F32">
        <w:trPr>
          <w:trHeight w:val="300"/>
        </w:trPr>
        <w:tc>
          <w:tcPr>
            <w:tcW w:w="960" w:type="dxa"/>
            <w:tcBorders>
              <w:top w:val="single" w:sz="4" w:space="0" w:color="5B9BD5"/>
              <w:left w:val="single" w:sz="4" w:space="0" w:color="5B9BD5"/>
              <w:bottom w:val="nil"/>
              <w:right w:val="nil"/>
            </w:tcBorders>
            <w:shd w:val="clear" w:color="auto" w:fill="auto"/>
            <w:noWrap/>
            <w:vAlign w:val="center"/>
            <w:hideMark/>
          </w:tcPr>
          <w:p w14:paraId="151C8AA9"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4</w:t>
            </w:r>
          </w:p>
        </w:tc>
        <w:tc>
          <w:tcPr>
            <w:tcW w:w="1540" w:type="dxa"/>
            <w:tcBorders>
              <w:top w:val="single" w:sz="4" w:space="0" w:color="5B9BD5"/>
              <w:left w:val="nil"/>
              <w:bottom w:val="nil"/>
              <w:right w:val="single" w:sz="4" w:space="0" w:color="5B9BD5"/>
            </w:tcBorders>
            <w:shd w:val="clear" w:color="auto" w:fill="auto"/>
            <w:noWrap/>
            <w:vAlign w:val="center"/>
            <w:hideMark/>
          </w:tcPr>
          <w:p w14:paraId="03003FF4"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0.94</w:t>
            </w:r>
          </w:p>
        </w:tc>
      </w:tr>
      <w:tr w:rsidR="00435F32" w:rsidRPr="00435F32" w14:paraId="143CFBB5" w14:textId="77777777" w:rsidTr="00435F32">
        <w:trPr>
          <w:trHeight w:val="300"/>
        </w:trPr>
        <w:tc>
          <w:tcPr>
            <w:tcW w:w="960" w:type="dxa"/>
            <w:tcBorders>
              <w:top w:val="single" w:sz="4" w:space="0" w:color="5B9BD5"/>
              <w:left w:val="single" w:sz="4" w:space="0" w:color="5B9BD5"/>
              <w:bottom w:val="nil"/>
              <w:right w:val="nil"/>
            </w:tcBorders>
            <w:shd w:val="clear" w:color="auto" w:fill="auto"/>
            <w:noWrap/>
            <w:vAlign w:val="center"/>
            <w:hideMark/>
          </w:tcPr>
          <w:p w14:paraId="5539AD4A"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5</w:t>
            </w:r>
          </w:p>
        </w:tc>
        <w:tc>
          <w:tcPr>
            <w:tcW w:w="1540" w:type="dxa"/>
            <w:tcBorders>
              <w:top w:val="single" w:sz="4" w:space="0" w:color="5B9BD5"/>
              <w:left w:val="nil"/>
              <w:bottom w:val="nil"/>
              <w:right w:val="single" w:sz="4" w:space="0" w:color="5B9BD5"/>
            </w:tcBorders>
            <w:shd w:val="clear" w:color="auto" w:fill="auto"/>
            <w:noWrap/>
            <w:vAlign w:val="center"/>
            <w:hideMark/>
          </w:tcPr>
          <w:p w14:paraId="20B9D56A"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0.97</w:t>
            </w:r>
          </w:p>
        </w:tc>
      </w:tr>
      <w:tr w:rsidR="00435F32" w:rsidRPr="00435F32" w14:paraId="0DCEAB4D" w14:textId="77777777" w:rsidTr="00435F32">
        <w:trPr>
          <w:trHeight w:val="300"/>
        </w:trPr>
        <w:tc>
          <w:tcPr>
            <w:tcW w:w="960" w:type="dxa"/>
            <w:tcBorders>
              <w:top w:val="single" w:sz="4" w:space="0" w:color="5B9BD5"/>
              <w:left w:val="single" w:sz="4" w:space="0" w:color="5B9BD5"/>
              <w:bottom w:val="nil"/>
              <w:right w:val="nil"/>
            </w:tcBorders>
            <w:shd w:val="clear" w:color="auto" w:fill="auto"/>
            <w:noWrap/>
            <w:vAlign w:val="center"/>
            <w:hideMark/>
          </w:tcPr>
          <w:p w14:paraId="02910B13"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6</w:t>
            </w:r>
          </w:p>
        </w:tc>
        <w:tc>
          <w:tcPr>
            <w:tcW w:w="1540" w:type="dxa"/>
            <w:tcBorders>
              <w:top w:val="single" w:sz="4" w:space="0" w:color="5B9BD5"/>
              <w:left w:val="nil"/>
              <w:bottom w:val="nil"/>
              <w:right w:val="single" w:sz="4" w:space="0" w:color="5B9BD5"/>
            </w:tcBorders>
            <w:shd w:val="clear" w:color="auto" w:fill="auto"/>
            <w:noWrap/>
            <w:vAlign w:val="center"/>
            <w:hideMark/>
          </w:tcPr>
          <w:p w14:paraId="116293D9"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0.99</w:t>
            </w:r>
          </w:p>
        </w:tc>
      </w:tr>
      <w:tr w:rsidR="00435F32" w:rsidRPr="00435F32" w14:paraId="57EC2D05" w14:textId="77777777" w:rsidTr="00435F32">
        <w:trPr>
          <w:trHeight w:val="300"/>
        </w:trPr>
        <w:tc>
          <w:tcPr>
            <w:tcW w:w="960" w:type="dxa"/>
            <w:tcBorders>
              <w:top w:val="single" w:sz="4" w:space="0" w:color="5B9BD5"/>
              <w:left w:val="single" w:sz="4" w:space="0" w:color="5B9BD5"/>
              <w:bottom w:val="nil"/>
              <w:right w:val="nil"/>
            </w:tcBorders>
            <w:shd w:val="clear" w:color="auto" w:fill="auto"/>
            <w:noWrap/>
            <w:vAlign w:val="center"/>
            <w:hideMark/>
          </w:tcPr>
          <w:p w14:paraId="4C8E6DAE"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7</w:t>
            </w:r>
          </w:p>
        </w:tc>
        <w:tc>
          <w:tcPr>
            <w:tcW w:w="1540" w:type="dxa"/>
            <w:tcBorders>
              <w:top w:val="single" w:sz="4" w:space="0" w:color="5B9BD5"/>
              <w:left w:val="nil"/>
              <w:bottom w:val="nil"/>
              <w:right w:val="single" w:sz="4" w:space="0" w:color="5B9BD5"/>
            </w:tcBorders>
            <w:shd w:val="clear" w:color="auto" w:fill="auto"/>
            <w:noWrap/>
            <w:vAlign w:val="center"/>
            <w:hideMark/>
          </w:tcPr>
          <w:p w14:paraId="0F129BB5"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1.00</w:t>
            </w:r>
          </w:p>
        </w:tc>
      </w:tr>
      <w:tr w:rsidR="00435F32" w:rsidRPr="00435F32" w14:paraId="5E161BF3" w14:textId="77777777" w:rsidTr="00435F32">
        <w:trPr>
          <w:trHeight w:val="300"/>
        </w:trPr>
        <w:tc>
          <w:tcPr>
            <w:tcW w:w="960" w:type="dxa"/>
            <w:tcBorders>
              <w:top w:val="single" w:sz="4" w:space="0" w:color="5B9BD5"/>
              <w:left w:val="single" w:sz="4" w:space="0" w:color="5B9BD5"/>
              <w:bottom w:val="nil"/>
              <w:right w:val="nil"/>
            </w:tcBorders>
            <w:shd w:val="clear" w:color="auto" w:fill="auto"/>
            <w:noWrap/>
            <w:vAlign w:val="center"/>
            <w:hideMark/>
          </w:tcPr>
          <w:p w14:paraId="1A87F07C"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8</w:t>
            </w:r>
          </w:p>
        </w:tc>
        <w:tc>
          <w:tcPr>
            <w:tcW w:w="1540" w:type="dxa"/>
            <w:tcBorders>
              <w:top w:val="single" w:sz="4" w:space="0" w:color="5B9BD5"/>
              <w:left w:val="nil"/>
              <w:bottom w:val="nil"/>
              <w:right w:val="single" w:sz="4" w:space="0" w:color="5B9BD5"/>
            </w:tcBorders>
            <w:shd w:val="clear" w:color="auto" w:fill="auto"/>
            <w:noWrap/>
            <w:vAlign w:val="center"/>
            <w:hideMark/>
          </w:tcPr>
          <w:p w14:paraId="6C218C73"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1.00</w:t>
            </w:r>
          </w:p>
        </w:tc>
      </w:tr>
      <w:tr w:rsidR="00435F32" w:rsidRPr="00435F32" w14:paraId="26056640" w14:textId="77777777" w:rsidTr="00435F32">
        <w:trPr>
          <w:trHeight w:val="300"/>
        </w:trPr>
        <w:tc>
          <w:tcPr>
            <w:tcW w:w="960" w:type="dxa"/>
            <w:tcBorders>
              <w:top w:val="single" w:sz="4" w:space="0" w:color="5B9BD5"/>
              <w:left w:val="single" w:sz="4" w:space="0" w:color="5B9BD5"/>
              <w:bottom w:val="nil"/>
              <w:right w:val="nil"/>
            </w:tcBorders>
            <w:shd w:val="clear" w:color="auto" w:fill="auto"/>
            <w:noWrap/>
            <w:vAlign w:val="center"/>
            <w:hideMark/>
          </w:tcPr>
          <w:p w14:paraId="113B2301"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9</w:t>
            </w:r>
          </w:p>
        </w:tc>
        <w:tc>
          <w:tcPr>
            <w:tcW w:w="1540" w:type="dxa"/>
            <w:tcBorders>
              <w:top w:val="single" w:sz="4" w:space="0" w:color="5B9BD5"/>
              <w:left w:val="nil"/>
              <w:bottom w:val="nil"/>
              <w:right w:val="single" w:sz="4" w:space="0" w:color="5B9BD5"/>
            </w:tcBorders>
            <w:shd w:val="clear" w:color="auto" w:fill="auto"/>
            <w:noWrap/>
            <w:vAlign w:val="center"/>
            <w:hideMark/>
          </w:tcPr>
          <w:p w14:paraId="24BA9C28"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1.00</w:t>
            </w:r>
          </w:p>
        </w:tc>
      </w:tr>
      <w:tr w:rsidR="00435F32" w:rsidRPr="00435F32" w14:paraId="442A17F2" w14:textId="77777777" w:rsidTr="00435F32">
        <w:trPr>
          <w:trHeight w:val="300"/>
        </w:trPr>
        <w:tc>
          <w:tcPr>
            <w:tcW w:w="960" w:type="dxa"/>
            <w:tcBorders>
              <w:top w:val="single" w:sz="4" w:space="0" w:color="5B9BD5"/>
              <w:left w:val="single" w:sz="4" w:space="0" w:color="5B9BD5"/>
              <w:bottom w:val="single" w:sz="4" w:space="0" w:color="5B9BD5"/>
              <w:right w:val="nil"/>
            </w:tcBorders>
            <w:shd w:val="clear" w:color="auto" w:fill="auto"/>
            <w:noWrap/>
            <w:vAlign w:val="center"/>
            <w:hideMark/>
          </w:tcPr>
          <w:p w14:paraId="3830762C"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10</w:t>
            </w:r>
          </w:p>
        </w:tc>
        <w:tc>
          <w:tcPr>
            <w:tcW w:w="1540" w:type="dxa"/>
            <w:tcBorders>
              <w:top w:val="single" w:sz="4" w:space="0" w:color="5B9BD5"/>
              <w:left w:val="nil"/>
              <w:bottom w:val="single" w:sz="4" w:space="0" w:color="5B9BD5"/>
              <w:right w:val="single" w:sz="4" w:space="0" w:color="5B9BD5"/>
            </w:tcBorders>
            <w:shd w:val="clear" w:color="auto" w:fill="auto"/>
            <w:noWrap/>
            <w:vAlign w:val="center"/>
            <w:hideMark/>
          </w:tcPr>
          <w:p w14:paraId="3632566B"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1.00</w:t>
            </w:r>
          </w:p>
        </w:tc>
      </w:tr>
    </w:tbl>
    <w:p w14:paraId="40155E3A" w14:textId="08467AF6" w:rsidR="00A422A6" w:rsidRDefault="00A422A6" w:rsidP="008C54A9">
      <w:pPr>
        <w:autoSpaceDE w:val="0"/>
        <w:autoSpaceDN w:val="0"/>
        <w:adjustRightInd w:val="0"/>
        <w:spacing w:after="0" w:line="240" w:lineRule="auto"/>
        <w:rPr>
          <w:rFonts w:cstheme="minorHAnsi"/>
          <w:bCs/>
        </w:rPr>
      </w:pPr>
    </w:p>
    <w:p w14:paraId="12E7DAC1" w14:textId="77777777" w:rsidR="00A422A6" w:rsidRPr="00A25024" w:rsidRDefault="00A422A6" w:rsidP="008C54A9">
      <w:pPr>
        <w:autoSpaceDE w:val="0"/>
        <w:autoSpaceDN w:val="0"/>
        <w:adjustRightInd w:val="0"/>
        <w:spacing w:after="0" w:line="240" w:lineRule="auto"/>
        <w:rPr>
          <w:rFonts w:cstheme="minorHAnsi"/>
          <w:bCs/>
        </w:rPr>
      </w:pPr>
    </w:p>
    <w:p w14:paraId="5254B6AE" w14:textId="77777777" w:rsidR="0017749C" w:rsidRDefault="00092566" w:rsidP="0017749C">
      <w:pPr>
        <w:spacing w:after="0" w:line="240" w:lineRule="auto"/>
        <w:rPr>
          <w:color w:val="C00000"/>
          <w:szCs w:val="20"/>
        </w:rPr>
      </w:pPr>
      <w:r>
        <w:rPr>
          <w:rFonts w:cstheme="minorHAnsi"/>
          <w:b/>
          <w:bCs/>
        </w:rPr>
        <w:lastRenderedPageBreak/>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1DDA1497" w14:textId="77777777" w:rsidR="0017749C" w:rsidRDefault="0017749C" w:rsidP="0017749C">
      <w:pPr>
        <w:spacing w:after="0" w:line="240" w:lineRule="auto"/>
        <w:rPr>
          <w:color w:val="C00000"/>
          <w:szCs w:val="20"/>
        </w:rPr>
      </w:pPr>
      <w:r>
        <w:rPr>
          <w:color w:val="C00000"/>
          <w:szCs w:val="20"/>
        </w:rPr>
        <w:t>This measure has very high reliability when including providers with at least one quality reporting event.</w:t>
      </w:r>
    </w:p>
    <w:p w14:paraId="125E31B0" w14:textId="577061B5" w:rsidR="00A422A6" w:rsidRDefault="00A422A6" w:rsidP="0017749C">
      <w:pPr>
        <w:autoSpaceDE w:val="0"/>
        <w:autoSpaceDN w:val="0"/>
        <w:adjustRightInd w:val="0"/>
        <w:spacing w:after="0" w:line="240" w:lineRule="auto"/>
        <w:rPr>
          <w:rFonts w:cstheme="minorHAnsi"/>
          <w:bCs/>
        </w:rPr>
      </w:pPr>
    </w:p>
    <w:p w14:paraId="0D6132A0" w14:textId="793C9A4F" w:rsidR="004412A4" w:rsidRDefault="004412A4" w:rsidP="00DB3627">
      <w:pPr>
        <w:autoSpaceDE w:val="0"/>
        <w:autoSpaceDN w:val="0"/>
        <w:adjustRightInd w:val="0"/>
        <w:spacing w:after="0" w:line="240" w:lineRule="auto"/>
        <w:rPr>
          <w:rFonts w:cstheme="minorHAnsi"/>
          <w:bCs/>
        </w:rPr>
      </w:pPr>
      <w:bookmarkStart w:id="17" w:name="_Hlk534372903"/>
    </w:p>
    <w:bookmarkEnd w:id="17"/>
    <w:p w14:paraId="39AF4059" w14:textId="77777777" w:rsidR="004412A4" w:rsidRDefault="004412A4" w:rsidP="00DB3627">
      <w:pPr>
        <w:autoSpaceDE w:val="0"/>
        <w:autoSpaceDN w:val="0"/>
        <w:adjustRightInd w:val="0"/>
        <w:spacing w:after="0" w:line="240" w:lineRule="auto"/>
        <w:rPr>
          <w:rFonts w:cstheme="minorHAnsi"/>
          <w:bCs/>
        </w:rPr>
      </w:pPr>
    </w:p>
    <w:p w14:paraId="7B4AB602" w14:textId="77777777" w:rsidR="004412A4" w:rsidRPr="00A25024" w:rsidRDefault="004412A4"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CC58C78" w:rsidR="00696262" w:rsidRPr="00A25024" w:rsidRDefault="00FF0843"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A422A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1D43EE8" w:rsidR="000574AB" w:rsidRPr="00A25024" w:rsidRDefault="00FF0843"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542CF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Content>
          <w:r w:rsidR="00542CF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Pr="00A2502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0DE239EB" w14:textId="0B9C4F9F" w:rsidR="00950F64" w:rsidRPr="00950F64" w:rsidRDefault="001D1377" w:rsidP="00950F64">
      <w:pPr>
        <w:rPr>
          <w:rFonts w:ascii="Calibri" w:hAnsi="Calibri" w:cs="Calibri"/>
          <w:color w:val="C00000"/>
        </w:rPr>
      </w:pPr>
      <w:bookmarkStart w:id="18" w:name="_Hlk534372945"/>
      <w:bookmarkStart w:id="19" w:name="_Hlk534297552"/>
      <w:r w:rsidRPr="001D1377">
        <w:rPr>
          <w:rFonts w:ascii="Calibri" w:hAnsi="Calibri" w:cs="Calibri"/>
          <w:color w:val="C00000"/>
        </w:rPr>
        <w:t>For this measure, the PCPI has conducted review and updates to the measure specifications, which satisfy the NQF's ICD-10 Conversion requirements</w:t>
      </w:r>
      <w:r>
        <w:rPr>
          <w:rFonts w:ascii="Calibri" w:hAnsi="Calibri" w:cs="Calibri"/>
          <w:color w:val="C00000"/>
        </w:rPr>
        <w:t>.</w:t>
      </w:r>
      <w:r w:rsidR="00950F64" w:rsidRPr="00950F64">
        <w:rPr>
          <w:rFonts w:ascii="Calibri" w:hAnsi="Calibri" w:cs="Calibri"/>
          <w:color w:val="C00000"/>
        </w:rPr>
        <w:t xml:space="preserve"> </w:t>
      </w:r>
      <w:r>
        <w:rPr>
          <w:rFonts w:ascii="Calibri" w:hAnsi="Calibri" w:cs="Calibri"/>
          <w:color w:val="C00000"/>
        </w:rPr>
        <w:t>W</w:t>
      </w:r>
      <w:r w:rsidR="00950F64" w:rsidRPr="00950F64">
        <w:rPr>
          <w:rFonts w:ascii="Calibri" w:hAnsi="Calibri" w:cs="Calibri"/>
          <w:color w:val="C00000"/>
        </w:rPr>
        <w:t>e are providing the information below</w:t>
      </w:r>
      <w:r>
        <w:rPr>
          <w:rFonts w:ascii="Calibri" w:hAnsi="Calibri" w:cs="Calibri"/>
          <w:color w:val="C00000"/>
        </w:rPr>
        <w:t xml:space="preserve"> to support the three requirements</w:t>
      </w:r>
      <w:r w:rsidR="00950F64" w:rsidRPr="00950F64">
        <w:rPr>
          <w:rFonts w:ascii="Calibri" w:hAnsi="Calibri" w:cs="Calibri"/>
          <w:color w:val="C00000"/>
        </w:rPr>
        <w:t>:</w:t>
      </w:r>
      <w:bookmarkEnd w:id="18"/>
    </w:p>
    <w:bookmarkEnd w:id="19"/>
    <w:p w14:paraId="3AD49DF9"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1: Statement of intent related to ICD-10 CM</w:t>
      </w:r>
    </w:p>
    <w:p w14:paraId="09BD3CBE"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Goal was to convert this measure to a new code set, fully consistent with the original intent of the measure.</w:t>
      </w:r>
    </w:p>
    <w:p w14:paraId="3BCFEBFD" w14:textId="77777777" w:rsidR="00950F64" w:rsidRPr="00950F64" w:rsidRDefault="00950F64" w:rsidP="00950F64">
      <w:pPr>
        <w:pStyle w:val="ListParagraph"/>
        <w:rPr>
          <w:rFonts w:ascii="Calibri" w:hAnsi="Calibri" w:cs="Calibri"/>
          <w:color w:val="C00000"/>
        </w:rPr>
      </w:pPr>
    </w:p>
    <w:p w14:paraId="329D0DC5"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 xml:space="preserve">NQF ICD-10-CM Requirement 2: Coding Table        </w:t>
      </w:r>
    </w:p>
    <w:p w14:paraId="4E2615A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See attachment in S.2b</w:t>
      </w:r>
    </w:p>
    <w:p w14:paraId="2618C43D" w14:textId="77777777" w:rsidR="00950F64" w:rsidRPr="00950F64" w:rsidRDefault="00950F64" w:rsidP="00950F64">
      <w:pPr>
        <w:pStyle w:val="ListParagraph"/>
        <w:rPr>
          <w:rFonts w:ascii="Calibri" w:hAnsi="Calibri" w:cs="Calibri"/>
          <w:color w:val="C00000"/>
        </w:rPr>
      </w:pPr>
    </w:p>
    <w:p w14:paraId="1F2D3094"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3: Description of the process used to identify ICD-10 codes</w:t>
      </w:r>
    </w:p>
    <w:p w14:paraId="23AD5E2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 xml:space="preserve">The PCPI uses the General Equivalence Mappings (GEMs) as a first step in the identification of ICD-10 codes. We then review the ICD-10 codes to confirm their inclusion in the measure is consistent with the measure intent, making additions or deletions as needed. We have an RHIA-credentialed professional on our staff who reviews all ICD-10 coding. For measures included in CMS’ Quality Payment Program (QPP), the ICD-10 codes have also been reviewed and vetted by the CMS contractor.  Comments received from stakeholders related to ICD-10 coding are first reviewed internally. Depending on the nature of the comment received, we also engage clinical experts to advise us as to whether a change to the specifications is warranted. </w:t>
      </w:r>
    </w:p>
    <w:p w14:paraId="442829AE" w14:textId="06831F7F" w:rsidR="0099200E" w:rsidRDefault="0099200E" w:rsidP="0099200E">
      <w:pPr>
        <w:pStyle w:val="ListParagraph"/>
        <w:rPr>
          <w:rFonts w:ascii="Calibri" w:eastAsiaTheme="minorHAnsi" w:hAnsi="Calibri" w:cs="Calibri"/>
          <w:color w:val="C00000"/>
        </w:rPr>
      </w:pPr>
    </w:p>
    <w:p w14:paraId="5DC2EC69" w14:textId="7133144A" w:rsidR="00366C26" w:rsidRPr="00366C26" w:rsidRDefault="00366C26" w:rsidP="00366C26">
      <w:pPr>
        <w:autoSpaceDE w:val="0"/>
        <w:autoSpaceDN w:val="0"/>
        <w:spacing w:line="240" w:lineRule="auto"/>
        <w:contextualSpacing/>
        <w:rPr>
          <w:color w:val="C00000"/>
          <w:szCs w:val="20"/>
          <w:u w:val="single"/>
        </w:rPr>
      </w:pPr>
      <w:bookmarkStart w:id="20" w:name="_Hlk534372984"/>
      <w:r w:rsidRPr="00366C26">
        <w:rPr>
          <w:color w:val="C00000"/>
          <w:szCs w:val="20"/>
          <w:u w:val="single"/>
        </w:rPr>
        <w:lastRenderedPageBreak/>
        <w:t>Validity testing method</w:t>
      </w:r>
    </w:p>
    <w:p w14:paraId="078890FC" w14:textId="7B101474" w:rsidR="00D632F5" w:rsidRPr="00E84D63" w:rsidRDefault="008463D9" w:rsidP="00E84D63">
      <w:pPr>
        <w:autoSpaceDE w:val="0"/>
        <w:autoSpaceDN w:val="0"/>
        <w:spacing w:line="240" w:lineRule="auto"/>
        <w:contextualSpacing/>
        <w:rPr>
          <w:color w:val="C00000"/>
          <w:szCs w:val="20"/>
        </w:rPr>
      </w:pPr>
      <w:bookmarkStart w:id="21" w:name="_Hlk7768332"/>
      <w:bookmarkEnd w:id="20"/>
      <w:r>
        <w:rPr>
          <w:color w:val="C00000"/>
          <w:szCs w:val="20"/>
        </w:rPr>
        <w:t>Depression Utilization of the PHQ-9 Tool</w:t>
      </w:r>
      <w:r w:rsidR="005A03F3" w:rsidRPr="003674BB">
        <w:rPr>
          <w:color w:val="C00000"/>
          <w:szCs w:val="20"/>
        </w:rPr>
        <w:t xml:space="preserve"> (PQRS #</w:t>
      </w:r>
      <w:r>
        <w:rPr>
          <w:color w:val="C00000"/>
          <w:szCs w:val="20"/>
        </w:rPr>
        <w:t>371)</w:t>
      </w:r>
      <w:r w:rsidR="00F94327">
        <w:rPr>
          <w:color w:val="C00000"/>
          <w:szCs w:val="20"/>
        </w:rPr>
        <w:t xml:space="preserve"> and Adult Major Depressive Disorder (MDD): Suicide Risk Assessment (PQRS #107)</w:t>
      </w:r>
      <w:r w:rsidR="005A03F3" w:rsidRPr="003674BB">
        <w:rPr>
          <w:color w:val="C00000"/>
          <w:szCs w:val="20"/>
        </w:rPr>
        <w:t xml:space="preserve"> </w:t>
      </w:r>
      <w:r w:rsidR="00F94327">
        <w:rPr>
          <w:color w:val="C00000"/>
          <w:szCs w:val="20"/>
        </w:rPr>
        <w:t>were</w:t>
      </w:r>
      <w:r w:rsidR="005A03F3" w:rsidRPr="003674BB">
        <w:rPr>
          <w:color w:val="C00000"/>
          <w:szCs w:val="20"/>
        </w:rPr>
        <w:t xml:space="preserve"> chosen as suitable candidate</w:t>
      </w:r>
      <w:r w:rsidR="00F94327">
        <w:rPr>
          <w:color w:val="C00000"/>
          <w:szCs w:val="20"/>
        </w:rPr>
        <w:t>s</w:t>
      </w:r>
      <w:r w:rsidR="005A03F3" w:rsidRPr="003674BB">
        <w:rPr>
          <w:color w:val="C00000"/>
          <w:szCs w:val="20"/>
        </w:rPr>
        <w:t xml:space="preserve"> for correlation analysis due to </w:t>
      </w:r>
      <w:r w:rsidR="005A03F3" w:rsidRPr="005A7329">
        <w:rPr>
          <w:color w:val="C00000"/>
          <w:szCs w:val="20"/>
        </w:rPr>
        <w:t>the similarities in patient population and domain.</w:t>
      </w:r>
      <w:r w:rsidR="0040488A" w:rsidRPr="005A7329">
        <w:rPr>
          <w:color w:val="C00000"/>
          <w:szCs w:val="20"/>
        </w:rPr>
        <w:t xml:space="preserve"> For instance, </w:t>
      </w:r>
      <w:r w:rsidR="00E84D63" w:rsidRPr="005A7329">
        <w:rPr>
          <w:color w:val="C00000"/>
          <w:szCs w:val="20"/>
        </w:rPr>
        <w:t>h</w:t>
      </w:r>
      <w:r w:rsidR="0040488A" w:rsidRPr="005A7329">
        <w:rPr>
          <w:color w:val="C00000"/>
          <w:szCs w:val="20"/>
        </w:rPr>
        <w:t xml:space="preserve">aving a sense of the patient’s level of cognitive functioning is </w:t>
      </w:r>
      <w:r w:rsidR="00E84D63" w:rsidRPr="005A7329">
        <w:rPr>
          <w:color w:val="C00000"/>
          <w:szCs w:val="20"/>
        </w:rPr>
        <w:t>fundamental to the proper management of patients with dementia.  These assessments serve as the basis for identifying treatment goals, developing a treatment plan, monitoring the effects of treatment, and modifying treatment as appropriate.</w:t>
      </w:r>
      <w:r w:rsidR="005A7329" w:rsidRPr="005A7329">
        <w:rPr>
          <w:color w:val="C00000"/>
          <w:szCs w:val="20"/>
        </w:rPr>
        <w:t xml:space="preserve"> </w:t>
      </w:r>
      <w:r w:rsidR="005A7329" w:rsidRPr="005A7329">
        <w:rPr>
          <w:color w:val="C00000"/>
        </w:rPr>
        <w:t>Thus, a provider that emphasizes the utilization of a PHQ-9 tool and a suicide risk assessment would also utilize a cognitive assessment for dementia.</w:t>
      </w:r>
      <w:r w:rsidR="00E84D63" w:rsidRPr="005A7329" w:rsidDel="00E84D63">
        <w:rPr>
          <w:color w:val="C00000"/>
          <w:szCs w:val="20"/>
        </w:rPr>
        <w:t xml:space="preserve"> </w:t>
      </w:r>
      <w:r w:rsidR="005A03F3" w:rsidRPr="005A7329">
        <w:rPr>
          <w:color w:val="C00000"/>
          <w:szCs w:val="20"/>
        </w:rPr>
        <w:t>We hypothesize that there exists a positive association</w:t>
      </w:r>
      <w:r w:rsidRPr="005A7329">
        <w:rPr>
          <w:color w:val="C00000"/>
          <w:szCs w:val="20"/>
        </w:rPr>
        <w:t xml:space="preserve"> of scores</w:t>
      </w:r>
      <w:r w:rsidR="005A03F3" w:rsidRPr="005A7329">
        <w:rPr>
          <w:color w:val="C00000"/>
          <w:szCs w:val="20"/>
        </w:rPr>
        <w:t xml:space="preserve"> between </w:t>
      </w:r>
      <w:r w:rsidRPr="005A7329">
        <w:rPr>
          <w:color w:val="C00000"/>
          <w:szCs w:val="20"/>
        </w:rPr>
        <w:t>providers that assess cognition for those with a diagnosis of dementia and review the results at least once within a 12-month period</w:t>
      </w:r>
      <w:r w:rsidR="005A03F3" w:rsidRPr="005A7329">
        <w:rPr>
          <w:color w:val="C00000"/>
          <w:szCs w:val="20"/>
        </w:rPr>
        <w:t xml:space="preserve"> </w:t>
      </w:r>
      <w:r w:rsidR="00D632F5" w:rsidRPr="005A7329">
        <w:rPr>
          <w:color w:val="C00000"/>
          <w:szCs w:val="20"/>
        </w:rPr>
        <w:t>(</w:t>
      </w:r>
      <w:r w:rsidR="00456C29" w:rsidRPr="005A7329">
        <w:rPr>
          <w:color w:val="C00000"/>
          <w:szCs w:val="20"/>
        </w:rPr>
        <w:t>PQRS #281</w:t>
      </w:r>
      <w:r w:rsidR="00D632F5" w:rsidRPr="005A7329">
        <w:rPr>
          <w:color w:val="C00000"/>
          <w:szCs w:val="20"/>
        </w:rPr>
        <w:t xml:space="preserve">) </w:t>
      </w:r>
      <w:r w:rsidR="005A03F3" w:rsidRPr="005A7329">
        <w:rPr>
          <w:color w:val="C00000"/>
          <w:szCs w:val="20"/>
        </w:rPr>
        <w:t xml:space="preserve">and </w:t>
      </w:r>
      <w:r w:rsidR="005A03F3" w:rsidRPr="005A7329">
        <w:rPr>
          <w:rFonts w:cstheme="minorHAnsi"/>
          <w:color w:val="C00000"/>
        </w:rPr>
        <w:t>those</w:t>
      </w:r>
      <w:r w:rsidRPr="005A7329">
        <w:rPr>
          <w:rFonts w:cstheme="minorHAnsi"/>
          <w:color w:val="C00000"/>
        </w:rPr>
        <w:t xml:space="preserve"> that administer a PHQ-9 tool to patients</w:t>
      </w:r>
      <w:r w:rsidR="005A03F3" w:rsidRPr="005A7329">
        <w:rPr>
          <w:rFonts w:cstheme="minorHAnsi"/>
          <w:color w:val="C00000"/>
        </w:rPr>
        <w:t xml:space="preserve"> </w:t>
      </w:r>
      <w:r w:rsidRPr="005A7329">
        <w:rPr>
          <w:rFonts w:cstheme="minorHAnsi"/>
          <w:color w:val="C00000"/>
          <w:spacing w:val="8"/>
          <w:shd w:val="clear" w:color="auto" w:fill="FFFFFF"/>
        </w:rPr>
        <w:t xml:space="preserve">with a diagnosis of major depression or dysthymia </w:t>
      </w:r>
      <w:r w:rsidR="00E84D63" w:rsidRPr="005A7329">
        <w:rPr>
          <w:rFonts w:cstheme="minorHAnsi"/>
          <w:color w:val="C00000"/>
          <w:spacing w:val="8"/>
          <w:shd w:val="clear" w:color="auto" w:fill="FFFFFF"/>
        </w:rPr>
        <w:t xml:space="preserve">to assess depressive symptomatology </w:t>
      </w:r>
      <w:r w:rsidRPr="005A7329">
        <w:rPr>
          <w:rFonts w:cstheme="minorHAnsi"/>
          <w:color w:val="C00000"/>
          <w:spacing w:val="8"/>
          <w:shd w:val="clear" w:color="auto" w:fill="FFFFFF"/>
        </w:rPr>
        <w:t>at least once during the four month measurement period</w:t>
      </w:r>
      <w:r w:rsidR="005A03F3" w:rsidRPr="005A7329">
        <w:rPr>
          <w:rFonts w:cstheme="minorHAnsi"/>
          <w:color w:val="C00000"/>
        </w:rPr>
        <w:t>.</w:t>
      </w:r>
      <w:r w:rsidR="00F94327" w:rsidRPr="005A7329">
        <w:rPr>
          <w:rFonts w:cstheme="minorHAnsi"/>
          <w:color w:val="C00000"/>
        </w:rPr>
        <w:t xml:space="preserve"> We also hypothesize that there exists a positive association </w:t>
      </w:r>
      <w:r w:rsidR="00F94327" w:rsidRPr="005A7329">
        <w:rPr>
          <w:color w:val="C00000"/>
          <w:szCs w:val="20"/>
        </w:rPr>
        <w:t>of scores between providers that assess cognition for those with a diagnosis of dementia and review the results at least once within a 12-month period (</w:t>
      </w:r>
      <w:r w:rsidR="00F94327">
        <w:rPr>
          <w:color w:val="C00000"/>
          <w:szCs w:val="20"/>
        </w:rPr>
        <w:t xml:space="preserve">PQRS #281) </w:t>
      </w:r>
      <w:r w:rsidR="00F94327" w:rsidRPr="009D5661">
        <w:rPr>
          <w:color w:val="C00000"/>
          <w:szCs w:val="20"/>
        </w:rPr>
        <w:t xml:space="preserve">and </w:t>
      </w:r>
      <w:r w:rsidR="00F94327" w:rsidRPr="008463D9">
        <w:rPr>
          <w:rFonts w:cstheme="minorHAnsi"/>
          <w:color w:val="C00000"/>
        </w:rPr>
        <w:t>those</w:t>
      </w:r>
      <w:r w:rsidR="00F94327">
        <w:rPr>
          <w:rFonts w:cstheme="minorHAnsi"/>
          <w:color w:val="C00000"/>
        </w:rPr>
        <w:t xml:space="preserve"> that</w:t>
      </w:r>
      <w:r w:rsidR="007E22AE">
        <w:rPr>
          <w:rFonts w:cstheme="minorHAnsi"/>
          <w:color w:val="C00000"/>
        </w:rPr>
        <w:t xml:space="preserve"> administer a suicide risk assessment to</w:t>
      </w:r>
      <w:r w:rsidR="0048382C">
        <w:rPr>
          <w:rFonts w:cstheme="minorHAnsi"/>
          <w:color w:val="C00000"/>
        </w:rPr>
        <w:t xml:space="preserve"> adult</w:t>
      </w:r>
      <w:r w:rsidR="007E22AE">
        <w:rPr>
          <w:rFonts w:cstheme="minorHAnsi"/>
          <w:color w:val="C00000"/>
        </w:rPr>
        <w:t xml:space="preserve"> patients with a diagnosis of major depressive disorder (MDD) </w:t>
      </w:r>
      <w:r w:rsidR="007E22AE" w:rsidRPr="007E22AE">
        <w:rPr>
          <w:rFonts w:cstheme="minorHAnsi"/>
          <w:color w:val="C00000"/>
        </w:rPr>
        <w:t xml:space="preserve">during </w:t>
      </w:r>
      <w:r w:rsidR="007E22AE">
        <w:rPr>
          <w:rFonts w:cstheme="minorHAnsi"/>
          <w:color w:val="C00000"/>
        </w:rPr>
        <w:t>a</w:t>
      </w:r>
      <w:r w:rsidR="007E22AE" w:rsidRPr="007E22AE">
        <w:rPr>
          <w:rFonts w:cstheme="minorHAnsi"/>
          <w:color w:val="C00000"/>
        </w:rPr>
        <w:t xml:space="preserve"> visit in which a new diagnosis or recurrent episode was identified</w:t>
      </w:r>
      <w:r w:rsidR="007E22AE">
        <w:rPr>
          <w:rFonts w:cstheme="minorHAnsi"/>
          <w:color w:val="C00000"/>
        </w:rPr>
        <w:t xml:space="preserve"> (PQS #107</w:t>
      </w:r>
      <w:bookmarkEnd w:id="21"/>
      <w:r w:rsidR="0017749C">
        <w:rPr>
          <w:rFonts w:cstheme="minorHAnsi"/>
          <w:color w:val="C00000"/>
        </w:rPr>
        <w:t>).</w:t>
      </w:r>
    </w:p>
    <w:p w14:paraId="593324F0" w14:textId="77777777" w:rsidR="003674BB" w:rsidRPr="003674BB" w:rsidRDefault="003674BB" w:rsidP="003674BB">
      <w:pPr>
        <w:autoSpaceDE w:val="0"/>
        <w:autoSpaceDN w:val="0"/>
        <w:adjustRightInd w:val="0"/>
        <w:spacing w:after="0" w:line="240" w:lineRule="auto"/>
        <w:rPr>
          <w:color w:val="C00000"/>
          <w:szCs w:val="20"/>
        </w:rPr>
      </w:pPr>
    </w:p>
    <w:p w14:paraId="7ABDB15C" w14:textId="6F65689D" w:rsidR="0017749C" w:rsidRPr="003674BB" w:rsidRDefault="0017749C" w:rsidP="0017749C">
      <w:pPr>
        <w:autoSpaceDE w:val="0"/>
        <w:autoSpaceDN w:val="0"/>
        <w:rPr>
          <w:color w:val="C00000"/>
          <w:szCs w:val="20"/>
        </w:rPr>
      </w:pPr>
      <w:r w:rsidRPr="00CD3A8E">
        <w:rPr>
          <w:rFonts w:cstheme="minorHAnsi"/>
          <w:color w:val="C00000"/>
        </w:rPr>
        <w:t>Providers included in the analysis</w:t>
      </w:r>
      <w:r>
        <w:rPr>
          <w:rFonts w:cstheme="minorHAnsi"/>
          <w:color w:val="C00000"/>
        </w:rPr>
        <w:t xml:space="preserve"> from all three measures</w:t>
      </w:r>
      <w:r w:rsidRPr="00CD3A8E">
        <w:rPr>
          <w:rFonts w:cstheme="minorHAnsi"/>
          <w:color w:val="C00000"/>
        </w:rPr>
        <w:t xml:space="preserve"> </w:t>
      </w:r>
      <w:r>
        <w:rPr>
          <w:rFonts w:cstheme="minorHAnsi"/>
          <w:color w:val="C00000"/>
        </w:rPr>
        <w:t>had at least one quality reporting event.</w:t>
      </w:r>
    </w:p>
    <w:p w14:paraId="5A4A0760" w14:textId="256F5983" w:rsidR="0017749C" w:rsidRDefault="0017749C" w:rsidP="0017749C">
      <w:pPr>
        <w:autoSpaceDE w:val="0"/>
        <w:autoSpaceDN w:val="0"/>
        <w:adjustRightInd w:val="0"/>
        <w:spacing w:after="0" w:line="240" w:lineRule="auto"/>
        <w:rPr>
          <w:color w:val="C00000"/>
          <w:szCs w:val="20"/>
        </w:rPr>
      </w:pPr>
      <w:r w:rsidRPr="003674BB">
        <w:rPr>
          <w:color w:val="C00000"/>
          <w:szCs w:val="20"/>
        </w:rPr>
        <w:t>Datasets were reviewed to identify shared providers based on NPI and TIN identifiers.</w:t>
      </w:r>
      <w:r>
        <w:rPr>
          <w:color w:val="C00000"/>
          <w:szCs w:val="20"/>
        </w:rPr>
        <w:t xml:space="preserve"> Comparing performance scores of those shared providers,</w:t>
      </w:r>
      <w:r w:rsidRPr="003674BB">
        <w:rPr>
          <w:color w:val="C00000"/>
          <w:szCs w:val="20"/>
        </w:rPr>
        <w:t xml:space="preserve"> </w:t>
      </w:r>
      <w:r>
        <w:rPr>
          <w:color w:val="C00000"/>
          <w:szCs w:val="20"/>
        </w:rPr>
        <w:t>the empirical</w:t>
      </w:r>
      <w:r w:rsidRPr="003674BB">
        <w:rPr>
          <w:color w:val="C00000"/>
          <w:szCs w:val="20"/>
        </w:rPr>
        <w:t xml:space="preserve"> analysis</w:t>
      </w:r>
      <w:r>
        <w:rPr>
          <w:color w:val="C00000"/>
          <w:szCs w:val="20"/>
        </w:rPr>
        <w:t xml:space="preserve"> uses regression with dataset 1 as the outcome and dataset 2 as the predictor. Results identify the multiple R value (the Pearson’s correlation coefficient) and P-value of the regression variables to assess the </w:t>
      </w:r>
      <w:r w:rsidRPr="003674BB">
        <w:rPr>
          <w:color w:val="C00000"/>
          <w:szCs w:val="20"/>
        </w:rPr>
        <w:t>association between performance scores of these shared providers</w:t>
      </w:r>
      <w:r>
        <w:rPr>
          <w:color w:val="C00000"/>
          <w:szCs w:val="20"/>
        </w:rPr>
        <w:t xml:space="preserve">. </w:t>
      </w:r>
    </w:p>
    <w:p w14:paraId="2902E6EB" w14:textId="6F6196F7" w:rsidR="00D632F5" w:rsidRDefault="00D632F5" w:rsidP="003674BB">
      <w:pPr>
        <w:autoSpaceDE w:val="0"/>
        <w:autoSpaceDN w:val="0"/>
        <w:adjustRightInd w:val="0"/>
        <w:spacing w:after="0" w:line="240" w:lineRule="auto"/>
        <w:rPr>
          <w:color w:val="C00000"/>
          <w:szCs w:val="20"/>
        </w:rPr>
      </w:pPr>
    </w:p>
    <w:p w14:paraId="510DEC4C" w14:textId="77777777" w:rsidR="00D632F5" w:rsidRDefault="00D632F5" w:rsidP="00D632F5">
      <w:pPr>
        <w:autoSpaceDE w:val="0"/>
        <w:autoSpaceDN w:val="0"/>
        <w:adjustRightInd w:val="0"/>
        <w:spacing w:after="0" w:line="240" w:lineRule="auto"/>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1E2F115A" w14:textId="77777777" w:rsidR="00D632F5" w:rsidRDefault="00D632F5" w:rsidP="00D632F5">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D632F5" w:rsidRPr="0073044F" w14:paraId="39DAE388" w14:textId="77777777" w:rsidTr="00795F47">
        <w:trPr>
          <w:trHeight w:val="288"/>
        </w:trPr>
        <w:tc>
          <w:tcPr>
            <w:tcW w:w="1840" w:type="dxa"/>
            <w:noWrap/>
            <w:hideMark/>
          </w:tcPr>
          <w:p w14:paraId="0EB97933"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7C6B4249"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Interpretation</w:t>
            </w:r>
          </w:p>
        </w:tc>
      </w:tr>
      <w:tr w:rsidR="00D632F5" w:rsidRPr="0073044F" w14:paraId="52F7AFA3" w14:textId="77777777" w:rsidTr="00795F47">
        <w:trPr>
          <w:trHeight w:val="288"/>
        </w:trPr>
        <w:tc>
          <w:tcPr>
            <w:tcW w:w="1840" w:type="dxa"/>
            <w:noWrap/>
            <w:hideMark/>
          </w:tcPr>
          <w:p w14:paraId="1D57995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&gt; 0.40</w:t>
            </w:r>
          </w:p>
        </w:tc>
        <w:tc>
          <w:tcPr>
            <w:tcW w:w="2580" w:type="dxa"/>
            <w:noWrap/>
            <w:hideMark/>
          </w:tcPr>
          <w:p w14:paraId="44A3977F"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Strong</w:t>
            </w:r>
          </w:p>
        </w:tc>
      </w:tr>
      <w:tr w:rsidR="00D632F5" w:rsidRPr="0073044F" w14:paraId="2FA57865" w14:textId="77777777" w:rsidTr="00795F47">
        <w:trPr>
          <w:trHeight w:val="288"/>
        </w:trPr>
        <w:tc>
          <w:tcPr>
            <w:tcW w:w="1840" w:type="dxa"/>
            <w:noWrap/>
            <w:hideMark/>
          </w:tcPr>
          <w:p w14:paraId="0319EB84"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0.20 - 0.40 </w:t>
            </w:r>
          </w:p>
        </w:tc>
        <w:tc>
          <w:tcPr>
            <w:tcW w:w="2580" w:type="dxa"/>
            <w:noWrap/>
            <w:hideMark/>
          </w:tcPr>
          <w:p w14:paraId="146CDEA1"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Moderate</w:t>
            </w:r>
          </w:p>
        </w:tc>
      </w:tr>
      <w:tr w:rsidR="00D632F5" w:rsidRPr="0073044F" w14:paraId="1F74FDAD" w14:textId="77777777" w:rsidTr="00795F47">
        <w:trPr>
          <w:trHeight w:val="288"/>
        </w:trPr>
        <w:tc>
          <w:tcPr>
            <w:tcW w:w="1840" w:type="dxa"/>
            <w:noWrap/>
            <w:hideMark/>
          </w:tcPr>
          <w:p w14:paraId="7A08841E"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&lt; 0.20 </w:t>
            </w:r>
          </w:p>
        </w:tc>
        <w:tc>
          <w:tcPr>
            <w:tcW w:w="2580" w:type="dxa"/>
            <w:noWrap/>
            <w:hideMark/>
          </w:tcPr>
          <w:p w14:paraId="33C17367"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Weak</w:t>
            </w:r>
          </w:p>
        </w:tc>
      </w:tr>
    </w:tbl>
    <w:p w14:paraId="6634A5B8" w14:textId="77777777" w:rsidR="00D632F5" w:rsidRDefault="00D632F5" w:rsidP="00D632F5">
      <w:pPr>
        <w:autoSpaceDE w:val="0"/>
        <w:autoSpaceDN w:val="0"/>
        <w:adjustRightInd w:val="0"/>
        <w:spacing w:after="0" w:line="240" w:lineRule="auto"/>
        <w:rPr>
          <w:rFonts w:cstheme="minorHAnsi"/>
          <w:bCs/>
        </w:rPr>
      </w:pPr>
    </w:p>
    <w:p w14:paraId="0CC675D0" w14:textId="77777777"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1. </w:t>
      </w:r>
      <w:proofErr w:type="spellStart"/>
      <w:r w:rsidRPr="00A647D0">
        <w:rPr>
          <w:color w:val="C00000"/>
          <w:sz w:val="18"/>
          <w:szCs w:val="20"/>
        </w:rPr>
        <w:t>Shortell</w:t>
      </w:r>
      <w:proofErr w:type="spellEnd"/>
      <w:r w:rsidRPr="00A647D0">
        <w:rPr>
          <w:color w:val="C00000"/>
          <w:sz w:val="18"/>
          <w:szCs w:val="20"/>
        </w:rPr>
        <w:t xml:space="preserve"> T. An Introduction to Data Analysis &amp; Presentation. Sociology 712. http://www.shortell.org/book/chap18.html. Accessed July 13, 2018.</w:t>
      </w:r>
    </w:p>
    <w:p w14:paraId="0DE97A85" w14:textId="77777777" w:rsidR="00D632F5" w:rsidRDefault="00D632F5" w:rsidP="003674BB">
      <w:pPr>
        <w:autoSpaceDE w:val="0"/>
        <w:autoSpaceDN w:val="0"/>
        <w:adjustRightInd w:val="0"/>
        <w:spacing w:after="0" w:line="240" w:lineRule="auto"/>
        <w:rPr>
          <w:color w:val="C00000"/>
          <w:szCs w:val="20"/>
        </w:rPr>
      </w:pPr>
    </w:p>
    <w:p w14:paraId="7FCCF3B6" w14:textId="77777777" w:rsidR="00542CF9" w:rsidRPr="00A25024" w:rsidRDefault="00542CF9" w:rsidP="003674BB">
      <w:pPr>
        <w:autoSpaceDE w:val="0"/>
        <w:autoSpaceDN w:val="0"/>
        <w:adjustRightInd w:val="0"/>
        <w:spacing w:after="0" w:line="240" w:lineRule="auto"/>
        <w:rPr>
          <w:rFonts w:cstheme="minorHAnsi"/>
          <w:bCs/>
        </w:rPr>
      </w:pPr>
    </w:p>
    <w:p w14:paraId="7063BC2B" w14:textId="3FE1AD1C" w:rsidR="00826192" w:rsidRPr="00151753" w:rsidRDefault="009C7513" w:rsidP="00151753">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bookmarkStart w:id="22" w:name="_Hlk511225577"/>
    </w:p>
    <w:p w14:paraId="0FAE332A" w14:textId="1F054D9A" w:rsidR="005370A4" w:rsidRPr="005370A4" w:rsidRDefault="005370A4" w:rsidP="005370A4">
      <w:pPr>
        <w:rPr>
          <w:color w:val="C00000"/>
          <w:szCs w:val="20"/>
        </w:rPr>
      </w:pPr>
      <w:r w:rsidRPr="005370A4">
        <w:rPr>
          <w:color w:val="C00000"/>
          <w:szCs w:val="20"/>
        </w:rPr>
        <w:t xml:space="preserve">Data from the PQRS program were used to perform the correlation analysis for this measure. </w:t>
      </w:r>
      <w:r w:rsidR="008463D9">
        <w:rPr>
          <w:color w:val="C00000"/>
          <w:szCs w:val="20"/>
        </w:rPr>
        <w:t xml:space="preserve">Data comes from the EHR versions </w:t>
      </w:r>
      <w:r w:rsidR="00456C29">
        <w:rPr>
          <w:color w:val="C00000"/>
          <w:szCs w:val="20"/>
        </w:rPr>
        <w:t>of Depression Utilization of the PHQ-9 Tool (PQRS #371)</w:t>
      </w:r>
      <w:r w:rsidR="007E22AE">
        <w:rPr>
          <w:color w:val="C00000"/>
          <w:szCs w:val="20"/>
        </w:rPr>
        <w:t xml:space="preserve">, </w:t>
      </w:r>
      <w:r w:rsidR="00456C29">
        <w:rPr>
          <w:color w:val="C00000"/>
          <w:szCs w:val="20"/>
        </w:rPr>
        <w:t>Dementia Cognitive Assessment (PQRS #281)</w:t>
      </w:r>
      <w:r w:rsidR="007E22AE">
        <w:rPr>
          <w:color w:val="C00000"/>
          <w:szCs w:val="20"/>
        </w:rPr>
        <w:t>, and Adult Major Depressive Disorder (MDD): Suicide Risk Assessment (PQRS #107).</w:t>
      </w:r>
    </w:p>
    <w:p w14:paraId="16EEB51C" w14:textId="34ED6926" w:rsidR="00826192" w:rsidRDefault="00456C29" w:rsidP="00826192">
      <w:pPr>
        <w:tabs>
          <w:tab w:val="left" w:pos="330"/>
        </w:tabs>
        <w:rPr>
          <w:bCs/>
          <w:iCs/>
          <w:color w:val="C00000"/>
          <w:u w:val="single"/>
        </w:rPr>
      </w:pPr>
      <w:r>
        <w:rPr>
          <w:color w:val="C00000"/>
          <w:szCs w:val="20"/>
        </w:rPr>
        <w:t>Dementia Cognitive Assessment (PQRS #281)</w:t>
      </w:r>
      <w:r>
        <w:rPr>
          <w:color w:val="C00000"/>
        </w:rPr>
        <w:t xml:space="preserve"> </w:t>
      </w:r>
      <w:r w:rsidR="00826192">
        <w:rPr>
          <w:color w:val="C00000"/>
        </w:rPr>
        <w:t xml:space="preserve">was positively correlated with </w:t>
      </w:r>
      <w:r>
        <w:rPr>
          <w:color w:val="C00000"/>
          <w:szCs w:val="20"/>
        </w:rPr>
        <w:t>Depression Utilization of the PHQ-9 Tool</w:t>
      </w:r>
      <w:r w:rsidR="00826192" w:rsidRPr="003674BB">
        <w:rPr>
          <w:color w:val="C00000"/>
          <w:szCs w:val="20"/>
        </w:rPr>
        <w:t xml:space="preserve"> (PQRS #</w:t>
      </w:r>
      <w:r>
        <w:rPr>
          <w:color w:val="C00000"/>
          <w:szCs w:val="20"/>
        </w:rPr>
        <w:t>371</w:t>
      </w:r>
      <w:r w:rsidR="00826192" w:rsidRPr="00CA7EAB">
        <w:rPr>
          <w:bCs/>
          <w:iCs/>
          <w:color w:val="C00000"/>
        </w:rPr>
        <w:t>)</w:t>
      </w:r>
      <w:r w:rsidR="007E22AE">
        <w:rPr>
          <w:bCs/>
          <w:iCs/>
          <w:color w:val="C00000"/>
        </w:rPr>
        <w:t xml:space="preserve"> and </w:t>
      </w:r>
      <w:r w:rsidR="007E22AE">
        <w:rPr>
          <w:color w:val="C00000"/>
          <w:szCs w:val="20"/>
        </w:rPr>
        <w:t>Adult Major Depressive Disorder (MDD): Suicide Risk Assessment (PQRS #107)</w:t>
      </w:r>
      <w:r w:rsidR="00826192" w:rsidRPr="00CA7EAB">
        <w:rPr>
          <w:bCs/>
          <w:iCs/>
          <w:color w:val="C00000"/>
        </w:rPr>
        <w:t xml:space="preserve">. </w:t>
      </w:r>
    </w:p>
    <w:p w14:paraId="5EA6ABF7" w14:textId="25EA13E1" w:rsidR="00826192" w:rsidRPr="00D611D2" w:rsidRDefault="00826192" w:rsidP="00826192">
      <w:pPr>
        <w:autoSpaceDE w:val="0"/>
        <w:autoSpaceDN w:val="0"/>
        <w:adjustRightInd w:val="0"/>
        <w:spacing w:after="0" w:line="240" w:lineRule="auto"/>
        <w:rPr>
          <w:rFonts w:cstheme="minorHAnsi"/>
          <w:b/>
          <w:bCs/>
          <w:color w:val="C00000"/>
          <w:u w:val="single"/>
        </w:rPr>
      </w:pPr>
      <w:r w:rsidRPr="00D611D2">
        <w:rPr>
          <w:rFonts w:cstheme="minorHAnsi"/>
          <w:b/>
          <w:bCs/>
          <w:color w:val="C00000"/>
          <w:u w:val="single"/>
        </w:rPr>
        <w:lastRenderedPageBreak/>
        <w:t>PQRS #</w:t>
      </w:r>
      <w:r w:rsidR="00456C29">
        <w:rPr>
          <w:rFonts w:cstheme="minorHAnsi"/>
          <w:b/>
          <w:bCs/>
          <w:color w:val="C00000"/>
          <w:u w:val="single"/>
        </w:rPr>
        <w:t>371</w:t>
      </w:r>
    </w:p>
    <w:p w14:paraId="3B2016CC" w14:textId="78B7441A" w:rsidR="00826192" w:rsidRDefault="00826192" w:rsidP="00826192">
      <w:pPr>
        <w:autoSpaceDE w:val="0"/>
        <w:autoSpaceDN w:val="0"/>
        <w:adjustRightInd w:val="0"/>
        <w:spacing w:after="0" w:line="240" w:lineRule="auto"/>
        <w:rPr>
          <w:rFonts w:cstheme="minorHAnsi"/>
          <w:bCs/>
          <w:color w:val="C00000"/>
        </w:rPr>
      </w:pPr>
      <w:r>
        <w:rPr>
          <w:rFonts w:cstheme="minorHAnsi"/>
          <w:bCs/>
          <w:color w:val="C00000"/>
        </w:rPr>
        <w:t>Coefficient of correlation = 0.</w:t>
      </w:r>
      <w:r w:rsidR="008343E7">
        <w:rPr>
          <w:rFonts w:cstheme="minorHAnsi"/>
          <w:bCs/>
          <w:color w:val="C00000"/>
        </w:rPr>
        <w:t>26</w:t>
      </w:r>
    </w:p>
    <w:p w14:paraId="59175172" w14:textId="43A723BE" w:rsidR="00826192" w:rsidRDefault="00826192" w:rsidP="00826192">
      <w:pPr>
        <w:tabs>
          <w:tab w:val="left" w:pos="330"/>
        </w:tabs>
        <w:contextualSpacing/>
        <w:rPr>
          <w:rFonts w:cstheme="minorHAnsi"/>
          <w:bCs/>
          <w:color w:val="C00000"/>
        </w:rPr>
      </w:pPr>
      <w:r>
        <w:rPr>
          <w:rFonts w:cstheme="minorHAnsi"/>
          <w:bCs/>
          <w:color w:val="C00000"/>
        </w:rPr>
        <w:t>P-value = 0.</w:t>
      </w:r>
      <w:r w:rsidR="003A7508">
        <w:rPr>
          <w:rFonts w:cstheme="minorHAnsi"/>
          <w:bCs/>
          <w:color w:val="C00000"/>
        </w:rPr>
        <w:t>05</w:t>
      </w:r>
    </w:p>
    <w:p w14:paraId="639B7DCC" w14:textId="7E131579" w:rsidR="006E2ACC" w:rsidRDefault="006E2ACC" w:rsidP="00826192">
      <w:pPr>
        <w:tabs>
          <w:tab w:val="left" w:pos="330"/>
        </w:tabs>
        <w:contextualSpacing/>
        <w:rPr>
          <w:rFonts w:cstheme="minorHAnsi"/>
          <w:bCs/>
          <w:color w:val="C00000"/>
        </w:rPr>
      </w:pPr>
      <w:bookmarkStart w:id="23" w:name="_Hlk534373003"/>
      <w:r>
        <w:rPr>
          <w:rFonts w:cstheme="minorHAnsi"/>
          <w:bCs/>
          <w:color w:val="C00000"/>
        </w:rPr>
        <w:t xml:space="preserve">Number of </w:t>
      </w:r>
      <w:r w:rsidRPr="003674BB">
        <w:rPr>
          <w:color w:val="C00000"/>
          <w:szCs w:val="20"/>
        </w:rPr>
        <w:t>shared providers based on NPI and TIN identifiers</w:t>
      </w:r>
      <w:r>
        <w:rPr>
          <w:rFonts w:cstheme="minorHAnsi"/>
          <w:bCs/>
          <w:color w:val="C00000"/>
        </w:rPr>
        <w:t xml:space="preserve"> = </w:t>
      </w:r>
      <w:r w:rsidR="003A7508">
        <w:rPr>
          <w:rFonts w:cstheme="minorHAnsi"/>
          <w:bCs/>
          <w:color w:val="C00000"/>
        </w:rPr>
        <w:t>57</w:t>
      </w:r>
    </w:p>
    <w:bookmarkEnd w:id="23"/>
    <w:p w14:paraId="2B187A52" w14:textId="3D2BC0E9" w:rsidR="006E2ACC" w:rsidRDefault="002B4283" w:rsidP="00826192">
      <w:pPr>
        <w:tabs>
          <w:tab w:val="left" w:pos="330"/>
        </w:tabs>
        <w:contextualSpacing/>
        <w:rPr>
          <w:color w:val="C00000"/>
        </w:rPr>
      </w:pPr>
      <w:r>
        <w:rPr>
          <w:color w:val="C00000"/>
        </w:rPr>
        <w:t xml:space="preserve">Number of PQRS #371 </w:t>
      </w:r>
      <w:r w:rsidR="007D2A1F">
        <w:rPr>
          <w:color w:val="C00000"/>
        </w:rPr>
        <w:t>q</w:t>
      </w:r>
      <w:r w:rsidRPr="002B4283">
        <w:rPr>
          <w:color w:val="C00000"/>
        </w:rPr>
        <w:t xml:space="preserve">ualifying </w:t>
      </w:r>
      <w:r w:rsidR="007D2A1F">
        <w:rPr>
          <w:color w:val="C00000"/>
        </w:rPr>
        <w:t>e</w:t>
      </w:r>
      <w:r w:rsidRPr="002B4283">
        <w:rPr>
          <w:color w:val="C00000"/>
        </w:rPr>
        <w:t xml:space="preserve">vents </w:t>
      </w:r>
      <w:r w:rsidR="007D2A1F">
        <w:rPr>
          <w:color w:val="C00000"/>
        </w:rPr>
        <w:t>i</w:t>
      </w:r>
      <w:r w:rsidRPr="002B4283">
        <w:rPr>
          <w:color w:val="C00000"/>
        </w:rPr>
        <w:t>ncluded</w:t>
      </w:r>
      <w:r w:rsidR="007D2A1F">
        <w:rPr>
          <w:color w:val="C00000"/>
        </w:rPr>
        <w:t xml:space="preserve"> in analysis</w:t>
      </w:r>
      <w:r>
        <w:rPr>
          <w:color w:val="C00000"/>
        </w:rPr>
        <w:t xml:space="preserve"> =</w:t>
      </w:r>
      <w:r w:rsidR="007D2A1F">
        <w:rPr>
          <w:color w:val="C00000"/>
        </w:rPr>
        <w:t xml:space="preserve"> </w:t>
      </w:r>
      <w:r w:rsidR="003A7508">
        <w:rPr>
          <w:color w:val="C00000"/>
        </w:rPr>
        <w:t>659</w:t>
      </w:r>
    </w:p>
    <w:p w14:paraId="24C4ACD0" w14:textId="52949185" w:rsidR="002B4283" w:rsidRPr="002B4283" w:rsidRDefault="002B4283" w:rsidP="00826192">
      <w:pPr>
        <w:tabs>
          <w:tab w:val="left" w:pos="330"/>
        </w:tabs>
        <w:contextualSpacing/>
        <w:rPr>
          <w:color w:val="C00000"/>
        </w:rPr>
      </w:pPr>
      <w:r>
        <w:rPr>
          <w:color w:val="C00000"/>
        </w:rPr>
        <w:t xml:space="preserve">Number of PQRS #281 </w:t>
      </w:r>
      <w:r w:rsidR="007D2A1F">
        <w:rPr>
          <w:color w:val="C00000"/>
        </w:rPr>
        <w:t>q</w:t>
      </w:r>
      <w:r>
        <w:rPr>
          <w:color w:val="C00000"/>
        </w:rPr>
        <w:t xml:space="preserve">ualifying </w:t>
      </w:r>
      <w:r w:rsidR="007D2A1F">
        <w:rPr>
          <w:color w:val="C00000"/>
        </w:rPr>
        <w:t>e</w:t>
      </w:r>
      <w:r>
        <w:rPr>
          <w:color w:val="C00000"/>
        </w:rPr>
        <w:t xml:space="preserve">vents </w:t>
      </w:r>
      <w:r w:rsidR="007D2A1F">
        <w:rPr>
          <w:color w:val="C00000"/>
        </w:rPr>
        <w:t>i</w:t>
      </w:r>
      <w:r>
        <w:rPr>
          <w:color w:val="C00000"/>
        </w:rPr>
        <w:t>ncluded</w:t>
      </w:r>
      <w:r w:rsidR="007D2A1F">
        <w:rPr>
          <w:color w:val="C00000"/>
        </w:rPr>
        <w:t xml:space="preserve"> in analysis</w:t>
      </w:r>
      <w:r>
        <w:rPr>
          <w:color w:val="C00000"/>
        </w:rPr>
        <w:t xml:space="preserve"> = </w:t>
      </w:r>
      <w:r w:rsidR="003A7508">
        <w:rPr>
          <w:color w:val="C00000"/>
        </w:rPr>
        <w:t>12465</w:t>
      </w:r>
    </w:p>
    <w:p w14:paraId="6364F425" w14:textId="77777777" w:rsidR="002B4283" w:rsidRDefault="002B4283" w:rsidP="00826192">
      <w:pPr>
        <w:tabs>
          <w:tab w:val="left" w:pos="330"/>
        </w:tabs>
        <w:contextualSpacing/>
        <w:rPr>
          <w:b/>
          <w:color w:val="C00000"/>
          <w:u w:val="single"/>
        </w:rPr>
      </w:pPr>
    </w:p>
    <w:p w14:paraId="40143E69" w14:textId="1AFE5BE7" w:rsidR="007E22AE" w:rsidRDefault="007E22AE" w:rsidP="00826192">
      <w:pPr>
        <w:tabs>
          <w:tab w:val="left" w:pos="330"/>
        </w:tabs>
        <w:contextualSpacing/>
        <w:rPr>
          <w:b/>
          <w:color w:val="C00000"/>
          <w:u w:val="single"/>
        </w:rPr>
      </w:pPr>
      <w:r>
        <w:rPr>
          <w:b/>
          <w:color w:val="C00000"/>
          <w:u w:val="single"/>
        </w:rPr>
        <w:t>PQRS #107</w:t>
      </w:r>
    </w:p>
    <w:p w14:paraId="641571FE" w14:textId="289F8438" w:rsidR="007E22AE" w:rsidRDefault="007E22AE" w:rsidP="007E22AE">
      <w:pPr>
        <w:autoSpaceDE w:val="0"/>
        <w:autoSpaceDN w:val="0"/>
        <w:adjustRightInd w:val="0"/>
        <w:spacing w:after="0" w:line="240" w:lineRule="auto"/>
        <w:contextualSpacing/>
        <w:rPr>
          <w:rFonts w:cstheme="minorHAnsi"/>
          <w:bCs/>
          <w:color w:val="C00000"/>
        </w:rPr>
      </w:pPr>
      <w:r>
        <w:rPr>
          <w:rFonts w:cstheme="minorHAnsi"/>
          <w:bCs/>
          <w:color w:val="C00000"/>
        </w:rPr>
        <w:t>Coefficient of correlation = 0.</w:t>
      </w:r>
      <w:r w:rsidR="004A3FED">
        <w:rPr>
          <w:rFonts w:cstheme="minorHAnsi"/>
          <w:bCs/>
          <w:color w:val="C00000"/>
        </w:rPr>
        <w:t>56</w:t>
      </w:r>
    </w:p>
    <w:p w14:paraId="7A35E64B" w14:textId="0AA01736" w:rsidR="006E2ACC" w:rsidRDefault="007E22AE" w:rsidP="00826192">
      <w:pPr>
        <w:tabs>
          <w:tab w:val="left" w:pos="330"/>
        </w:tabs>
        <w:contextualSpacing/>
        <w:rPr>
          <w:rFonts w:cstheme="minorHAnsi"/>
          <w:bCs/>
          <w:color w:val="C00000"/>
        </w:rPr>
      </w:pPr>
      <w:r>
        <w:rPr>
          <w:rFonts w:cstheme="minorHAnsi"/>
          <w:bCs/>
          <w:color w:val="C00000"/>
        </w:rPr>
        <w:t>P-value = 0.</w:t>
      </w:r>
      <w:r w:rsidR="004A3FED">
        <w:rPr>
          <w:rFonts w:cstheme="minorHAnsi"/>
          <w:bCs/>
          <w:color w:val="C00000"/>
        </w:rPr>
        <w:t>08</w:t>
      </w:r>
    </w:p>
    <w:p w14:paraId="65C0514A" w14:textId="3AA7354E" w:rsidR="006E2ACC" w:rsidRDefault="006E2ACC" w:rsidP="00826192">
      <w:pPr>
        <w:tabs>
          <w:tab w:val="left" w:pos="330"/>
        </w:tabs>
        <w:contextualSpacing/>
        <w:rPr>
          <w:rFonts w:cstheme="minorHAnsi"/>
          <w:bCs/>
          <w:color w:val="C00000"/>
        </w:rPr>
      </w:pPr>
      <w:bookmarkStart w:id="24" w:name="_Hlk534360365"/>
      <w:r>
        <w:rPr>
          <w:rFonts w:cstheme="minorHAnsi"/>
          <w:bCs/>
          <w:color w:val="C00000"/>
        </w:rPr>
        <w:t xml:space="preserve">Number of </w:t>
      </w:r>
      <w:r w:rsidRPr="003674BB">
        <w:rPr>
          <w:color w:val="C00000"/>
          <w:szCs w:val="20"/>
        </w:rPr>
        <w:t>shared providers based on NPI and TIN identifiers</w:t>
      </w:r>
      <w:r>
        <w:rPr>
          <w:rFonts w:cstheme="minorHAnsi"/>
          <w:bCs/>
          <w:color w:val="C00000"/>
        </w:rPr>
        <w:t xml:space="preserve"> = </w:t>
      </w:r>
      <w:bookmarkEnd w:id="24"/>
      <w:r w:rsidR="003A7508">
        <w:rPr>
          <w:rFonts w:cstheme="minorHAnsi"/>
          <w:bCs/>
          <w:color w:val="C00000"/>
        </w:rPr>
        <w:t>11</w:t>
      </w:r>
    </w:p>
    <w:p w14:paraId="3F0ECFCE" w14:textId="3BB4BE23" w:rsidR="007D2A1F" w:rsidRDefault="007D2A1F" w:rsidP="007D2A1F">
      <w:pPr>
        <w:tabs>
          <w:tab w:val="left" w:pos="330"/>
        </w:tabs>
        <w:contextualSpacing/>
        <w:rPr>
          <w:color w:val="C00000"/>
        </w:rPr>
      </w:pPr>
      <w:r>
        <w:rPr>
          <w:color w:val="C00000"/>
        </w:rPr>
        <w:t>Number of PQRS #107 q</w:t>
      </w:r>
      <w:r w:rsidRPr="002B4283">
        <w:rPr>
          <w:color w:val="C00000"/>
        </w:rPr>
        <w:t xml:space="preserve">ualifying </w:t>
      </w:r>
      <w:r>
        <w:rPr>
          <w:color w:val="C00000"/>
        </w:rPr>
        <w:t>e</w:t>
      </w:r>
      <w:r w:rsidRPr="002B4283">
        <w:rPr>
          <w:color w:val="C00000"/>
        </w:rPr>
        <w:t xml:space="preserve">vents </w:t>
      </w:r>
      <w:r>
        <w:rPr>
          <w:color w:val="C00000"/>
        </w:rPr>
        <w:t>i</w:t>
      </w:r>
      <w:r w:rsidRPr="002B4283">
        <w:rPr>
          <w:color w:val="C00000"/>
        </w:rPr>
        <w:t>ncluded</w:t>
      </w:r>
      <w:r>
        <w:rPr>
          <w:color w:val="C00000"/>
        </w:rPr>
        <w:t xml:space="preserve"> in analysis = </w:t>
      </w:r>
      <w:r w:rsidR="003A7508">
        <w:rPr>
          <w:color w:val="C00000"/>
        </w:rPr>
        <w:t>3391</w:t>
      </w:r>
    </w:p>
    <w:p w14:paraId="6A4DA062" w14:textId="1FEF2586" w:rsidR="007D2A1F" w:rsidRPr="007D2A1F" w:rsidRDefault="007D2A1F" w:rsidP="00826192">
      <w:pPr>
        <w:tabs>
          <w:tab w:val="left" w:pos="330"/>
        </w:tabs>
        <w:contextualSpacing/>
        <w:rPr>
          <w:color w:val="C00000"/>
        </w:rPr>
      </w:pPr>
      <w:r>
        <w:rPr>
          <w:color w:val="C00000"/>
        </w:rPr>
        <w:t xml:space="preserve">Number of PQRS #281 qualifying events included in analysis = </w:t>
      </w:r>
      <w:r w:rsidR="003A7508">
        <w:rPr>
          <w:color w:val="C00000"/>
        </w:rPr>
        <w:t>99</w:t>
      </w:r>
    </w:p>
    <w:p w14:paraId="3E081165" w14:textId="77777777" w:rsidR="007E22AE" w:rsidRPr="007E22AE" w:rsidRDefault="007E22AE" w:rsidP="00826192">
      <w:pPr>
        <w:tabs>
          <w:tab w:val="left" w:pos="330"/>
        </w:tabs>
        <w:rPr>
          <w:color w:val="C00000"/>
        </w:rPr>
      </w:pPr>
    </w:p>
    <w:bookmarkEnd w:id="22"/>
    <w:p w14:paraId="5FBA4180" w14:textId="77777777" w:rsidR="00A422A6" w:rsidRPr="00092566" w:rsidRDefault="00A422A6" w:rsidP="00092566">
      <w:pPr>
        <w:autoSpaceDE w:val="0"/>
        <w:autoSpaceDN w:val="0"/>
        <w:adjustRightInd w:val="0"/>
        <w:spacing w:after="0" w:line="240" w:lineRule="auto"/>
        <w:rPr>
          <w:rFonts w:cstheme="minorHAnsi"/>
          <w:bCs/>
        </w:rPr>
      </w:pPr>
    </w:p>
    <w:p w14:paraId="09B6B35A" w14:textId="5A27B1ED" w:rsidR="005370A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5F7B792C" w14:textId="673337B7" w:rsidR="00A422A6" w:rsidRDefault="00A422A6" w:rsidP="00DB3627">
      <w:pPr>
        <w:autoSpaceDE w:val="0"/>
        <w:autoSpaceDN w:val="0"/>
        <w:adjustRightInd w:val="0"/>
        <w:spacing w:after="0" w:line="240" w:lineRule="auto"/>
        <w:rPr>
          <w:rFonts w:cstheme="minorHAnsi"/>
          <w:bCs/>
        </w:rPr>
      </w:pPr>
    </w:p>
    <w:p w14:paraId="080ED0E8" w14:textId="1F77D83A" w:rsidR="003674BB" w:rsidRDefault="00456C29" w:rsidP="003674BB">
      <w:pPr>
        <w:rPr>
          <w:color w:val="C00000"/>
          <w:szCs w:val="20"/>
        </w:rPr>
      </w:pPr>
      <w:r>
        <w:rPr>
          <w:color w:val="C00000"/>
          <w:szCs w:val="20"/>
        </w:rPr>
        <w:t>Dementia Cognitive Assessment</w:t>
      </w:r>
      <w:r>
        <w:rPr>
          <w:rFonts w:cstheme="minorHAnsi"/>
          <w:bCs/>
          <w:color w:val="C00000"/>
        </w:rPr>
        <w:t xml:space="preserve"> </w:t>
      </w:r>
      <w:r w:rsidR="003674BB">
        <w:rPr>
          <w:rFonts w:cstheme="minorHAnsi"/>
          <w:bCs/>
          <w:color w:val="C00000"/>
        </w:rPr>
        <w:t>has</w:t>
      </w:r>
      <w:r w:rsidR="00826192">
        <w:rPr>
          <w:rFonts w:cstheme="minorHAnsi"/>
          <w:bCs/>
          <w:color w:val="C00000"/>
        </w:rPr>
        <w:t xml:space="preserve"> strong</w:t>
      </w:r>
      <w:r w:rsidR="003674BB">
        <w:rPr>
          <w:rFonts w:cstheme="minorHAnsi"/>
          <w:bCs/>
          <w:color w:val="C00000"/>
        </w:rPr>
        <w:t xml:space="preserve"> positive correlation</w:t>
      </w:r>
      <w:r w:rsidR="007E22AE">
        <w:rPr>
          <w:rFonts w:cstheme="minorHAnsi"/>
          <w:bCs/>
          <w:color w:val="C00000"/>
        </w:rPr>
        <w:t>s</w:t>
      </w:r>
      <w:r w:rsidR="003674BB">
        <w:rPr>
          <w:rFonts w:cstheme="minorHAnsi"/>
          <w:bCs/>
          <w:color w:val="C00000"/>
        </w:rPr>
        <w:t xml:space="preserve"> with </w:t>
      </w:r>
      <w:r w:rsidR="007E22AE">
        <w:rPr>
          <w:rFonts w:cstheme="minorHAnsi"/>
          <w:bCs/>
          <w:color w:val="C00000"/>
        </w:rPr>
        <w:t>other</w:t>
      </w:r>
      <w:r w:rsidR="003674BB">
        <w:rPr>
          <w:rFonts w:cstheme="minorHAnsi"/>
          <w:bCs/>
          <w:color w:val="C00000"/>
        </w:rPr>
        <w:t xml:space="preserve"> evidence-based process</w:t>
      </w:r>
      <w:r w:rsidR="007E22AE">
        <w:rPr>
          <w:rFonts w:cstheme="minorHAnsi"/>
          <w:bCs/>
          <w:color w:val="C00000"/>
        </w:rPr>
        <w:t>es</w:t>
      </w:r>
      <w:r w:rsidR="003674BB">
        <w:rPr>
          <w:rFonts w:cstheme="minorHAnsi"/>
          <w:bCs/>
          <w:color w:val="C00000"/>
        </w:rPr>
        <w:t xml:space="preserve"> of care</w:t>
      </w:r>
      <w:r w:rsidR="000B0991">
        <w:rPr>
          <w:rFonts w:cstheme="minorHAnsi"/>
          <w:bCs/>
          <w:color w:val="C00000"/>
        </w:rPr>
        <w:t xml:space="preserve"> (PQRS #371 and PQRS #107)</w:t>
      </w:r>
      <w:r>
        <w:rPr>
          <w:rFonts w:cstheme="minorHAnsi"/>
          <w:bCs/>
          <w:color w:val="C00000"/>
        </w:rPr>
        <w:t xml:space="preserve"> and</w:t>
      </w:r>
      <w:r w:rsidR="007E22AE">
        <w:rPr>
          <w:rFonts w:cstheme="minorHAnsi"/>
          <w:bCs/>
          <w:color w:val="C00000"/>
        </w:rPr>
        <w:t xml:space="preserve"> is</w:t>
      </w:r>
      <w:r>
        <w:rPr>
          <w:rFonts w:cstheme="minorHAnsi"/>
          <w:bCs/>
          <w:color w:val="C00000"/>
        </w:rPr>
        <w:t xml:space="preserve"> statistically significant at the 90% significance level</w:t>
      </w:r>
      <w:r w:rsidR="007E22AE">
        <w:rPr>
          <w:rFonts w:cstheme="minorHAnsi"/>
          <w:bCs/>
          <w:color w:val="C00000"/>
        </w:rPr>
        <w:t xml:space="preserve"> when correlated with Depression Utilization of the PHQ-9 Tool</w:t>
      </w:r>
      <w:r w:rsidR="008A270A">
        <w:rPr>
          <w:rFonts w:cstheme="minorHAnsi"/>
          <w:bCs/>
          <w:color w:val="C00000"/>
        </w:rPr>
        <w:t xml:space="preserve"> and with Adult Major Depressive Disorder (MDD): Suicide Risk Assessment</w:t>
      </w:r>
      <w:r w:rsidR="007E22AE">
        <w:rPr>
          <w:rFonts w:cstheme="minorHAnsi"/>
          <w:bCs/>
          <w:color w:val="C00000"/>
        </w:rPr>
        <w:t>.</w:t>
      </w:r>
      <w:r w:rsidR="008A270A">
        <w:rPr>
          <w:rFonts w:cstheme="minorHAnsi"/>
          <w:bCs/>
          <w:color w:val="C00000"/>
        </w:rPr>
        <w:t xml:space="preserve"> </w:t>
      </w:r>
      <w:r w:rsidR="007E22AE">
        <w:rPr>
          <w:rFonts w:cstheme="minorHAnsi"/>
          <w:bCs/>
          <w:color w:val="C00000"/>
        </w:rPr>
        <w:t>Together,</w:t>
      </w:r>
      <w:r w:rsidR="003674BB">
        <w:rPr>
          <w:rFonts w:cstheme="minorHAnsi"/>
          <w:bCs/>
          <w:color w:val="C00000"/>
        </w:rPr>
        <w:t xml:space="preserve"> </w:t>
      </w:r>
      <w:r w:rsidR="007E22AE">
        <w:rPr>
          <w:rFonts w:cstheme="minorHAnsi"/>
          <w:bCs/>
          <w:color w:val="C00000"/>
        </w:rPr>
        <w:t>t</w:t>
      </w:r>
      <w:r w:rsidR="003674BB">
        <w:rPr>
          <w:rFonts w:cstheme="minorHAnsi"/>
          <w:bCs/>
          <w:color w:val="C00000"/>
        </w:rPr>
        <w:t>he</w:t>
      </w:r>
      <w:r w:rsidR="007E22AE">
        <w:rPr>
          <w:rFonts w:cstheme="minorHAnsi"/>
          <w:bCs/>
          <w:color w:val="C00000"/>
        </w:rPr>
        <w:t xml:space="preserve"> two</w:t>
      </w:r>
      <w:r w:rsidR="003674BB">
        <w:rPr>
          <w:rFonts w:cstheme="minorHAnsi"/>
          <w:bCs/>
          <w:color w:val="C00000"/>
        </w:rPr>
        <w:t xml:space="preserve"> correlation</w:t>
      </w:r>
      <w:r w:rsidR="007E22AE">
        <w:rPr>
          <w:rFonts w:cstheme="minorHAnsi"/>
          <w:bCs/>
          <w:color w:val="C00000"/>
        </w:rPr>
        <w:t>s</w:t>
      </w:r>
      <w:r w:rsidR="003674BB">
        <w:rPr>
          <w:rFonts w:cstheme="minorHAnsi"/>
          <w:bCs/>
          <w:color w:val="C00000"/>
        </w:rPr>
        <w:t xml:space="preserve"> demonstrate the criterion validity of the measure. </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BA94329"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Content>
          <w:r w:rsidR="00A422A6">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1C2416E2" w:rsidR="00833325" w:rsidRPr="00A17E4C" w:rsidRDefault="00092566" w:rsidP="00DB3627">
      <w:pPr>
        <w:autoSpaceDE w:val="0"/>
        <w:autoSpaceDN w:val="0"/>
        <w:adjustRightInd w:val="0"/>
        <w:spacing w:after="0" w:line="240" w:lineRule="auto"/>
        <w:rPr>
          <w:rFonts w:cstheme="minorHAnsi"/>
          <w:bCs/>
        </w:rPr>
      </w:pPr>
      <w:r w:rsidRPr="00A17E4C">
        <w:rPr>
          <w:rFonts w:cstheme="minorHAnsi"/>
          <w:b/>
          <w:bCs/>
        </w:rPr>
        <w:t>2b</w:t>
      </w:r>
      <w:r w:rsidR="009C7513" w:rsidRPr="00A17E4C">
        <w:rPr>
          <w:rFonts w:cstheme="minorHAnsi"/>
          <w:b/>
          <w:bCs/>
        </w:rPr>
        <w:t>2</w:t>
      </w:r>
      <w:r w:rsidRPr="00A17E4C">
        <w:rPr>
          <w:rFonts w:cstheme="minorHAnsi"/>
          <w:b/>
          <w:bCs/>
        </w:rPr>
        <w:t>.</w:t>
      </w:r>
      <w:r w:rsidR="00A25024" w:rsidRPr="00A17E4C">
        <w:rPr>
          <w:rFonts w:cstheme="minorHAnsi"/>
          <w:b/>
          <w:bCs/>
        </w:rPr>
        <w:t>1. Describe the method of</w:t>
      </w:r>
      <w:r w:rsidR="00E672D6" w:rsidRPr="00A17E4C">
        <w:rPr>
          <w:rFonts w:cstheme="minorHAnsi"/>
          <w:b/>
          <w:bCs/>
        </w:rPr>
        <w:t xml:space="preserve"> </w:t>
      </w:r>
      <w:r w:rsidR="005333CC" w:rsidRPr="00A17E4C">
        <w:rPr>
          <w:rFonts w:cstheme="minorHAnsi"/>
          <w:b/>
          <w:bCs/>
        </w:rPr>
        <w:t>testing</w:t>
      </w:r>
      <w:r w:rsidR="00833325" w:rsidRPr="00A17E4C">
        <w:rPr>
          <w:rFonts w:cstheme="minorHAnsi"/>
          <w:b/>
          <w:bCs/>
        </w:rPr>
        <w:t xml:space="preserve"> </w:t>
      </w:r>
      <w:r w:rsidR="004B6CEE" w:rsidRPr="00A17E4C">
        <w:rPr>
          <w:rFonts w:cstheme="minorHAnsi"/>
          <w:b/>
          <w:bCs/>
        </w:rPr>
        <w:t xml:space="preserve">exclusions </w:t>
      </w:r>
      <w:r w:rsidR="00A25024" w:rsidRPr="00A17E4C">
        <w:rPr>
          <w:rFonts w:cstheme="minorHAnsi"/>
          <w:b/>
          <w:bCs/>
        </w:rPr>
        <w:t>and what it tests</w:t>
      </w:r>
      <w:r w:rsidR="00833325" w:rsidRPr="00A17E4C">
        <w:rPr>
          <w:rFonts w:cstheme="minorHAnsi"/>
          <w:bCs/>
        </w:rPr>
        <w:t xml:space="preserve"> (</w:t>
      </w:r>
      <w:r w:rsidR="00A25024" w:rsidRPr="00A17E4C">
        <w:rPr>
          <w:rFonts w:cstheme="minorHAnsi"/>
          <w:bCs/>
          <w:i/>
        </w:rPr>
        <w:t>describe the steps―do not just name a method; what was tested, e.g., whether exclusions affect overall performance scores</w:t>
      </w:r>
      <w:r w:rsidR="0022691B" w:rsidRPr="00A17E4C">
        <w:rPr>
          <w:rFonts w:cstheme="minorHAnsi"/>
          <w:bCs/>
          <w:i/>
        </w:rPr>
        <w:t>; what statistical analysis was used</w:t>
      </w:r>
      <w:r w:rsidR="00833325" w:rsidRPr="00A17E4C">
        <w:rPr>
          <w:rFonts w:cstheme="minorHAnsi"/>
          <w:bCs/>
        </w:rPr>
        <w:t>)</w:t>
      </w:r>
      <w:r w:rsidR="00833325" w:rsidRPr="00A17E4C">
        <w:rPr>
          <w:rFonts w:cstheme="minorHAnsi"/>
          <w:bCs/>
        </w:rPr>
        <w:br/>
        <w:t xml:space="preserve"> </w:t>
      </w:r>
    </w:p>
    <w:p w14:paraId="0964C81E" w14:textId="77777777" w:rsidR="00A17E4C" w:rsidRPr="00A17E4C" w:rsidRDefault="00A17E4C" w:rsidP="00A17E4C">
      <w:pPr>
        <w:tabs>
          <w:tab w:val="left" w:pos="90"/>
        </w:tabs>
        <w:spacing w:after="0"/>
        <w:rPr>
          <w:color w:val="C00000"/>
          <w:szCs w:val="20"/>
        </w:rPr>
      </w:pPr>
      <w:r w:rsidRPr="00A17E4C">
        <w:rPr>
          <w:color w:val="C00000"/>
          <w:szCs w:val="20"/>
        </w:rPr>
        <w:t xml:space="preserve">Exceptions include: </w:t>
      </w:r>
    </w:p>
    <w:p w14:paraId="3078A137" w14:textId="566B2CA3" w:rsidR="00A17E4C" w:rsidRPr="00A17E4C" w:rsidRDefault="00A17E4C" w:rsidP="00A17E4C">
      <w:pPr>
        <w:pStyle w:val="ListParagraph"/>
        <w:numPr>
          <w:ilvl w:val="0"/>
          <w:numId w:val="38"/>
        </w:numPr>
        <w:tabs>
          <w:tab w:val="left" w:pos="330"/>
        </w:tabs>
        <w:spacing w:after="0" w:line="240" w:lineRule="auto"/>
        <w:rPr>
          <w:color w:val="C00000"/>
          <w:szCs w:val="20"/>
        </w:rPr>
      </w:pPr>
      <w:r w:rsidRPr="00A17E4C">
        <w:rPr>
          <w:color w:val="C00000"/>
          <w:szCs w:val="20"/>
        </w:rPr>
        <w:t>Documentation of patient reason(s) for not assessing cognition</w:t>
      </w:r>
    </w:p>
    <w:p w14:paraId="7525EB84" w14:textId="77777777" w:rsidR="00A17E4C" w:rsidRPr="00A17E4C" w:rsidRDefault="00A17E4C" w:rsidP="00A17E4C">
      <w:pPr>
        <w:tabs>
          <w:tab w:val="left" w:pos="330"/>
        </w:tabs>
        <w:spacing w:after="0" w:line="240" w:lineRule="auto"/>
        <w:rPr>
          <w:color w:val="C00000"/>
          <w:szCs w:val="20"/>
        </w:rPr>
      </w:pPr>
    </w:p>
    <w:p w14:paraId="1ECD9053" w14:textId="7DC12142" w:rsidR="00A17E4C" w:rsidRPr="00A17E4C" w:rsidRDefault="00A17E4C" w:rsidP="00A17E4C">
      <w:pPr>
        <w:tabs>
          <w:tab w:val="left" w:pos="330"/>
        </w:tabs>
        <w:spacing w:after="0" w:line="240" w:lineRule="auto"/>
        <w:rPr>
          <w:color w:val="C00000"/>
          <w:szCs w:val="20"/>
        </w:rPr>
      </w:pPr>
      <w:r w:rsidRPr="00A17E4C">
        <w:rPr>
          <w:color w:val="C00000"/>
          <w:szCs w:val="20"/>
        </w:rPr>
        <w:t>Exceptions were analyzed for frequency across providers.</w:t>
      </w:r>
    </w:p>
    <w:p w14:paraId="2F8E902E" w14:textId="77777777" w:rsidR="00A422A6" w:rsidRPr="00A17E4C" w:rsidRDefault="00A422A6" w:rsidP="00DB3627">
      <w:pPr>
        <w:autoSpaceDE w:val="0"/>
        <w:autoSpaceDN w:val="0"/>
        <w:adjustRightInd w:val="0"/>
        <w:spacing w:after="0" w:line="240" w:lineRule="auto"/>
        <w:rPr>
          <w:rFonts w:cstheme="minorHAnsi"/>
          <w:bCs/>
          <w:sz w:val="12"/>
        </w:rPr>
      </w:pPr>
    </w:p>
    <w:p w14:paraId="0CABCFE5" w14:textId="77777777" w:rsidR="00833325" w:rsidRPr="00A17E4C" w:rsidRDefault="00833325" w:rsidP="00DB3627">
      <w:pPr>
        <w:autoSpaceDE w:val="0"/>
        <w:autoSpaceDN w:val="0"/>
        <w:adjustRightInd w:val="0"/>
        <w:spacing w:after="0" w:line="240" w:lineRule="auto"/>
        <w:rPr>
          <w:rFonts w:cstheme="minorHAnsi"/>
          <w:bCs/>
        </w:rPr>
      </w:pPr>
    </w:p>
    <w:p w14:paraId="0CABCFE6" w14:textId="23901C9D" w:rsidR="007422FD" w:rsidRPr="00A17E4C" w:rsidRDefault="00092566" w:rsidP="00092566">
      <w:pPr>
        <w:autoSpaceDE w:val="0"/>
        <w:autoSpaceDN w:val="0"/>
        <w:adjustRightInd w:val="0"/>
        <w:spacing w:after="0" w:line="240" w:lineRule="auto"/>
        <w:rPr>
          <w:rFonts w:cstheme="minorHAnsi"/>
          <w:bCs/>
        </w:rPr>
      </w:pPr>
      <w:r w:rsidRPr="00A17E4C">
        <w:rPr>
          <w:rFonts w:cstheme="minorHAnsi"/>
          <w:b/>
          <w:bCs/>
        </w:rPr>
        <w:t>2b</w:t>
      </w:r>
      <w:r w:rsidR="009C7513" w:rsidRPr="00A17E4C">
        <w:rPr>
          <w:rFonts w:cstheme="minorHAnsi"/>
          <w:b/>
          <w:bCs/>
        </w:rPr>
        <w:t>2</w:t>
      </w:r>
      <w:r w:rsidRPr="00A17E4C">
        <w:rPr>
          <w:rFonts w:cstheme="minorHAnsi"/>
          <w:b/>
          <w:bCs/>
        </w:rPr>
        <w:t>.</w:t>
      </w:r>
      <w:r w:rsidR="00A25024" w:rsidRPr="00A17E4C">
        <w:rPr>
          <w:rFonts w:cstheme="minorHAnsi"/>
          <w:b/>
          <w:bCs/>
        </w:rPr>
        <w:t xml:space="preserve">2. </w:t>
      </w:r>
      <w:r w:rsidR="00833325" w:rsidRPr="00A17E4C">
        <w:rPr>
          <w:rFonts w:cstheme="minorHAnsi"/>
          <w:b/>
          <w:bCs/>
        </w:rPr>
        <w:t xml:space="preserve">What were the statistical results </w:t>
      </w:r>
      <w:r w:rsidR="007422FD" w:rsidRPr="00A17E4C">
        <w:rPr>
          <w:rFonts w:cstheme="minorHAnsi"/>
          <w:b/>
          <w:bCs/>
        </w:rPr>
        <w:t>from testing exclusions</w:t>
      </w:r>
      <w:r w:rsidR="00833325" w:rsidRPr="00A17E4C">
        <w:rPr>
          <w:rFonts w:cstheme="minorHAnsi"/>
          <w:bCs/>
        </w:rPr>
        <w:t>?</w:t>
      </w:r>
      <w:r w:rsidR="000B2DF7" w:rsidRPr="00A17E4C">
        <w:rPr>
          <w:rFonts w:cstheme="minorHAnsi"/>
          <w:bCs/>
        </w:rPr>
        <w:t xml:space="preserve"> (</w:t>
      </w:r>
      <w:r w:rsidR="000B2DF7" w:rsidRPr="00A17E4C">
        <w:rPr>
          <w:rFonts w:cstheme="minorHAnsi"/>
          <w:bCs/>
          <w:i/>
        </w:rPr>
        <w:t xml:space="preserve">include </w:t>
      </w:r>
      <w:r w:rsidR="00356BAD" w:rsidRPr="00A17E4C">
        <w:rPr>
          <w:rFonts w:cstheme="minorHAnsi"/>
          <w:bCs/>
          <w:i/>
        </w:rPr>
        <w:t xml:space="preserve">overall </w:t>
      </w:r>
      <w:r w:rsidR="000B2DF7" w:rsidRPr="00A17E4C">
        <w:rPr>
          <w:rFonts w:cstheme="minorHAnsi"/>
          <w:bCs/>
          <w:i/>
        </w:rPr>
        <w:t>number and percentage of individuals excluded</w:t>
      </w:r>
      <w:r w:rsidR="0025762F" w:rsidRPr="00A17E4C">
        <w:rPr>
          <w:rFonts w:cstheme="minorHAnsi"/>
          <w:bCs/>
          <w:i/>
        </w:rPr>
        <w:t>, frequency distribution of exclusions across measured entities,</w:t>
      </w:r>
      <w:r w:rsidR="000B2DF7" w:rsidRPr="00A17E4C">
        <w:rPr>
          <w:rFonts w:cstheme="minorHAnsi"/>
          <w:bCs/>
          <w:i/>
        </w:rPr>
        <w:t xml:space="preserve"> and impact on performance measure scores</w:t>
      </w:r>
      <w:r w:rsidR="000B2DF7" w:rsidRPr="00A17E4C">
        <w:rPr>
          <w:rFonts w:cstheme="minorHAnsi"/>
          <w:bCs/>
        </w:rPr>
        <w:t>)</w:t>
      </w:r>
      <w:r w:rsidR="00833325" w:rsidRPr="00A17E4C">
        <w:rPr>
          <w:rFonts w:cstheme="minorHAnsi"/>
          <w:bCs/>
        </w:rPr>
        <w:br/>
      </w:r>
    </w:p>
    <w:p w14:paraId="17FEE364" w14:textId="4B57FB27" w:rsidR="00435F32" w:rsidRPr="009D3882" w:rsidRDefault="00A17E4C" w:rsidP="00435F32">
      <w:pPr>
        <w:autoSpaceDE w:val="0"/>
        <w:autoSpaceDN w:val="0"/>
        <w:adjustRightInd w:val="0"/>
        <w:spacing w:after="0" w:line="240" w:lineRule="auto"/>
        <w:rPr>
          <w:rFonts w:cstheme="minorHAnsi"/>
          <w:bCs/>
          <w:sz w:val="12"/>
        </w:rPr>
      </w:pPr>
      <w:r w:rsidRPr="00A17E4C">
        <w:rPr>
          <w:color w:val="C00000"/>
          <w:szCs w:val="20"/>
        </w:rPr>
        <w:t xml:space="preserve">Amongst the </w:t>
      </w:r>
      <w:r w:rsidR="0017749C">
        <w:rPr>
          <w:color w:val="C00000"/>
          <w:szCs w:val="20"/>
        </w:rPr>
        <w:t>511 included</w:t>
      </w:r>
      <w:r w:rsidR="00834B47">
        <w:rPr>
          <w:color w:val="C00000"/>
          <w:szCs w:val="20"/>
        </w:rPr>
        <w:t xml:space="preserve"> providers</w:t>
      </w:r>
      <w:r w:rsidRPr="00A17E4C">
        <w:rPr>
          <w:color w:val="C00000"/>
          <w:szCs w:val="20"/>
        </w:rPr>
        <w:t>, there were a total of 16</w:t>
      </w:r>
      <w:r w:rsidR="00834B47">
        <w:rPr>
          <w:color w:val="C00000"/>
          <w:szCs w:val="20"/>
        </w:rPr>
        <w:t>6</w:t>
      </w:r>
      <w:r w:rsidRPr="00A17E4C">
        <w:rPr>
          <w:color w:val="C00000"/>
          <w:szCs w:val="20"/>
        </w:rPr>
        <w:t xml:space="preserve"> exceptions reported. The average number of exceptions per </w:t>
      </w:r>
      <w:r w:rsidR="006E2ACC">
        <w:rPr>
          <w:color w:val="C00000"/>
          <w:szCs w:val="20"/>
        </w:rPr>
        <w:t>provider</w:t>
      </w:r>
      <w:r w:rsidRPr="00A17E4C">
        <w:rPr>
          <w:color w:val="C00000"/>
          <w:szCs w:val="20"/>
        </w:rPr>
        <w:t xml:space="preserve"> in this sample is 0.</w:t>
      </w:r>
      <w:r w:rsidR="00834B47">
        <w:rPr>
          <w:color w:val="C00000"/>
          <w:szCs w:val="20"/>
        </w:rPr>
        <w:t>32</w:t>
      </w:r>
      <w:r w:rsidRPr="00A17E4C">
        <w:rPr>
          <w:color w:val="C00000"/>
          <w:szCs w:val="20"/>
        </w:rPr>
        <w:t xml:space="preserve">. The proportion of exceptions to </w:t>
      </w:r>
      <w:r w:rsidR="00071866">
        <w:rPr>
          <w:color w:val="C00000"/>
          <w:szCs w:val="20"/>
        </w:rPr>
        <w:t>quality events</w:t>
      </w:r>
      <w:r w:rsidR="00071866" w:rsidRPr="00A17E4C">
        <w:rPr>
          <w:color w:val="C00000"/>
          <w:szCs w:val="20"/>
        </w:rPr>
        <w:t xml:space="preserve"> </w:t>
      </w:r>
      <w:r w:rsidRPr="00A17E4C">
        <w:rPr>
          <w:color w:val="C00000"/>
          <w:szCs w:val="20"/>
        </w:rPr>
        <w:lastRenderedPageBreak/>
        <w:t xml:space="preserve">is 0.01. </w:t>
      </w:r>
      <w:r w:rsidR="00435F32">
        <w:rPr>
          <w:color w:val="C00000"/>
          <w:szCs w:val="20"/>
        </w:rPr>
        <w:t xml:space="preserve">Exception deciles illustrate the spread of exceptions amongst providers. According to the results, 90% of providers </w:t>
      </w:r>
      <w:r w:rsidR="00E84D63">
        <w:rPr>
          <w:color w:val="C00000"/>
          <w:szCs w:val="20"/>
        </w:rPr>
        <w:t xml:space="preserve">had </w:t>
      </w:r>
      <w:r w:rsidR="00435F32">
        <w:rPr>
          <w:color w:val="C00000"/>
          <w:szCs w:val="20"/>
        </w:rPr>
        <w:t xml:space="preserve">0 exceptions </w:t>
      </w:r>
      <w:bookmarkStart w:id="25" w:name="_Hlk7688895"/>
      <w:r w:rsidR="00435F32">
        <w:rPr>
          <w:color w:val="C00000"/>
          <w:szCs w:val="20"/>
        </w:rPr>
        <w:t>across eligible patients for the year under study</w:t>
      </w:r>
      <w:bookmarkEnd w:id="25"/>
      <w:r w:rsidR="00435F32">
        <w:rPr>
          <w:color w:val="C00000"/>
          <w:szCs w:val="20"/>
        </w:rPr>
        <w:t>. Only 10% of providers had an exception across their eligible patients for the year under study.</w:t>
      </w:r>
    </w:p>
    <w:p w14:paraId="6AA6733F" w14:textId="6E98ADDE" w:rsidR="00A422A6" w:rsidRPr="00A17E4C" w:rsidRDefault="00A17E4C" w:rsidP="00A17E4C">
      <w:pPr>
        <w:rPr>
          <w:color w:val="C00000"/>
          <w:szCs w:val="20"/>
        </w:rPr>
      </w:pPr>
      <w:r w:rsidRPr="00A17E4C">
        <w:rPr>
          <w:color w:val="C00000"/>
          <w:szCs w:val="20"/>
        </w:rPr>
        <w:t xml:space="preserve"> </w:t>
      </w:r>
    </w:p>
    <w:tbl>
      <w:tblPr>
        <w:tblW w:w="2320" w:type="dxa"/>
        <w:tblLook w:val="04A0" w:firstRow="1" w:lastRow="0" w:firstColumn="1" w:lastColumn="0" w:noHBand="0" w:noVBand="1"/>
      </w:tblPr>
      <w:tblGrid>
        <w:gridCol w:w="960"/>
        <w:gridCol w:w="1360"/>
      </w:tblGrid>
      <w:tr w:rsidR="00435F32" w:rsidRPr="00435F32" w14:paraId="0E09F94E" w14:textId="77777777" w:rsidTr="00435F32">
        <w:trPr>
          <w:trHeight w:val="570"/>
        </w:trPr>
        <w:tc>
          <w:tcPr>
            <w:tcW w:w="960" w:type="dxa"/>
            <w:tcBorders>
              <w:top w:val="single" w:sz="4" w:space="0" w:color="4F81BD"/>
              <w:left w:val="single" w:sz="4" w:space="0" w:color="4F81BD"/>
              <w:bottom w:val="nil"/>
              <w:right w:val="nil"/>
            </w:tcBorders>
            <w:shd w:val="clear" w:color="4F81BD" w:fill="4F81BD"/>
            <w:noWrap/>
            <w:vAlign w:val="center"/>
            <w:hideMark/>
          </w:tcPr>
          <w:p w14:paraId="7A38845A" w14:textId="77777777" w:rsidR="00435F32" w:rsidRPr="00435F32" w:rsidRDefault="00435F32" w:rsidP="00435F32">
            <w:pPr>
              <w:spacing w:after="0" w:line="240" w:lineRule="auto"/>
              <w:jc w:val="center"/>
              <w:rPr>
                <w:rFonts w:ascii="Calibri" w:eastAsia="Times New Roman" w:hAnsi="Calibri" w:cs="Calibri"/>
                <w:b/>
                <w:bCs/>
                <w:color w:val="FFFFFF"/>
              </w:rPr>
            </w:pPr>
            <w:r w:rsidRPr="00435F32">
              <w:rPr>
                <w:rFonts w:ascii="Calibri" w:eastAsia="Times New Roman" w:hAnsi="Calibri" w:cs="Calibri"/>
                <w:b/>
                <w:bCs/>
                <w:color w:val="FFFFFF"/>
              </w:rPr>
              <w:t>Decile</w:t>
            </w:r>
          </w:p>
        </w:tc>
        <w:tc>
          <w:tcPr>
            <w:tcW w:w="1360" w:type="dxa"/>
            <w:tcBorders>
              <w:top w:val="single" w:sz="4" w:space="0" w:color="4F81BD"/>
              <w:left w:val="nil"/>
              <w:bottom w:val="nil"/>
              <w:right w:val="single" w:sz="4" w:space="0" w:color="4F81BD"/>
            </w:tcBorders>
            <w:shd w:val="clear" w:color="4F81BD" w:fill="4F81BD"/>
            <w:noWrap/>
            <w:vAlign w:val="center"/>
            <w:hideMark/>
          </w:tcPr>
          <w:p w14:paraId="653A70E5" w14:textId="77777777" w:rsidR="00435F32" w:rsidRPr="00435F32" w:rsidRDefault="00435F32" w:rsidP="00435F32">
            <w:pPr>
              <w:spacing w:after="0" w:line="240" w:lineRule="auto"/>
              <w:jc w:val="center"/>
              <w:rPr>
                <w:rFonts w:ascii="Calibri" w:eastAsia="Times New Roman" w:hAnsi="Calibri" w:cs="Calibri"/>
                <w:b/>
                <w:bCs/>
                <w:color w:val="FFFFFF"/>
              </w:rPr>
            </w:pPr>
            <w:r w:rsidRPr="00435F32">
              <w:rPr>
                <w:rFonts w:ascii="Calibri" w:eastAsia="Times New Roman" w:hAnsi="Calibri" w:cs="Calibri"/>
                <w:b/>
                <w:bCs/>
                <w:color w:val="FFFFFF"/>
              </w:rPr>
              <w:t>Exceptions</w:t>
            </w:r>
          </w:p>
        </w:tc>
      </w:tr>
      <w:tr w:rsidR="00435F32" w:rsidRPr="00435F32" w14:paraId="6B8354AC" w14:textId="77777777" w:rsidTr="00FF0843">
        <w:trPr>
          <w:trHeight w:val="70"/>
        </w:trPr>
        <w:tc>
          <w:tcPr>
            <w:tcW w:w="960" w:type="dxa"/>
            <w:tcBorders>
              <w:top w:val="single" w:sz="4" w:space="0" w:color="4F81BD"/>
              <w:left w:val="single" w:sz="4" w:space="0" w:color="4F81BD"/>
              <w:bottom w:val="nil"/>
              <w:right w:val="nil"/>
            </w:tcBorders>
            <w:shd w:val="clear" w:color="auto" w:fill="auto"/>
            <w:noWrap/>
            <w:vAlign w:val="center"/>
            <w:hideMark/>
          </w:tcPr>
          <w:p w14:paraId="2FADDF55"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w:t>
            </w:r>
          </w:p>
        </w:tc>
        <w:tc>
          <w:tcPr>
            <w:tcW w:w="1360" w:type="dxa"/>
            <w:tcBorders>
              <w:top w:val="single" w:sz="4" w:space="0" w:color="4F81BD"/>
              <w:left w:val="nil"/>
              <w:bottom w:val="nil"/>
              <w:right w:val="single" w:sz="4" w:space="0" w:color="4F81BD"/>
            </w:tcBorders>
            <w:shd w:val="clear" w:color="auto" w:fill="auto"/>
            <w:noWrap/>
            <w:vAlign w:val="center"/>
            <w:hideMark/>
          </w:tcPr>
          <w:p w14:paraId="3C5D89FC"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w:t>
            </w:r>
          </w:p>
        </w:tc>
      </w:tr>
      <w:tr w:rsidR="00435F32" w:rsidRPr="00435F32" w14:paraId="74AA0A4C" w14:textId="77777777" w:rsidTr="00FF0843">
        <w:trPr>
          <w:trHeight w:val="70"/>
        </w:trPr>
        <w:tc>
          <w:tcPr>
            <w:tcW w:w="960" w:type="dxa"/>
            <w:tcBorders>
              <w:top w:val="single" w:sz="4" w:space="0" w:color="4F81BD"/>
              <w:left w:val="single" w:sz="4" w:space="0" w:color="4F81BD"/>
              <w:bottom w:val="nil"/>
              <w:right w:val="nil"/>
            </w:tcBorders>
            <w:shd w:val="clear" w:color="auto" w:fill="auto"/>
            <w:noWrap/>
            <w:vAlign w:val="center"/>
            <w:hideMark/>
          </w:tcPr>
          <w:p w14:paraId="2854394E"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2</w:t>
            </w:r>
          </w:p>
        </w:tc>
        <w:tc>
          <w:tcPr>
            <w:tcW w:w="1360" w:type="dxa"/>
            <w:tcBorders>
              <w:top w:val="single" w:sz="4" w:space="0" w:color="4F81BD"/>
              <w:left w:val="nil"/>
              <w:bottom w:val="nil"/>
              <w:right w:val="single" w:sz="4" w:space="0" w:color="4F81BD"/>
            </w:tcBorders>
            <w:shd w:val="clear" w:color="auto" w:fill="auto"/>
            <w:noWrap/>
            <w:vAlign w:val="center"/>
            <w:hideMark/>
          </w:tcPr>
          <w:p w14:paraId="422731B0"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w:t>
            </w:r>
          </w:p>
        </w:tc>
      </w:tr>
      <w:tr w:rsidR="00435F32" w:rsidRPr="00435F32" w14:paraId="77D56EE2" w14:textId="77777777" w:rsidTr="00FF0843">
        <w:trPr>
          <w:trHeight w:val="143"/>
        </w:trPr>
        <w:tc>
          <w:tcPr>
            <w:tcW w:w="960" w:type="dxa"/>
            <w:tcBorders>
              <w:top w:val="single" w:sz="4" w:space="0" w:color="4F81BD"/>
              <w:left w:val="single" w:sz="4" w:space="0" w:color="4F81BD"/>
              <w:bottom w:val="nil"/>
              <w:right w:val="nil"/>
            </w:tcBorders>
            <w:shd w:val="clear" w:color="auto" w:fill="auto"/>
            <w:noWrap/>
            <w:vAlign w:val="center"/>
            <w:hideMark/>
          </w:tcPr>
          <w:p w14:paraId="3A59EBE3"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3</w:t>
            </w:r>
          </w:p>
        </w:tc>
        <w:tc>
          <w:tcPr>
            <w:tcW w:w="1360" w:type="dxa"/>
            <w:tcBorders>
              <w:top w:val="single" w:sz="4" w:space="0" w:color="4F81BD"/>
              <w:left w:val="nil"/>
              <w:bottom w:val="nil"/>
              <w:right w:val="single" w:sz="4" w:space="0" w:color="4F81BD"/>
            </w:tcBorders>
            <w:shd w:val="clear" w:color="auto" w:fill="auto"/>
            <w:noWrap/>
            <w:vAlign w:val="center"/>
            <w:hideMark/>
          </w:tcPr>
          <w:p w14:paraId="26BB3B0F"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w:t>
            </w:r>
          </w:p>
        </w:tc>
      </w:tr>
      <w:tr w:rsidR="00435F32" w:rsidRPr="00435F32" w14:paraId="6EC5602D" w14:textId="77777777" w:rsidTr="00FF0843">
        <w:trPr>
          <w:trHeight w:val="143"/>
        </w:trPr>
        <w:tc>
          <w:tcPr>
            <w:tcW w:w="960" w:type="dxa"/>
            <w:tcBorders>
              <w:top w:val="single" w:sz="4" w:space="0" w:color="4F81BD"/>
              <w:left w:val="single" w:sz="4" w:space="0" w:color="4F81BD"/>
              <w:bottom w:val="nil"/>
              <w:right w:val="nil"/>
            </w:tcBorders>
            <w:shd w:val="clear" w:color="auto" w:fill="auto"/>
            <w:noWrap/>
            <w:vAlign w:val="center"/>
            <w:hideMark/>
          </w:tcPr>
          <w:p w14:paraId="520BDC65"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4</w:t>
            </w:r>
          </w:p>
        </w:tc>
        <w:tc>
          <w:tcPr>
            <w:tcW w:w="1360" w:type="dxa"/>
            <w:tcBorders>
              <w:top w:val="single" w:sz="4" w:space="0" w:color="4F81BD"/>
              <w:left w:val="nil"/>
              <w:bottom w:val="nil"/>
              <w:right w:val="single" w:sz="4" w:space="0" w:color="4F81BD"/>
            </w:tcBorders>
            <w:shd w:val="clear" w:color="auto" w:fill="auto"/>
            <w:noWrap/>
            <w:vAlign w:val="center"/>
            <w:hideMark/>
          </w:tcPr>
          <w:p w14:paraId="2C12F81E"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w:t>
            </w:r>
          </w:p>
        </w:tc>
      </w:tr>
      <w:tr w:rsidR="00435F32" w:rsidRPr="00435F32" w14:paraId="2F04BA5A" w14:textId="77777777" w:rsidTr="00FF0843">
        <w:trPr>
          <w:trHeight w:val="242"/>
        </w:trPr>
        <w:tc>
          <w:tcPr>
            <w:tcW w:w="960" w:type="dxa"/>
            <w:tcBorders>
              <w:top w:val="single" w:sz="4" w:space="0" w:color="4F81BD"/>
              <w:left w:val="single" w:sz="4" w:space="0" w:color="4F81BD"/>
              <w:bottom w:val="nil"/>
              <w:right w:val="nil"/>
            </w:tcBorders>
            <w:shd w:val="clear" w:color="auto" w:fill="auto"/>
            <w:noWrap/>
            <w:vAlign w:val="center"/>
            <w:hideMark/>
          </w:tcPr>
          <w:p w14:paraId="250790EA"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5</w:t>
            </w:r>
          </w:p>
        </w:tc>
        <w:tc>
          <w:tcPr>
            <w:tcW w:w="1360" w:type="dxa"/>
            <w:tcBorders>
              <w:top w:val="single" w:sz="4" w:space="0" w:color="4F81BD"/>
              <w:left w:val="nil"/>
              <w:bottom w:val="nil"/>
              <w:right w:val="single" w:sz="4" w:space="0" w:color="4F81BD"/>
            </w:tcBorders>
            <w:shd w:val="clear" w:color="auto" w:fill="auto"/>
            <w:noWrap/>
            <w:vAlign w:val="center"/>
            <w:hideMark/>
          </w:tcPr>
          <w:p w14:paraId="2E4F3082"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w:t>
            </w:r>
          </w:p>
        </w:tc>
      </w:tr>
      <w:tr w:rsidR="00435F32" w:rsidRPr="00435F32" w14:paraId="5C9C8FEF" w14:textId="77777777" w:rsidTr="00FF0843">
        <w:trPr>
          <w:trHeight w:val="242"/>
        </w:trPr>
        <w:tc>
          <w:tcPr>
            <w:tcW w:w="960" w:type="dxa"/>
            <w:tcBorders>
              <w:top w:val="single" w:sz="4" w:space="0" w:color="4F81BD"/>
              <w:left w:val="single" w:sz="4" w:space="0" w:color="4F81BD"/>
              <w:bottom w:val="nil"/>
              <w:right w:val="nil"/>
            </w:tcBorders>
            <w:shd w:val="clear" w:color="auto" w:fill="auto"/>
            <w:noWrap/>
            <w:vAlign w:val="center"/>
            <w:hideMark/>
          </w:tcPr>
          <w:p w14:paraId="636DE157"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6</w:t>
            </w:r>
          </w:p>
        </w:tc>
        <w:tc>
          <w:tcPr>
            <w:tcW w:w="1360" w:type="dxa"/>
            <w:tcBorders>
              <w:top w:val="single" w:sz="4" w:space="0" w:color="4F81BD"/>
              <w:left w:val="nil"/>
              <w:bottom w:val="nil"/>
              <w:right w:val="single" w:sz="4" w:space="0" w:color="4F81BD"/>
            </w:tcBorders>
            <w:shd w:val="clear" w:color="auto" w:fill="auto"/>
            <w:noWrap/>
            <w:vAlign w:val="center"/>
            <w:hideMark/>
          </w:tcPr>
          <w:p w14:paraId="096AADDC"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w:t>
            </w:r>
          </w:p>
        </w:tc>
      </w:tr>
      <w:tr w:rsidR="00435F32" w:rsidRPr="00435F32" w14:paraId="50A5C0E5" w14:textId="77777777" w:rsidTr="00FF0843">
        <w:trPr>
          <w:trHeight w:val="242"/>
        </w:trPr>
        <w:tc>
          <w:tcPr>
            <w:tcW w:w="960" w:type="dxa"/>
            <w:tcBorders>
              <w:top w:val="single" w:sz="4" w:space="0" w:color="4F81BD"/>
              <w:left w:val="single" w:sz="4" w:space="0" w:color="4F81BD"/>
              <w:bottom w:val="nil"/>
              <w:right w:val="nil"/>
            </w:tcBorders>
            <w:shd w:val="clear" w:color="auto" w:fill="auto"/>
            <w:noWrap/>
            <w:vAlign w:val="center"/>
            <w:hideMark/>
          </w:tcPr>
          <w:p w14:paraId="7D4ABACF"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7</w:t>
            </w:r>
          </w:p>
        </w:tc>
        <w:tc>
          <w:tcPr>
            <w:tcW w:w="1360" w:type="dxa"/>
            <w:tcBorders>
              <w:top w:val="single" w:sz="4" w:space="0" w:color="4F81BD"/>
              <w:left w:val="nil"/>
              <w:bottom w:val="nil"/>
              <w:right w:val="single" w:sz="4" w:space="0" w:color="4F81BD"/>
            </w:tcBorders>
            <w:shd w:val="clear" w:color="auto" w:fill="auto"/>
            <w:noWrap/>
            <w:vAlign w:val="center"/>
            <w:hideMark/>
          </w:tcPr>
          <w:p w14:paraId="36ED821F"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w:t>
            </w:r>
          </w:p>
        </w:tc>
      </w:tr>
      <w:tr w:rsidR="00435F32" w:rsidRPr="00435F32" w14:paraId="0174BE34" w14:textId="77777777" w:rsidTr="00FF0843">
        <w:trPr>
          <w:trHeight w:val="170"/>
        </w:trPr>
        <w:tc>
          <w:tcPr>
            <w:tcW w:w="960" w:type="dxa"/>
            <w:tcBorders>
              <w:top w:val="single" w:sz="4" w:space="0" w:color="4F81BD"/>
              <w:left w:val="single" w:sz="4" w:space="0" w:color="4F81BD"/>
              <w:bottom w:val="nil"/>
              <w:right w:val="nil"/>
            </w:tcBorders>
            <w:shd w:val="clear" w:color="auto" w:fill="auto"/>
            <w:noWrap/>
            <w:vAlign w:val="center"/>
            <w:hideMark/>
          </w:tcPr>
          <w:p w14:paraId="01E5DEAC"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8</w:t>
            </w:r>
          </w:p>
        </w:tc>
        <w:tc>
          <w:tcPr>
            <w:tcW w:w="1360" w:type="dxa"/>
            <w:tcBorders>
              <w:top w:val="single" w:sz="4" w:space="0" w:color="4F81BD"/>
              <w:left w:val="nil"/>
              <w:bottom w:val="nil"/>
              <w:right w:val="single" w:sz="4" w:space="0" w:color="4F81BD"/>
            </w:tcBorders>
            <w:shd w:val="clear" w:color="auto" w:fill="auto"/>
            <w:noWrap/>
            <w:vAlign w:val="center"/>
            <w:hideMark/>
          </w:tcPr>
          <w:p w14:paraId="6A9C18EA"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w:t>
            </w:r>
          </w:p>
        </w:tc>
      </w:tr>
      <w:tr w:rsidR="00435F32" w:rsidRPr="00435F32" w14:paraId="53C853E5" w14:textId="77777777" w:rsidTr="00FF0843">
        <w:trPr>
          <w:trHeight w:val="260"/>
        </w:trPr>
        <w:tc>
          <w:tcPr>
            <w:tcW w:w="960" w:type="dxa"/>
            <w:tcBorders>
              <w:top w:val="single" w:sz="4" w:space="0" w:color="4F81BD"/>
              <w:left w:val="single" w:sz="4" w:space="0" w:color="4F81BD"/>
              <w:bottom w:val="nil"/>
              <w:right w:val="nil"/>
            </w:tcBorders>
            <w:shd w:val="clear" w:color="auto" w:fill="auto"/>
            <w:noWrap/>
            <w:vAlign w:val="center"/>
            <w:hideMark/>
          </w:tcPr>
          <w:p w14:paraId="76B1784D"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9</w:t>
            </w:r>
          </w:p>
        </w:tc>
        <w:tc>
          <w:tcPr>
            <w:tcW w:w="1360" w:type="dxa"/>
            <w:tcBorders>
              <w:top w:val="single" w:sz="4" w:space="0" w:color="4F81BD"/>
              <w:left w:val="nil"/>
              <w:bottom w:val="nil"/>
              <w:right w:val="single" w:sz="4" w:space="0" w:color="4F81BD"/>
            </w:tcBorders>
            <w:shd w:val="clear" w:color="auto" w:fill="auto"/>
            <w:noWrap/>
            <w:vAlign w:val="center"/>
            <w:hideMark/>
          </w:tcPr>
          <w:p w14:paraId="116110A5"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w:t>
            </w:r>
          </w:p>
        </w:tc>
      </w:tr>
      <w:tr w:rsidR="00435F32" w:rsidRPr="00435F32" w14:paraId="69B10385" w14:textId="77777777" w:rsidTr="00FF0843">
        <w:trPr>
          <w:trHeight w:val="260"/>
        </w:trPr>
        <w:tc>
          <w:tcPr>
            <w:tcW w:w="960" w:type="dxa"/>
            <w:tcBorders>
              <w:top w:val="single" w:sz="4" w:space="0" w:color="4F81BD"/>
              <w:left w:val="single" w:sz="4" w:space="0" w:color="4F81BD"/>
              <w:bottom w:val="single" w:sz="4" w:space="0" w:color="4F81BD"/>
              <w:right w:val="nil"/>
            </w:tcBorders>
            <w:shd w:val="clear" w:color="auto" w:fill="auto"/>
            <w:noWrap/>
            <w:vAlign w:val="center"/>
            <w:hideMark/>
          </w:tcPr>
          <w:p w14:paraId="47475CBF"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10</w:t>
            </w:r>
          </w:p>
        </w:tc>
        <w:tc>
          <w:tcPr>
            <w:tcW w:w="1360" w:type="dxa"/>
            <w:tcBorders>
              <w:top w:val="single" w:sz="4" w:space="0" w:color="4F81BD"/>
              <w:left w:val="nil"/>
              <w:bottom w:val="single" w:sz="4" w:space="0" w:color="4F81BD"/>
              <w:right w:val="single" w:sz="4" w:space="0" w:color="4F81BD"/>
            </w:tcBorders>
            <w:shd w:val="clear" w:color="auto" w:fill="auto"/>
            <w:noWrap/>
            <w:vAlign w:val="center"/>
            <w:hideMark/>
          </w:tcPr>
          <w:p w14:paraId="17BDDC16"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65</w:t>
            </w:r>
          </w:p>
        </w:tc>
      </w:tr>
    </w:tbl>
    <w:p w14:paraId="0CABCFE7" w14:textId="77777777" w:rsidR="00092566" w:rsidRPr="00A17E4C" w:rsidRDefault="00092566" w:rsidP="00092566">
      <w:pPr>
        <w:autoSpaceDE w:val="0"/>
        <w:autoSpaceDN w:val="0"/>
        <w:adjustRightInd w:val="0"/>
        <w:spacing w:after="0" w:line="240" w:lineRule="auto"/>
        <w:rPr>
          <w:rFonts w:cstheme="minorHAnsi"/>
          <w:bCs/>
          <w:sz w:val="12"/>
        </w:rPr>
      </w:pPr>
    </w:p>
    <w:p w14:paraId="0CABCFE8" w14:textId="63C955F0" w:rsidR="007422FD" w:rsidRPr="0048382C" w:rsidRDefault="00092566" w:rsidP="00DB3627">
      <w:pPr>
        <w:autoSpaceDE w:val="0"/>
        <w:autoSpaceDN w:val="0"/>
        <w:adjustRightInd w:val="0"/>
        <w:spacing w:after="0" w:line="240" w:lineRule="auto"/>
        <w:rPr>
          <w:rFonts w:cstheme="minorHAnsi"/>
          <w:bCs/>
          <w:highlight w:val="yellow"/>
        </w:rPr>
      </w:pPr>
      <w:r w:rsidRPr="00A17E4C">
        <w:rPr>
          <w:rFonts w:cstheme="minorHAnsi"/>
          <w:b/>
          <w:bCs/>
        </w:rPr>
        <w:t>2b</w:t>
      </w:r>
      <w:r w:rsidR="009C7513" w:rsidRPr="00A17E4C">
        <w:rPr>
          <w:rFonts w:cstheme="minorHAnsi"/>
          <w:b/>
          <w:bCs/>
        </w:rPr>
        <w:t>2</w:t>
      </w:r>
      <w:r w:rsidRPr="00A17E4C">
        <w:rPr>
          <w:rFonts w:cstheme="minorHAnsi"/>
          <w:b/>
          <w:bCs/>
        </w:rPr>
        <w:t>.</w:t>
      </w:r>
      <w:r w:rsidR="00A25024" w:rsidRPr="00A17E4C">
        <w:rPr>
          <w:rFonts w:cstheme="minorHAnsi"/>
          <w:b/>
          <w:bCs/>
        </w:rPr>
        <w:t xml:space="preserve">3. </w:t>
      </w:r>
      <w:r w:rsidR="000B2DF7" w:rsidRPr="00A17E4C">
        <w:rPr>
          <w:rFonts w:cstheme="minorHAnsi"/>
          <w:b/>
          <w:bCs/>
        </w:rPr>
        <w:t xml:space="preserve">What is your interpretation of the results </w:t>
      </w:r>
      <w:r w:rsidR="007422FD" w:rsidRPr="00A17E4C">
        <w:rPr>
          <w:rFonts w:cstheme="minorHAnsi"/>
          <w:b/>
          <w:bCs/>
        </w:rPr>
        <w:t xml:space="preserve">in terms of </w:t>
      </w:r>
      <w:r w:rsidR="00713394" w:rsidRPr="00A17E4C">
        <w:rPr>
          <w:rFonts w:cstheme="minorHAnsi"/>
          <w:b/>
          <w:bCs/>
        </w:rPr>
        <w:t>demonstrating</w:t>
      </w:r>
      <w:r w:rsidR="007422FD" w:rsidRPr="00A17E4C">
        <w:rPr>
          <w:rFonts w:cstheme="minorHAnsi"/>
          <w:b/>
          <w:bCs/>
        </w:rPr>
        <w:t xml:space="preserve"> </w:t>
      </w:r>
      <w:r w:rsidR="00713394" w:rsidRPr="00A17E4C">
        <w:rPr>
          <w:rFonts w:cstheme="minorHAnsi"/>
          <w:b/>
          <w:bCs/>
        </w:rPr>
        <w:t>that exclusions are needed to prevent unfair distortion of performance results</w:t>
      </w:r>
      <w:r w:rsidR="007422FD" w:rsidRPr="00A17E4C">
        <w:rPr>
          <w:rFonts w:cstheme="minorHAnsi"/>
          <w:b/>
          <w:bCs/>
        </w:rPr>
        <w:t>?</w:t>
      </w:r>
      <w:r w:rsidR="007422FD" w:rsidRPr="00A17E4C">
        <w:rPr>
          <w:rFonts w:cstheme="minorHAnsi"/>
          <w:bCs/>
        </w:rPr>
        <w:t xml:space="preserve"> </w:t>
      </w:r>
      <w:r w:rsidR="000B2DF7" w:rsidRPr="00A17E4C">
        <w:rPr>
          <w:rFonts w:cstheme="minorHAnsi"/>
          <w:bCs/>
        </w:rPr>
        <w:t>(</w:t>
      </w:r>
      <w:r w:rsidR="00713394" w:rsidRPr="00A17E4C">
        <w:rPr>
          <w:rFonts w:cstheme="minorHAnsi"/>
          <w:bCs/>
          <w:i/>
        </w:rPr>
        <w:t>i.e.,</w:t>
      </w:r>
      <w:r w:rsidR="000B2DF7" w:rsidRPr="00A17E4C">
        <w:rPr>
          <w:rFonts w:cstheme="minorHAnsi"/>
          <w:bCs/>
          <w:i/>
        </w:rPr>
        <w:t xml:space="preserve"> the value </w:t>
      </w:r>
      <w:r w:rsidR="00713394" w:rsidRPr="00A17E4C">
        <w:rPr>
          <w:rFonts w:cstheme="minorHAnsi"/>
          <w:bCs/>
          <w:i/>
        </w:rPr>
        <w:t>outweighs the</w:t>
      </w:r>
      <w:r w:rsidR="000B2DF7" w:rsidRPr="00A17E4C">
        <w:rPr>
          <w:rFonts w:cstheme="minorHAnsi"/>
          <w:bCs/>
          <w:i/>
        </w:rPr>
        <w:t xml:space="preserve"> burden of increased data collection and analysi</w:t>
      </w:r>
      <w:r w:rsidR="00CC086A" w:rsidRPr="00A17E4C">
        <w:rPr>
          <w:rFonts w:cstheme="minorHAnsi"/>
          <w:bCs/>
          <w:i/>
        </w:rPr>
        <w:t xml:space="preserve">s. </w:t>
      </w:r>
      <w:r w:rsidR="00713394" w:rsidRPr="00A17E4C">
        <w:rPr>
          <w:rFonts w:cstheme="minorHAnsi"/>
          <w:bCs/>
        </w:rPr>
        <w:t xml:space="preserve"> </w:t>
      </w:r>
      <w:r w:rsidR="00713394" w:rsidRPr="00A17E4C">
        <w:rPr>
          <w:rFonts w:cstheme="minorHAnsi"/>
          <w:bCs/>
          <w:i/>
          <w:u w:val="single"/>
        </w:rPr>
        <w:t>Note</w:t>
      </w:r>
      <w:r w:rsidR="00713394" w:rsidRPr="00A17E4C">
        <w:rPr>
          <w:rFonts w:cstheme="minorHAnsi"/>
          <w:bCs/>
          <w:i/>
        </w:rPr>
        <w:t xml:space="preserve">: </w:t>
      </w:r>
      <w:r w:rsidR="00713394" w:rsidRPr="00A17E4C">
        <w:rPr>
          <w:rFonts w:cstheme="minorHAnsi"/>
          <w:b/>
          <w:bCs/>
          <w:i/>
        </w:rPr>
        <w:t>If patient preference is an exclusion</w:t>
      </w:r>
      <w:r w:rsidR="00713394" w:rsidRPr="00A17E4C">
        <w:rPr>
          <w:rFonts w:cstheme="minorHAnsi"/>
          <w:bCs/>
          <w:i/>
        </w:rPr>
        <w:t>, the measure must be specified so that the effect on the performance score is transparent, e.g., scores with and without exclusion</w:t>
      </w:r>
      <w:r w:rsidR="00713394" w:rsidRPr="00A17E4C">
        <w:rPr>
          <w:rFonts w:cstheme="minorHAnsi"/>
          <w:bCs/>
        </w:rPr>
        <w:t>)</w:t>
      </w:r>
      <w:r w:rsidR="007422FD" w:rsidRPr="0048382C">
        <w:rPr>
          <w:rFonts w:cstheme="minorHAnsi"/>
          <w:bCs/>
          <w:highlight w:val="yellow"/>
        </w:rPr>
        <w:br/>
      </w:r>
    </w:p>
    <w:p w14:paraId="447C5B7F" w14:textId="2F2CA9F7" w:rsidR="00A17E4C" w:rsidRPr="00A17E4C" w:rsidRDefault="00A17E4C" w:rsidP="00FF0843">
      <w:pPr>
        <w:spacing w:line="240" w:lineRule="auto"/>
        <w:contextualSpacing/>
        <w:rPr>
          <w:rFonts w:cstheme="minorHAnsi"/>
          <w:color w:val="C00000"/>
        </w:rPr>
      </w:pPr>
      <w:r w:rsidRPr="00A17E4C">
        <w:rPr>
          <w:rFonts w:cstheme="minorHAnsi"/>
          <w:color w:val="C00000"/>
        </w:rPr>
        <w:t xml:space="preserve">Exceptions are necessary to account for those situations when it is not appropriate from a patient reason standpoint to </w:t>
      </w:r>
      <w:r>
        <w:rPr>
          <w:rFonts w:cstheme="minorHAnsi"/>
          <w:color w:val="C00000"/>
        </w:rPr>
        <w:t>perform an assessment of cognition</w:t>
      </w:r>
      <w:r w:rsidRPr="00A17E4C">
        <w:rPr>
          <w:rFonts w:cstheme="minorHAnsi"/>
          <w:color w:val="C00000"/>
        </w:rPr>
        <w:t xml:space="preserve">. Exceptions are discretionary and the methodology used for measure exception categories are not uniformly relevant across all measures; for this measure, there is a clear rationale to permit an exception for a patient reason. Rather than specifying an exhaustive list of explicit patient reasons for exception for each measure, the measure developer relies on clinicians to link the exception with a specific reason for the decision not to </w:t>
      </w:r>
      <w:r>
        <w:rPr>
          <w:rFonts w:cstheme="minorHAnsi"/>
          <w:color w:val="C00000"/>
        </w:rPr>
        <w:t>perform an assessment of cognition</w:t>
      </w:r>
      <w:r w:rsidRPr="00A17E4C">
        <w:rPr>
          <w:rFonts w:eastAsia="Times New Roman" w:cstheme="minorHAnsi"/>
          <w:color w:val="C00000"/>
        </w:rPr>
        <w:t>.</w:t>
      </w:r>
    </w:p>
    <w:p w14:paraId="71CEDE17" w14:textId="77777777" w:rsidR="00A17E4C" w:rsidRPr="00A17E4C" w:rsidRDefault="00A17E4C" w:rsidP="00A17E4C">
      <w:pPr>
        <w:pStyle w:val="Default"/>
        <w:rPr>
          <w:rFonts w:asciiTheme="minorHAnsi" w:hAnsiTheme="minorHAnsi" w:cstheme="minorHAnsi"/>
          <w:color w:val="C00000"/>
          <w:sz w:val="22"/>
          <w:szCs w:val="22"/>
        </w:rPr>
      </w:pPr>
      <w:r w:rsidRPr="00A17E4C">
        <w:rPr>
          <w:rFonts w:asciiTheme="minorHAnsi" w:hAnsiTheme="minorHAnsi" w:cstheme="minorHAnsi"/>
          <w:color w:val="C00000"/>
          <w:sz w:val="22"/>
          <w:szCs w:val="22"/>
        </w:rPr>
        <w:t>Some have indicated concerns with exception reporting including the potential for physicians to inappropriately exclude patients to enhance their performance statistics. Research has indicated that levels of exception reporting occur infrequently and are generally valid (Doran et al., 2008), (Kmetik et al., 2011). Furthermore, exception reporting has been found to have substantial benefits: "it is precise, it increases acceptance of [pay for performance] programs by physicians, and it ameliorates perverse incentives to refuse care to "difficult" patients." (Doran et al., 2008).</w:t>
      </w:r>
    </w:p>
    <w:p w14:paraId="282B1916" w14:textId="77777777" w:rsidR="00A17E4C" w:rsidRPr="00A17E4C" w:rsidRDefault="00A17E4C" w:rsidP="00A17E4C">
      <w:pPr>
        <w:pStyle w:val="Default"/>
        <w:rPr>
          <w:rFonts w:asciiTheme="minorHAnsi" w:hAnsiTheme="minorHAnsi" w:cstheme="minorHAnsi"/>
          <w:color w:val="C00000"/>
          <w:sz w:val="22"/>
          <w:szCs w:val="22"/>
        </w:rPr>
      </w:pPr>
    </w:p>
    <w:p w14:paraId="186E16DE" w14:textId="77777777" w:rsidR="00A17E4C" w:rsidRPr="00A17E4C" w:rsidRDefault="00A17E4C" w:rsidP="00A17E4C">
      <w:pPr>
        <w:pStyle w:val="Default"/>
        <w:rPr>
          <w:rFonts w:asciiTheme="minorHAnsi" w:hAnsiTheme="minorHAnsi" w:cstheme="minorHAnsi"/>
          <w:color w:val="C00000"/>
          <w:sz w:val="22"/>
          <w:szCs w:val="22"/>
        </w:rPr>
      </w:pPr>
      <w:r w:rsidRPr="00A17E4C">
        <w:rPr>
          <w:rFonts w:asciiTheme="minorHAnsi" w:hAnsiTheme="minorHAnsi" w:cstheme="minorHAnsi"/>
          <w:color w:val="C00000"/>
          <w:sz w:val="22"/>
          <w:szCs w:val="22"/>
        </w:rPr>
        <w:t>Although this methodology does not require the external reporting of more detailed exception data, the measure developer recommends that physicians document the specific reasons for exception in patients’ medical records for purposes of optimal patient management and audit-readiness. We also advocate for the systematic review and analysis of each physician’s exceptions data to identify practice patterns and opportunities for quality improvement.</w:t>
      </w:r>
    </w:p>
    <w:p w14:paraId="52700D20" w14:textId="77777777" w:rsidR="00A17E4C" w:rsidRPr="00A17E4C" w:rsidRDefault="00A17E4C" w:rsidP="00A17E4C">
      <w:pPr>
        <w:pStyle w:val="Default"/>
        <w:rPr>
          <w:rFonts w:asciiTheme="minorHAnsi" w:hAnsiTheme="minorHAnsi" w:cstheme="minorHAnsi"/>
          <w:color w:val="C00000"/>
          <w:sz w:val="22"/>
          <w:szCs w:val="22"/>
        </w:rPr>
      </w:pPr>
      <w:bookmarkStart w:id="26" w:name="_Hlk7769807"/>
    </w:p>
    <w:p w14:paraId="2FB47398" w14:textId="77777777" w:rsidR="00A17E4C" w:rsidRPr="00A17E4C" w:rsidRDefault="00A17E4C" w:rsidP="00FF0843">
      <w:pPr>
        <w:autoSpaceDE w:val="0"/>
        <w:autoSpaceDN w:val="0"/>
        <w:spacing w:line="240" w:lineRule="auto"/>
        <w:contextualSpacing/>
        <w:rPr>
          <w:rFonts w:cstheme="minorHAnsi"/>
          <w:color w:val="C00000"/>
        </w:rPr>
      </w:pPr>
      <w:r w:rsidRPr="00A17E4C">
        <w:rPr>
          <w:rFonts w:cstheme="minorHAnsi"/>
          <w:color w:val="C00000"/>
        </w:rPr>
        <w:t>Without exceptions, the performance rate would not accurately reflect the true performance of that physician. This would result in an increase in performance failures and false negatives</w:t>
      </w:r>
      <w:bookmarkEnd w:id="26"/>
      <w:r w:rsidRPr="00A17E4C">
        <w:rPr>
          <w:rFonts w:cstheme="minorHAnsi"/>
          <w:color w:val="C00000"/>
        </w:rPr>
        <w:t>. The additional value of increased data collection of capturing an exception greatly outweighs the reporting burden.</w:t>
      </w:r>
    </w:p>
    <w:p w14:paraId="38C3686F" w14:textId="77777777" w:rsidR="00A17E4C" w:rsidRPr="00A17E4C" w:rsidRDefault="00A17E4C" w:rsidP="00A17E4C">
      <w:pPr>
        <w:pStyle w:val="Default"/>
        <w:rPr>
          <w:rFonts w:asciiTheme="minorHAnsi" w:hAnsiTheme="minorHAnsi" w:cstheme="minorHAnsi"/>
          <w:color w:val="C00000"/>
          <w:sz w:val="22"/>
          <w:szCs w:val="22"/>
        </w:rPr>
      </w:pPr>
    </w:p>
    <w:p w14:paraId="3B8A387A" w14:textId="77777777" w:rsidR="00A17E4C" w:rsidRPr="00A17E4C" w:rsidRDefault="00A17E4C" w:rsidP="00A17E4C">
      <w:pPr>
        <w:pStyle w:val="Default"/>
        <w:rPr>
          <w:rFonts w:asciiTheme="minorHAnsi" w:hAnsiTheme="minorHAnsi" w:cstheme="minorHAnsi"/>
          <w:b/>
          <w:color w:val="C00000"/>
          <w:sz w:val="22"/>
          <w:szCs w:val="22"/>
        </w:rPr>
      </w:pPr>
      <w:r w:rsidRPr="00A17E4C">
        <w:rPr>
          <w:rFonts w:asciiTheme="minorHAnsi" w:hAnsiTheme="minorHAnsi" w:cstheme="minorHAnsi"/>
          <w:b/>
          <w:color w:val="C00000"/>
          <w:sz w:val="22"/>
          <w:szCs w:val="22"/>
        </w:rPr>
        <w:t xml:space="preserve">References: </w:t>
      </w:r>
    </w:p>
    <w:p w14:paraId="40A5651B" w14:textId="77777777" w:rsidR="00A17E4C" w:rsidRPr="00A17E4C" w:rsidRDefault="00A17E4C" w:rsidP="00A17E4C">
      <w:pPr>
        <w:pStyle w:val="Default"/>
        <w:rPr>
          <w:rFonts w:asciiTheme="minorHAnsi" w:hAnsiTheme="minorHAnsi" w:cstheme="minorHAnsi"/>
          <w:color w:val="C00000"/>
          <w:sz w:val="22"/>
          <w:szCs w:val="22"/>
        </w:rPr>
      </w:pPr>
      <w:r w:rsidRPr="00A17E4C">
        <w:rPr>
          <w:rFonts w:asciiTheme="minorHAnsi" w:hAnsiTheme="minorHAnsi" w:cstheme="minorHAnsi"/>
          <w:color w:val="C00000"/>
          <w:sz w:val="22"/>
          <w:szCs w:val="22"/>
        </w:rPr>
        <w:t xml:space="preserve">Doran T, </w:t>
      </w:r>
      <w:proofErr w:type="spellStart"/>
      <w:r w:rsidRPr="00A17E4C">
        <w:rPr>
          <w:rFonts w:asciiTheme="minorHAnsi" w:hAnsiTheme="minorHAnsi" w:cstheme="minorHAnsi"/>
          <w:color w:val="C00000"/>
          <w:sz w:val="22"/>
          <w:szCs w:val="22"/>
        </w:rPr>
        <w:t>Fullwood</w:t>
      </w:r>
      <w:proofErr w:type="spellEnd"/>
      <w:r w:rsidRPr="00A17E4C">
        <w:rPr>
          <w:rFonts w:asciiTheme="minorHAnsi" w:hAnsiTheme="minorHAnsi" w:cstheme="minorHAnsi"/>
          <w:color w:val="C00000"/>
          <w:sz w:val="22"/>
          <w:szCs w:val="22"/>
        </w:rPr>
        <w:t xml:space="preserve"> C, Reeves D, Gravelle H, Roland M. Exclusion of pay for performance targets by English Physicians. New </w:t>
      </w:r>
      <w:proofErr w:type="spellStart"/>
      <w:r w:rsidRPr="00A17E4C">
        <w:rPr>
          <w:rFonts w:asciiTheme="minorHAnsi" w:hAnsiTheme="minorHAnsi" w:cstheme="minorHAnsi"/>
          <w:color w:val="C00000"/>
          <w:sz w:val="22"/>
          <w:szCs w:val="22"/>
        </w:rPr>
        <w:t>Engl</w:t>
      </w:r>
      <w:proofErr w:type="spellEnd"/>
      <w:r w:rsidRPr="00A17E4C">
        <w:rPr>
          <w:rFonts w:asciiTheme="minorHAnsi" w:hAnsiTheme="minorHAnsi" w:cstheme="minorHAnsi"/>
          <w:color w:val="C00000"/>
          <w:sz w:val="22"/>
          <w:szCs w:val="22"/>
        </w:rPr>
        <w:t xml:space="preserve"> J Med. 2008; 359: 274-84. </w:t>
      </w:r>
    </w:p>
    <w:p w14:paraId="24248CE9" w14:textId="77777777" w:rsidR="00A17E4C" w:rsidRPr="00A17E4C" w:rsidRDefault="00A17E4C" w:rsidP="00A17E4C">
      <w:pPr>
        <w:pStyle w:val="Default"/>
        <w:rPr>
          <w:rFonts w:asciiTheme="minorHAnsi" w:hAnsiTheme="minorHAnsi" w:cstheme="minorHAnsi"/>
          <w:color w:val="C00000"/>
          <w:sz w:val="22"/>
          <w:szCs w:val="22"/>
        </w:rPr>
      </w:pPr>
    </w:p>
    <w:p w14:paraId="293E80CA" w14:textId="77777777" w:rsidR="00A17E4C" w:rsidRPr="00A17E4C" w:rsidRDefault="00A17E4C" w:rsidP="00A17E4C">
      <w:pPr>
        <w:autoSpaceDE w:val="0"/>
        <w:autoSpaceDN w:val="0"/>
        <w:rPr>
          <w:rFonts w:cstheme="minorHAnsi"/>
          <w:color w:val="C00000"/>
        </w:rPr>
      </w:pPr>
      <w:proofErr w:type="spellStart"/>
      <w:r w:rsidRPr="00A17E4C">
        <w:rPr>
          <w:rFonts w:cstheme="minorHAnsi"/>
          <w:color w:val="C00000"/>
        </w:rPr>
        <w:t>Kmetik</w:t>
      </w:r>
      <w:proofErr w:type="spellEnd"/>
      <w:r w:rsidRPr="00A17E4C">
        <w:rPr>
          <w:rFonts w:cstheme="minorHAnsi"/>
          <w:color w:val="C00000"/>
        </w:rPr>
        <w:t xml:space="preserve"> KS, </w:t>
      </w:r>
      <w:proofErr w:type="spellStart"/>
      <w:r w:rsidRPr="00A17E4C">
        <w:rPr>
          <w:rFonts w:cstheme="minorHAnsi"/>
          <w:color w:val="C00000"/>
        </w:rPr>
        <w:t>Otoole</w:t>
      </w:r>
      <w:proofErr w:type="spellEnd"/>
      <w:r w:rsidRPr="00A17E4C">
        <w:rPr>
          <w:rFonts w:cstheme="minorHAnsi"/>
          <w:color w:val="C00000"/>
        </w:rPr>
        <w:t xml:space="preserve"> MF, Bossley H et al. Exceptions to Outpatient Quality Measures for Coronary Artery Disease in Electronic Health Records. Ann Intern Med. 2011;154:227-234.</w:t>
      </w:r>
    </w:p>
    <w:p w14:paraId="3DF2B4F3" w14:textId="77777777" w:rsidR="00A422A6" w:rsidRPr="00A17E4C" w:rsidRDefault="00A422A6" w:rsidP="00DB3627">
      <w:pPr>
        <w:autoSpaceDE w:val="0"/>
        <w:autoSpaceDN w:val="0"/>
        <w:adjustRightInd w:val="0"/>
        <w:spacing w:after="0" w:line="240" w:lineRule="auto"/>
        <w:rPr>
          <w:rFonts w:cstheme="minorHAnsi"/>
          <w:bCs/>
          <w:color w:val="C00000"/>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27" w:name="section2b4"/>
      <w:bookmarkEnd w:id="27"/>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FF0843"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FF0843"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FF0843"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FF0843"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5E26B0D2" w:rsidR="00AF2D68" w:rsidRDefault="00AF2D68" w:rsidP="009D3882">
      <w:pPr>
        <w:rPr>
          <w:rFonts w:cs="Calibri"/>
          <w:b/>
          <w:bCs/>
        </w:rPr>
      </w:pPr>
    </w:p>
    <w:p w14:paraId="06EAC603"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5F7CC1B4" w14:textId="77777777" w:rsidR="0067587A" w:rsidRDefault="0067587A" w:rsidP="009D3882">
      <w:pPr>
        <w:rPr>
          <w:rFonts w:cs="Calibri"/>
          <w:b/>
          <w:bCs/>
        </w:rPr>
      </w:pPr>
    </w:p>
    <w:p w14:paraId="0A593471" w14:textId="77777777" w:rsidR="0067587A" w:rsidRDefault="009C7513" w:rsidP="0067587A">
      <w:pPr>
        <w:autoSpaceDE w:val="0"/>
        <w:autoSpaceDN w:val="0"/>
        <w:adjustRightInd w:val="0"/>
        <w:spacing w:after="0" w:line="240" w:lineRule="auto"/>
        <w:rPr>
          <w:rFonts w:cstheme="minorHAnsi"/>
          <w:bCs/>
          <w:color w:val="002060"/>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574A6D95"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7C46737E" w14:textId="77777777" w:rsidR="00A422A6" w:rsidRPr="009D3882" w:rsidRDefault="00A422A6" w:rsidP="009D3882">
      <w:pPr>
        <w:rPr>
          <w:rFonts w:cstheme="minorHAnsi"/>
          <w:b/>
          <w:bCs/>
          <w:sz w:val="14"/>
        </w:rPr>
      </w:pPr>
    </w:p>
    <w:p w14:paraId="0CABCFF6" w14:textId="6759BA5D" w:rsidR="00001D73"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184CC06D"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784F7732" w14:textId="77777777" w:rsidR="00A422A6" w:rsidRPr="00AF2D68" w:rsidRDefault="00A422A6"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FF084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FF084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FF084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2FC0B979"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4AE26222" w14:textId="5C3B3FD8" w:rsidR="00A422A6" w:rsidRPr="00BE225D" w:rsidRDefault="00E937EC" w:rsidP="00A422A6">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F982782" w14:textId="10A58B82" w:rsidR="00A422A6" w:rsidRDefault="00A422A6" w:rsidP="00001D73">
      <w:pPr>
        <w:autoSpaceDE w:val="0"/>
        <w:autoSpaceDN w:val="0"/>
        <w:adjustRightInd w:val="0"/>
        <w:spacing w:after="0" w:line="240" w:lineRule="auto"/>
        <w:rPr>
          <w:rFonts w:cstheme="minorHAnsi"/>
          <w:b/>
          <w:bCs/>
        </w:rPr>
      </w:pP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23E27C57" w:rsidR="00C1695E" w:rsidRDefault="00C1695E" w:rsidP="00001D73">
      <w:pPr>
        <w:autoSpaceDE w:val="0"/>
        <w:autoSpaceDN w:val="0"/>
        <w:adjustRightInd w:val="0"/>
        <w:spacing w:after="0" w:line="240" w:lineRule="auto"/>
        <w:rPr>
          <w:rFonts w:cstheme="minorHAnsi"/>
          <w:b/>
          <w:bCs/>
        </w:rPr>
      </w:pPr>
    </w:p>
    <w:p w14:paraId="5F3C9AAA"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0CABCFFA" w14:textId="6137829A" w:rsidR="00092566"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2F47F18F"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299A2CBB" w14:textId="007A4A08" w:rsidR="00A422A6" w:rsidRDefault="00A422A6" w:rsidP="00092566">
      <w:pPr>
        <w:autoSpaceDE w:val="0"/>
        <w:autoSpaceDN w:val="0"/>
        <w:adjustRightInd w:val="0"/>
        <w:spacing w:after="0" w:line="240" w:lineRule="auto"/>
        <w:rPr>
          <w:rFonts w:cstheme="minorHAnsi"/>
          <w:bCs/>
        </w:rPr>
      </w:pPr>
    </w:p>
    <w:p w14:paraId="6E76D052" w14:textId="77777777" w:rsidR="00A422A6" w:rsidRPr="00A25024" w:rsidRDefault="00A422A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w:t>
      </w:r>
      <w:r w:rsidR="00092566" w:rsidRPr="00E937EC">
        <w:rPr>
          <w:rFonts w:cstheme="minorHAnsi"/>
          <w:bCs/>
          <w:i/>
        </w:rPr>
        <w:t>characteristics (case mix)</w:t>
      </w:r>
      <w:r w:rsidRPr="00E937EC">
        <w:rPr>
          <w:rFonts w:cstheme="minorHAnsi"/>
          <w:bCs/>
          <w:i/>
        </w:rPr>
        <w:t xml:space="preserve"> below</w:t>
      </w:r>
      <w:r w:rsidRPr="00E937EC">
        <w:rPr>
          <w:rFonts w:cstheme="minorHAnsi"/>
          <w:bCs/>
        </w:rPr>
        <w:t>.</w:t>
      </w:r>
      <w:r w:rsidR="00092566" w:rsidRPr="00E937EC">
        <w:rPr>
          <w:rFonts w:cstheme="minorHAnsi"/>
          <w:bCs/>
        </w:rPr>
        <w:br/>
      </w:r>
      <w:r w:rsidR="001F7A20" w:rsidRPr="00E937EC">
        <w:rPr>
          <w:rFonts w:cstheme="minorHAnsi"/>
          <w:b/>
          <w:bCs/>
          <w:i/>
        </w:rPr>
        <w:t>If</w:t>
      </w:r>
      <w:r w:rsidR="00743E46" w:rsidRPr="00E937EC">
        <w:rPr>
          <w:rFonts w:cstheme="minorHAnsi"/>
          <w:b/>
          <w:bCs/>
          <w:i/>
        </w:rPr>
        <w:t xml:space="preserve"> stratified, skip to </w:t>
      </w:r>
      <w:hyperlink w:anchor="question2b49" w:history="1">
        <w:r w:rsidR="009C7513" w:rsidRPr="00E937EC">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6AA1491A" w:rsid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4A4F268"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779854B" w14:textId="77777777" w:rsidR="00A422A6" w:rsidRPr="00001D73" w:rsidRDefault="00A422A6" w:rsidP="00092566">
      <w:pPr>
        <w:autoSpaceDE w:val="0"/>
        <w:autoSpaceDN w:val="0"/>
        <w:adjustRightInd w:val="0"/>
        <w:spacing w:after="0" w:line="240" w:lineRule="auto"/>
        <w:rPr>
          <w:rFonts w:cstheme="minorHAnsi"/>
          <w:b/>
          <w:bCs/>
        </w:rPr>
      </w:pPr>
    </w:p>
    <w:p w14:paraId="0CABCFFE" w14:textId="0254E7CB"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13F2FB80"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E4CFF4A" w14:textId="5EB782CB" w:rsidR="00A422A6" w:rsidRDefault="00A422A6" w:rsidP="00092566">
      <w:pPr>
        <w:autoSpaceDE w:val="0"/>
        <w:autoSpaceDN w:val="0"/>
        <w:adjustRightInd w:val="0"/>
        <w:spacing w:after="0" w:line="240" w:lineRule="auto"/>
        <w:rPr>
          <w:rFonts w:cstheme="minorHAnsi"/>
          <w:b/>
          <w:bCs/>
        </w:rPr>
      </w:pPr>
    </w:p>
    <w:p w14:paraId="412192C4" w14:textId="77777777" w:rsidR="00A422A6" w:rsidRDefault="00A422A6" w:rsidP="00092566">
      <w:pPr>
        <w:autoSpaceDE w:val="0"/>
        <w:autoSpaceDN w:val="0"/>
        <w:adjustRightInd w:val="0"/>
        <w:spacing w:after="0" w:line="240" w:lineRule="auto"/>
        <w:rPr>
          <w:rFonts w:cstheme="minorHAnsi"/>
          <w:b/>
          <w:bCs/>
        </w:rPr>
      </w:pPr>
    </w:p>
    <w:p w14:paraId="0CABCFFF" w14:textId="339C73B0"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7C4C517"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140EE55B" w14:textId="3F00B435" w:rsidR="00A422A6" w:rsidRDefault="00A422A6" w:rsidP="00092566">
      <w:pPr>
        <w:autoSpaceDE w:val="0"/>
        <w:autoSpaceDN w:val="0"/>
        <w:adjustRightInd w:val="0"/>
        <w:spacing w:after="0" w:line="240" w:lineRule="auto"/>
        <w:rPr>
          <w:rFonts w:cstheme="minorHAnsi"/>
          <w:b/>
        </w:rPr>
      </w:pP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28" w:name="question2b49"/>
      <w:bookmarkEnd w:id="28"/>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1EFF1BA" w14:textId="35AB7AED" w:rsidR="00A422A6" w:rsidRDefault="00A422A6" w:rsidP="00A422A6">
      <w:pPr>
        <w:rPr>
          <w:rFonts w:cstheme="minorHAnsi"/>
          <w:bCs/>
        </w:rPr>
      </w:pPr>
    </w:p>
    <w:p w14:paraId="60499812"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E97A526" w14:textId="77777777" w:rsidR="00A422A6" w:rsidRPr="00A422A6" w:rsidRDefault="00A422A6" w:rsidP="00A422A6">
      <w:pPr>
        <w:rPr>
          <w:rFonts w:cstheme="minorHAnsi"/>
          <w:bCs/>
        </w:rPr>
      </w:pP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w:t>
      </w:r>
      <w:r w:rsidR="00092566" w:rsidRPr="00A25024">
        <w:rPr>
          <w:rFonts w:cstheme="minorHAnsi"/>
          <w:bCs/>
          <w:i/>
        </w:rPr>
        <w:lastRenderedPageBreak/>
        <w:t>norms for the test conducted</w:t>
      </w:r>
      <w:r w:rsidR="00092566" w:rsidRPr="00A25024">
        <w:rPr>
          <w:rFonts w:cstheme="minorHAnsi"/>
          <w:bCs/>
        </w:rPr>
        <w:t>)</w:t>
      </w:r>
      <w:r w:rsidR="00092566" w:rsidRPr="00A25024">
        <w:rPr>
          <w:rFonts w:cstheme="minorHAnsi"/>
          <w:bCs/>
        </w:rPr>
        <w:br/>
      </w:r>
    </w:p>
    <w:p w14:paraId="5BF841FB"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CABD003" w14:textId="00077C9C" w:rsidR="00092566" w:rsidRDefault="00092566" w:rsidP="00092566">
      <w:pPr>
        <w:spacing w:after="0" w:line="240" w:lineRule="auto"/>
        <w:rPr>
          <w:rFonts w:cstheme="minorHAnsi"/>
        </w:rPr>
      </w:pPr>
    </w:p>
    <w:p w14:paraId="3A440CBF" w14:textId="77777777" w:rsidR="00A422A6" w:rsidRPr="00A25024" w:rsidRDefault="00A422A6" w:rsidP="00092566">
      <w:pPr>
        <w:spacing w:after="0" w:line="240" w:lineRule="auto"/>
        <w:rPr>
          <w:rFonts w:cstheme="minorHAnsi"/>
        </w:rPr>
      </w:pPr>
    </w:p>
    <w:p w14:paraId="75D6C58E" w14:textId="30B0EB8E" w:rsidR="0067587A" w:rsidRPr="00E937EC" w:rsidRDefault="009C7513" w:rsidP="00E937EC">
      <w:pPr>
        <w:spacing w:after="0" w:line="240" w:lineRule="auto"/>
        <w:rPr>
          <w:rFonts w:cstheme="minorHAnsi"/>
        </w:rPr>
      </w:pPr>
      <w:r w:rsidRPr="00E937EC">
        <w:rPr>
          <w:rFonts w:cstheme="minorHAnsi"/>
          <w:b/>
        </w:rPr>
        <w:t>2b3</w:t>
      </w:r>
      <w:r w:rsidR="009B1A15" w:rsidRPr="00E937EC">
        <w:rPr>
          <w:rFonts w:cstheme="minorHAnsi"/>
          <w:b/>
        </w:rPr>
        <w:t>.11.</w:t>
      </w:r>
      <w:r w:rsidR="009B1A15" w:rsidRPr="00E937EC">
        <w:rPr>
          <w:rFonts w:cstheme="minorHAnsi"/>
        </w:rPr>
        <w:t xml:space="preserve"> </w:t>
      </w:r>
      <w:r w:rsidR="00092566" w:rsidRPr="00E937EC">
        <w:rPr>
          <w:rFonts w:cstheme="minorHAnsi"/>
          <w:b/>
        </w:rPr>
        <w:t>Optional</w:t>
      </w:r>
      <w:r w:rsidR="009B1A15" w:rsidRPr="00E937EC">
        <w:rPr>
          <w:rFonts w:cstheme="minorHAnsi"/>
          <w:b/>
        </w:rPr>
        <w:t xml:space="preserve"> Additional Testing</w:t>
      </w:r>
      <w:r w:rsidR="004756E1" w:rsidRPr="00E937EC">
        <w:rPr>
          <w:rFonts w:cstheme="minorHAnsi"/>
          <w:b/>
        </w:rPr>
        <w:t xml:space="preserve"> for Risk Adjustment</w:t>
      </w:r>
      <w:r w:rsidR="00092566" w:rsidRPr="00E937EC">
        <w:rPr>
          <w:rFonts w:cstheme="minorHAnsi"/>
          <w:b/>
        </w:rPr>
        <w:t xml:space="preserve"> </w:t>
      </w:r>
      <w:r w:rsidR="00092566" w:rsidRPr="00E937EC">
        <w:rPr>
          <w:rFonts w:cstheme="minorHAnsi"/>
        </w:rPr>
        <w:t>(</w:t>
      </w:r>
      <w:r w:rsidR="00092566" w:rsidRPr="00E937EC">
        <w:rPr>
          <w:rFonts w:cstheme="minorHAnsi"/>
          <w:i/>
          <w:u w:val="single"/>
        </w:rPr>
        <w:t>not required</w:t>
      </w:r>
      <w:r w:rsidR="00092566" w:rsidRPr="00E937EC">
        <w:rPr>
          <w:rFonts w:cstheme="minorHAnsi"/>
          <w:i/>
        </w:rPr>
        <w:t>, but would provide additional support of adequacy of risk model</w:t>
      </w:r>
      <w:r w:rsidR="009B1A15" w:rsidRPr="00E937EC">
        <w:rPr>
          <w:rFonts w:cstheme="minorHAnsi"/>
          <w:i/>
        </w:rPr>
        <w:t>, e.g., testing of risk model in another data se</w:t>
      </w:r>
      <w:r w:rsidR="002408E4" w:rsidRPr="00E937EC">
        <w:rPr>
          <w:rFonts w:cstheme="minorHAnsi"/>
          <w:i/>
        </w:rPr>
        <w:t>t</w:t>
      </w:r>
      <w:r w:rsidR="009B1A15" w:rsidRPr="00E937EC">
        <w:rPr>
          <w:rFonts w:cstheme="minorHAnsi"/>
          <w:i/>
        </w:rPr>
        <w:t>; sensitivity analysis for missing data</w:t>
      </w:r>
      <w:r w:rsidR="002408E4" w:rsidRPr="00E937EC">
        <w:rPr>
          <w:rFonts w:cstheme="minorHAnsi"/>
          <w:i/>
        </w:rPr>
        <w:t>;</w:t>
      </w:r>
      <w:r w:rsidR="009B1A15" w:rsidRPr="00E937EC">
        <w:rPr>
          <w:rFonts w:cstheme="minorHAnsi"/>
          <w:i/>
        </w:rPr>
        <w:t xml:space="preserve"> other methods</w:t>
      </w:r>
      <w:r w:rsidR="008F7E67" w:rsidRPr="00E937EC">
        <w:rPr>
          <w:rFonts w:cstheme="minorHAnsi"/>
          <w:i/>
        </w:rPr>
        <w:t xml:space="preserve"> that were assessed</w:t>
      </w:r>
      <w:r w:rsidR="009B1A15" w:rsidRPr="00E937EC">
        <w:rPr>
          <w:rFonts w:cstheme="minorHAnsi"/>
        </w:rPr>
        <w:t>)</w:t>
      </w:r>
    </w:p>
    <w:p w14:paraId="3D203F66" w14:textId="77777777" w:rsidR="0067587A" w:rsidRDefault="0067587A" w:rsidP="00A422A6">
      <w:pPr>
        <w:autoSpaceDE w:val="0"/>
        <w:autoSpaceDN w:val="0"/>
        <w:adjustRightInd w:val="0"/>
        <w:spacing w:after="0" w:line="240" w:lineRule="auto"/>
        <w:rPr>
          <w:rFonts w:cstheme="minorHAnsi"/>
          <w:bCs/>
          <w:color w:val="C00000"/>
        </w:rPr>
      </w:pPr>
    </w:p>
    <w:p w14:paraId="76D81AA2" w14:textId="04C60E53" w:rsidR="00A422A6" w:rsidRPr="00BE225D" w:rsidRDefault="00A422A6" w:rsidP="00A422A6">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3938E0C" w14:textId="77777777" w:rsidR="00A422A6" w:rsidRDefault="00A422A6"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29" w:name="section2b5"/>
      <w:bookmarkEnd w:id="29"/>
      <w:r>
        <w:rPr>
          <w:rFonts w:cstheme="minorHAnsi"/>
          <w:b/>
          <w:bCs/>
        </w:rPr>
        <w:t>2b4</w:t>
      </w:r>
      <w:r w:rsidR="00D61410" w:rsidRPr="00A25024">
        <w:rPr>
          <w:rFonts w:cstheme="minorHAnsi"/>
          <w:b/>
          <w:bCs/>
        </w:rPr>
        <w:t>. IDENTIFICATION OF STATISTICALLY SIGNIFICANT &amp; MEANINGFUL DIFFERENCES IN PERFORMANCE</w:t>
      </w:r>
    </w:p>
    <w:p w14:paraId="0CABD008" w14:textId="2D3565CB" w:rsidR="00D61410"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4C15019C" w14:textId="77777777" w:rsidR="00A422A6" w:rsidRPr="00A25024" w:rsidRDefault="00A422A6" w:rsidP="00A422A6">
      <w:pPr>
        <w:autoSpaceDE w:val="0"/>
        <w:autoSpaceDN w:val="0"/>
        <w:adjustRightInd w:val="0"/>
        <w:spacing w:after="0" w:line="240" w:lineRule="auto"/>
        <w:rPr>
          <w:rFonts w:cstheme="minorHAnsi"/>
          <w:bCs/>
        </w:rPr>
      </w:pPr>
    </w:p>
    <w:p w14:paraId="0CABD009" w14:textId="361F4367" w:rsidR="00D61410" w:rsidRPr="00A422A6" w:rsidRDefault="00A422A6" w:rsidP="00A422A6">
      <w:pPr>
        <w:rPr>
          <w:color w:val="C00000"/>
          <w:szCs w:val="20"/>
        </w:rPr>
      </w:pPr>
      <w:r w:rsidRPr="00BE225D">
        <w:rPr>
          <w:color w:val="C00000"/>
          <w:szCs w:val="20"/>
        </w:rPr>
        <w:t>Measures of central tendency, variability, and dispersion were calculated.</w:t>
      </w: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14DCC9F8" w14:textId="4FBAE71C" w:rsidR="00A422A6" w:rsidRPr="00151753" w:rsidRDefault="009C7513" w:rsidP="00151753">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1D1D8D27" w14:textId="3D8506FC" w:rsidR="00435F32" w:rsidRDefault="00A422A6" w:rsidP="00A422A6">
      <w:pPr>
        <w:rPr>
          <w:color w:val="C00000"/>
          <w:szCs w:val="20"/>
        </w:rPr>
      </w:pPr>
      <w:r w:rsidRPr="00BE225D">
        <w:rPr>
          <w:color w:val="C00000"/>
          <w:szCs w:val="20"/>
        </w:rPr>
        <w:t xml:space="preserve">Based on the sample of </w:t>
      </w:r>
      <w:r w:rsidR="00834B47">
        <w:rPr>
          <w:color w:val="C00000"/>
          <w:szCs w:val="20"/>
        </w:rPr>
        <w:t>511</w:t>
      </w:r>
      <w:r w:rsidR="00834B47" w:rsidRPr="00BE225D">
        <w:rPr>
          <w:color w:val="C00000"/>
          <w:szCs w:val="20"/>
        </w:rPr>
        <w:t xml:space="preserve"> </w:t>
      </w:r>
      <w:r w:rsidRPr="00BE225D">
        <w:rPr>
          <w:color w:val="C00000"/>
          <w:szCs w:val="20"/>
        </w:rPr>
        <w:t xml:space="preserve">included </w:t>
      </w:r>
      <w:r w:rsidR="006E2ACC">
        <w:rPr>
          <w:color w:val="C00000"/>
          <w:szCs w:val="20"/>
        </w:rPr>
        <w:t>provider</w:t>
      </w:r>
      <w:r w:rsidRPr="00BE225D">
        <w:rPr>
          <w:color w:val="C00000"/>
          <w:szCs w:val="20"/>
        </w:rPr>
        <w:t>s, the mean performance rate is 0.</w:t>
      </w:r>
      <w:r w:rsidR="00834B47">
        <w:rPr>
          <w:color w:val="C00000"/>
          <w:szCs w:val="20"/>
        </w:rPr>
        <w:t>71</w:t>
      </w:r>
      <w:r w:rsidR="0008682E">
        <w:rPr>
          <w:color w:val="C00000"/>
          <w:szCs w:val="20"/>
        </w:rPr>
        <w:t>,</w:t>
      </w:r>
      <w:r w:rsidRPr="00BE225D">
        <w:rPr>
          <w:color w:val="C00000"/>
          <w:szCs w:val="20"/>
        </w:rPr>
        <w:t xml:space="preserve"> the median performance rate is </w:t>
      </w:r>
      <w:r w:rsidR="006159D2">
        <w:rPr>
          <w:color w:val="C00000"/>
          <w:szCs w:val="20"/>
        </w:rPr>
        <w:t>0.</w:t>
      </w:r>
      <w:r w:rsidR="00834B47">
        <w:rPr>
          <w:color w:val="C00000"/>
          <w:szCs w:val="20"/>
        </w:rPr>
        <w:t>82</w:t>
      </w:r>
      <w:r w:rsidR="00834B47" w:rsidRPr="00BE225D">
        <w:rPr>
          <w:color w:val="C00000"/>
          <w:szCs w:val="20"/>
        </w:rPr>
        <w:t xml:space="preserve"> </w:t>
      </w:r>
      <w:r w:rsidRPr="00BE225D">
        <w:rPr>
          <w:color w:val="C00000"/>
          <w:szCs w:val="20"/>
        </w:rPr>
        <w:t>and the mode is 1.0. The standard deviation is 0.</w:t>
      </w:r>
      <w:r w:rsidR="00834B47">
        <w:rPr>
          <w:color w:val="C00000"/>
          <w:szCs w:val="20"/>
        </w:rPr>
        <w:t>31</w:t>
      </w:r>
      <w:r w:rsidRPr="00BE225D">
        <w:rPr>
          <w:color w:val="C00000"/>
          <w:szCs w:val="20"/>
        </w:rPr>
        <w:t xml:space="preserve">. The range of the performance rate is </w:t>
      </w:r>
      <w:r w:rsidR="006159D2">
        <w:rPr>
          <w:color w:val="C00000"/>
          <w:szCs w:val="20"/>
        </w:rPr>
        <w:t>0.</w:t>
      </w:r>
      <w:r w:rsidR="009B2711">
        <w:rPr>
          <w:color w:val="C00000"/>
          <w:szCs w:val="20"/>
        </w:rPr>
        <w:t>99</w:t>
      </w:r>
      <w:r w:rsidRPr="00BE225D">
        <w:rPr>
          <w:color w:val="C00000"/>
          <w:szCs w:val="20"/>
        </w:rPr>
        <w:t>, with a minimum rate of 0</w:t>
      </w:r>
      <w:r w:rsidR="00CA0FBC">
        <w:rPr>
          <w:color w:val="C00000"/>
          <w:szCs w:val="20"/>
        </w:rPr>
        <w:t>.0</w:t>
      </w:r>
      <w:r w:rsidR="009B2711">
        <w:rPr>
          <w:color w:val="C00000"/>
          <w:szCs w:val="20"/>
        </w:rPr>
        <w:t>1</w:t>
      </w:r>
      <w:r w:rsidRPr="00BE225D">
        <w:rPr>
          <w:color w:val="C00000"/>
          <w:szCs w:val="20"/>
        </w:rPr>
        <w:t xml:space="preserve"> and a maximum rate of 1.0. The interquartile range is 0.</w:t>
      </w:r>
      <w:r w:rsidR="00834B47">
        <w:rPr>
          <w:color w:val="C00000"/>
          <w:szCs w:val="20"/>
        </w:rPr>
        <w:t>50</w:t>
      </w:r>
      <w:r w:rsidR="00834B47" w:rsidRPr="00BE225D">
        <w:rPr>
          <w:color w:val="C00000"/>
          <w:szCs w:val="20"/>
        </w:rPr>
        <w:t xml:space="preserve"> </w:t>
      </w:r>
      <w:r w:rsidRPr="00BE225D">
        <w:rPr>
          <w:color w:val="C00000"/>
          <w:szCs w:val="20"/>
        </w:rPr>
        <w:t>(</w:t>
      </w:r>
      <w:r w:rsidR="00834B47">
        <w:rPr>
          <w:color w:val="C00000"/>
          <w:szCs w:val="20"/>
        </w:rPr>
        <w:t>1.00</w:t>
      </w:r>
      <w:r w:rsidRPr="00BE225D">
        <w:rPr>
          <w:color w:val="C00000"/>
          <w:szCs w:val="20"/>
        </w:rPr>
        <w:t>–0.</w:t>
      </w:r>
      <w:r w:rsidR="00834B47">
        <w:rPr>
          <w:color w:val="C00000"/>
          <w:szCs w:val="20"/>
        </w:rPr>
        <w:t>50</w:t>
      </w:r>
      <w:proofErr w:type="gramStart"/>
      <w:r w:rsidRPr="00BE225D">
        <w:rPr>
          <w:color w:val="C00000"/>
          <w:szCs w:val="20"/>
        </w:rPr>
        <w:t>).</w:t>
      </w:r>
      <w:r w:rsidR="00435F32">
        <w:rPr>
          <w:color w:val="C00000"/>
          <w:szCs w:val="20"/>
        </w:rPr>
        <w:t>Deciles</w:t>
      </w:r>
      <w:proofErr w:type="gramEnd"/>
      <w:r w:rsidR="00435F32">
        <w:rPr>
          <w:color w:val="C00000"/>
          <w:szCs w:val="20"/>
        </w:rPr>
        <w:t xml:space="preserve"> are provided below: </w:t>
      </w:r>
    </w:p>
    <w:p w14:paraId="79DCD175" w14:textId="77777777" w:rsidR="00435F32" w:rsidRPr="00BE225D" w:rsidRDefault="00435F32" w:rsidP="00A422A6">
      <w:pPr>
        <w:rPr>
          <w:color w:val="C00000"/>
          <w:szCs w:val="20"/>
        </w:rPr>
      </w:pPr>
    </w:p>
    <w:tbl>
      <w:tblPr>
        <w:tblW w:w="2960" w:type="dxa"/>
        <w:tblLook w:val="04A0" w:firstRow="1" w:lastRow="0" w:firstColumn="1" w:lastColumn="0" w:noHBand="0" w:noVBand="1"/>
      </w:tblPr>
      <w:tblGrid>
        <w:gridCol w:w="1180"/>
        <w:gridCol w:w="1780"/>
      </w:tblGrid>
      <w:tr w:rsidR="00435F32" w:rsidRPr="00435F32" w14:paraId="2BEC4298" w14:textId="77777777" w:rsidTr="00435F32">
        <w:trPr>
          <w:trHeight w:val="300"/>
        </w:trPr>
        <w:tc>
          <w:tcPr>
            <w:tcW w:w="1180" w:type="dxa"/>
            <w:tcBorders>
              <w:top w:val="single" w:sz="4" w:space="0" w:color="5B9BD5"/>
              <w:left w:val="single" w:sz="4" w:space="0" w:color="5B9BD5"/>
              <w:bottom w:val="nil"/>
              <w:right w:val="nil"/>
            </w:tcBorders>
            <w:shd w:val="clear" w:color="5B9BD5" w:fill="5B9BD5"/>
            <w:noWrap/>
            <w:vAlign w:val="center"/>
            <w:hideMark/>
          </w:tcPr>
          <w:p w14:paraId="275C7E06" w14:textId="77777777" w:rsidR="00435F32" w:rsidRPr="00435F32" w:rsidRDefault="00435F32" w:rsidP="00435F32">
            <w:pPr>
              <w:spacing w:after="0" w:line="240" w:lineRule="auto"/>
              <w:jc w:val="center"/>
              <w:rPr>
                <w:rFonts w:ascii="Calibri" w:eastAsia="Times New Roman" w:hAnsi="Calibri" w:cs="Calibri"/>
                <w:b/>
                <w:bCs/>
                <w:color w:val="FFFFFF"/>
              </w:rPr>
            </w:pPr>
            <w:r w:rsidRPr="00435F32">
              <w:rPr>
                <w:rFonts w:ascii="Calibri" w:eastAsia="Times New Roman" w:hAnsi="Calibri" w:cs="Calibri"/>
                <w:b/>
                <w:bCs/>
                <w:color w:val="FFFFFF"/>
              </w:rPr>
              <w:t>Decile</w:t>
            </w:r>
          </w:p>
        </w:tc>
        <w:tc>
          <w:tcPr>
            <w:tcW w:w="1780" w:type="dxa"/>
            <w:tcBorders>
              <w:top w:val="single" w:sz="4" w:space="0" w:color="5B9BD5"/>
              <w:left w:val="nil"/>
              <w:bottom w:val="nil"/>
              <w:right w:val="single" w:sz="4" w:space="0" w:color="5B9BD5"/>
            </w:tcBorders>
            <w:shd w:val="clear" w:color="5B9BD5" w:fill="5B9BD5"/>
            <w:noWrap/>
            <w:vAlign w:val="center"/>
            <w:hideMark/>
          </w:tcPr>
          <w:p w14:paraId="225B8439" w14:textId="77777777" w:rsidR="00435F32" w:rsidRPr="00435F32" w:rsidRDefault="00435F32" w:rsidP="00435F32">
            <w:pPr>
              <w:spacing w:after="0" w:line="240" w:lineRule="auto"/>
              <w:jc w:val="center"/>
              <w:rPr>
                <w:rFonts w:ascii="Calibri" w:eastAsia="Times New Roman" w:hAnsi="Calibri" w:cs="Calibri"/>
                <w:b/>
                <w:bCs/>
                <w:color w:val="FFFFFF"/>
              </w:rPr>
            </w:pPr>
            <w:r w:rsidRPr="00435F32">
              <w:rPr>
                <w:rFonts w:ascii="Calibri" w:eastAsia="Times New Roman" w:hAnsi="Calibri" w:cs="Calibri"/>
                <w:b/>
                <w:bCs/>
                <w:color w:val="FFFFFF"/>
              </w:rPr>
              <w:t>Performance</w:t>
            </w:r>
          </w:p>
        </w:tc>
      </w:tr>
      <w:tr w:rsidR="00435F32" w:rsidRPr="00435F32" w14:paraId="1C048AED" w14:textId="77777777" w:rsidTr="00435F32">
        <w:trPr>
          <w:trHeight w:val="300"/>
        </w:trPr>
        <w:tc>
          <w:tcPr>
            <w:tcW w:w="1180" w:type="dxa"/>
            <w:tcBorders>
              <w:top w:val="single" w:sz="4" w:space="0" w:color="5B9BD5"/>
              <w:left w:val="single" w:sz="4" w:space="0" w:color="5B9BD5"/>
              <w:bottom w:val="nil"/>
              <w:right w:val="nil"/>
            </w:tcBorders>
            <w:shd w:val="clear" w:color="auto" w:fill="auto"/>
            <w:noWrap/>
            <w:vAlign w:val="center"/>
            <w:hideMark/>
          </w:tcPr>
          <w:p w14:paraId="21C38A6D"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w:t>
            </w:r>
          </w:p>
        </w:tc>
        <w:tc>
          <w:tcPr>
            <w:tcW w:w="1780" w:type="dxa"/>
            <w:tcBorders>
              <w:top w:val="single" w:sz="4" w:space="0" w:color="5B9BD5"/>
              <w:left w:val="nil"/>
              <w:bottom w:val="nil"/>
              <w:right w:val="single" w:sz="4" w:space="0" w:color="5B9BD5"/>
            </w:tcBorders>
            <w:shd w:val="clear" w:color="auto" w:fill="auto"/>
            <w:noWrap/>
            <w:vAlign w:val="center"/>
            <w:hideMark/>
          </w:tcPr>
          <w:p w14:paraId="65A23CD4"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0.18</w:t>
            </w:r>
          </w:p>
        </w:tc>
      </w:tr>
      <w:tr w:rsidR="00435F32" w:rsidRPr="00435F32" w14:paraId="2FD580BD" w14:textId="77777777" w:rsidTr="00435F32">
        <w:trPr>
          <w:trHeight w:val="300"/>
        </w:trPr>
        <w:tc>
          <w:tcPr>
            <w:tcW w:w="1180" w:type="dxa"/>
            <w:tcBorders>
              <w:top w:val="single" w:sz="4" w:space="0" w:color="5B9BD5"/>
              <w:left w:val="single" w:sz="4" w:space="0" w:color="5B9BD5"/>
              <w:bottom w:val="nil"/>
              <w:right w:val="nil"/>
            </w:tcBorders>
            <w:shd w:val="clear" w:color="auto" w:fill="auto"/>
            <w:noWrap/>
            <w:vAlign w:val="center"/>
            <w:hideMark/>
          </w:tcPr>
          <w:p w14:paraId="75526DE0"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2</w:t>
            </w:r>
          </w:p>
        </w:tc>
        <w:tc>
          <w:tcPr>
            <w:tcW w:w="1780" w:type="dxa"/>
            <w:tcBorders>
              <w:top w:val="single" w:sz="4" w:space="0" w:color="5B9BD5"/>
              <w:left w:val="nil"/>
              <w:bottom w:val="nil"/>
              <w:right w:val="single" w:sz="4" w:space="0" w:color="5B9BD5"/>
            </w:tcBorders>
            <w:shd w:val="clear" w:color="auto" w:fill="auto"/>
            <w:noWrap/>
            <w:vAlign w:val="center"/>
            <w:hideMark/>
          </w:tcPr>
          <w:p w14:paraId="764E2B06"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0.33</w:t>
            </w:r>
          </w:p>
        </w:tc>
      </w:tr>
      <w:tr w:rsidR="00435F32" w:rsidRPr="00435F32" w14:paraId="3F1E63D5" w14:textId="77777777" w:rsidTr="00435F32">
        <w:trPr>
          <w:trHeight w:val="300"/>
        </w:trPr>
        <w:tc>
          <w:tcPr>
            <w:tcW w:w="1180" w:type="dxa"/>
            <w:tcBorders>
              <w:top w:val="single" w:sz="4" w:space="0" w:color="5B9BD5"/>
              <w:left w:val="single" w:sz="4" w:space="0" w:color="5B9BD5"/>
              <w:bottom w:val="nil"/>
              <w:right w:val="nil"/>
            </w:tcBorders>
            <w:shd w:val="clear" w:color="auto" w:fill="auto"/>
            <w:noWrap/>
            <w:vAlign w:val="center"/>
            <w:hideMark/>
          </w:tcPr>
          <w:p w14:paraId="2CB89A5E"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3</w:t>
            </w:r>
          </w:p>
        </w:tc>
        <w:tc>
          <w:tcPr>
            <w:tcW w:w="1780" w:type="dxa"/>
            <w:tcBorders>
              <w:top w:val="single" w:sz="4" w:space="0" w:color="5B9BD5"/>
              <w:left w:val="nil"/>
              <w:bottom w:val="nil"/>
              <w:right w:val="single" w:sz="4" w:space="0" w:color="5B9BD5"/>
            </w:tcBorders>
            <w:shd w:val="clear" w:color="auto" w:fill="auto"/>
            <w:noWrap/>
            <w:vAlign w:val="center"/>
            <w:hideMark/>
          </w:tcPr>
          <w:p w14:paraId="4106DB78"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0.55</w:t>
            </w:r>
          </w:p>
        </w:tc>
      </w:tr>
      <w:tr w:rsidR="00435F32" w:rsidRPr="00435F32" w14:paraId="31566826" w14:textId="77777777" w:rsidTr="00435F32">
        <w:trPr>
          <w:trHeight w:val="300"/>
        </w:trPr>
        <w:tc>
          <w:tcPr>
            <w:tcW w:w="1180" w:type="dxa"/>
            <w:tcBorders>
              <w:top w:val="single" w:sz="4" w:space="0" w:color="5B9BD5"/>
              <w:left w:val="single" w:sz="4" w:space="0" w:color="5B9BD5"/>
              <w:bottom w:val="nil"/>
              <w:right w:val="nil"/>
            </w:tcBorders>
            <w:shd w:val="clear" w:color="auto" w:fill="auto"/>
            <w:noWrap/>
            <w:vAlign w:val="center"/>
            <w:hideMark/>
          </w:tcPr>
          <w:p w14:paraId="0BE8C909"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4</w:t>
            </w:r>
          </w:p>
        </w:tc>
        <w:tc>
          <w:tcPr>
            <w:tcW w:w="1780" w:type="dxa"/>
            <w:tcBorders>
              <w:top w:val="single" w:sz="4" w:space="0" w:color="5B9BD5"/>
              <w:left w:val="nil"/>
              <w:bottom w:val="nil"/>
              <w:right w:val="single" w:sz="4" w:space="0" w:color="5B9BD5"/>
            </w:tcBorders>
            <w:shd w:val="clear" w:color="auto" w:fill="auto"/>
            <w:noWrap/>
            <w:vAlign w:val="center"/>
            <w:hideMark/>
          </w:tcPr>
          <w:p w14:paraId="7C750BE6"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0.69</w:t>
            </w:r>
          </w:p>
        </w:tc>
      </w:tr>
      <w:tr w:rsidR="00435F32" w:rsidRPr="00435F32" w14:paraId="506A05D9" w14:textId="77777777" w:rsidTr="00435F32">
        <w:trPr>
          <w:trHeight w:val="300"/>
        </w:trPr>
        <w:tc>
          <w:tcPr>
            <w:tcW w:w="1180" w:type="dxa"/>
            <w:tcBorders>
              <w:top w:val="single" w:sz="4" w:space="0" w:color="5B9BD5"/>
              <w:left w:val="single" w:sz="4" w:space="0" w:color="5B9BD5"/>
              <w:bottom w:val="nil"/>
              <w:right w:val="nil"/>
            </w:tcBorders>
            <w:shd w:val="clear" w:color="auto" w:fill="auto"/>
            <w:noWrap/>
            <w:vAlign w:val="center"/>
            <w:hideMark/>
          </w:tcPr>
          <w:p w14:paraId="5AE63B5E"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5</w:t>
            </w:r>
          </w:p>
        </w:tc>
        <w:tc>
          <w:tcPr>
            <w:tcW w:w="1780" w:type="dxa"/>
            <w:tcBorders>
              <w:top w:val="single" w:sz="4" w:space="0" w:color="5B9BD5"/>
              <w:left w:val="nil"/>
              <w:bottom w:val="nil"/>
              <w:right w:val="single" w:sz="4" w:space="0" w:color="5B9BD5"/>
            </w:tcBorders>
            <w:shd w:val="clear" w:color="auto" w:fill="auto"/>
            <w:noWrap/>
            <w:vAlign w:val="center"/>
            <w:hideMark/>
          </w:tcPr>
          <w:p w14:paraId="4D805C84"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0.82</w:t>
            </w:r>
          </w:p>
        </w:tc>
      </w:tr>
      <w:tr w:rsidR="00435F32" w:rsidRPr="00435F32" w14:paraId="47BDE312" w14:textId="77777777" w:rsidTr="00435F32">
        <w:trPr>
          <w:trHeight w:val="300"/>
        </w:trPr>
        <w:tc>
          <w:tcPr>
            <w:tcW w:w="1180" w:type="dxa"/>
            <w:tcBorders>
              <w:top w:val="single" w:sz="4" w:space="0" w:color="5B9BD5"/>
              <w:left w:val="single" w:sz="4" w:space="0" w:color="5B9BD5"/>
              <w:bottom w:val="nil"/>
              <w:right w:val="nil"/>
            </w:tcBorders>
            <w:shd w:val="clear" w:color="auto" w:fill="auto"/>
            <w:noWrap/>
            <w:vAlign w:val="center"/>
            <w:hideMark/>
          </w:tcPr>
          <w:p w14:paraId="0E6F4421"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6</w:t>
            </w:r>
          </w:p>
        </w:tc>
        <w:tc>
          <w:tcPr>
            <w:tcW w:w="1780" w:type="dxa"/>
            <w:tcBorders>
              <w:top w:val="single" w:sz="4" w:space="0" w:color="5B9BD5"/>
              <w:left w:val="nil"/>
              <w:bottom w:val="nil"/>
              <w:right w:val="single" w:sz="4" w:space="0" w:color="5B9BD5"/>
            </w:tcBorders>
            <w:shd w:val="clear" w:color="auto" w:fill="auto"/>
            <w:noWrap/>
            <w:vAlign w:val="center"/>
            <w:hideMark/>
          </w:tcPr>
          <w:p w14:paraId="5D9567D9"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0.93</w:t>
            </w:r>
          </w:p>
        </w:tc>
      </w:tr>
      <w:tr w:rsidR="00435F32" w:rsidRPr="00435F32" w14:paraId="2942C0B3" w14:textId="77777777" w:rsidTr="00435F32">
        <w:trPr>
          <w:trHeight w:val="300"/>
        </w:trPr>
        <w:tc>
          <w:tcPr>
            <w:tcW w:w="1180" w:type="dxa"/>
            <w:tcBorders>
              <w:top w:val="single" w:sz="4" w:space="0" w:color="5B9BD5"/>
              <w:left w:val="single" w:sz="4" w:space="0" w:color="5B9BD5"/>
              <w:bottom w:val="nil"/>
              <w:right w:val="nil"/>
            </w:tcBorders>
            <w:shd w:val="clear" w:color="auto" w:fill="auto"/>
            <w:noWrap/>
            <w:vAlign w:val="center"/>
            <w:hideMark/>
          </w:tcPr>
          <w:p w14:paraId="5ABD1150"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7</w:t>
            </w:r>
          </w:p>
        </w:tc>
        <w:tc>
          <w:tcPr>
            <w:tcW w:w="1780" w:type="dxa"/>
            <w:tcBorders>
              <w:top w:val="single" w:sz="4" w:space="0" w:color="5B9BD5"/>
              <w:left w:val="nil"/>
              <w:bottom w:val="nil"/>
              <w:right w:val="single" w:sz="4" w:space="0" w:color="5B9BD5"/>
            </w:tcBorders>
            <w:shd w:val="clear" w:color="auto" w:fill="auto"/>
            <w:noWrap/>
            <w:vAlign w:val="center"/>
            <w:hideMark/>
          </w:tcPr>
          <w:p w14:paraId="224E19DC"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1.00</w:t>
            </w:r>
          </w:p>
        </w:tc>
      </w:tr>
      <w:tr w:rsidR="00435F32" w:rsidRPr="00435F32" w14:paraId="340DEE68" w14:textId="77777777" w:rsidTr="00435F32">
        <w:trPr>
          <w:trHeight w:val="300"/>
        </w:trPr>
        <w:tc>
          <w:tcPr>
            <w:tcW w:w="1180" w:type="dxa"/>
            <w:tcBorders>
              <w:top w:val="single" w:sz="4" w:space="0" w:color="5B9BD5"/>
              <w:left w:val="single" w:sz="4" w:space="0" w:color="5B9BD5"/>
              <w:bottom w:val="nil"/>
              <w:right w:val="nil"/>
            </w:tcBorders>
            <w:shd w:val="clear" w:color="auto" w:fill="auto"/>
            <w:noWrap/>
            <w:vAlign w:val="center"/>
            <w:hideMark/>
          </w:tcPr>
          <w:p w14:paraId="00E75A37"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8</w:t>
            </w:r>
          </w:p>
        </w:tc>
        <w:tc>
          <w:tcPr>
            <w:tcW w:w="1780" w:type="dxa"/>
            <w:tcBorders>
              <w:top w:val="single" w:sz="4" w:space="0" w:color="5B9BD5"/>
              <w:left w:val="nil"/>
              <w:bottom w:val="nil"/>
              <w:right w:val="single" w:sz="4" w:space="0" w:color="5B9BD5"/>
            </w:tcBorders>
            <w:shd w:val="clear" w:color="auto" w:fill="auto"/>
            <w:noWrap/>
            <w:vAlign w:val="center"/>
            <w:hideMark/>
          </w:tcPr>
          <w:p w14:paraId="467C9286"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1.00</w:t>
            </w:r>
          </w:p>
        </w:tc>
      </w:tr>
      <w:tr w:rsidR="00435F32" w:rsidRPr="00435F32" w14:paraId="0110FC1A" w14:textId="77777777" w:rsidTr="00435F32">
        <w:trPr>
          <w:trHeight w:val="300"/>
        </w:trPr>
        <w:tc>
          <w:tcPr>
            <w:tcW w:w="1180" w:type="dxa"/>
            <w:tcBorders>
              <w:top w:val="single" w:sz="4" w:space="0" w:color="5B9BD5"/>
              <w:left w:val="single" w:sz="4" w:space="0" w:color="5B9BD5"/>
              <w:bottom w:val="nil"/>
              <w:right w:val="nil"/>
            </w:tcBorders>
            <w:shd w:val="clear" w:color="auto" w:fill="auto"/>
            <w:noWrap/>
            <w:vAlign w:val="center"/>
            <w:hideMark/>
          </w:tcPr>
          <w:p w14:paraId="157FD4EA"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9</w:t>
            </w:r>
          </w:p>
        </w:tc>
        <w:tc>
          <w:tcPr>
            <w:tcW w:w="1780" w:type="dxa"/>
            <w:tcBorders>
              <w:top w:val="single" w:sz="4" w:space="0" w:color="5B9BD5"/>
              <w:left w:val="nil"/>
              <w:bottom w:val="nil"/>
              <w:right w:val="single" w:sz="4" w:space="0" w:color="5B9BD5"/>
            </w:tcBorders>
            <w:shd w:val="clear" w:color="auto" w:fill="auto"/>
            <w:noWrap/>
            <w:vAlign w:val="center"/>
            <w:hideMark/>
          </w:tcPr>
          <w:p w14:paraId="6417D345"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1.00</w:t>
            </w:r>
          </w:p>
        </w:tc>
      </w:tr>
      <w:tr w:rsidR="00435F32" w:rsidRPr="00435F32" w14:paraId="11621091" w14:textId="77777777" w:rsidTr="00435F32">
        <w:trPr>
          <w:trHeight w:val="300"/>
        </w:trPr>
        <w:tc>
          <w:tcPr>
            <w:tcW w:w="1180" w:type="dxa"/>
            <w:tcBorders>
              <w:top w:val="single" w:sz="4" w:space="0" w:color="5B9BD5"/>
              <w:left w:val="single" w:sz="4" w:space="0" w:color="5B9BD5"/>
              <w:bottom w:val="single" w:sz="4" w:space="0" w:color="5B9BD5"/>
              <w:right w:val="nil"/>
            </w:tcBorders>
            <w:shd w:val="clear" w:color="auto" w:fill="auto"/>
            <w:noWrap/>
            <w:vAlign w:val="center"/>
            <w:hideMark/>
          </w:tcPr>
          <w:p w14:paraId="03A4127E"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10</w:t>
            </w:r>
          </w:p>
        </w:tc>
        <w:tc>
          <w:tcPr>
            <w:tcW w:w="1780" w:type="dxa"/>
            <w:tcBorders>
              <w:top w:val="single" w:sz="4" w:space="0" w:color="5B9BD5"/>
              <w:left w:val="nil"/>
              <w:bottom w:val="single" w:sz="4" w:space="0" w:color="5B9BD5"/>
              <w:right w:val="single" w:sz="4" w:space="0" w:color="5B9BD5"/>
            </w:tcBorders>
            <w:shd w:val="clear" w:color="auto" w:fill="auto"/>
            <w:noWrap/>
            <w:vAlign w:val="center"/>
            <w:hideMark/>
          </w:tcPr>
          <w:p w14:paraId="48662339" w14:textId="77777777" w:rsidR="00435F32" w:rsidRPr="00435F32" w:rsidRDefault="00435F32" w:rsidP="00435F32">
            <w:pPr>
              <w:spacing w:after="0" w:line="240" w:lineRule="auto"/>
              <w:jc w:val="center"/>
              <w:rPr>
                <w:rFonts w:ascii="Calibri" w:eastAsia="Times New Roman" w:hAnsi="Calibri" w:cs="Calibri"/>
                <w:color w:val="000000"/>
              </w:rPr>
            </w:pPr>
            <w:r w:rsidRPr="00435F32">
              <w:rPr>
                <w:rFonts w:ascii="Calibri" w:eastAsia="Times New Roman" w:hAnsi="Calibri" w:cs="Calibri"/>
                <w:color w:val="000000"/>
              </w:rPr>
              <w:t>1.00</w:t>
            </w:r>
          </w:p>
        </w:tc>
      </w:tr>
    </w:tbl>
    <w:p w14:paraId="753CF18D" w14:textId="2D964B8B" w:rsidR="00A422A6" w:rsidRPr="00BE225D" w:rsidRDefault="00A422A6" w:rsidP="00A422A6">
      <w:pPr>
        <w:rPr>
          <w:color w:val="C00000"/>
          <w:szCs w:val="20"/>
        </w:rPr>
      </w:pPr>
    </w:p>
    <w:p w14:paraId="381578A8" w14:textId="77777777" w:rsidR="00A422A6" w:rsidRDefault="00A422A6" w:rsidP="00D61410">
      <w:pPr>
        <w:autoSpaceDE w:val="0"/>
        <w:autoSpaceDN w:val="0"/>
        <w:adjustRightInd w:val="0"/>
        <w:spacing w:after="0" w:line="240" w:lineRule="auto"/>
        <w:rPr>
          <w:rFonts w:cstheme="minorHAnsi"/>
          <w:bCs/>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129B4E8C" w14:textId="5040F224" w:rsidR="00A422A6" w:rsidRPr="00151753" w:rsidRDefault="009C7513" w:rsidP="00151753">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6B210AC7" w14:textId="77777777" w:rsidR="00A422A6" w:rsidRDefault="00A422A6" w:rsidP="00A422A6">
      <w:pPr>
        <w:spacing w:after="0" w:line="240" w:lineRule="auto"/>
        <w:rPr>
          <w:b/>
          <w:color w:val="0000FF"/>
          <w:szCs w:val="20"/>
          <w:u w:val="single"/>
        </w:rPr>
      </w:pPr>
    </w:p>
    <w:p w14:paraId="6DA75DCA" w14:textId="15DEF2A9" w:rsidR="00A422A6" w:rsidRPr="00BE225D" w:rsidRDefault="00A422A6" w:rsidP="00A422A6">
      <w:pPr>
        <w:rPr>
          <w:color w:val="C00000"/>
          <w:szCs w:val="20"/>
        </w:rPr>
      </w:pPr>
      <w:r w:rsidRPr="00BE225D">
        <w:rPr>
          <w:color w:val="C00000"/>
          <w:szCs w:val="20"/>
        </w:rPr>
        <w:t>The range of performance from 0</w:t>
      </w:r>
      <w:r w:rsidR="006159D2">
        <w:rPr>
          <w:color w:val="C00000"/>
          <w:szCs w:val="20"/>
        </w:rPr>
        <w:t>.0</w:t>
      </w:r>
      <w:r w:rsidR="009B2711">
        <w:rPr>
          <w:color w:val="C00000"/>
          <w:szCs w:val="20"/>
        </w:rPr>
        <w:t xml:space="preserve">1 </w:t>
      </w:r>
      <w:r w:rsidRPr="00BE225D">
        <w:rPr>
          <w:color w:val="C00000"/>
          <w:szCs w:val="20"/>
        </w:rPr>
        <w:t>to 1</w:t>
      </w:r>
      <w:r w:rsidR="006159D2">
        <w:rPr>
          <w:color w:val="C00000"/>
          <w:szCs w:val="20"/>
        </w:rPr>
        <w:t>.0</w:t>
      </w:r>
      <w:r w:rsidRPr="00BE225D">
        <w:rPr>
          <w:color w:val="C00000"/>
          <w:szCs w:val="20"/>
        </w:rPr>
        <w:t xml:space="preserve"> suggests th</w:t>
      </w:r>
      <w:r w:rsidR="00466062">
        <w:rPr>
          <w:color w:val="C00000"/>
          <w:szCs w:val="20"/>
        </w:rPr>
        <w:t>at there exists</w:t>
      </w:r>
      <w:r w:rsidRPr="00BE225D">
        <w:rPr>
          <w:color w:val="C00000"/>
          <w:szCs w:val="20"/>
        </w:rPr>
        <w:t xml:space="preserve"> clinically meaningful variation across </w:t>
      </w:r>
      <w:r w:rsidR="006E2ACC">
        <w:rPr>
          <w:color w:val="C00000"/>
          <w:szCs w:val="20"/>
        </w:rPr>
        <w:t>provider</w:t>
      </w:r>
      <w:r w:rsidRPr="00BE225D">
        <w:rPr>
          <w:color w:val="C00000"/>
          <w:szCs w:val="20"/>
        </w:rPr>
        <w:t>s’ performance.</w:t>
      </w:r>
      <w:r w:rsidR="008F3A14">
        <w:rPr>
          <w:color w:val="C00000"/>
          <w:szCs w:val="20"/>
        </w:rPr>
        <w:t xml:space="preserve"> </w:t>
      </w:r>
      <w:bookmarkStart w:id="30" w:name="_Hlk7691733"/>
      <w:r w:rsidR="008F3A14">
        <w:rPr>
          <w:color w:val="C00000"/>
          <w:szCs w:val="20"/>
        </w:rPr>
        <w:t xml:space="preserve">Outliers are considered to be values less than quartile 1 (0.50) or greater than quartile 3 (1.00) by more than 1.5 the IQR (0.50) and there no outliers in the data set. Looking at the performance deciles in the section above, 50% of the data falls at or below a performance score of 0.82 which demonstrates additional </w:t>
      </w:r>
      <w:r w:rsidR="008F3A14" w:rsidRPr="00BE225D">
        <w:rPr>
          <w:color w:val="C00000"/>
          <w:szCs w:val="20"/>
        </w:rPr>
        <w:t xml:space="preserve">meaningful variation across </w:t>
      </w:r>
      <w:r w:rsidR="008F3A14">
        <w:rPr>
          <w:color w:val="C00000"/>
          <w:szCs w:val="20"/>
        </w:rPr>
        <w:t>provider</w:t>
      </w:r>
      <w:r w:rsidR="008F3A14" w:rsidRPr="00BE225D">
        <w:rPr>
          <w:color w:val="C00000"/>
          <w:szCs w:val="20"/>
        </w:rPr>
        <w:t>s’ performance.</w:t>
      </w:r>
      <w:bookmarkEnd w:id="30"/>
      <w:r w:rsidR="008F3A14">
        <w:rPr>
          <w:color w:val="C00000"/>
          <w:szCs w:val="20"/>
        </w:rPr>
        <w:t xml:space="preserve"> </w:t>
      </w:r>
      <w:r w:rsidR="008F3A14" w:rsidRPr="005450B8">
        <w:rPr>
          <w:color w:val="C00000"/>
          <w:szCs w:val="20"/>
        </w:rPr>
        <w:t xml:space="preserve"> </w:t>
      </w:r>
    </w:p>
    <w:tbl>
      <w:tblPr>
        <w:tblW w:w="2640" w:type="dxa"/>
        <w:tblLook w:val="04A0" w:firstRow="1" w:lastRow="0" w:firstColumn="1" w:lastColumn="0" w:noHBand="0" w:noVBand="1"/>
      </w:tblPr>
      <w:tblGrid>
        <w:gridCol w:w="1100"/>
        <w:gridCol w:w="1540"/>
      </w:tblGrid>
      <w:tr w:rsidR="00D16605" w:rsidRPr="00D16605" w14:paraId="5E648032" w14:textId="77777777" w:rsidTr="00D16605">
        <w:trPr>
          <w:trHeight w:val="300"/>
        </w:trPr>
        <w:tc>
          <w:tcPr>
            <w:tcW w:w="1100" w:type="dxa"/>
            <w:tcBorders>
              <w:top w:val="single" w:sz="4" w:space="0" w:color="5B9BD5"/>
              <w:left w:val="single" w:sz="4" w:space="0" w:color="5B9BD5"/>
              <w:bottom w:val="nil"/>
              <w:right w:val="nil"/>
            </w:tcBorders>
            <w:shd w:val="clear" w:color="5B9BD5" w:fill="5B9BD5"/>
            <w:noWrap/>
            <w:vAlign w:val="center"/>
            <w:hideMark/>
          </w:tcPr>
          <w:p w14:paraId="309E9D75" w14:textId="77777777" w:rsidR="00D16605" w:rsidRPr="00D16605" w:rsidRDefault="00D16605" w:rsidP="00D16605">
            <w:pPr>
              <w:spacing w:after="0" w:line="240" w:lineRule="auto"/>
              <w:jc w:val="center"/>
              <w:rPr>
                <w:rFonts w:ascii="Calibri" w:eastAsia="Times New Roman" w:hAnsi="Calibri" w:cs="Calibri"/>
                <w:b/>
                <w:bCs/>
                <w:color w:val="FFFFFF"/>
              </w:rPr>
            </w:pPr>
            <w:r w:rsidRPr="00D16605">
              <w:rPr>
                <w:rFonts w:ascii="Calibri" w:eastAsia="Times New Roman" w:hAnsi="Calibri" w:cs="Calibri"/>
                <w:b/>
                <w:bCs/>
                <w:color w:val="FFFFFF"/>
              </w:rPr>
              <w:t>Quartile</w:t>
            </w:r>
          </w:p>
        </w:tc>
        <w:tc>
          <w:tcPr>
            <w:tcW w:w="1540" w:type="dxa"/>
            <w:tcBorders>
              <w:top w:val="single" w:sz="4" w:space="0" w:color="5B9BD5"/>
              <w:left w:val="nil"/>
              <w:bottom w:val="nil"/>
              <w:right w:val="single" w:sz="4" w:space="0" w:color="5B9BD5"/>
            </w:tcBorders>
            <w:shd w:val="clear" w:color="5B9BD5" w:fill="5B9BD5"/>
            <w:noWrap/>
            <w:vAlign w:val="center"/>
            <w:hideMark/>
          </w:tcPr>
          <w:p w14:paraId="500B590F" w14:textId="77777777" w:rsidR="00D16605" w:rsidRPr="00D16605" w:rsidRDefault="00D16605" w:rsidP="00D16605">
            <w:pPr>
              <w:spacing w:after="0" w:line="240" w:lineRule="auto"/>
              <w:jc w:val="center"/>
              <w:rPr>
                <w:rFonts w:ascii="Calibri" w:eastAsia="Times New Roman" w:hAnsi="Calibri" w:cs="Calibri"/>
                <w:b/>
                <w:bCs/>
                <w:color w:val="FFFFFF"/>
              </w:rPr>
            </w:pPr>
            <w:r w:rsidRPr="00D16605">
              <w:rPr>
                <w:rFonts w:ascii="Calibri" w:eastAsia="Times New Roman" w:hAnsi="Calibri" w:cs="Calibri"/>
                <w:b/>
                <w:bCs/>
                <w:color w:val="FFFFFF"/>
              </w:rPr>
              <w:t>Performance</w:t>
            </w:r>
          </w:p>
        </w:tc>
      </w:tr>
      <w:tr w:rsidR="00D16605" w:rsidRPr="00D16605" w14:paraId="178A1382" w14:textId="77777777" w:rsidTr="00D16605">
        <w:trPr>
          <w:trHeight w:val="300"/>
        </w:trPr>
        <w:tc>
          <w:tcPr>
            <w:tcW w:w="1100" w:type="dxa"/>
            <w:tcBorders>
              <w:top w:val="single" w:sz="4" w:space="0" w:color="5B9BD5"/>
              <w:left w:val="single" w:sz="4" w:space="0" w:color="5B9BD5"/>
              <w:bottom w:val="nil"/>
              <w:right w:val="nil"/>
            </w:tcBorders>
            <w:shd w:val="clear" w:color="auto" w:fill="auto"/>
            <w:noWrap/>
            <w:vAlign w:val="center"/>
            <w:hideMark/>
          </w:tcPr>
          <w:p w14:paraId="5096DFA5" w14:textId="77777777" w:rsidR="00D16605" w:rsidRPr="00D16605" w:rsidRDefault="00D16605" w:rsidP="00D16605">
            <w:pPr>
              <w:spacing w:after="0" w:line="240" w:lineRule="auto"/>
              <w:jc w:val="center"/>
              <w:rPr>
                <w:rFonts w:ascii="Calibri" w:eastAsia="Times New Roman" w:hAnsi="Calibri" w:cs="Calibri"/>
                <w:color w:val="000000"/>
              </w:rPr>
            </w:pPr>
            <w:r w:rsidRPr="00D16605">
              <w:rPr>
                <w:rFonts w:ascii="Calibri" w:eastAsia="Times New Roman" w:hAnsi="Calibri" w:cs="Calibri"/>
                <w:color w:val="000000"/>
              </w:rPr>
              <w:t>1</w:t>
            </w:r>
          </w:p>
        </w:tc>
        <w:tc>
          <w:tcPr>
            <w:tcW w:w="1540" w:type="dxa"/>
            <w:tcBorders>
              <w:top w:val="single" w:sz="4" w:space="0" w:color="5B9BD5"/>
              <w:left w:val="nil"/>
              <w:bottom w:val="nil"/>
              <w:right w:val="single" w:sz="4" w:space="0" w:color="5B9BD5"/>
            </w:tcBorders>
            <w:shd w:val="clear" w:color="auto" w:fill="auto"/>
            <w:noWrap/>
            <w:vAlign w:val="center"/>
            <w:hideMark/>
          </w:tcPr>
          <w:p w14:paraId="470EA2D8" w14:textId="77777777" w:rsidR="00D16605" w:rsidRPr="00D16605" w:rsidRDefault="00D16605" w:rsidP="00D16605">
            <w:pPr>
              <w:spacing w:after="0" w:line="240" w:lineRule="auto"/>
              <w:jc w:val="center"/>
              <w:rPr>
                <w:rFonts w:ascii="Calibri" w:eastAsia="Times New Roman" w:hAnsi="Calibri" w:cs="Calibri"/>
                <w:color w:val="000000"/>
              </w:rPr>
            </w:pPr>
            <w:r w:rsidRPr="00D16605">
              <w:rPr>
                <w:rFonts w:ascii="Calibri" w:eastAsia="Times New Roman" w:hAnsi="Calibri" w:cs="Calibri"/>
                <w:color w:val="000000"/>
              </w:rPr>
              <w:t>0.50</w:t>
            </w:r>
          </w:p>
        </w:tc>
        <w:bookmarkStart w:id="31" w:name="_GoBack"/>
        <w:bookmarkEnd w:id="31"/>
      </w:tr>
      <w:tr w:rsidR="00D16605" w:rsidRPr="00D16605" w14:paraId="2A0F5264" w14:textId="77777777" w:rsidTr="00D16605">
        <w:trPr>
          <w:trHeight w:val="315"/>
        </w:trPr>
        <w:tc>
          <w:tcPr>
            <w:tcW w:w="1100" w:type="dxa"/>
            <w:tcBorders>
              <w:top w:val="single" w:sz="4" w:space="0" w:color="5B9BD5"/>
              <w:left w:val="single" w:sz="4" w:space="0" w:color="5B9BD5"/>
              <w:bottom w:val="nil"/>
              <w:right w:val="nil"/>
            </w:tcBorders>
            <w:shd w:val="clear" w:color="auto" w:fill="auto"/>
            <w:noWrap/>
            <w:vAlign w:val="center"/>
            <w:hideMark/>
          </w:tcPr>
          <w:p w14:paraId="271B304E" w14:textId="77777777" w:rsidR="00D16605" w:rsidRPr="00D16605" w:rsidRDefault="00D16605" w:rsidP="00D16605">
            <w:pPr>
              <w:spacing w:after="0" w:line="240" w:lineRule="auto"/>
              <w:jc w:val="center"/>
              <w:rPr>
                <w:rFonts w:ascii="Calibri" w:eastAsia="Times New Roman" w:hAnsi="Calibri" w:cs="Calibri"/>
                <w:color w:val="000000"/>
              </w:rPr>
            </w:pPr>
            <w:r w:rsidRPr="00D16605">
              <w:rPr>
                <w:rFonts w:ascii="Calibri" w:eastAsia="Times New Roman" w:hAnsi="Calibri" w:cs="Calibri"/>
                <w:color w:val="000000"/>
              </w:rPr>
              <w:t>2</w:t>
            </w:r>
          </w:p>
        </w:tc>
        <w:tc>
          <w:tcPr>
            <w:tcW w:w="1540" w:type="dxa"/>
            <w:tcBorders>
              <w:top w:val="single" w:sz="4" w:space="0" w:color="5B9BD5"/>
              <w:left w:val="nil"/>
              <w:bottom w:val="nil"/>
              <w:right w:val="single" w:sz="4" w:space="0" w:color="5B9BD5"/>
            </w:tcBorders>
            <w:shd w:val="clear" w:color="auto" w:fill="auto"/>
            <w:noWrap/>
            <w:vAlign w:val="center"/>
            <w:hideMark/>
          </w:tcPr>
          <w:p w14:paraId="5918DE27" w14:textId="77777777" w:rsidR="00D16605" w:rsidRPr="00D16605" w:rsidRDefault="00D16605" w:rsidP="00D16605">
            <w:pPr>
              <w:spacing w:after="0" w:line="240" w:lineRule="auto"/>
              <w:jc w:val="center"/>
              <w:rPr>
                <w:rFonts w:ascii="Calibri" w:eastAsia="Times New Roman" w:hAnsi="Calibri" w:cs="Calibri"/>
                <w:color w:val="000000"/>
              </w:rPr>
            </w:pPr>
            <w:r w:rsidRPr="00D16605">
              <w:rPr>
                <w:rFonts w:ascii="Calibri" w:eastAsia="Times New Roman" w:hAnsi="Calibri" w:cs="Calibri"/>
                <w:color w:val="000000"/>
              </w:rPr>
              <w:t>0.82</w:t>
            </w:r>
          </w:p>
        </w:tc>
      </w:tr>
      <w:tr w:rsidR="00D16605" w:rsidRPr="00D16605" w14:paraId="4F86046E" w14:textId="77777777" w:rsidTr="00D16605">
        <w:trPr>
          <w:trHeight w:val="300"/>
        </w:trPr>
        <w:tc>
          <w:tcPr>
            <w:tcW w:w="1100" w:type="dxa"/>
            <w:tcBorders>
              <w:top w:val="single" w:sz="4" w:space="0" w:color="5B9BD5"/>
              <w:left w:val="single" w:sz="4" w:space="0" w:color="5B9BD5"/>
              <w:bottom w:val="nil"/>
              <w:right w:val="nil"/>
            </w:tcBorders>
            <w:shd w:val="clear" w:color="auto" w:fill="auto"/>
            <w:noWrap/>
            <w:vAlign w:val="center"/>
            <w:hideMark/>
          </w:tcPr>
          <w:p w14:paraId="28D88019" w14:textId="77777777" w:rsidR="00D16605" w:rsidRPr="00D16605" w:rsidRDefault="00D16605" w:rsidP="00D16605">
            <w:pPr>
              <w:spacing w:after="0" w:line="240" w:lineRule="auto"/>
              <w:jc w:val="center"/>
              <w:rPr>
                <w:rFonts w:ascii="Calibri" w:eastAsia="Times New Roman" w:hAnsi="Calibri" w:cs="Calibri"/>
                <w:color w:val="000000"/>
              </w:rPr>
            </w:pPr>
            <w:r w:rsidRPr="00D16605">
              <w:rPr>
                <w:rFonts w:ascii="Calibri" w:eastAsia="Times New Roman" w:hAnsi="Calibri" w:cs="Calibri"/>
                <w:color w:val="000000"/>
              </w:rPr>
              <w:t>3</w:t>
            </w:r>
          </w:p>
        </w:tc>
        <w:tc>
          <w:tcPr>
            <w:tcW w:w="1540" w:type="dxa"/>
            <w:tcBorders>
              <w:top w:val="single" w:sz="4" w:space="0" w:color="5B9BD5"/>
              <w:left w:val="nil"/>
              <w:bottom w:val="nil"/>
              <w:right w:val="single" w:sz="4" w:space="0" w:color="5B9BD5"/>
            </w:tcBorders>
            <w:shd w:val="clear" w:color="auto" w:fill="auto"/>
            <w:noWrap/>
            <w:vAlign w:val="center"/>
            <w:hideMark/>
          </w:tcPr>
          <w:p w14:paraId="14B71AA6" w14:textId="77777777" w:rsidR="00D16605" w:rsidRPr="00D16605" w:rsidRDefault="00D16605" w:rsidP="00D16605">
            <w:pPr>
              <w:spacing w:after="0" w:line="240" w:lineRule="auto"/>
              <w:jc w:val="center"/>
              <w:rPr>
                <w:rFonts w:ascii="Calibri" w:eastAsia="Times New Roman" w:hAnsi="Calibri" w:cs="Calibri"/>
                <w:color w:val="000000"/>
              </w:rPr>
            </w:pPr>
            <w:r w:rsidRPr="00D16605">
              <w:rPr>
                <w:rFonts w:ascii="Calibri" w:eastAsia="Times New Roman" w:hAnsi="Calibri" w:cs="Calibri"/>
                <w:color w:val="000000"/>
              </w:rPr>
              <w:t>1.00</w:t>
            </w:r>
          </w:p>
        </w:tc>
      </w:tr>
      <w:tr w:rsidR="00D16605" w:rsidRPr="00D16605" w14:paraId="00C9F4DC" w14:textId="77777777" w:rsidTr="00D16605">
        <w:trPr>
          <w:trHeight w:val="300"/>
        </w:trPr>
        <w:tc>
          <w:tcPr>
            <w:tcW w:w="1100" w:type="dxa"/>
            <w:tcBorders>
              <w:top w:val="single" w:sz="4" w:space="0" w:color="5B9BD5"/>
              <w:left w:val="single" w:sz="4" w:space="0" w:color="5B9BD5"/>
              <w:bottom w:val="single" w:sz="4" w:space="0" w:color="5B9BD5"/>
              <w:right w:val="nil"/>
            </w:tcBorders>
            <w:shd w:val="clear" w:color="auto" w:fill="auto"/>
            <w:noWrap/>
            <w:vAlign w:val="center"/>
            <w:hideMark/>
          </w:tcPr>
          <w:p w14:paraId="6364DDA7" w14:textId="77777777" w:rsidR="00D16605" w:rsidRPr="00D16605" w:rsidRDefault="00D16605" w:rsidP="00D16605">
            <w:pPr>
              <w:spacing w:after="0" w:line="240" w:lineRule="auto"/>
              <w:jc w:val="center"/>
              <w:rPr>
                <w:rFonts w:ascii="Calibri" w:eastAsia="Times New Roman" w:hAnsi="Calibri" w:cs="Calibri"/>
                <w:color w:val="000000"/>
              </w:rPr>
            </w:pPr>
            <w:r w:rsidRPr="00D16605">
              <w:rPr>
                <w:rFonts w:ascii="Calibri" w:eastAsia="Times New Roman" w:hAnsi="Calibri" w:cs="Calibri"/>
                <w:color w:val="000000"/>
              </w:rPr>
              <w:t>4</w:t>
            </w:r>
          </w:p>
        </w:tc>
        <w:tc>
          <w:tcPr>
            <w:tcW w:w="1540" w:type="dxa"/>
            <w:tcBorders>
              <w:top w:val="single" w:sz="4" w:space="0" w:color="5B9BD5"/>
              <w:left w:val="nil"/>
              <w:bottom w:val="single" w:sz="4" w:space="0" w:color="5B9BD5"/>
              <w:right w:val="single" w:sz="4" w:space="0" w:color="5B9BD5"/>
            </w:tcBorders>
            <w:shd w:val="clear" w:color="auto" w:fill="auto"/>
            <w:noWrap/>
            <w:vAlign w:val="center"/>
            <w:hideMark/>
          </w:tcPr>
          <w:p w14:paraId="2F984CE0" w14:textId="77777777" w:rsidR="00D16605" w:rsidRPr="00D16605" w:rsidRDefault="00D16605" w:rsidP="00D16605">
            <w:pPr>
              <w:spacing w:after="0" w:line="240" w:lineRule="auto"/>
              <w:jc w:val="center"/>
              <w:rPr>
                <w:rFonts w:ascii="Calibri" w:eastAsia="Times New Roman" w:hAnsi="Calibri" w:cs="Calibri"/>
                <w:color w:val="000000"/>
              </w:rPr>
            </w:pPr>
            <w:r w:rsidRPr="00D16605">
              <w:rPr>
                <w:rFonts w:ascii="Calibri" w:eastAsia="Times New Roman" w:hAnsi="Calibri" w:cs="Calibri"/>
                <w:color w:val="000000"/>
              </w:rPr>
              <w:t>1.00</w:t>
            </w:r>
          </w:p>
        </w:tc>
      </w:tr>
    </w:tbl>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3686888F" w14:textId="3706990B" w:rsidR="00A422A6" w:rsidRPr="00404808" w:rsidRDefault="009C7513" w:rsidP="00404808">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6231B183" w14:textId="299EC420" w:rsidR="00A422A6" w:rsidRPr="00156C93" w:rsidRDefault="0012638F" w:rsidP="00A422A6">
      <w:pPr>
        <w:pStyle w:val="Default"/>
        <w:rPr>
          <w:rFonts w:asciiTheme="minorHAnsi" w:hAnsiTheme="minorHAnsi" w:cs="Times New Roman"/>
          <w:color w:val="C00000"/>
          <w:sz w:val="22"/>
          <w:szCs w:val="20"/>
        </w:rPr>
      </w:pPr>
      <w:r>
        <w:rPr>
          <w:rFonts w:asciiTheme="minorHAnsi" w:hAnsiTheme="minorHAnsi" w:cs="Times New Roman"/>
          <w:color w:val="C00000"/>
          <w:sz w:val="22"/>
          <w:szCs w:val="20"/>
        </w:rPr>
        <w:t>Not applicable</w:t>
      </w:r>
    </w:p>
    <w:p w14:paraId="0CABD014" w14:textId="77D3969E" w:rsidR="000F06B5" w:rsidRDefault="000F06B5" w:rsidP="00DB3627">
      <w:pPr>
        <w:pStyle w:val="ListParagraph"/>
        <w:autoSpaceDE w:val="0"/>
        <w:autoSpaceDN w:val="0"/>
        <w:adjustRightInd w:val="0"/>
        <w:spacing w:after="0" w:line="240" w:lineRule="auto"/>
        <w:ind w:left="0"/>
        <w:rPr>
          <w:rFonts w:cstheme="minorHAnsi"/>
          <w:bCs/>
        </w:rPr>
      </w:pP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1FF64B68" w14:textId="34C55906" w:rsidR="00A422A6" w:rsidRDefault="009C7513" w:rsidP="00A422A6">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46B794B2" w14:textId="77777777" w:rsidR="00A422A6" w:rsidRPr="00156C93" w:rsidRDefault="00A422A6" w:rsidP="00A422A6">
      <w:pPr>
        <w:pStyle w:val="Default"/>
        <w:rPr>
          <w:rFonts w:asciiTheme="minorHAnsi" w:hAnsiTheme="minorHAnsi" w:cs="Times New Roman"/>
          <w:color w:val="C00000"/>
          <w:sz w:val="22"/>
          <w:szCs w:val="20"/>
        </w:rPr>
      </w:pPr>
    </w:p>
    <w:p w14:paraId="0BD055D2" w14:textId="4AD6CCF3" w:rsidR="00A422A6" w:rsidRPr="00156C93" w:rsidRDefault="0012638F" w:rsidP="00A422A6">
      <w:pPr>
        <w:pStyle w:val="Default"/>
        <w:rPr>
          <w:rFonts w:asciiTheme="minorHAnsi" w:hAnsiTheme="minorHAnsi" w:cs="Times New Roman"/>
          <w:color w:val="C00000"/>
          <w:sz w:val="22"/>
          <w:szCs w:val="20"/>
        </w:rPr>
      </w:pPr>
      <w:r>
        <w:rPr>
          <w:rFonts w:asciiTheme="minorHAnsi" w:hAnsiTheme="minorHAnsi" w:cs="Times New Roman"/>
          <w:color w:val="C00000"/>
          <w:sz w:val="22"/>
          <w:szCs w:val="20"/>
        </w:rPr>
        <w:t>Not applicable</w:t>
      </w:r>
    </w:p>
    <w:p w14:paraId="3941F446" w14:textId="77777777" w:rsidR="00A422A6" w:rsidRDefault="00A422A6" w:rsidP="00E1508F">
      <w:pPr>
        <w:autoSpaceDE w:val="0"/>
        <w:autoSpaceDN w:val="0"/>
        <w:adjustRightInd w:val="0"/>
        <w:spacing w:after="0" w:line="240" w:lineRule="auto"/>
        <w:rPr>
          <w:rFonts w:cstheme="minorHAnsi"/>
          <w:bCs/>
        </w:rPr>
      </w:pP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16809B9A" w14:textId="56F20AC0" w:rsidR="00A422A6" w:rsidRPr="00404808" w:rsidRDefault="009C7513" w:rsidP="00404808">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5EDE18AB" w14:textId="2D817180" w:rsidR="00A422A6" w:rsidRPr="00156C93" w:rsidRDefault="0012638F" w:rsidP="00A422A6">
      <w:pPr>
        <w:pStyle w:val="Default"/>
        <w:rPr>
          <w:rFonts w:asciiTheme="minorHAnsi" w:hAnsiTheme="minorHAnsi" w:cs="Times New Roman"/>
          <w:color w:val="C00000"/>
          <w:sz w:val="22"/>
          <w:szCs w:val="20"/>
        </w:rPr>
      </w:pPr>
      <w:r>
        <w:rPr>
          <w:rFonts w:asciiTheme="minorHAnsi" w:hAnsiTheme="minorHAnsi" w:cs="Times New Roman"/>
          <w:color w:val="C00000"/>
          <w:sz w:val="22"/>
          <w:szCs w:val="20"/>
        </w:rPr>
        <w:t>Not applicable</w:t>
      </w:r>
    </w:p>
    <w:p w14:paraId="68C669B7" w14:textId="77777777" w:rsidR="00A422A6" w:rsidRDefault="00A422A6"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36006F11" w14:textId="595FA705" w:rsidR="00A422A6" w:rsidRPr="00404808" w:rsidRDefault="009C7513" w:rsidP="00404808">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7C98A385" w14:textId="77777777" w:rsidR="00980CBE" w:rsidRPr="00C01F5A" w:rsidRDefault="00980CBE" w:rsidP="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5503645E" w14:textId="77777777" w:rsidR="00A422A6" w:rsidRPr="00A25024" w:rsidRDefault="00A422A6"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2CE1C19" w14:textId="2669A160" w:rsidR="00A422A6" w:rsidRPr="00404808" w:rsidRDefault="009C7513" w:rsidP="00404808">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38189677" w14:textId="72C0D526" w:rsidR="00A422A6" w:rsidRPr="00156C93" w:rsidRDefault="00A422A6" w:rsidP="00A422A6">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r w:rsidR="00E32F96">
        <w:rPr>
          <w:rFonts w:asciiTheme="minorHAnsi" w:hAnsiTheme="minorHAnsi" w:cs="Times New Roman"/>
          <w:color w:val="C00000"/>
          <w:sz w:val="22"/>
          <w:szCs w:val="20"/>
        </w:rPr>
        <w:t>There was no missing data.</w:t>
      </w:r>
    </w:p>
    <w:p w14:paraId="616A1ABF" w14:textId="77777777" w:rsidR="00A422A6" w:rsidRDefault="00A422A6"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1B7F50B" w14:textId="77777777" w:rsidR="00A422A6" w:rsidRPr="00156C93" w:rsidRDefault="00A422A6" w:rsidP="00A422A6">
      <w:pPr>
        <w:pStyle w:val="Default"/>
        <w:rPr>
          <w:rFonts w:asciiTheme="minorHAnsi" w:hAnsiTheme="minorHAnsi" w:cs="Times New Roman"/>
          <w:color w:val="C00000"/>
          <w:sz w:val="22"/>
          <w:szCs w:val="20"/>
        </w:rPr>
      </w:pPr>
    </w:p>
    <w:p w14:paraId="301F4171" w14:textId="77777777" w:rsidR="00980CBE" w:rsidRPr="00C01F5A" w:rsidRDefault="00980CBE" w:rsidP="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09406484" w14:textId="3B021A38" w:rsidR="00A422A6" w:rsidRPr="00156C93" w:rsidRDefault="00A422A6" w:rsidP="00A422A6">
      <w:pPr>
        <w:pStyle w:val="Default"/>
        <w:rPr>
          <w:rFonts w:asciiTheme="minorHAnsi" w:hAnsiTheme="minorHAnsi" w:cs="Times New Roman"/>
          <w:color w:val="C00000"/>
          <w:sz w:val="22"/>
          <w:szCs w:val="20"/>
        </w:rPr>
      </w:pPr>
    </w:p>
    <w:p w14:paraId="61107281" w14:textId="77777777" w:rsidR="00A422A6" w:rsidRPr="005560E7" w:rsidRDefault="00A422A6">
      <w:pPr>
        <w:autoSpaceDE w:val="0"/>
        <w:autoSpaceDN w:val="0"/>
        <w:adjustRightInd w:val="0"/>
        <w:spacing w:after="0" w:line="240" w:lineRule="auto"/>
        <w:rPr>
          <w:rFonts w:cstheme="minorHAnsi"/>
          <w:bCs/>
        </w:rPr>
      </w:pPr>
    </w:p>
    <w:sectPr w:rsidR="00A422A6" w:rsidRPr="005560E7"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8BA79" w14:textId="77777777" w:rsidR="00FF0843" w:rsidRDefault="00FF0843" w:rsidP="005C73CA">
      <w:pPr>
        <w:spacing w:after="0" w:line="240" w:lineRule="auto"/>
      </w:pPr>
      <w:r>
        <w:separator/>
      </w:r>
    </w:p>
  </w:endnote>
  <w:endnote w:type="continuationSeparator" w:id="0">
    <w:p w14:paraId="41E95328" w14:textId="77777777" w:rsidR="00FF0843" w:rsidRDefault="00FF084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2164D8AB" w:rsidR="00FF0843" w:rsidRDefault="00FF0843">
    <w:pPr>
      <w:pStyle w:val="Footer"/>
    </w:pPr>
    <w:r>
      <w:t>Version 7.1 9/6/2017</w:t>
    </w:r>
    <w:r>
      <w:ptab w:relativeTo="margin" w:alignment="right" w:leader="none"/>
    </w: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A5ACE" w14:textId="77777777" w:rsidR="00FF0843" w:rsidRDefault="00FF0843" w:rsidP="005C73CA">
      <w:pPr>
        <w:spacing w:after="0" w:line="240" w:lineRule="auto"/>
      </w:pPr>
      <w:r>
        <w:separator/>
      </w:r>
    </w:p>
  </w:footnote>
  <w:footnote w:type="continuationSeparator" w:id="0">
    <w:p w14:paraId="2D3CA701" w14:textId="77777777" w:rsidR="00FF0843" w:rsidRDefault="00FF0843"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FF0843" w:rsidRPr="00105D8B" w:rsidRDefault="00FF0843"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E83EC1"/>
    <w:multiLevelType w:val="hybridMultilevel"/>
    <w:tmpl w:val="D1369F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7"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C054E6"/>
    <w:multiLevelType w:val="hybridMultilevel"/>
    <w:tmpl w:val="986E3370"/>
    <w:lvl w:ilvl="0" w:tplc="872E831E">
      <w:start w:val="86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F6748D"/>
    <w:multiLevelType w:val="multilevel"/>
    <w:tmpl w:val="49B62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31"/>
  </w:num>
  <w:num w:numId="11">
    <w:abstractNumId w:val="12"/>
  </w:num>
  <w:num w:numId="12">
    <w:abstractNumId w:val="28"/>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9"/>
  </w:num>
  <w:num w:numId="18">
    <w:abstractNumId w:val="25"/>
  </w:num>
  <w:num w:numId="19">
    <w:abstractNumId w:val="23"/>
  </w:num>
  <w:num w:numId="20">
    <w:abstractNumId w:val="16"/>
  </w:num>
  <w:num w:numId="21">
    <w:abstractNumId w:val="21"/>
  </w:num>
  <w:num w:numId="22">
    <w:abstractNumId w:val="15"/>
  </w:num>
  <w:num w:numId="23">
    <w:abstractNumId w:val="7"/>
  </w:num>
  <w:num w:numId="24">
    <w:abstractNumId w:val="14"/>
  </w:num>
  <w:num w:numId="25">
    <w:abstractNumId w:val="13"/>
  </w:num>
  <w:num w:numId="26">
    <w:abstractNumId w:val="34"/>
  </w:num>
  <w:num w:numId="27">
    <w:abstractNumId w:val="0"/>
  </w:num>
  <w:num w:numId="28">
    <w:abstractNumId w:val="9"/>
  </w:num>
  <w:num w:numId="29">
    <w:abstractNumId w:val="18"/>
  </w:num>
  <w:num w:numId="30">
    <w:abstractNumId w:val="26"/>
  </w:num>
  <w:num w:numId="31">
    <w:abstractNumId w:val="27"/>
  </w:num>
  <w:num w:numId="32">
    <w:abstractNumId w:val="33"/>
  </w:num>
  <w:num w:numId="33">
    <w:abstractNumId w:val="32"/>
  </w:num>
  <w:num w:numId="34">
    <w:abstractNumId w:val="17"/>
  </w:num>
  <w:num w:numId="3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32"/>
  </w:num>
  <w:num w:numId="38">
    <w:abstractNumId w:val="24"/>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4664A"/>
    <w:rsid w:val="00050A3E"/>
    <w:rsid w:val="00052A6F"/>
    <w:rsid w:val="00053F02"/>
    <w:rsid w:val="0005612B"/>
    <w:rsid w:val="000574AB"/>
    <w:rsid w:val="0006147A"/>
    <w:rsid w:val="0006234F"/>
    <w:rsid w:val="00071866"/>
    <w:rsid w:val="000775F8"/>
    <w:rsid w:val="00080CF7"/>
    <w:rsid w:val="000851B2"/>
    <w:rsid w:val="0008682E"/>
    <w:rsid w:val="00092566"/>
    <w:rsid w:val="000968F8"/>
    <w:rsid w:val="00097012"/>
    <w:rsid w:val="000A029A"/>
    <w:rsid w:val="000A1997"/>
    <w:rsid w:val="000B032A"/>
    <w:rsid w:val="000B0991"/>
    <w:rsid w:val="000B2DF7"/>
    <w:rsid w:val="000B3880"/>
    <w:rsid w:val="000B4457"/>
    <w:rsid w:val="000B536D"/>
    <w:rsid w:val="000B7D57"/>
    <w:rsid w:val="000C036D"/>
    <w:rsid w:val="000C0FF8"/>
    <w:rsid w:val="000D2722"/>
    <w:rsid w:val="000D7948"/>
    <w:rsid w:val="000D7C84"/>
    <w:rsid w:val="000E4E13"/>
    <w:rsid w:val="000E78F6"/>
    <w:rsid w:val="000F034A"/>
    <w:rsid w:val="000F06B5"/>
    <w:rsid w:val="000F1B7A"/>
    <w:rsid w:val="000F39E9"/>
    <w:rsid w:val="000F4ED8"/>
    <w:rsid w:val="00104B45"/>
    <w:rsid w:val="00105D8B"/>
    <w:rsid w:val="0011342F"/>
    <w:rsid w:val="001202E9"/>
    <w:rsid w:val="001204F9"/>
    <w:rsid w:val="0012454F"/>
    <w:rsid w:val="00125273"/>
    <w:rsid w:val="0012575E"/>
    <w:rsid w:val="0012638F"/>
    <w:rsid w:val="00127C06"/>
    <w:rsid w:val="00145149"/>
    <w:rsid w:val="00145D4F"/>
    <w:rsid w:val="0014773C"/>
    <w:rsid w:val="00151753"/>
    <w:rsid w:val="00173E9A"/>
    <w:rsid w:val="0017696D"/>
    <w:rsid w:val="0017749C"/>
    <w:rsid w:val="00181DDF"/>
    <w:rsid w:val="001848FC"/>
    <w:rsid w:val="00190590"/>
    <w:rsid w:val="00190B68"/>
    <w:rsid w:val="00193F21"/>
    <w:rsid w:val="001969C5"/>
    <w:rsid w:val="001A1098"/>
    <w:rsid w:val="001A3EC4"/>
    <w:rsid w:val="001A6CDD"/>
    <w:rsid w:val="001B6211"/>
    <w:rsid w:val="001C12EE"/>
    <w:rsid w:val="001C33EA"/>
    <w:rsid w:val="001C7B02"/>
    <w:rsid w:val="001D1377"/>
    <w:rsid w:val="001E4DD4"/>
    <w:rsid w:val="001E69DC"/>
    <w:rsid w:val="001F169D"/>
    <w:rsid w:val="001F1DA1"/>
    <w:rsid w:val="001F6F93"/>
    <w:rsid w:val="001F7A20"/>
    <w:rsid w:val="0021054A"/>
    <w:rsid w:val="0021195A"/>
    <w:rsid w:val="00212328"/>
    <w:rsid w:val="00213383"/>
    <w:rsid w:val="00213BB0"/>
    <w:rsid w:val="00220250"/>
    <w:rsid w:val="00222444"/>
    <w:rsid w:val="0022691B"/>
    <w:rsid w:val="00232163"/>
    <w:rsid w:val="002376F8"/>
    <w:rsid w:val="002408E4"/>
    <w:rsid w:val="00241591"/>
    <w:rsid w:val="00250B4F"/>
    <w:rsid w:val="0025762F"/>
    <w:rsid w:val="00265663"/>
    <w:rsid w:val="00275563"/>
    <w:rsid w:val="0028114D"/>
    <w:rsid w:val="00287649"/>
    <w:rsid w:val="00287E84"/>
    <w:rsid w:val="0029286C"/>
    <w:rsid w:val="0029300E"/>
    <w:rsid w:val="002B0C3A"/>
    <w:rsid w:val="002B2116"/>
    <w:rsid w:val="002B2D9B"/>
    <w:rsid w:val="002B4283"/>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1E99"/>
    <w:rsid w:val="00315567"/>
    <w:rsid w:val="00323097"/>
    <w:rsid w:val="00330144"/>
    <w:rsid w:val="00334329"/>
    <w:rsid w:val="00345CBA"/>
    <w:rsid w:val="00346245"/>
    <w:rsid w:val="00356267"/>
    <w:rsid w:val="00356BAD"/>
    <w:rsid w:val="003605B4"/>
    <w:rsid w:val="003627AC"/>
    <w:rsid w:val="00366914"/>
    <w:rsid w:val="00366C26"/>
    <w:rsid w:val="003674BB"/>
    <w:rsid w:val="00372FE3"/>
    <w:rsid w:val="00373849"/>
    <w:rsid w:val="003755CB"/>
    <w:rsid w:val="00383F85"/>
    <w:rsid w:val="00387BA1"/>
    <w:rsid w:val="003A306C"/>
    <w:rsid w:val="003A7508"/>
    <w:rsid w:val="003A7DE7"/>
    <w:rsid w:val="003B1006"/>
    <w:rsid w:val="003B2423"/>
    <w:rsid w:val="003C3ABA"/>
    <w:rsid w:val="003C5F11"/>
    <w:rsid w:val="003D294B"/>
    <w:rsid w:val="003D6401"/>
    <w:rsid w:val="003E1863"/>
    <w:rsid w:val="00404808"/>
    <w:rsid w:val="0040488A"/>
    <w:rsid w:val="0041606D"/>
    <w:rsid w:val="00416962"/>
    <w:rsid w:val="00416E6B"/>
    <w:rsid w:val="004206A8"/>
    <w:rsid w:val="004348CC"/>
    <w:rsid w:val="00435F32"/>
    <w:rsid w:val="004412A4"/>
    <w:rsid w:val="00450C58"/>
    <w:rsid w:val="00456C29"/>
    <w:rsid w:val="004658FF"/>
    <w:rsid w:val="00466062"/>
    <w:rsid w:val="00474ED7"/>
    <w:rsid w:val="004756E1"/>
    <w:rsid w:val="0048008A"/>
    <w:rsid w:val="0048382C"/>
    <w:rsid w:val="00483E94"/>
    <w:rsid w:val="00484120"/>
    <w:rsid w:val="004853A0"/>
    <w:rsid w:val="004948D6"/>
    <w:rsid w:val="00496B5F"/>
    <w:rsid w:val="004A2E10"/>
    <w:rsid w:val="004A3FED"/>
    <w:rsid w:val="004B17FF"/>
    <w:rsid w:val="004B1BA0"/>
    <w:rsid w:val="004B6CEE"/>
    <w:rsid w:val="004C2443"/>
    <w:rsid w:val="004C3E8E"/>
    <w:rsid w:val="004C498F"/>
    <w:rsid w:val="004C5D29"/>
    <w:rsid w:val="004C681A"/>
    <w:rsid w:val="004D4D8A"/>
    <w:rsid w:val="004E20B2"/>
    <w:rsid w:val="004F68EE"/>
    <w:rsid w:val="004F76A0"/>
    <w:rsid w:val="005038D5"/>
    <w:rsid w:val="00511BA4"/>
    <w:rsid w:val="00511FDB"/>
    <w:rsid w:val="005149E7"/>
    <w:rsid w:val="005232D6"/>
    <w:rsid w:val="005333CC"/>
    <w:rsid w:val="005363F1"/>
    <w:rsid w:val="005370A4"/>
    <w:rsid w:val="00537C1B"/>
    <w:rsid w:val="00540C36"/>
    <w:rsid w:val="00542CF9"/>
    <w:rsid w:val="0055007C"/>
    <w:rsid w:val="00554922"/>
    <w:rsid w:val="00555282"/>
    <w:rsid w:val="005560E7"/>
    <w:rsid w:val="005612CC"/>
    <w:rsid w:val="00563029"/>
    <w:rsid w:val="00565946"/>
    <w:rsid w:val="00567D12"/>
    <w:rsid w:val="00575613"/>
    <w:rsid w:val="00576062"/>
    <w:rsid w:val="005938BB"/>
    <w:rsid w:val="0059559F"/>
    <w:rsid w:val="005A03F3"/>
    <w:rsid w:val="005A310B"/>
    <w:rsid w:val="005A49FF"/>
    <w:rsid w:val="005A4D7A"/>
    <w:rsid w:val="005A7329"/>
    <w:rsid w:val="005A7634"/>
    <w:rsid w:val="005A7E1E"/>
    <w:rsid w:val="005B6F04"/>
    <w:rsid w:val="005C0447"/>
    <w:rsid w:val="005C739F"/>
    <w:rsid w:val="005C73CA"/>
    <w:rsid w:val="005D4768"/>
    <w:rsid w:val="005E2CAB"/>
    <w:rsid w:val="005E429E"/>
    <w:rsid w:val="005F5D3F"/>
    <w:rsid w:val="00601ED4"/>
    <w:rsid w:val="006030BC"/>
    <w:rsid w:val="00612866"/>
    <w:rsid w:val="006159D2"/>
    <w:rsid w:val="00616894"/>
    <w:rsid w:val="00616EB5"/>
    <w:rsid w:val="006269D4"/>
    <w:rsid w:val="006327D8"/>
    <w:rsid w:val="0064070A"/>
    <w:rsid w:val="00643A01"/>
    <w:rsid w:val="00651D44"/>
    <w:rsid w:val="00654899"/>
    <w:rsid w:val="006574D2"/>
    <w:rsid w:val="00663563"/>
    <w:rsid w:val="006676D4"/>
    <w:rsid w:val="00670B93"/>
    <w:rsid w:val="006743DF"/>
    <w:rsid w:val="0067449E"/>
    <w:rsid w:val="00675535"/>
    <w:rsid w:val="0067587A"/>
    <w:rsid w:val="00681359"/>
    <w:rsid w:val="0069157C"/>
    <w:rsid w:val="0069323D"/>
    <w:rsid w:val="00696262"/>
    <w:rsid w:val="006A3202"/>
    <w:rsid w:val="006A723F"/>
    <w:rsid w:val="006C3A4F"/>
    <w:rsid w:val="006C4845"/>
    <w:rsid w:val="006D6BC1"/>
    <w:rsid w:val="006E2ACC"/>
    <w:rsid w:val="006E2BFC"/>
    <w:rsid w:val="006E5C57"/>
    <w:rsid w:val="006F22A5"/>
    <w:rsid w:val="006F5081"/>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83E42"/>
    <w:rsid w:val="0079180E"/>
    <w:rsid w:val="007950CC"/>
    <w:rsid w:val="0079538B"/>
    <w:rsid w:val="00795F47"/>
    <w:rsid w:val="007961B8"/>
    <w:rsid w:val="00797624"/>
    <w:rsid w:val="007A4828"/>
    <w:rsid w:val="007A5D82"/>
    <w:rsid w:val="007B093D"/>
    <w:rsid w:val="007B2069"/>
    <w:rsid w:val="007C04A1"/>
    <w:rsid w:val="007C21FA"/>
    <w:rsid w:val="007D13B1"/>
    <w:rsid w:val="007D2A1F"/>
    <w:rsid w:val="007D4351"/>
    <w:rsid w:val="007D7019"/>
    <w:rsid w:val="007E18DB"/>
    <w:rsid w:val="007E22AE"/>
    <w:rsid w:val="007E6F1C"/>
    <w:rsid w:val="00804AD1"/>
    <w:rsid w:val="00804C69"/>
    <w:rsid w:val="0080711D"/>
    <w:rsid w:val="008155CD"/>
    <w:rsid w:val="00826192"/>
    <w:rsid w:val="00833325"/>
    <w:rsid w:val="008343E7"/>
    <w:rsid w:val="00834B47"/>
    <w:rsid w:val="00837078"/>
    <w:rsid w:val="00840A41"/>
    <w:rsid w:val="00842F3C"/>
    <w:rsid w:val="008463D9"/>
    <w:rsid w:val="008505D1"/>
    <w:rsid w:val="00855158"/>
    <w:rsid w:val="00857EE8"/>
    <w:rsid w:val="00862904"/>
    <w:rsid w:val="0086464B"/>
    <w:rsid w:val="008647FC"/>
    <w:rsid w:val="00864CA8"/>
    <w:rsid w:val="00865E2D"/>
    <w:rsid w:val="00870E6C"/>
    <w:rsid w:val="00875846"/>
    <w:rsid w:val="00884486"/>
    <w:rsid w:val="008871A9"/>
    <w:rsid w:val="008916BA"/>
    <w:rsid w:val="00892176"/>
    <w:rsid w:val="008A1DB7"/>
    <w:rsid w:val="008A270A"/>
    <w:rsid w:val="008A37E6"/>
    <w:rsid w:val="008A403A"/>
    <w:rsid w:val="008A4C13"/>
    <w:rsid w:val="008B3D25"/>
    <w:rsid w:val="008B604D"/>
    <w:rsid w:val="008C54A9"/>
    <w:rsid w:val="008E67C3"/>
    <w:rsid w:val="008F3A14"/>
    <w:rsid w:val="008F589F"/>
    <w:rsid w:val="008F76A9"/>
    <w:rsid w:val="008F7E67"/>
    <w:rsid w:val="00900DBF"/>
    <w:rsid w:val="009048B9"/>
    <w:rsid w:val="00904E91"/>
    <w:rsid w:val="0091518D"/>
    <w:rsid w:val="00915886"/>
    <w:rsid w:val="009214DC"/>
    <w:rsid w:val="00923170"/>
    <w:rsid w:val="00927027"/>
    <w:rsid w:val="0093415B"/>
    <w:rsid w:val="009344BA"/>
    <w:rsid w:val="00946E61"/>
    <w:rsid w:val="00947F78"/>
    <w:rsid w:val="00950F64"/>
    <w:rsid w:val="00953234"/>
    <w:rsid w:val="00961EAF"/>
    <w:rsid w:val="0096278F"/>
    <w:rsid w:val="009726E1"/>
    <w:rsid w:val="00972A04"/>
    <w:rsid w:val="00977591"/>
    <w:rsid w:val="00980CBE"/>
    <w:rsid w:val="00980E75"/>
    <w:rsid w:val="009828F7"/>
    <w:rsid w:val="0099200E"/>
    <w:rsid w:val="00994BE0"/>
    <w:rsid w:val="009A25B1"/>
    <w:rsid w:val="009A4608"/>
    <w:rsid w:val="009A6A57"/>
    <w:rsid w:val="009A70BF"/>
    <w:rsid w:val="009B1A15"/>
    <w:rsid w:val="009B2711"/>
    <w:rsid w:val="009C0852"/>
    <w:rsid w:val="009C13CA"/>
    <w:rsid w:val="009C32C6"/>
    <w:rsid w:val="009C665F"/>
    <w:rsid w:val="009C7513"/>
    <w:rsid w:val="009D2E8B"/>
    <w:rsid w:val="009D3882"/>
    <w:rsid w:val="009D5661"/>
    <w:rsid w:val="009D740B"/>
    <w:rsid w:val="009D7E38"/>
    <w:rsid w:val="009E095B"/>
    <w:rsid w:val="009E1846"/>
    <w:rsid w:val="009E78FF"/>
    <w:rsid w:val="00A01494"/>
    <w:rsid w:val="00A17E4C"/>
    <w:rsid w:val="00A22FA9"/>
    <w:rsid w:val="00A23185"/>
    <w:rsid w:val="00A25024"/>
    <w:rsid w:val="00A35F8F"/>
    <w:rsid w:val="00A41377"/>
    <w:rsid w:val="00A422A6"/>
    <w:rsid w:val="00A4263D"/>
    <w:rsid w:val="00A46096"/>
    <w:rsid w:val="00A509B8"/>
    <w:rsid w:val="00A52AB9"/>
    <w:rsid w:val="00A6210B"/>
    <w:rsid w:val="00A63061"/>
    <w:rsid w:val="00A64EBF"/>
    <w:rsid w:val="00A71200"/>
    <w:rsid w:val="00A7323A"/>
    <w:rsid w:val="00A831B4"/>
    <w:rsid w:val="00A97798"/>
    <w:rsid w:val="00AA5213"/>
    <w:rsid w:val="00AA65A6"/>
    <w:rsid w:val="00AC1D8E"/>
    <w:rsid w:val="00AC48FA"/>
    <w:rsid w:val="00AD0240"/>
    <w:rsid w:val="00AD4137"/>
    <w:rsid w:val="00AF2D68"/>
    <w:rsid w:val="00B037BA"/>
    <w:rsid w:val="00B20139"/>
    <w:rsid w:val="00B218DA"/>
    <w:rsid w:val="00B23543"/>
    <w:rsid w:val="00B2601F"/>
    <w:rsid w:val="00B30779"/>
    <w:rsid w:val="00B31688"/>
    <w:rsid w:val="00B342FA"/>
    <w:rsid w:val="00B53E8B"/>
    <w:rsid w:val="00B774D2"/>
    <w:rsid w:val="00B8015A"/>
    <w:rsid w:val="00B82A57"/>
    <w:rsid w:val="00B93F39"/>
    <w:rsid w:val="00BA053B"/>
    <w:rsid w:val="00BB35AE"/>
    <w:rsid w:val="00BB5DBF"/>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3F8D"/>
    <w:rsid w:val="00C867F0"/>
    <w:rsid w:val="00CA06D8"/>
    <w:rsid w:val="00CA0FBC"/>
    <w:rsid w:val="00CA2671"/>
    <w:rsid w:val="00CA345A"/>
    <w:rsid w:val="00CB49FF"/>
    <w:rsid w:val="00CC02CF"/>
    <w:rsid w:val="00CC086A"/>
    <w:rsid w:val="00CD0E24"/>
    <w:rsid w:val="00CD0F66"/>
    <w:rsid w:val="00CD364B"/>
    <w:rsid w:val="00CE23B8"/>
    <w:rsid w:val="00CE284E"/>
    <w:rsid w:val="00CE50D7"/>
    <w:rsid w:val="00CE7851"/>
    <w:rsid w:val="00CF4CBE"/>
    <w:rsid w:val="00D00344"/>
    <w:rsid w:val="00D16605"/>
    <w:rsid w:val="00D1754D"/>
    <w:rsid w:val="00D2223F"/>
    <w:rsid w:val="00D274A4"/>
    <w:rsid w:val="00D277AF"/>
    <w:rsid w:val="00D31163"/>
    <w:rsid w:val="00D320B1"/>
    <w:rsid w:val="00D33AFD"/>
    <w:rsid w:val="00D36489"/>
    <w:rsid w:val="00D369E9"/>
    <w:rsid w:val="00D42195"/>
    <w:rsid w:val="00D50704"/>
    <w:rsid w:val="00D5760A"/>
    <w:rsid w:val="00D61410"/>
    <w:rsid w:val="00D632F5"/>
    <w:rsid w:val="00D8181D"/>
    <w:rsid w:val="00D8554D"/>
    <w:rsid w:val="00D968D8"/>
    <w:rsid w:val="00DA563D"/>
    <w:rsid w:val="00DA7277"/>
    <w:rsid w:val="00DB3627"/>
    <w:rsid w:val="00DB4724"/>
    <w:rsid w:val="00DB6944"/>
    <w:rsid w:val="00DB73AF"/>
    <w:rsid w:val="00DC4746"/>
    <w:rsid w:val="00DE7149"/>
    <w:rsid w:val="00DE7B33"/>
    <w:rsid w:val="00E009FE"/>
    <w:rsid w:val="00E0314C"/>
    <w:rsid w:val="00E1508F"/>
    <w:rsid w:val="00E261DF"/>
    <w:rsid w:val="00E27240"/>
    <w:rsid w:val="00E27EDD"/>
    <w:rsid w:val="00E30584"/>
    <w:rsid w:val="00E310B9"/>
    <w:rsid w:val="00E32F96"/>
    <w:rsid w:val="00E37E1B"/>
    <w:rsid w:val="00E45BC1"/>
    <w:rsid w:val="00E562C0"/>
    <w:rsid w:val="00E57FAF"/>
    <w:rsid w:val="00E672D6"/>
    <w:rsid w:val="00E76024"/>
    <w:rsid w:val="00E84D63"/>
    <w:rsid w:val="00E856A2"/>
    <w:rsid w:val="00E937EC"/>
    <w:rsid w:val="00E967AD"/>
    <w:rsid w:val="00E96884"/>
    <w:rsid w:val="00EA5435"/>
    <w:rsid w:val="00EA5F47"/>
    <w:rsid w:val="00EB455E"/>
    <w:rsid w:val="00EC79DE"/>
    <w:rsid w:val="00ED4ACE"/>
    <w:rsid w:val="00ED715B"/>
    <w:rsid w:val="00EE4D35"/>
    <w:rsid w:val="00EF2DA7"/>
    <w:rsid w:val="00F1412B"/>
    <w:rsid w:val="00F15BFA"/>
    <w:rsid w:val="00F17BAA"/>
    <w:rsid w:val="00F34FAB"/>
    <w:rsid w:val="00F435AA"/>
    <w:rsid w:val="00F5303A"/>
    <w:rsid w:val="00F5738A"/>
    <w:rsid w:val="00F612D4"/>
    <w:rsid w:val="00F7389E"/>
    <w:rsid w:val="00F77F1D"/>
    <w:rsid w:val="00F87CCB"/>
    <w:rsid w:val="00F94327"/>
    <w:rsid w:val="00FA48C7"/>
    <w:rsid w:val="00FB51FB"/>
    <w:rsid w:val="00FB73C1"/>
    <w:rsid w:val="00FD7B21"/>
    <w:rsid w:val="00FE7612"/>
    <w:rsid w:val="00FF0843"/>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B5DB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customStyle="1" w:styleId="Heading2Char">
    <w:name w:val="Heading 2 Char"/>
    <w:basedOn w:val="DefaultParagraphFont"/>
    <w:link w:val="Heading2"/>
    <w:uiPriority w:val="9"/>
    <w:rsid w:val="00BB5DB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09325">
      <w:bodyDiv w:val="1"/>
      <w:marLeft w:val="0"/>
      <w:marRight w:val="0"/>
      <w:marTop w:val="0"/>
      <w:marBottom w:val="0"/>
      <w:divBdr>
        <w:top w:val="none" w:sz="0" w:space="0" w:color="auto"/>
        <w:left w:val="none" w:sz="0" w:space="0" w:color="auto"/>
        <w:bottom w:val="none" w:sz="0" w:space="0" w:color="auto"/>
        <w:right w:val="none" w:sz="0" w:space="0" w:color="auto"/>
      </w:divBdr>
    </w:div>
    <w:div w:id="44901107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76522350">
      <w:bodyDiv w:val="1"/>
      <w:marLeft w:val="0"/>
      <w:marRight w:val="0"/>
      <w:marTop w:val="0"/>
      <w:marBottom w:val="0"/>
      <w:divBdr>
        <w:top w:val="none" w:sz="0" w:space="0" w:color="auto"/>
        <w:left w:val="none" w:sz="0" w:space="0" w:color="auto"/>
        <w:bottom w:val="none" w:sz="0" w:space="0" w:color="auto"/>
        <w:right w:val="none" w:sz="0" w:space="0" w:color="auto"/>
      </w:divBdr>
    </w:div>
    <w:div w:id="1222326098">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50734114">
      <w:bodyDiv w:val="1"/>
      <w:marLeft w:val="0"/>
      <w:marRight w:val="0"/>
      <w:marTop w:val="0"/>
      <w:marBottom w:val="0"/>
      <w:divBdr>
        <w:top w:val="none" w:sz="0" w:space="0" w:color="auto"/>
        <w:left w:val="none" w:sz="0" w:space="0" w:color="auto"/>
        <w:bottom w:val="none" w:sz="0" w:space="0" w:color="auto"/>
        <w:right w:val="none" w:sz="0" w:space="0" w:color="auto"/>
      </w:divBdr>
    </w:div>
    <w:div w:id="1485512122">
      <w:bodyDiv w:val="1"/>
      <w:marLeft w:val="0"/>
      <w:marRight w:val="0"/>
      <w:marTop w:val="0"/>
      <w:marBottom w:val="0"/>
      <w:divBdr>
        <w:top w:val="none" w:sz="0" w:space="0" w:color="auto"/>
        <w:left w:val="none" w:sz="0" w:space="0" w:color="auto"/>
        <w:bottom w:val="none" w:sz="0" w:space="0" w:color="auto"/>
        <w:right w:val="none" w:sz="0" w:space="0" w:color="auto"/>
      </w:divBdr>
    </w:div>
    <w:div w:id="1521774308">
      <w:bodyDiv w:val="1"/>
      <w:marLeft w:val="0"/>
      <w:marRight w:val="0"/>
      <w:marTop w:val="0"/>
      <w:marBottom w:val="0"/>
      <w:divBdr>
        <w:top w:val="none" w:sz="0" w:space="0" w:color="auto"/>
        <w:left w:val="none" w:sz="0" w:space="0" w:color="auto"/>
        <w:bottom w:val="none" w:sz="0" w:space="0" w:color="auto"/>
        <w:right w:val="none" w:sz="0" w:space="0" w:color="auto"/>
      </w:divBdr>
    </w:div>
    <w:div w:id="1701668337">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4557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67068"/>
    <w:rsid w:val="00127222"/>
    <w:rsid w:val="001736D7"/>
    <w:rsid w:val="00190AF4"/>
    <w:rsid w:val="00223FA3"/>
    <w:rsid w:val="002A288F"/>
    <w:rsid w:val="002C65A7"/>
    <w:rsid w:val="002F052A"/>
    <w:rsid w:val="00350176"/>
    <w:rsid w:val="003840F0"/>
    <w:rsid w:val="00437537"/>
    <w:rsid w:val="00437E32"/>
    <w:rsid w:val="004D785E"/>
    <w:rsid w:val="00513FC9"/>
    <w:rsid w:val="0053654E"/>
    <w:rsid w:val="005F16B8"/>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0B1E"/>
    <w:rsid w:val="00BD40CB"/>
    <w:rsid w:val="00C362A2"/>
    <w:rsid w:val="00C90121"/>
    <w:rsid w:val="00C96E73"/>
    <w:rsid w:val="00CA1FE8"/>
    <w:rsid w:val="00CA344F"/>
    <w:rsid w:val="00CA660C"/>
    <w:rsid w:val="00D1676E"/>
    <w:rsid w:val="00D55B3D"/>
    <w:rsid w:val="00DC0246"/>
    <w:rsid w:val="00DE0760"/>
    <w:rsid w:val="00E6518A"/>
    <w:rsid w:val="00E95D95"/>
    <w:rsid w:val="00ED2F1E"/>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schemas.microsoft.com/office/2006/documentManagement/types"/>
    <ds:schemaRef ds:uri="http://purl.org/dc/terms/"/>
    <ds:schemaRef ds:uri="http://schemas.microsoft.com/office/2006/metadata/properties"/>
    <ds:schemaRef ds:uri="http://purl.org/dc/dcmitype/"/>
    <ds:schemaRef ds:uri="http://schemas.openxmlformats.org/package/2006/metadata/core-properties"/>
    <ds:schemaRef ds:uri="http://www.w3.org/XML/1998/namespace"/>
    <ds:schemaRef ds:uri="http://schemas.microsoft.com/office/infopath/2007/PartnerControls"/>
    <ds:schemaRef ds:uri="836b82f1-340d-495e-85b5-201c5296619a"/>
    <ds:schemaRef ds:uri="http://purl.org/dc/elements/1.1/"/>
  </ds:schemaRefs>
</ds:datastoreItem>
</file>

<file path=customXml/itemProps5.xml><?xml version="1.0" encoding="utf-8"?>
<ds:datastoreItem xmlns:ds="http://schemas.openxmlformats.org/officeDocument/2006/customXml" ds:itemID="{5D2BE3B9-9F8F-4EBA-B0A2-D8DB625A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5770</Words>
  <Characters>32891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Gregory Foakes</cp:lastModifiedBy>
  <cp:revision>3</cp:revision>
  <cp:lastPrinted>2018-07-25T16:15:00Z</cp:lastPrinted>
  <dcterms:created xsi:type="dcterms:W3CDTF">2019-05-03T15:20:00Z</dcterms:created>
  <dcterms:modified xsi:type="dcterms:W3CDTF">2019-05-03T15:45:00Z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